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E29F" w14:textId="77777777" w:rsidR="00B50D8D" w:rsidRPr="00834CDC" w:rsidRDefault="00B50D8D" w:rsidP="00B50D8D">
      <w:pPr>
        <w:pStyle w:val="CDIfootnotes"/>
      </w:pPr>
      <w:r w:rsidRPr="00834CDC">
        <w:rPr>
          <w:i/>
          <w:iCs/>
        </w:rPr>
        <w:t>Communicable Diseases Intelligence</w:t>
      </w:r>
      <w:r w:rsidRPr="00834CDC">
        <w:t xml:space="preserve">, Year </w:t>
      </w:r>
      <w:fldSimple w:instr=" DOCPROPERTY  Year  \* MERGEFORMAT ">
        <w:r w:rsidR="005428FE" w:rsidRPr="00834CDC">
          <w:t>2023</w:t>
        </w:r>
      </w:fldSimple>
      <w:r w:rsidRPr="00834CDC">
        <w:t xml:space="preserve">, Volume </w:t>
      </w:r>
      <w:r w:rsidR="00BE4FF2">
        <w:fldChar w:fldCharType="begin"/>
      </w:r>
      <w:r w:rsidR="00BE4FF2">
        <w:instrText xml:space="preserve"> DOCPROPERTY  Vol  \* MERGEFORMAT </w:instrText>
      </w:r>
      <w:r w:rsidR="00BE4FF2">
        <w:fldChar w:fldCharType="separate"/>
      </w:r>
      <w:proofErr w:type="gramStart"/>
      <w:r w:rsidR="005428FE" w:rsidRPr="00834CDC">
        <w:t>47</w:t>
      </w:r>
      <w:proofErr w:type="gramEnd"/>
      <w:r w:rsidR="00BE4FF2">
        <w:fldChar w:fldCharType="end"/>
      </w:r>
    </w:p>
    <w:p w14:paraId="6710CA4C" w14:textId="05C29A0C" w:rsidR="00B50D8D" w:rsidRPr="00834CDC" w:rsidRDefault="00BE4FF2" w:rsidP="00B50D8D">
      <w:pPr>
        <w:pStyle w:val="CDIfootnotes"/>
      </w:pPr>
      <w:fldSimple w:instr=" DOCPROPERTY  DOI  \* MERGEFORMAT ">
        <w:r w:rsidR="0098254B">
          <w:t>https://doi.org/10.33321/cdi.2023.47.32</w:t>
        </w:r>
      </w:fldSimple>
    </w:p>
    <w:p w14:paraId="0A2DABF7" w14:textId="28828A42" w:rsidR="00B50D8D" w:rsidRPr="00834CDC" w:rsidRDefault="00B50D8D" w:rsidP="00B50D8D">
      <w:pPr>
        <w:pStyle w:val="CDIfootnotes"/>
      </w:pPr>
      <w:r w:rsidRPr="00834CDC">
        <w:t xml:space="preserve">Publication date: </w:t>
      </w:r>
      <w:fldSimple w:instr=" DOCPROPERTY  ePubDate  \* MERGEFORMAT ">
        <w:r w:rsidR="0098254B">
          <w:t>15/6/2023</w:t>
        </w:r>
      </w:fldSimple>
    </w:p>
    <w:p w14:paraId="152ADADB" w14:textId="6D6448E4" w:rsidR="00B50D8D" w:rsidRPr="00834CDC" w:rsidRDefault="00B50D8D" w:rsidP="00B50D8D">
      <w:pPr>
        <w:pStyle w:val="CDIfootnotes"/>
      </w:pPr>
      <w:r w:rsidRPr="00834CDC">
        <w:t xml:space="preserve">http://health.gov.au/cdi </w:t>
      </w:r>
    </w:p>
    <w:p w14:paraId="16DAE910" w14:textId="3EE2AF50" w:rsidR="0033445F" w:rsidRPr="00834CDC" w:rsidRDefault="0033445F" w:rsidP="0033445F">
      <w:pPr>
        <w:pStyle w:val="Title"/>
        <w:divId w:val="1988506822"/>
        <w:rPr>
          <w:rFonts w:eastAsia="Times New Roman"/>
          <w:sz w:val="48"/>
          <w:szCs w:val="48"/>
        </w:rPr>
      </w:pPr>
      <w:r w:rsidRPr="00834CDC">
        <w:rPr>
          <w:rFonts w:eastAsia="Times New Roman"/>
        </w:rPr>
        <w:t xml:space="preserve">Vaccine Preventable Diseases and Vaccination Coverage in Aboriginal and Torres Strait Islander People, Australia, 2016–2019 </w:t>
      </w:r>
    </w:p>
    <w:p w14:paraId="672BD6A3" w14:textId="77777777" w:rsidR="0033445F" w:rsidRPr="00834CDC" w:rsidRDefault="0033445F" w:rsidP="0033445F">
      <w:pPr>
        <w:divId w:val="1988506822"/>
      </w:pPr>
      <w:r w:rsidRPr="00834CDC">
        <w:t xml:space="preserve">Joanne Jackson, Nicole </w:t>
      </w:r>
      <w:proofErr w:type="spellStart"/>
      <w:r w:rsidRPr="00834CDC">
        <w:t>Sonneveld</w:t>
      </w:r>
      <w:proofErr w:type="spellEnd"/>
      <w:r w:rsidRPr="00834CDC">
        <w:t xml:space="preserve">, </w:t>
      </w:r>
      <w:proofErr w:type="spellStart"/>
      <w:r w:rsidRPr="00834CDC">
        <w:t>Harunor</w:t>
      </w:r>
      <w:proofErr w:type="spellEnd"/>
      <w:r w:rsidRPr="00834CDC">
        <w:t xml:space="preserve"> Rashid, Larissa </w:t>
      </w:r>
      <w:proofErr w:type="spellStart"/>
      <w:r w:rsidRPr="00834CDC">
        <w:t>Karpish</w:t>
      </w:r>
      <w:proofErr w:type="spellEnd"/>
      <w:r w:rsidRPr="00834CDC">
        <w:t xml:space="preserve">, </w:t>
      </w:r>
      <w:proofErr w:type="spellStart"/>
      <w:r w:rsidRPr="00834CDC">
        <w:t>Seaneen</w:t>
      </w:r>
      <w:proofErr w:type="spellEnd"/>
      <w:r w:rsidRPr="00834CDC">
        <w:t xml:space="preserve"> Wallace, Lisa Whop, Cyra Patel, Julia Brotherton, Han Wang, Alexandra Hendry, Brynley Hull, Katrina Clark, Stephen Lambert, Aditi Dey, Frank Beard </w:t>
      </w:r>
    </w:p>
    <w:p w14:paraId="17D62487" w14:textId="77777777" w:rsidR="0033445F" w:rsidRPr="00834CDC" w:rsidRDefault="0033445F" w:rsidP="0033445F">
      <w:pPr>
        <w:pStyle w:val="Heading1"/>
        <w:divId w:val="1988506822"/>
      </w:pPr>
      <w:r w:rsidRPr="00834CDC">
        <w:t xml:space="preserve">Acknowledgements </w:t>
      </w:r>
    </w:p>
    <w:p w14:paraId="0D440572" w14:textId="77777777" w:rsidR="0033445F" w:rsidRPr="00834CDC" w:rsidRDefault="0033445F" w:rsidP="0033445F">
      <w:pPr>
        <w:pStyle w:val="Heading2"/>
        <w:divId w:val="1988506822"/>
      </w:pPr>
      <w:r w:rsidRPr="00834CDC">
        <w:t xml:space="preserve">Acknowledgement of Country </w:t>
      </w:r>
    </w:p>
    <w:p w14:paraId="059194F3" w14:textId="77777777" w:rsidR="0033445F" w:rsidRPr="00834CDC" w:rsidRDefault="0033445F" w:rsidP="0033445F">
      <w:pPr>
        <w:divId w:val="1988506822"/>
      </w:pPr>
      <w:r w:rsidRPr="00834CDC">
        <w:t xml:space="preserve">The authors acknowledge the traditional owners and custodians of the land and waters which they live and work as the First Peoples of Australia. We acknowledge past and present Aboriginal and Torres Strait Islander staff of the National Centre for Immunisation Research and Surveillance (NCIRS), Aboriginal and Torres Strait Islander authors of this report, as well as the Aboriginal and Torres Strait Islander members on the Advisory group, for their strength, resilience and paving the way for change. </w:t>
      </w:r>
    </w:p>
    <w:p w14:paraId="3D0BDA09" w14:textId="77777777" w:rsidR="0033445F" w:rsidRPr="00834CDC" w:rsidRDefault="0033445F" w:rsidP="0033445F">
      <w:pPr>
        <w:divId w:val="1988506822"/>
      </w:pPr>
      <w:r w:rsidRPr="00834CDC">
        <w:t xml:space="preserve">We respectfully acknowledge the history of dispossession and intergenerational trauma that affects the lives of </w:t>
      </w:r>
      <w:proofErr w:type="gramStart"/>
      <w:r w:rsidRPr="00834CDC">
        <w:t>many</w:t>
      </w:r>
      <w:proofErr w:type="gramEnd"/>
      <w:r w:rsidRPr="00834CDC">
        <w:t xml:space="preserve"> Aboriginal and Torres Strait Islander people. We recognise that the provision of culturally </w:t>
      </w:r>
      <w:proofErr w:type="gramStart"/>
      <w:r w:rsidRPr="00834CDC">
        <w:t>appropriate health</w:t>
      </w:r>
      <w:proofErr w:type="gramEnd"/>
      <w:r w:rsidRPr="00834CDC">
        <w:t xml:space="preserve"> care services and systems is vital to adopting a stronger commitment to self-determination by ensuring Aboriginal and Torres Strait Islander peoples have a voice regarding Aboriginal and Torres Strait Islander business and in particular to vaccine preventable diseases. </w:t>
      </w:r>
    </w:p>
    <w:p w14:paraId="0AB8681C" w14:textId="77777777" w:rsidR="0033445F" w:rsidRPr="00834CDC" w:rsidRDefault="0033445F" w:rsidP="0033445F">
      <w:pPr>
        <w:pStyle w:val="Heading2"/>
        <w:divId w:val="1988506822"/>
      </w:pPr>
      <w:r w:rsidRPr="00834CDC">
        <w:t xml:space="preserve">Acknowledgement of Aboriginal and Torres Strait Islander authors </w:t>
      </w:r>
    </w:p>
    <w:p w14:paraId="5F7EAFAB" w14:textId="77777777" w:rsidR="0033445F" w:rsidRPr="00834CDC" w:rsidRDefault="0033445F" w:rsidP="0033445F">
      <w:pPr>
        <w:divId w:val="1988506822"/>
      </w:pPr>
      <w:r w:rsidRPr="00834CDC">
        <w:t xml:space="preserve">We respect the great diversity, wealth of experience and cultural context of Aboriginal and Torres Strait Islander people. This report continues to have Aboriginal and Torres Strait Islander co-authors: </w:t>
      </w:r>
    </w:p>
    <w:p w14:paraId="1A26277D" w14:textId="77777777" w:rsidR="0033445F" w:rsidRPr="00834CDC" w:rsidRDefault="0033445F" w:rsidP="00DC40E1">
      <w:pPr>
        <w:pStyle w:val="ListParagraph"/>
        <w:numPr>
          <w:ilvl w:val="0"/>
          <w:numId w:val="2"/>
        </w:numPr>
        <w:divId w:val="1988506822"/>
        <w:rPr>
          <w:rFonts w:eastAsia="Times New Roman"/>
        </w:rPr>
      </w:pPr>
      <w:r w:rsidRPr="00834CDC">
        <w:rPr>
          <w:rFonts w:eastAsia="Times New Roman"/>
        </w:rPr>
        <w:t xml:space="preserve">Larissa </w:t>
      </w:r>
      <w:proofErr w:type="spellStart"/>
      <w:r w:rsidRPr="00834CDC">
        <w:rPr>
          <w:rFonts w:eastAsia="Times New Roman"/>
        </w:rPr>
        <w:t>Karpish</w:t>
      </w:r>
      <w:proofErr w:type="spellEnd"/>
      <w:r w:rsidRPr="00834CDC">
        <w:rPr>
          <w:rFonts w:eastAsia="Times New Roman"/>
        </w:rPr>
        <w:t xml:space="preserve">, a proud Ngunnawal </w:t>
      </w:r>
      <w:proofErr w:type="gramStart"/>
      <w:r w:rsidRPr="00834CDC">
        <w:rPr>
          <w:rFonts w:eastAsia="Times New Roman"/>
        </w:rPr>
        <w:t>woman;</w:t>
      </w:r>
      <w:proofErr w:type="gramEnd"/>
      <w:r w:rsidRPr="00834CDC">
        <w:rPr>
          <w:rFonts w:eastAsia="Times New Roman"/>
        </w:rPr>
        <w:t xml:space="preserve"> </w:t>
      </w:r>
    </w:p>
    <w:p w14:paraId="44C59D42" w14:textId="77777777" w:rsidR="0033445F" w:rsidRPr="00834CDC" w:rsidRDefault="0033445F" w:rsidP="00DC40E1">
      <w:pPr>
        <w:pStyle w:val="ListParagraph"/>
        <w:numPr>
          <w:ilvl w:val="0"/>
          <w:numId w:val="2"/>
        </w:numPr>
        <w:divId w:val="1988506822"/>
        <w:rPr>
          <w:rFonts w:eastAsia="Times New Roman"/>
        </w:rPr>
      </w:pPr>
      <w:proofErr w:type="spellStart"/>
      <w:r w:rsidRPr="00834CDC">
        <w:rPr>
          <w:rFonts w:eastAsia="Times New Roman"/>
        </w:rPr>
        <w:t>Seaneen</w:t>
      </w:r>
      <w:proofErr w:type="spellEnd"/>
      <w:r w:rsidRPr="00834CDC">
        <w:rPr>
          <w:rFonts w:eastAsia="Times New Roman"/>
        </w:rPr>
        <w:t xml:space="preserve"> Wallace, a proud First Nation’s woman of </w:t>
      </w:r>
      <w:proofErr w:type="spellStart"/>
      <w:r w:rsidRPr="00834CDC">
        <w:rPr>
          <w:rFonts w:eastAsia="Times New Roman"/>
        </w:rPr>
        <w:t>Gungarri</w:t>
      </w:r>
      <w:proofErr w:type="spellEnd"/>
      <w:r w:rsidRPr="00834CDC">
        <w:rPr>
          <w:rFonts w:eastAsia="Times New Roman"/>
        </w:rPr>
        <w:t xml:space="preserve"> and Bundjalung </w:t>
      </w:r>
      <w:proofErr w:type="gramStart"/>
      <w:r w:rsidRPr="00834CDC">
        <w:rPr>
          <w:rFonts w:eastAsia="Times New Roman"/>
        </w:rPr>
        <w:t>descent;</w:t>
      </w:r>
      <w:proofErr w:type="gramEnd"/>
      <w:r w:rsidRPr="00834CDC">
        <w:rPr>
          <w:rFonts w:eastAsia="Times New Roman"/>
        </w:rPr>
        <w:t xml:space="preserve"> </w:t>
      </w:r>
    </w:p>
    <w:p w14:paraId="6C2EC551" w14:textId="77777777" w:rsidR="0033445F" w:rsidRPr="00834CDC" w:rsidRDefault="0033445F" w:rsidP="00DC40E1">
      <w:pPr>
        <w:pStyle w:val="ListParagraph"/>
        <w:numPr>
          <w:ilvl w:val="0"/>
          <w:numId w:val="2"/>
        </w:numPr>
        <w:divId w:val="1988506822"/>
        <w:rPr>
          <w:rFonts w:eastAsia="Times New Roman"/>
        </w:rPr>
      </w:pPr>
      <w:r w:rsidRPr="00834CDC">
        <w:rPr>
          <w:rFonts w:eastAsia="Times New Roman"/>
        </w:rPr>
        <w:t xml:space="preserve">Associate Professor Lisa Whop, of the </w:t>
      </w:r>
      <w:proofErr w:type="spellStart"/>
      <w:r w:rsidRPr="00834CDC">
        <w:rPr>
          <w:rFonts w:eastAsia="Times New Roman"/>
        </w:rPr>
        <w:t>Wagadagam</w:t>
      </w:r>
      <w:proofErr w:type="spellEnd"/>
      <w:r w:rsidRPr="00834CDC">
        <w:rPr>
          <w:rFonts w:eastAsia="Times New Roman"/>
        </w:rPr>
        <w:t xml:space="preserve"> tribe of Mabuiag Island; and </w:t>
      </w:r>
    </w:p>
    <w:p w14:paraId="5954942F" w14:textId="77777777" w:rsidR="0033445F" w:rsidRPr="00834CDC" w:rsidRDefault="0033445F" w:rsidP="00DC40E1">
      <w:pPr>
        <w:pStyle w:val="ListParagraph"/>
        <w:numPr>
          <w:ilvl w:val="0"/>
          <w:numId w:val="2"/>
        </w:numPr>
        <w:divId w:val="1988506822"/>
        <w:rPr>
          <w:rFonts w:eastAsia="Times New Roman"/>
        </w:rPr>
      </w:pPr>
      <w:r w:rsidRPr="00834CDC">
        <w:rPr>
          <w:rFonts w:eastAsia="Times New Roman"/>
        </w:rPr>
        <w:t xml:space="preserve">Katrina Clark, a proud </w:t>
      </w:r>
      <w:proofErr w:type="spellStart"/>
      <w:r w:rsidRPr="00834CDC">
        <w:rPr>
          <w:rFonts w:eastAsia="Times New Roman"/>
        </w:rPr>
        <w:t>Barkindji</w:t>
      </w:r>
      <w:proofErr w:type="spellEnd"/>
      <w:r w:rsidRPr="00834CDC">
        <w:rPr>
          <w:rFonts w:eastAsia="Times New Roman"/>
        </w:rPr>
        <w:t xml:space="preserve"> woman. </w:t>
      </w:r>
    </w:p>
    <w:p w14:paraId="1CC5AE50" w14:textId="77777777" w:rsidR="0033445F" w:rsidRPr="00834CDC" w:rsidRDefault="0033445F" w:rsidP="0033445F">
      <w:pPr>
        <w:pStyle w:val="Heading2"/>
        <w:divId w:val="1988506822"/>
      </w:pPr>
      <w:r w:rsidRPr="00834CDC">
        <w:t xml:space="preserve">Acknowledgements of individuals and organisations </w:t>
      </w:r>
    </w:p>
    <w:p w14:paraId="66BCE15E" w14:textId="0718E820" w:rsidR="0033445F" w:rsidRPr="00834CDC" w:rsidRDefault="0033445F" w:rsidP="0033445F">
      <w:pPr>
        <w:divId w:val="1988506822"/>
      </w:pPr>
      <w:r w:rsidRPr="00834CDC">
        <w:t xml:space="preserve">This report </w:t>
      </w:r>
      <w:proofErr w:type="gramStart"/>
      <w:r w:rsidRPr="00834CDC">
        <w:t>was coordinated</w:t>
      </w:r>
      <w:proofErr w:type="gramEnd"/>
      <w:r w:rsidRPr="00834CDC">
        <w:t xml:space="preserve"> and managed by the National Centre for Immunisation Research and Surveillance</w:t>
      </w:r>
      <w:r w:rsidR="00311ED2" w:rsidRPr="00834CDC">
        <w:t> </w:t>
      </w:r>
      <w:r w:rsidRPr="00834CDC">
        <w:t xml:space="preserve">(NCIRS). </w:t>
      </w:r>
    </w:p>
    <w:p w14:paraId="771EB6BA" w14:textId="77777777" w:rsidR="0033445F" w:rsidRPr="00834CDC" w:rsidRDefault="0033445F" w:rsidP="0033445F">
      <w:pPr>
        <w:divId w:val="1988506822"/>
      </w:pPr>
      <w:r w:rsidRPr="00834CDC">
        <w:t xml:space="preserve">NCIRS wishes to acknowledge the following individuals and organisations for their </w:t>
      </w:r>
      <w:proofErr w:type="gramStart"/>
      <w:r w:rsidRPr="00834CDC">
        <w:t>assistance</w:t>
      </w:r>
      <w:proofErr w:type="gramEnd"/>
      <w:r w:rsidRPr="00834CDC">
        <w:t xml:space="preserve"> with and contribution to this report. </w:t>
      </w:r>
    </w:p>
    <w:p w14:paraId="6C0D22AF" w14:textId="77777777" w:rsidR="00200289" w:rsidRPr="00834CDC" w:rsidRDefault="00200289">
      <w:pPr>
        <w:rPr>
          <w:rFonts w:asciiTheme="majorHAnsi" w:eastAsiaTheme="majorEastAsia" w:hAnsiTheme="majorHAnsi" w:cstheme="majorBidi"/>
          <w:b/>
          <w:bCs/>
        </w:rPr>
      </w:pPr>
      <w:r w:rsidRPr="00834CDC">
        <w:br w:type="page"/>
      </w:r>
    </w:p>
    <w:p w14:paraId="7054E6C4" w14:textId="032CE300" w:rsidR="0033445F" w:rsidRPr="00834CDC" w:rsidRDefault="0033445F" w:rsidP="00501D1B">
      <w:pPr>
        <w:pStyle w:val="Heading3"/>
        <w:spacing w:after="240"/>
        <w:divId w:val="1988506822"/>
      </w:pPr>
      <w:r w:rsidRPr="00834CDC">
        <w:lastRenderedPageBreak/>
        <w:t xml:space="preserve">Advisory Group (for input into development of report and review of final draft) </w:t>
      </w:r>
    </w:p>
    <w:p w14:paraId="0425EE4F" w14:textId="20A9F919" w:rsidR="0033445F" w:rsidRPr="00834CDC" w:rsidRDefault="0033445F" w:rsidP="0033445F">
      <w:pPr>
        <w:divId w:val="1988506822"/>
      </w:pPr>
      <w:r w:rsidRPr="00834CDC">
        <w:rPr>
          <w:b/>
          <w:bCs/>
        </w:rPr>
        <w:t>Professor Ross Andrews</w:t>
      </w:r>
      <w:r w:rsidR="008563E6" w:rsidRPr="00834CDC">
        <w:br/>
      </w:r>
      <w:r w:rsidRPr="00834CDC">
        <w:t xml:space="preserve">Menzies School of Health Research </w:t>
      </w:r>
    </w:p>
    <w:p w14:paraId="3E33FEFA" w14:textId="4EFFD4B1" w:rsidR="0033445F" w:rsidRPr="00834CDC" w:rsidRDefault="0033445F" w:rsidP="0033445F">
      <w:pPr>
        <w:divId w:val="1988506822"/>
      </w:pPr>
      <w:r w:rsidRPr="00834CDC">
        <w:rPr>
          <w:b/>
          <w:bCs/>
        </w:rPr>
        <w:t>Amy Bright</w:t>
      </w:r>
      <w:r w:rsidR="008563E6" w:rsidRPr="00834CDC">
        <w:br/>
      </w:r>
      <w:r w:rsidRPr="00834CDC">
        <w:t xml:space="preserve">Australian Government Department of Health and Aged Care </w:t>
      </w:r>
    </w:p>
    <w:p w14:paraId="6BC99216" w14:textId="641E1DF2" w:rsidR="0033445F" w:rsidRPr="00834CDC" w:rsidRDefault="0033445F" w:rsidP="0033445F">
      <w:pPr>
        <w:divId w:val="1988506822"/>
      </w:pPr>
      <w:r w:rsidRPr="00834CDC">
        <w:rPr>
          <w:b/>
          <w:bCs/>
        </w:rPr>
        <w:t>Dr Megan Campbell</w:t>
      </w:r>
      <w:r w:rsidR="008563E6" w:rsidRPr="00834CDC">
        <w:br/>
      </w:r>
      <w:r w:rsidRPr="00834CDC">
        <w:t xml:space="preserve">National Aboriginal Community Controlled Health Organisation </w:t>
      </w:r>
    </w:p>
    <w:p w14:paraId="2EF64AF5" w14:textId="42655461" w:rsidR="0033445F" w:rsidRPr="00834CDC" w:rsidRDefault="0033445F" w:rsidP="0033445F">
      <w:pPr>
        <w:divId w:val="1988506822"/>
      </w:pPr>
      <w:r w:rsidRPr="00834CDC">
        <w:rPr>
          <w:b/>
          <w:bCs/>
        </w:rPr>
        <w:t xml:space="preserve">Charlee Law, a proud </w:t>
      </w:r>
      <w:proofErr w:type="spellStart"/>
      <w:r w:rsidRPr="00834CDC">
        <w:rPr>
          <w:b/>
          <w:bCs/>
        </w:rPr>
        <w:t>Gomeroi</w:t>
      </w:r>
      <w:proofErr w:type="spellEnd"/>
      <w:r w:rsidRPr="00834CDC">
        <w:rPr>
          <w:b/>
          <w:bCs/>
        </w:rPr>
        <w:t xml:space="preserve"> woman</w:t>
      </w:r>
      <w:r w:rsidR="008563E6" w:rsidRPr="00834CDC">
        <w:br/>
      </w:r>
      <w:r w:rsidRPr="00834CDC">
        <w:t xml:space="preserve">Australian National University </w:t>
      </w:r>
    </w:p>
    <w:p w14:paraId="39A6614F" w14:textId="1EACD9F2" w:rsidR="0033445F" w:rsidRPr="00834CDC" w:rsidRDefault="0033445F" w:rsidP="0033445F">
      <w:pPr>
        <w:divId w:val="1988506822"/>
      </w:pPr>
      <w:r w:rsidRPr="00834CDC">
        <w:rPr>
          <w:b/>
          <w:bCs/>
        </w:rPr>
        <w:t>Emily Phillips</w:t>
      </w:r>
      <w:r w:rsidR="008563E6" w:rsidRPr="00834CDC">
        <w:rPr>
          <w:b/>
          <w:bCs/>
        </w:rPr>
        <w:br/>
      </w:r>
      <w:r w:rsidRPr="00834CDC">
        <w:t xml:space="preserve">National Aboriginal Community Controlled Health Organisation </w:t>
      </w:r>
    </w:p>
    <w:p w14:paraId="3EEFF867" w14:textId="27D1B55E" w:rsidR="0033445F" w:rsidRPr="00834CDC" w:rsidRDefault="0033445F" w:rsidP="0033445F">
      <w:pPr>
        <w:divId w:val="1988506822"/>
      </w:pPr>
      <w:r w:rsidRPr="00834CDC">
        <w:rPr>
          <w:b/>
          <w:bCs/>
        </w:rPr>
        <w:t xml:space="preserve">Professor James Ward, a proud Pitjantjatjara and </w:t>
      </w:r>
      <w:proofErr w:type="spellStart"/>
      <w:r w:rsidRPr="00834CDC">
        <w:rPr>
          <w:b/>
          <w:bCs/>
        </w:rPr>
        <w:t>Nukunu</w:t>
      </w:r>
      <w:proofErr w:type="spellEnd"/>
      <w:r w:rsidRPr="00834CDC">
        <w:rPr>
          <w:b/>
          <w:bCs/>
        </w:rPr>
        <w:t xml:space="preserve"> man</w:t>
      </w:r>
      <w:r w:rsidR="008563E6" w:rsidRPr="00834CDC">
        <w:br/>
      </w:r>
      <w:r w:rsidRPr="00834CDC">
        <w:t xml:space="preserve">University of Queensland, Poche Centre for Indigenous Health </w:t>
      </w:r>
    </w:p>
    <w:p w14:paraId="1719660E" w14:textId="77777777" w:rsidR="0033445F" w:rsidRPr="00834CDC" w:rsidRDefault="0033445F" w:rsidP="008563E6">
      <w:pPr>
        <w:pStyle w:val="Heading3"/>
        <w:spacing w:after="200"/>
        <w:divId w:val="1988506822"/>
      </w:pPr>
      <w:proofErr w:type="gramStart"/>
      <w:r w:rsidRPr="00834CDC">
        <w:t>Additional</w:t>
      </w:r>
      <w:proofErr w:type="gramEnd"/>
      <w:r w:rsidRPr="00834CDC">
        <w:t xml:space="preserve"> expert peer review </w:t>
      </w:r>
    </w:p>
    <w:p w14:paraId="446CEA5F" w14:textId="77777777" w:rsidR="0033445F" w:rsidRPr="00834CDC" w:rsidRDefault="0033445F" w:rsidP="0033445F">
      <w:pPr>
        <w:divId w:val="1988506822"/>
        <w:rPr>
          <w:b/>
          <w:bCs/>
        </w:rPr>
      </w:pPr>
      <w:r w:rsidRPr="00834CDC">
        <w:rPr>
          <w:rStyle w:val="Strong"/>
          <w:b w:val="0"/>
          <w:bCs w:val="0"/>
        </w:rPr>
        <w:t xml:space="preserve">Dr Sanjay Jayasinghe (NCIRS) </w:t>
      </w:r>
    </w:p>
    <w:p w14:paraId="21681CB3" w14:textId="77777777" w:rsidR="0033445F" w:rsidRPr="00834CDC" w:rsidRDefault="0033445F" w:rsidP="0033445F">
      <w:pPr>
        <w:divId w:val="1988506822"/>
      </w:pPr>
      <w:r w:rsidRPr="00834CDC">
        <w:t xml:space="preserve">Noni Winkler (NCIRS) </w:t>
      </w:r>
    </w:p>
    <w:p w14:paraId="3221BEDE" w14:textId="77777777" w:rsidR="0033445F" w:rsidRPr="00834CDC" w:rsidRDefault="0033445F" w:rsidP="008563E6">
      <w:pPr>
        <w:pStyle w:val="Heading3"/>
        <w:spacing w:after="200"/>
        <w:divId w:val="1988506822"/>
      </w:pPr>
      <w:r w:rsidRPr="00834CDC">
        <w:t xml:space="preserve">Librarianship support </w:t>
      </w:r>
    </w:p>
    <w:p w14:paraId="53A41B32" w14:textId="77777777" w:rsidR="0033445F" w:rsidRPr="00834CDC" w:rsidRDefault="0033445F" w:rsidP="008563E6">
      <w:pPr>
        <w:divId w:val="1988506822"/>
        <w:rPr>
          <w:b/>
          <w:bCs/>
        </w:rPr>
      </w:pPr>
      <w:r w:rsidRPr="00834CDC">
        <w:rPr>
          <w:rStyle w:val="Strong"/>
          <w:b w:val="0"/>
          <w:bCs w:val="0"/>
        </w:rPr>
        <w:t>Dr Catherine King (NCIRS)</w:t>
      </w:r>
      <w:r w:rsidRPr="00834CDC">
        <w:rPr>
          <w:b/>
          <w:bCs/>
        </w:rPr>
        <w:t xml:space="preserve"> </w:t>
      </w:r>
    </w:p>
    <w:p w14:paraId="59B4311E" w14:textId="77777777" w:rsidR="0033445F" w:rsidRPr="00834CDC" w:rsidRDefault="0033445F" w:rsidP="008563E6">
      <w:pPr>
        <w:pStyle w:val="Heading2"/>
        <w:divId w:val="1988506822"/>
      </w:pPr>
      <w:r w:rsidRPr="00834CDC">
        <w:t xml:space="preserve">Provision of data </w:t>
      </w:r>
    </w:p>
    <w:p w14:paraId="70CD3193" w14:textId="77777777" w:rsidR="0033445F" w:rsidRPr="00834CDC" w:rsidRDefault="0033445F" w:rsidP="008563E6">
      <w:pPr>
        <w:divId w:val="1988506822"/>
      </w:pPr>
      <w:r w:rsidRPr="00834CDC">
        <w:t xml:space="preserve">The Communicable Disease Epidemiology and Surveillance Section, Office of Health Protection &amp; Response, Australian Government Department of Health and Aged Care, and the Communicable Diseases Network Australia, for data from the National Notifiable Diseases Surveillance System. </w:t>
      </w:r>
    </w:p>
    <w:p w14:paraId="0AF3C0E7" w14:textId="77777777" w:rsidR="0033445F" w:rsidRPr="00834CDC" w:rsidRDefault="0033445F" w:rsidP="008563E6">
      <w:pPr>
        <w:divId w:val="1988506822"/>
      </w:pPr>
      <w:r w:rsidRPr="00834CDC">
        <w:t xml:space="preserve">The Australian Institute of Health and Welfare for data from the National Hospital Morbidity Database. </w:t>
      </w:r>
    </w:p>
    <w:p w14:paraId="443C11FE" w14:textId="77777777" w:rsidR="0033445F" w:rsidRPr="00834CDC" w:rsidRDefault="0033445F" w:rsidP="008563E6">
      <w:pPr>
        <w:divId w:val="1988506822"/>
      </w:pPr>
      <w:r w:rsidRPr="00834CDC">
        <w:t xml:space="preserve">Services Australia for vaccination coverage data from the Australian Immunisation Register. </w:t>
      </w:r>
    </w:p>
    <w:p w14:paraId="4F8B2054" w14:textId="77777777" w:rsidR="0033445F" w:rsidRPr="00834CDC" w:rsidRDefault="0033445F" w:rsidP="008563E6">
      <w:pPr>
        <w:divId w:val="1988506822"/>
      </w:pPr>
      <w:r w:rsidRPr="00834CDC">
        <w:t xml:space="preserve">The Australian Coordinating Registry, state and territory registries of births, deaths and marriages, state and territory coroners, and the National Coronial Information System for cause of death data. </w:t>
      </w:r>
    </w:p>
    <w:p w14:paraId="2764154D" w14:textId="77777777" w:rsidR="0033445F" w:rsidRPr="00834CDC" w:rsidRDefault="0033445F" w:rsidP="008563E6">
      <w:pPr>
        <w:divId w:val="1988506822"/>
      </w:pPr>
      <w:r w:rsidRPr="00834CDC">
        <w:t xml:space="preserve">NCIRS is supported by the Australian Government Department of Health and Aged Care, the NSW Ministry of Health, Sydney Children’s Hospital Network at </w:t>
      </w:r>
      <w:proofErr w:type="gramStart"/>
      <w:r w:rsidRPr="00834CDC">
        <w:t>Westmead</w:t>
      </w:r>
      <w:proofErr w:type="gramEnd"/>
      <w:r w:rsidRPr="00834CDC">
        <w:t xml:space="preserve"> and The University of Sydney. The opinions expressed in this paper are those of the authors and do not necessarily </w:t>
      </w:r>
      <w:proofErr w:type="gramStart"/>
      <w:r w:rsidRPr="00834CDC">
        <w:t>represent</w:t>
      </w:r>
      <w:proofErr w:type="gramEnd"/>
      <w:r w:rsidRPr="00834CDC">
        <w:t xml:space="preserve"> the views of these agencies.</w:t>
      </w:r>
    </w:p>
    <w:p w14:paraId="2E643E67" w14:textId="77777777" w:rsidR="00200289" w:rsidRPr="00834CDC" w:rsidRDefault="00200289">
      <w:pPr>
        <w:rPr>
          <w:rFonts w:asciiTheme="majorHAnsi" w:eastAsiaTheme="majorEastAsia" w:hAnsiTheme="majorHAnsi" w:cstheme="majorBidi"/>
          <w:b/>
          <w:bCs/>
          <w:sz w:val="32"/>
          <w:szCs w:val="28"/>
        </w:rPr>
      </w:pPr>
      <w:r w:rsidRPr="00834CDC">
        <w:br w:type="page"/>
      </w:r>
    </w:p>
    <w:p w14:paraId="4591FC32" w14:textId="4EF88071" w:rsidR="0033445F" w:rsidRPr="00834CDC" w:rsidRDefault="0033445F" w:rsidP="0033445F">
      <w:pPr>
        <w:pStyle w:val="Heading1"/>
        <w:divId w:val="1988506822"/>
      </w:pPr>
      <w:r w:rsidRPr="00834CDC">
        <w:lastRenderedPageBreak/>
        <w:t xml:space="preserve">Executive summary </w:t>
      </w:r>
    </w:p>
    <w:p w14:paraId="0C84E01C" w14:textId="77777777" w:rsidR="0033445F" w:rsidRPr="00834CDC" w:rsidRDefault="0033445F" w:rsidP="0033445F">
      <w:pPr>
        <w:pStyle w:val="Heading2"/>
        <w:divId w:val="1988506822"/>
      </w:pPr>
      <w:r w:rsidRPr="00834CDC">
        <w:t xml:space="preserve">Background </w:t>
      </w:r>
    </w:p>
    <w:p w14:paraId="609652C2" w14:textId="77777777" w:rsidR="0033445F" w:rsidRPr="00834CDC" w:rsidRDefault="0033445F" w:rsidP="008563E6">
      <w:pPr>
        <w:divId w:val="1988506822"/>
      </w:pPr>
      <w:r w:rsidRPr="00834CDC">
        <w:t xml:space="preserve">This report, which focuses on the 2016–2019 period, is the fifth comprehensive National Centre for Immunisation Research and Surveillance (NCIRS) report on vaccine preventable diseases (VPDs) and vaccination coverage in Aboriginal and Torres Strait Islander people. As with </w:t>
      </w:r>
      <w:proofErr w:type="gramStart"/>
      <w:r w:rsidRPr="00834CDC">
        <w:t>previous</w:t>
      </w:r>
      <w:proofErr w:type="gramEnd"/>
      <w:r w:rsidRPr="00834CDC">
        <w:t xml:space="preserve"> reports, it aims to analyse and assess routinely collected data on notifications, hospital admissions, deaths and vaccination coverage, to support service delivery, policy development and further research on the prevention of VPDs in Aboriginal and Torres Strait Islander people. It </w:t>
      </w:r>
      <w:proofErr w:type="gramStart"/>
      <w:r w:rsidRPr="00834CDC">
        <w:t>identifies</w:t>
      </w:r>
      <w:proofErr w:type="gramEnd"/>
      <w:r w:rsidRPr="00834CDC">
        <w:t xml:space="preserve"> a range of achievements, including positive impacts of immunisation programs on the health of Aboriginal and Torres Strait Islander people, and further ways to move forward. </w:t>
      </w:r>
    </w:p>
    <w:p w14:paraId="01F1CC59" w14:textId="77777777" w:rsidR="0033445F" w:rsidRPr="00834CDC" w:rsidRDefault="0033445F" w:rsidP="008563E6">
      <w:pPr>
        <w:pStyle w:val="Heading3"/>
        <w:spacing w:after="200"/>
        <w:divId w:val="1988506822"/>
      </w:pPr>
      <w:r w:rsidRPr="00834CDC">
        <w:t xml:space="preserve">New inclusions in this report </w:t>
      </w:r>
    </w:p>
    <w:p w14:paraId="34392D14" w14:textId="77777777" w:rsidR="0033445F" w:rsidRPr="00834CDC" w:rsidRDefault="0033445F" w:rsidP="008563E6">
      <w:pPr>
        <w:divId w:val="1988506822"/>
      </w:pPr>
      <w:r w:rsidRPr="00834CDC">
        <w:t xml:space="preserve">This report includes some analyses not presented in </w:t>
      </w:r>
      <w:proofErr w:type="gramStart"/>
      <w:r w:rsidRPr="00834CDC">
        <w:t>previous</w:t>
      </w:r>
      <w:proofErr w:type="gramEnd"/>
      <w:r w:rsidRPr="00834CDC">
        <w:t xml:space="preserve"> reports, as summarised below: </w:t>
      </w:r>
    </w:p>
    <w:p w14:paraId="10831B55" w14:textId="77777777" w:rsidR="0033445F" w:rsidRPr="00834CDC" w:rsidRDefault="0033445F" w:rsidP="00DC40E1">
      <w:pPr>
        <w:pStyle w:val="ListParagraph"/>
        <w:numPr>
          <w:ilvl w:val="0"/>
          <w:numId w:val="3"/>
        </w:numPr>
        <w:divId w:val="1988506822"/>
        <w:rPr>
          <w:rFonts w:eastAsia="Times New Roman"/>
        </w:rPr>
      </w:pPr>
      <w:r w:rsidRPr="00834CDC">
        <w:rPr>
          <w:rFonts w:eastAsia="Times New Roman"/>
        </w:rPr>
        <w:t xml:space="preserve">an enhanced focus on completeness of Aboriginal and Torres Strait Islander status in VPD notification data, presented as a standalone </w:t>
      </w:r>
      <w:proofErr w:type="gramStart"/>
      <w:r w:rsidRPr="00834CDC">
        <w:rPr>
          <w:rFonts w:eastAsia="Times New Roman"/>
        </w:rPr>
        <w:t>chapter;</w:t>
      </w:r>
      <w:proofErr w:type="gramEnd"/>
      <w:r w:rsidRPr="00834CDC">
        <w:rPr>
          <w:rFonts w:eastAsia="Times New Roman"/>
        </w:rPr>
        <w:t xml:space="preserve"> </w:t>
      </w:r>
    </w:p>
    <w:p w14:paraId="10BC45CD" w14:textId="77777777" w:rsidR="0033445F" w:rsidRPr="00834CDC" w:rsidRDefault="0033445F" w:rsidP="00DC40E1">
      <w:pPr>
        <w:pStyle w:val="ListParagraph"/>
        <w:numPr>
          <w:ilvl w:val="0"/>
          <w:numId w:val="3"/>
        </w:numPr>
        <w:divId w:val="1988506822"/>
        <w:rPr>
          <w:rFonts w:eastAsia="Times New Roman"/>
        </w:rPr>
      </w:pPr>
      <w:r w:rsidRPr="00834CDC">
        <w:rPr>
          <w:rFonts w:eastAsia="Times New Roman"/>
        </w:rPr>
        <w:t xml:space="preserve">rotavirus notification data for children aged less than 5 years for an 18-month period (1 July 2018 to 31 December 2019) after rotavirus became nationally notifiable in July </w:t>
      </w:r>
      <w:proofErr w:type="gramStart"/>
      <w:r w:rsidRPr="00834CDC">
        <w:rPr>
          <w:rFonts w:eastAsia="Times New Roman"/>
        </w:rPr>
        <w:t>2018;</w:t>
      </w:r>
      <w:proofErr w:type="gramEnd"/>
      <w:r w:rsidRPr="00834CDC">
        <w:rPr>
          <w:rFonts w:eastAsia="Times New Roman"/>
        </w:rPr>
        <w:t xml:space="preserve"> </w:t>
      </w:r>
    </w:p>
    <w:p w14:paraId="21CE8C9C" w14:textId="77777777" w:rsidR="0033445F" w:rsidRPr="00834CDC" w:rsidRDefault="0033445F" w:rsidP="00DC40E1">
      <w:pPr>
        <w:pStyle w:val="ListParagraph"/>
        <w:numPr>
          <w:ilvl w:val="0"/>
          <w:numId w:val="3"/>
        </w:numPr>
        <w:divId w:val="1988506822"/>
        <w:rPr>
          <w:rFonts w:eastAsia="Times New Roman"/>
        </w:rPr>
      </w:pPr>
      <w:r w:rsidRPr="00834CDC">
        <w:rPr>
          <w:rFonts w:eastAsia="Times New Roman"/>
        </w:rPr>
        <w:t xml:space="preserve">pertussis, rotavirus and influenza notifications and hospitalisations for infants aged 0–5 months and 6–11 months, to further delineate the burden of disease in infants and impact of the pertussis and influenza vaccination during pregnancy programs; and </w:t>
      </w:r>
    </w:p>
    <w:p w14:paraId="0BF50CEC" w14:textId="77777777" w:rsidR="0033445F" w:rsidRPr="00834CDC" w:rsidRDefault="0033445F" w:rsidP="00DC40E1">
      <w:pPr>
        <w:pStyle w:val="ListParagraph"/>
        <w:numPr>
          <w:ilvl w:val="0"/>
          <w:numId w:val="3"/>
        </w:numPr>
        <w:divId w:val="1988506822"/>
        <w:rPr>
          <w:rFonts w:eastAsia="Times New Roman"/>
        </w:rPr>
      </w:pPr>
      <w:r w:rsidRPr="00834CDC">
        <w:rPr>
          <w:rFonts w:eastAsia="Times New Roman"/>
        </w:rPr>
        <w:t xml:space="preserve">adolescent and adult vaccination coverage estimates, from the expanded ‘whole-of-life’ Australian Immunisation Register (AIR). </w:t>
      </w:r>
    </w:p>
    <w:p w14:paraId="52FD81D1" w14:textId="77777777" w:rsidR="0033445F" w:rsidRPr="00834CDC" w:rsidRDefault="0033445F" w:rsidP="008563E6">
      <w:pPr>
        <w:pStyle w:val="Heading3"/>
        <w:divId w:val="1988506822"/>
      </w:pPr>
      <w:r w:rsidRPr="00834CDC">
        <w:t xml:space="preserve">Vaccination coverage </w:t>
      </w:r>
    </w:p>
    <w:p w14:paraId="6269FEB9" w14:textId="77777777" w:rsidR="0033445F" w:rsidRPr="00834CDC" w:rsidRDefault="0033445F" w:rsidP="0033445F">
      <w:pPr>
        <w:divId w:val="1988506822"/>
      </w:pPr>
      <w:r w:rsidRPr="00834CDC">
        <w:t xml:space="preserve">Table ES.1 summarises the National Immunisation Program schedule and vaccination coverage in 2019, by milestone age and vaccine, for Aboriginal and Torres Strait Islander people, with comparison to coverage in 2015. ‘Fully vaccinated’ coverage in Aboriginal and Torres Strait Islander children was higher in 2019 than in 2015 at all three age milestones (12, 24 and 60 months), although lower than in other children at 12 and 24 months of age. Coverage for all individual vaccines assessed was also higher in 2019 than in 2015. Although vaccination coverage in Aboriginal and Torres Strait Islander children is </w:t>
      </w:r>
      <w:proofErr w:type="gramStart"/>
      <w:r w:rsidRPr="00834CDC">
        <w:t>relatively high</w:t>
      </w:r>
      <w:proofErr w:type="gramEnd"/>
      <w:r w:rsidRPr="00834CDC">
        <w:t xml:space="preserve"> and continues to improve, timeliness of vaccination remains a concern. The percentage of Aboriginal and Torres Strait Islander children vaccinated ‘on time’ (within 1 month of due date) for pneumococcal (third dose), </w:t>
      </w:r>
      <w:proofErr w:type="spellStart"/>
      <w:r w:rsidRPr="00834CDC">
        <w:t>DTPa</w:t>
      </w:r>
      <w:proofErr w:type="spellEnd"/>
      <w:r w:rsidRPr="00834CDC">
        <w:t xml:space="preserve"> (second dose) and MMR (first dose) vaccines was </w:t>
      </w:r>
      <w:proofErr w:type="gramStart"/>
      <w:r w:rsidRPr="00834CDC">
        <w:t>11</w:t>
      </w:r>
      <w:proofErr w:type="gramEnd"/>
      <w:r w:rsidRPr="00834CDC">
        <w:t xml:space="preserve"> percentage points lower in 2019 than for other children. Strategies to improve timeliness of vaccination in Aboriginal and Torres Strait Islander children should be a key focus. The New South Wales (NSW) Health Aboriginal Immunisation Healthcare Worker Program is an example of a successful strategy in this space. </w:t>
      </w:r>
    </w:p>
    <w:p w14:paraId="175DEA35" w14:textId="77777777" w:rsidR="0033445F" w:rsidRPr="00834CDC" w:rsidRDefault="0033445F" w:rsidP="0033445F">
      <w:pPr>
        <w:divId w:val="1988506822"/>
      </w:pPr>
      <w:r w:rsidRPr="00834CDC">
        <w:t xml:space="preserve">While one-dose HPV vaccination coverage in 2019 was similar in Aboriginal and Torres Strait Islander and other adolescents, course completion was 5 to 10 percentage points lower among Aboriginal and Torres Strait adolescents. Although there is emerging evidence that a single dose of HPV vaccine is highly effective, strategies </w:t>
      </w:r>
      <w:proofErr w:type="gramStart"/>
      <w:r w:rsidRPr="00834CDC">
        <w:t>are needed</w:t>
      </w:r>
      <w:proofErr w:type="gramEnd"/>
      <w:r w:rsidRPr="00834CDC">
        <w:t xml:space="preserve"> to optimise uptake among Aboriginal and Torres Strait Islander adolescents of HPV and other vaccines delivered through school-based programs, including addressing the social determinants that lead to absenteeism. </w:t>
      </w:r>
    </w:p>
    <w:p w14:paraId="08EEB56B" w14:textId="77777777" w:rsidR="0033445F" w:rsidRPr="00834CDC" w:rsidRDefault="0033445F" w:rsidP="0033445F">
      <w:pPr>
        <w:divId w:val="1988506822"/>
      </w:pPr>
      <w:r w:rsidRPr="00834CDC">
        <w:t xml:space="preserve">The influenza and zoster vaccine coverage data presented should be regarded as </w:t>
      </w:r>
      <w:proofErr w:type="gramStart"/>
      <w:r w:rsidRPr="00834CDC">
        <w:t>minimum</w:t>
      </w:r>
      <w:proofErr w:type="gramEnd"/>
      <w:r w:rsidRPr="00834CDC">
        <w:t xml:space="preserve"> estimates due to likely substantial under-reporting of adult vaccinations. Completeness of reporting is </w:t>
      </w:r>
      <w:proofErr w:type="gramStart"/>
      <w:r w:rsidRPr="00834CDC">
        <w:t>anticipated</w:t>
      </w:r>
      <w:proofErr w:type="gramEnd"/>
      <w:r w:rsidRPr="00834CDC">
        <w:t xml:space="preserve"> to improve following the introduction of mandatory reporting in 2021. </w:t>
      </w:r>
    </w:p>
    <w:p w14:paraId="4C8AA2DD" w14:textId="77777777" w:rsidR="00834CDC" w:rsidRPr="00834CDC" w:rsidRDefault="00834CDC">
      <w:pPr>
        <w:rPr>
          <w:rFonts w:asciiTheme="majorHAnsi" w:eastAsiaTheme="majorEastAsia" w:hAnsiTheme="majorHAnsi" w:cstheme="majorBidi"/>
          <w:b/>
          <w:bCs/>
        </w:rPr>
      </w:pPr>
      <w:r w:rsidRPr="00834CDC">
        <w:br w:type="page"/>
      </w:r>
    </w:p>
    <w:p w14:paraId="48B28C42" w14:textId="521D63CD" w:rsidR="0033445F" w:rsidRPr="00834CDC" w:rsidRDefault="0033445F" w:rsidP="0033445F">
      <w:pPr>
        <w:pStyle w:val="Heading3"/>
        <w:divId w:val="1988506822"/>
      </w:pPr>
      <w:r w:rsidRPr="00834CDC">
        <w:lastRenderedPageBreak/>
        <w:t xml:space="preserve">Completeness of Aboriginal and Torres Strait Islander status in notification data </w:t>
      </w:r>
    </w:p>
    <w:p w14:paraId="04BB9746" w14:textId="77777777" w:rsidR="0033445F" w:rsidRPr="00834CDC" w:rsidRDefault="0033445F" w:rsidP="0033445F">
      <w:pPr>
        <w:divId w:val="1988506822"/>
      </w:pPr>
      <w:r w:rsidRPr="00834CDC">
        <w:t xml:space="preserve">Completeness of Aboriginal and Torres Strait Islander status in notification data for selected VPDs is summarised by </w:t>
      </w:r>
      <w:proofErr w:type="gramStart"/>
      <w:r w:rsidRPr="00834CDC">
        <w:t>jurisdiction</w:t>
      </w:r>
      <w:proofErr w:type="gramEnd"/>
      <w:r w:rsidRPr="00834CDC">
        <w:t xml:space="preserve"> in Table ES.2. Completeness was high (over 90%) during the 2016–2019 period for most conditions across most jurisdictions, but suboptimal for influenza, </w:t>
      </w:r>
      <w:proofErr w:type="gramStart"/>
      <w:r w:rsidRPr="00834CDC">
        <w:t>pertussis</w:t>
      </w:r>
      <w:proofErr w:type="gramEnd"/>
      <w:r w:rsidRPr="00834CDC">
        <w:t xml:space="preserve"> and rotavirus, although with wide variations between jurisdictions. As a result, analysis of influenza notification data had to </w:t>
      </w:r>
      <w:proofErr w:type="gramStart"/>
      <w:r w:rsidRPr="00834CDC">
        <w:t>be restricted</w:t>
      </w:r>
      <w:proofErr w:type="gramEnd"/>
      <w:r w:rsidRPr="00834CDC">
        <w:t xml:space="preserve"> to two states and territories (the Northern Territory and Western Australia) and pertussis and rotavirus analyses to children aged &lt; 5 years. Because of under-reporting of Aboriginal and Torres Strait Islander status, all rates presented in this report should be considered </w:t>
      </w:r>
      <w:proofErr w:type="gramStart"/>
      <w:r w:rsidRPr="00834CDC">
        <w:t>minimum</w:t>
      </w:r>
      <w:proofErr w:type="gramEnd"/>
      <w:r w:rsidRPr="00834CDC">
        <w:t xml:space="preserve"> estimates of the true burden of disease. </w:t>
      </w:r>
    </w:p>
    <w:p w14:paraId="2BA6FCFF" w14:textId="77777777" w:rsidR="0033445F" w:rsidRPr="00834CDC" w:rsidRDefault="0033445F" w:rsidP="0033445F">
      <w:pPr>
        <w:pStyle w:val="Heading2"/>
        <w:divId w:val="1988506822"/>
      </w:pPr>
      <w:r w:rsidRPr="00834CDC">
        <w:t xml:space="preserve">Vaccine preventable diseases </w:t>
      </w:r>
    </w:p>
    <w:p w14:paraId="1C451532" w14:textId="53FC3332" w:rsidR="00605021" w:rsidRPr="00834CDC" w:rsidRDefault="0033445F" w:rsidP="00200289">
      <w:pPr>
        <w:divId w:val="1988506822"/>
        <w:rPr>
          <w:rStyle w:val="Strong"/>
          <w:b w:val="0"/>
          <w:bCs w:val="0"/>
        </w:rPr>
      </w:pPr>
      <w:r w:rsidRPr="00834CDC">
        <w:t xml:space="preserve">Key achievements in VPD control and ways to move forward are summarised in Table ES.3, by disease. It is also critical to acknowledge the overarching importance of addressing the range of interrelated historical, cultural, political, </w:t>
      </w:r>
      <w:proofErr w:type="gramStart"/>
      <w:r w:rsidRPr="00834CDC">
        <w:t>psychosocial</w:t>
      </w:r>
      <w:proofErr w:type="gramEnd"/>
      <w:r w:rsidRPr="00834CDC">
        <w:t xml:space="preserve"> and environmental factors that continue to shape the lived experience of Aboriginal and Torres Strait Islander peoples today, which contribute to the higher rates of many VPDs than in non-Indigenous</w:t>
      </w:r>
      <w:r w:rsidR="00D400DE" w:rsidRPr="00834CDC">
        <w:t> </w:t>
      </w:r>
      <w:r w:rsidRPr="00834CDC">
        <w:t>people.</w:t>
      </w:r>
    </w:p>
    <w:p w14:paraId="1C757968" w14:textId="77777777" w:rsidR="00834CDC" w:rsidRPr="00834CDC" w:rsidRDefault="00834CDC">
      <w:pPr>
        <w:rPr>
          <w:rStyle w:val="Strong"/>
          <w:bCs w:val="0"/>
        </w:rPr>
      </w:pPr>
      <w:r w:rsidRPr="00834CDC">
        <w:rPr>
          <w:rStyle w:val="Strong"/>
          <w:b w:val="0"/>
          <w:bCs w:val="0"/>
        </w:rPr>
        <w:br w:type="page"/>
      </w:r>
    </w:p>
    <w:p w14:paraId="227D7AC7" w14:textId="7D96C7A1" w:rsidR="008563E6" w:rsidRPr="00834CDC" w:rsidRDefault="008563E6" w:rsidP="008563E6">
      <w:pPr>
        <w:pStyle w:val="CDIFigures"/>
        <w:divId w:val="1988506822"/>
      </w:pPr>
      <w:r w:rsidRPr="00834CDC">
        <w:rPr>
          <w:rStyle w:val="Strong"/>
          <w:b/>
          <w:bCs w:val="0"/>
        </w:rPr>
        <w:lastRenderedPageBreak/>
        <w:t>Table ES.1: National Immunisation Program Schedule (2019), vaccination coverage estimates (%) and percentage point change in coverage since 2015, by milestone age and vaccine, for Aboriginal and Torres Strait Islander children, adolescents and adults, Australia, 2019</w:t>
      </w:r>
    </w:p>
    <w:tbl>
      <w:tblPr>
        <w:tblStyle w:val="CDI-StandardTable"/>
        <w:tblW w:w="0" w:type="auto"/>
        <w:tblCellMar>
          <w:top w:w="28" w:type="dxa"/>
          <w:bottom w:w="28" w:type="dxa"/>
        </w:tblCellMar>
        <w:tblLook w:val="04A0" w:firstRow="1" w:lastRow="0" w:firstColumn="1" w:lastColumn="0" w:noHBand="0" w:noVBand="1"/>
        <w:tblDescription w:val="Executive Summary Table 1 shows the National Immunisation Program Schedule in 2019, vaccination coverage estimates for 2019 and percentage point change in coverage since 2015, by milestone age and vaccine, for Aboriginal and Torres Strait Islander children, adolescents and adults, Australia, 2019."/>
      </w:tblPr>
      <w:tblGrid>
        <w:gridCol w:w="1810"/>
        <w:gridCol w:w="2999"/>
        <w:gridCol w:w="2137"/>
        <w:gridCol w:w="1559"/>
        <w:gridCol w:w="1961"/>
      </w:tblGrid>
      <w:tr w:rsidR="008563E6" w:rsidRPr="00834CDC" w14:paraId="5A45931B" w14:textId="77777777" w:rsidTr="00200289">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tcBorders>
              <w:bottom w:val="single" w:sz="2" w:space="0" w:color="808080" w:themeColor="background1" w:themeShade="80"/>
            </w:tcBorders>
            <w:hideMark/>
          </w:tcPr>
          <w:p w14:paraId="42DBEB7A" w14:textId="77777777" w:rsidR="008563E6" w:rsidRPr="00834CDC" w:rsidRDefault="008563E6" w:rsidP="00605021">
            <w:pPr>
              <w:pStyle w:val="NormalWeb"/>
              <w:jc w:val="left"/>
              <w:rPr>
                <w:sz w:val="18"/>
                <w:szCs w:val="18"/>
              </w:rPr>
            </w:pPr>
            <w:r w:rsidRPr="00834CDC">
              <w:rPr>
                <w:sz w:val="18"/>
                <w:szCs w:val="18"/>
              </w:rPr>
              <w:t>Vaccine</w:t>
            </w:r>
          </w:p>
        </w:tc>
        <w:tc>
          <w:tcPr>
            <w:tcW w:w="0" w:type="auto"/>
            <w:tcBorders>
              <w:bottom w:val="single" w:sz="2" w:space="0" w:color="808080" w:themeColor="background1" w:themeShade="80"/>
            </w:tcBorders>
            <w:hideMark/>
          </w:tcPr>
          <w:p w14:paraId="420F30CB" w14:textId="15262B5E" w:rsidR="008563E6" w:rsidRPr="00834CDC" w:rsidRDefault="008563E6" w:rsidP="008563E6">
            <w:pPr>
              <w:pStyle w:val="NormalWeb"/>
              <w:rPr>
                <w:sz w:val="18"/>
                <w:szCs w:val="18"/>
              </w:rPr>
            </w:pPr>
            <w:r w:rsidRPr="00834CDC">
              <w:rPr>
                <w:sz w:val="18"/>
                <w:szCs w:val="18"/>
              </w:rPr>
              <w:t>National Immunisation Program Schedule</w:t>
            </w:r>
            <w:r w:rsidRPr="00834CDC">
              <w:rPr>
                <w:sz w:val="18"/>
                <w:szCs w:val="18"/>
              </w:rPr>
              <w:br/>
              <w:t xml:space="preserve">(dose </w:t>
            </w:r>
            <w:proofErr w:type="gramStart"/>
            <w:r w:rsidRPr="00834CDC">
              <w:rPr>
                <w:sz w:val="18"/>
                <w:szCs w:val="18"/>
              </w:rPr>
              <w:t>1</w:t>
            </w:r>
            <w:proofErr w:type="gramEnd"/>
            <w:r w:rsidRPr="00834CDC">
              <w:rPr>
                <w:sz w:val="18"/>
                <w:szCs w:val="18"/>
              </w:rPr>
              <w:t>, dose 2, dose 3, etc.)</w:t>
            </w:r>
          </w:p>
        </w:tc>
        <w:tc>
          <w:tcPr>
            <w:tcW w:w="2137" w:type="dxa"/>
            <w:tcBorders>
              <w:bottom w:val="single" w:sz="2" w:space="0" w:color="808080" w:themeColor="background1" w:themeShade="80"/>
            </w:tcBorders>
            <w:hideMark/>
          </w:tcPr>
          <w:p w14:paraId="5BCFBFC6" w14:textId="77777777" w:rsidR="008563E6" w:rsidRPr="00834CDC" w:rsidRDefault="008563E6" w:rsidP="003058F5">
            <w:pPr>
              <w:pStyle w:val="NormalWeb"/>
              <w:rPr>
                <w:sz w:val="18"/>
                <w:szCs w:val="18"/>
              </w:rPr>
            </w:pPr>
            <w:r w:rsidRPr="00834CDC">
              <w:rPr>
                <w:sz w:val="18"/>
                <w:szCs w:val="18"/>
              </w:rPr>
              <w:t>Milestone age for vaccination coverage</w:t>
            </w:r>
          </w:p>
        </w:tc>
        <w:tc>
          <w:tcPr>
            <w:tcW w:w="1559" w:type="dxa"/>
            <w:tcBorders>
              <w:bottom w:val="single" w:sz="2" w:space="0" w:color="808080" w:themeColor="background1" w:themeShade="80"/>
            </w:tcBorders>
            <w:hideMark/>
          </w:tcPr>
          <w:p w14:paraId="4BFCFB93" w14:textId="77777777" w:rsidR="008563E6" w:rsidRPr="00834CDC" w:rsidRDefault="008563E6" w:rsidP="003058F5">
            <w:pPr>
              <w:pStyle w:val="NormalWeb"/>
              <w:rPr>
                <w:sz w:val="18"/>
                <w:szCs w:val="18"/>
              </w:rPr>
            </w:pPr>
            <w:r w:rsidRPr="00834CDC">
              <w:rPr>
                <w:sz w:val="18"/>
                <w:szCs w:val="18"/>
              </w:rPr>
              <w:t>Current reporting period coverage (2019)</w:t>
            </w:r>
          </w:p>
        </w:tc>
        <w:tc>
          <w:tcPr>
            <w:tcW w:w="1961" w:type="dxa"/>
            <w:tcBorders>
              <w:bottom w:val="single" w:sz="2" w:space="0" w:color="808080" w:themeColor="background1" w:themeShade="80"/>
            </w:tcBorders>
            <w:hideMark/>
          </w:tcPr>
          <w:p w14:paraId="434C1EC7" w14:textId="77777777" w:rsidR="008563E6" w:rsidRPr="00834CDC" w:rsidRDefault="008563E6" w:rsidP="003058F5">
            <w:pPr>
              <w:pStyle w:val="NormalWeb"/>
              <w:rPr>
                <w:sz w:val="18"/>
                <w:szCs w:val="18"/>
              </w:rPr>
            </w:pPr>
            <w:r w:rsidRPr="00834CDC">
              <w:rPr>
                <w:sz w:val="18"/>
                <w:szCs w:val="18"/>
              </w:rPr>
              <w:t xml:space="preserve">Percentage point change since </w:t>
            </w:r>
            <w:proofErr w:type="gramStart"/>
            <w:r w:rsidRPr="00834CDC">
              <w:rPr>
                <w:sz w:val="18"/>
                <w:szCs w:val="18"/>
              </w:rPr>
              <w:t>previous</w:t>
            </w:r>
            <w:proofErr w:type="gramEnd"/>
            <w:r w:rsidRPr="00834CDC">
              <w:rPr>
                <w:sz w:val="18"/>
                <w:szCs w:val="18"/>
              </w:rPr>
              <w:t xml:space="preserve"> reporting period (2015)</w:t>
            </w:r>
          </w:p>
        </w:tc>
      </w:tr>
      <w:tr w:rsidR="008563E6" w:rsidRPr="00834CDC" w14:paraId="5E48C425" w14:textId="77777777" w:rsidTr="00A64669">
        <w:trPr>
          <w:divId w:val="1988506822"/>
        </w:trPr>
        <w:tc>
          <w:tcPr>
            <w:tcW w:w="0" w:type="auto"/>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BA991"/>
            <w:hideMark/>
          </w:tcPr>
          <w:p w14:paraId="3A295258" w14:textId="77777777" w:rsidR="008563E6" w:rsidRPr="00834CDC" w:rsidRDefault="008563E6" w:rsidP="00605021">
            <w:pPr>
              <w:pStyle w:val="NormalWeb"/>
              <w:jc w:val="left"/>
              <w:rPr>
                <w:b/>
                <w:bCs/>
                <w:sz w:val="18"/>
                <w:szCs w:val="18"/>
              </w:rPr>
            </w:pPr>
            <w:r w:rsidRPr="00834CDC">
              <w:rPr>
                <w:b/>
                <w:bCs/>
                <w:sz w:val="18"/>
                <w:szCs w:val="18"/>
              </w:rPr>
              <w:t>Children</w:t>
            </w:r>
          </w:p>
        </w:tc>
      </w:tr>
      <w:tr w:rsidR="008563E6" w:rsidRPr="00834CDC" w14:paraId="0FA2072F"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899B8E7" w14:textId="77777777" w:rsidR="008563E6" w:rsidRPr="00834CDC" w:rsidRDefault="008563E6" w:rsidP="0085769C">
            <w:pPr>
              <w:pStyle w:val="NormalWeb"/>
              <w:jc w:val="left"/>
              <w:rPr>
                <w:sz w:val="18"/>
                <w:szCs w:val="18"/>
              </w:rPr>
            </w:pPr>
            <w:r w:rsidRPr="00834CDC">
              <w:rPr>
                <w:sz w:val="18"/>
                <w:szCs w:val="18"/>
              </w:rPr>
              <w:t>Diphtheria-tetanus- acellular pertussis</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C573A41" w14:textId="77777777" w:rsidR="008563E6" w:rsidRPr="00834CDC" w:rsidRDefault="008563E6" w:rsidP="0085769C">
            <w:pPr>
              <w:pStyle w:val="NormalWeb"/>
              <w:rPr>
                <w:sz w:val="18"/>
                <w:szCs w:val="18"/>
              </w:rPr>
            </w:pPr>
            <w:r w:rsidRPr="00834CDC">
              <w:rPr>
                <w:sz w:val="18"/>
                <w:szCs w:val="18"/>
              </w:rPr>
              <w:t>2 months, 4 months, 6 months, 18 months, 48 months</w:t>
            </w: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9629C44" w14:textId="77777777" w:rsidR="008563E6" w:rsidRPr="00834CDC" w:rsidRDefault="008563E6" w:rsidP="0085769C">
            <w:pPr>
              <w:pStyle w:val="NormalWeb"/>
              <w:rPr>
                <w:sz w:val="18"/>
                <w:szCs w:val="18"/>
              </w:rPr>
            </w:pPr>
            <w:r w:rsidRPr="00834CDC">
              <w:rPr>
                <w:sz w:val="18"/>
                <w:szCs w:val="18"/>
              </w:rPr>
              <w:t>12 months (dose 3)</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711AF93" w14:textId="77777777" w:rsidR="008563E6" w:rsidRPr="00834CDC" w:rsidRDefault="008563E6" w:rsidP="0085769C">
            <w:pPr>
              <w:pStyle w:val="NormalWeb"/>
              <w:rPr>
                <w:sz w:val="18"/>
                <w:szCs w:val="18"/>
              </w:rPr>
            </w:pPr>
            <w:r w:rsidRPr="00834CDC">
              <w:rPr>
                <w:sz w:val="18"/>
                <w:szCs w:val="18"/>
              </w:rPr>
              <w:t>93.2</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C897033" w14:textId="77777777" w:rsidR="008563E6" w:rsidRPr="00834CDC" w:rsidRDefault="008563E6" w:rsidP="0085769C">
            <w:pPr>
              <w:pStyle w:val="NormalWeb"/>
              <w:rPr>
                <w:sz w:val="18"/>
                <w:szCs w:val="18"/>
              </w:rPr>
            </w:pPr>
            <w:r w:rsidRPr="00834CDC">
              <w:rPr>
                <w:sz w:val="18"/>
                <w:szCs w:val="18"/>
              </w:rPr>
              <w:t>+3.4</w:t>
            </w:r>
          </w:p>
        </w:tc>
      </w:tr>
      <w:tr w:rsidR="008563E6" w:rsidRPr="00834CDC" w14:paraId="720DC888" w14:textId="77777777" w:rsidTr="0085769C">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5FA4175" w14:textId="77777777" w:rsidR="008563E6" w:rsidRPr="00834CDC" w:rsidRDefault="008563E6" w:rsidP="0085769C">
            <w:pPr>
              <w:jc w:val="left"/>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CAE05DC" w14:textId="77777777" w:rsidR="008563E6" w:rsidRPr="00834CDC" w:rsidRDefault="008563E6" w:rsidP="0085769C">
            <w:pPr>
              <w:rPr>
                <w:sz w:val="18"/>
                <w:szCs w:val="18"/>
              </w:rPr>
            </w:pP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B23B964" w14:textId="77777777" w:rsidR="008563E6" w:rsidRPr="00834CDC" w:rsidRDefault="008563E6" w:rsidP="0085769C">
            <w:pPr>
              <w:pStyle w:val="NormalWeb"/>
              <w:rPr>
                <w:sz w:val="18"/>
                <w:szCs w:val="18"/>
              </w:rPr>
            </w:pPr>
            <w:r w:rsidRPr="00834CDC">
              <w:rPr>
                <w:sz w:val="18"/>
                <w:szCs w:val="18"/>
              </w:rPr>
              <w:t>24 months (dose 4)</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48BFD87" w14:textId="77777777" w:rsidR="008563E6" w:rsidRPr="00834CDC" w:rsidRDefault="008563E6" w:rsidP="0085769C">
            <w:pPr>
              <w:pStyle w:val="NormalWeb"/>
              <w:rPr>
                <w:sz w:val="18"/>
                <w:szCs w:val="18"/>
              </w:rPr>
            </w:pPr>
            <w:r w:rsidRPr="00834CDC">
              <w:rPr>
                <w:sz w:val="18"/>
                <w:szCs w:val="18"/>
              </w:rPr>
              <w:t>91.5</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98A19D4" w14:textId="77777777" w:rsidR="008563E6" w:rsidRPr="00834CDC" w:rsidRDefault="008563E6" w:rsidP="0085769C">
            <w:pPr>
              <w:pStyle w:val="NormalWeb"/>
              <w:rPr>
                <w:sz w:val="18"/>
                <w:szCs w:val="18"/>
              </w:rPr>
            </w:pPr>
            <w:r w:rsidRPr="00834CDC">
              <w:rPr>
                <w:sz w:val="18"/>
                <w:szCs w:val="18"/>
              </w:rPr>
              <w:t>N/A</w:t>
            </w:r>
          </w:p>
        </w:tc>
      </w:tr>
      <w:tr w:rsidR="008563E6" w:rsidRPr="00834CDC" w14:paraId="25B36201"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5D3068A" w14:textId="77777777" w:rsidR="008563E6" w:rsidRPr="00834CDC" w:rsidRDefault="008563E6" w:rsidP="0085769C">
            <w:pPr>
              <w:jc w:val="left"/>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BAE9CCB" w14:textId="77777777" w:rsidR="008563E6" w:rsidRPr="00834CDC" w:rsidRDefault="008563E6" w:rsidP="0085769C">
            <w:pPr>
              <w:rPr>
                <w:sz w:val="18"/>
                <w:szCs w:val="18"/>
              </w:rPr>
            </w:pP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4C20E95" w14:textId="77777777" w:rsidR="008563E6" w:rsidRPr="00834CDC" w:rsidRDefault="008563E6" w:rsidP="0085769C">
            <w:pPr>
              <w:pStyle w:val="NormalWeb"/>
              <w:rPr>
                <w:sz w:val="18"/>
                <w:szCs w:val="18"/>
              </w:rPr>
            </w:pPr>
            <w:r w:rsidRPr="00834CDC">
              <w:rPr>
                <w:sz w:val="18"/>
                <w:szCs w:val="18"/>
              </w:rPr>
              <w:t>60 months (dose 4 or 5)</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3B6471E" w14:textId="77777777" w:rsidR="008563E6" w:rsidRPr="00834CDC" w:rsidRDefault="008563E6" w:rsidP="0085769C">
            <w:pPr>
              <w:pStyle w:val="NormalWeb"/>
              <w:rPr>
                <w:sz w:val="18"/>
                <w:szCs w:val="18"/>
              </w:rPr>
            </w:pPr>
            <w:r w:rsidRPr="00834CDC">
              <w:rPr>
                <w:sz w:val="18"/>
                <w:szCs w:val="18"/>
              </w:rPr>
              <w:t>97.4</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2D30D55" w14:textId="77777777" w:rsidR="008563E6" w:rsidRPr="00834CDC" w:rsidRDefault="008563E6" w:rsidP="0085769C">
            <w:pPr>
              <w:pStyle w:val="NormalWeb"/>
              <w:rPr>
                <w:sz w:val="18"/>
                <w:szCs w:val="18"/>
              </w:rPr>
            </w:pPr>
            <w:r w:rsidRPr="00834CDC">
              <w:rPr>
                <w:sz w:val="18"/>
                <w:szCs w:val="18"/>
              </w:rPr>
              <w:t>+2.5</w:t>
            </w:r>
          </w:p>
        </w:tc>
      </w:tr>
      <w:tr w:rsidR="008563E6" w:rsidRPr="00834CDC" w14:paraId="22BFC442" w14:textId="77777777" w:rsidTr="0085769C">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DC37808" w14:textId="77777777" w:rsidR="008563E6" w:rsidRPr="00834CDC" w:rsidRDefault="008563E6" w:rsidP="0085769C">
            <w:pPr>
              <w:pStyle w:val="NormalWeb"/>
              <w:jc w:val="left"/>
              <w:rPr>
                <w:sz w:val="18"/>
                <w:szCs w:val="18"/>
              </w:rPr>
            </w:pPr>
            <w:r w:rsidRPr="00834CDC">
              <w:rPr>
                <w:sz w:val="18"/>
                <w:szCs w:val="18"/>
              </w:rPr>
              <w:t>Polio</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EE0C988" w14:textId="77777777" w:rsidR="008563E6" w:rsidRPr="00834CDC" w:rsidRDefault="008563E6" w:rsidP="0085769C">
            <w:pPr>
              <w:pStyle w:val="NormalWeb"/>
              <w:rPr>
                <w:sz w:val="18"/>
                <w:szCs w:val="18"/>
              </w:rPr>
            </w:pPr>
            <w:r w:rsidRPr="00834CDC">
              <w:rPr>
                <w:sz w:val="18"/>
                <w:szCs w:val="18"/>
              </w:rPr>
              <w:t>2 months, 4 months, 6 months, 48 months</w:t>
            </w: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0A065B6" w14:textId="77777777" w:rsidR="008563E6" w:rsidRPr="00834CDC" w:rsidRDefault="008563E6" w:rsidP="0085769C">
            <w:pPr>
              <w:pStyle w:val="NormalWeb"/>
              <w:rPr>
                <w:sz w:val="18"/>
                <w:szCs w:val="18"/>
              </w:rPr>
            </w:pPr>
            <w:r w:rsidRPr="00834CDC">
              <w:rPr>
                <w:sz w:val="18"/>
                <w:szCs w:val="18"/>
              </w:rPr>
              <w:t>12 months (dose 3)</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46AC1F8" w14:textId="77777777" w:rsidR="008563E6" w:rsidRPr="00834CDC" w:rsidRDefault="008563E6" w:rsidP="0085769C">
            <w:pPr>
              <w:pStyle w:val="NormalWeb"/>
              <w:rPr>
                <w:sz w:val="18"/>
                <w:szCs w:val="18"/>
              </w:rPr>
            </w:pPr>
            <w:r w:rsidRPr="00834CDC">
              <w:rPr>
                <w:sz w:val="18"/>
                <w:szCs w:val="18"/>
              </w:rPr>
              <w:t>93.1</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EA0328B" w14:textId="77777777" w:rsidR="008563E6" w:rsidRPr="00834CDC" w:rsidRDefault="008563E6" w:rsidP="0085769C">
            <w:pPr>
              <w:pStyle w:val="NormalWeb"/>
              <w:rPr>
                <w:sz w:val="18"/>
                <w:szCs w:val="18"/>
              </w:rPr>
            </w:pPr>
            <w:r w:rsidRPr="00834CDC">
              <w:rPr>
                <w:sz w:val="18"/>
                <w:szCs w:val="18"/>
              </w:rPr>
              <w:t>+3.3</w:t>
            </w:r>
          </w:p>
        </w:tc>
      </w:tr>
      <w:tr w:rsidR="008563E6" w:rsidRPr="00834CDC" w14:paraId="0349DF41"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1D8CF93" w14:textId="77777777" w:rsidR="008563E6" w:rsidRPr="00834CDC" w:rsidRDefault="008563E6" w:rsidP="0085769C">
            <w:pPr>
              <w:jc w:val="left"/>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5A00BB3" w14:textId="77777777" w:rsidR="008563E6" w:rsidRPr="00834CDC" w:rsidRDefault="008563E6" w:rsidP="0085769C">
            <w:pPr>
              <w:rPr>
                <w:sz w:val="18"/>
                <w:szCs w:val="18"/>
              </w:rPr>
            </w:pP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7EDAEF0" w14:textId="77777777" w:rsidR="008563E6" w:rsidRPr="00834CDC" w:rsidRDefault="008563E6" w:rsidP="0085769C">
            <w:pPr>
              <w:pStyle w:val="NormalWeb"/>
              <w:rPr>
                <w:sz w:val="18"/>
                <w:szCs w:val="18"/>
              </w:rPr>
            </w:pPr>
            <w:r w:rsidRPr="00834CDC">
              <w:rPr>
                <w:sz w:val="18"/>
                <w:szCs w:val="18"/>
              </w:rPr>
              <w:t>24 months (dose 3)</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45D1006" w14:textId="77777777" w:rsidR="008563E6" w:rsidRPr="00834CDC" w:rsidRDefault="008563E6" w:rsidP="0085769C">
            <w:pPr>
              <w:pStyle w:val="NormalWeb"/>
              <w:rPr>
                <w:sz w:val="18"/>
                <w:szCs w:val="18"/>
              </w:rPr>
            </w:pPr>
            <w:r w:rsidRPr="00834CDC">
              <w:rPr>
                <w:sz w:val="18"/>
                <w:szCs w:val="18"/>
              </w:rPr>
              <w:t>97.1</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13C59B3" w14:textId="77777777" w:rsidR="008563E6" w:rsidRPr="00834CDC" w:rsidRDefault="008563E6" w:rsidP="0085769C">
            <w:pPr>
              <w:pStyle w:val="NormalWeb"/>
              <w:rPr>
                <w:sz w:val="18"/>
                <w:szCs w:val="18"/>
              </w:rPr>
            </w:pPr>
            <w:r w:rsidRPr="00834CDC">
              <w:rPr>
                <w:sz w:val="18"/>
                <w:szCs w:val="18"/>
              </w:rPr>
              <w:t>+1.0</w:t>
            </w:r>
          </w:p>
        </w:tc>
      </w:tr>
      <w:tr w:rsidR="008563E6" w:rsidRPr="00834CDC" w14:paraId="2707EC90" w14:textId="77777777" w:rsidTr="0085769C">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4066F12" w14:textId="77777777" w:rsidR="008563E6" w:rsidRPr="00834CDC" w:rsidRDefault="008563E6" w:rsidP="0085769C">
            <w:pPr>
              <w:jc w:val="left"/>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5DFDC31" w14:textId="77777777" w:rsidR="008563E6" w:rsidRPr="00834CDC" w:rsidRDefault="008563E6" w:rsidP="0085769C">
            <w:pPr>
              <w:rPr>
                <w:sz w:val="18"/>
                <w:szCs w:val="18"/>
              </w:rPr>
            </w:pP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80F1C71" w14:textId="77777777" w:rsidR="008563E6" w:rsidRPr="00834CDC" w:rsidRDefault="008563E6" w:rsidP="0085769C">
            <w:pPr>
              <w:pStyle w:val="NormalWeb"/>
              <w:rPr>
                <w:sz w:val="18"/>
                <w:szCs w:val="18"/>
              </w:rPr>
            </w:pPr>
            <w:r w:rsidRPr="00834CDC">
              <w:rPr>
                <w:sz w:val="18"/>
                <w:szCs w:val="18"/>
              </w:rPr>
              <w:t>60 months (dose 4)</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6C2F052" w14:textId="77777777" w:rsidR="008563E6" w:rsidRPr="00834CDC" w:rsidRDefault="008563E6" w:rsidP="0085769C">
            <w:pPr>
              <w:pStyle w:val="NormalWeb"/>
              <w:rPr>
                <w:sz w:val="18"/>
                <w:szCs w:val="18"/>
              </w:rPr>
            </w:pPr>
            <w:r w:rsidRPr="00834CDC">
              <w:rPr>
                <w:sz w:val="18"/>
                <w:szCs w:val="18"/>
              </w:rPr>
              <w:t>97.0</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F8A4863" w14:textId="77777777" w:rsidR="008563E6" w:rsidRPr="00834CDC" w:rsidRDefault="008563E6" w:rsidP="0085769C">
            <w:pPr>
              <w:pStyle w:val="NormalWeb"/>
              <w:rPr>
                <w:sz w:val="18"/>
                <w:szCs w:val="18"/>
              </w:rPr>
            </w:pPr>
            <w:r w:rsidRPr="00834CDC">
              <w:rPr>
                <w:sz w:val="18"/>
                <w:szCs w:val="18"/>
              </w:rPr>
              <w:t>+2.1</w:t>
            </w:r>
          </w:p>
        </w:tc>
      </w:tr>
      <w:tr w:rsidR="008563E6" w:rsidRPr="00834CDC" w14:paraId="5501068E"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60B07AE" w14:textId="77777777" w:rsidR="008563E6" w:rsidRPr="00834CDC" w:rsidRDefault="008563E6" w:rsidP="0085769C">
            <w:pPr>
              <w:pStyle w:val="NormalWeb"/>
              <w:jc w:val="left"/>
              <w:rPr>
                <w:sz w:val="18"/>
                <w:szCs w:val="18"/>
              </w:rPr>
            </w:pPr>
            <w:r w:rsidRPr="00D24B47">
              <w:rPr>
                <w:i/>
                <w:iCs/>
                <w:sz w:val="18"/>
                <w:szCs w:val="18"/>
              </w:rPr>
              <w:t>Haemophilus influenzae</w:t>
            </w:r>
            <w:r w:rsidRPr="00834CDC">
              <w:rPr>
                <w:sz w:val="18"/>
                <w:szCs w:val="18"/>
              </w:rPr>
              <w:t xml:space="preserve"> type b</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032A755" w14:textId="77777777" w:rsidR="008563E6" w:rsidRPr="00834CDC" w:rsidRDefault="008563E6" w:rsidP="0085769C">
            <w:pPr>
              <w:pStyle w:val="NormalWeb"/>
              <w:rPr>
                <w:sz w:val="18"/>
                <w:szCs w:val="18"/>
              </w:rPr>
            </w:pPr>
            <w:r w:rsidRPr="00834CDC">
              <w:rPr>
                <w:sz w:val="18"/>
                <w:szCs w:val="18"/>
              </w:rPr>
              <w:t>2 months, 4 months, 6 months, 18 months</w:t>
            </w: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24A2AF0" w14:textId="77777777" w:rsidR="008563E6" w:rsidRPr="00834CDC" w:rsidRDefault="008563E6" w:rsidP="0085769C">
            <w:pPr>
              <w:pStyle w:val="NormalWeb"/>
              <w:rPr>
                <w:sz w:val="18"/>
                <w:szCs w:val="18"/>
              </w:rPr>
            </w:pPr>
            <w:r w:rsidRPr="00834CDC">
              <w:rPr>
                <w:sz w:val="18"/>
                <w:szCs w:val="18"/>
              </w:rPr>
              <w:t>12 months (dose 3)</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25E28D6" w14:textId="77777777" w:rsidR="008563E6" w:rsidRPr="00834CDC" w:rsidRDefault="008563E6" w:rsidP="0085769C">
            <w:pPr>
              <w:pStyle w:val="NormalWeb"/>
              <w:rPr>
                <w:sz w:val="18"/>
                <w:szCs w:val="18"/>
              </w:rPr>
            </w:pPr>
            <w:r w:rsidRPr="00834CDC">
              <w:rPr>
                <w:sz w:val="18"/>
                <w:szCs w:val="18"/>
              </w:rPr>
              <w:t>93.1</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1513F94" w14:textId="77777777" w:rsidR="008563E6" w:rsidRPr="00834CDC" w:rsidRDefault="008563E6" w:rsidP="0085769C">
            <w:pPr>
              <w:pStyle w:val="NormalWeb"/>
              <w:rPr>
                <w:sz w:val="18"/>
                <w:szCs w:val="18"/>
              </w:rPr>
            </w:pPr>
            <w:r w:rsidRPr="00834CDC">
              <w:rPr>
                <w:sz w:val="18"/>
                <w:szCs w:val="18"/>
              </w:rPr>
              <w:t>+4.1</w:t>
            </w:r>
          </w:p>
        </w:tc>
      </w:tr>
      <w:tr w:rsidR="008563E6" w:rsidRPr="00834CDC" w14:paraId="100B2665" w14:textId="77777777" w:rsidTr="0085769C">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36554D2" w14:textId="77777777" w:rsidR="008563E6" w:rsidRPr="00834CDC" w:rsidRDefault="008563E6" w:rsidP="0085769C">
            <w:pPr>
              <w:jc w:val="left"/>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173D0F6" w14:textId="77777777" w:rsidR="008563E6" w:rsidRPr="00834CDC" w:rsidRDefault="008563E6" w:rsidP="0085769C">
            <w:pPr>
              <w:rPr>
                <w:sz w:val="18"/>
                <w:szCs w:val="18"/>
              </w:rPr>
            </w:pP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3242A95" w14:textId="77777777" w:rsidR="008563E6" w:rsidRPr="00834CDC" w:rsidRDefault="008563E6" w:rsidP="0085769C">
            <w:pPr>
              <w:pStyle w:val="NormalWeb"/>
              <w:rPr>
                <w:sz w:val="18"/>
                <w:szCs w:val="18"/>
              </w:rPr>
            </w:pPr>
            <w:r w:rsidRPr="00834CDC">
              <w:rPr>
                <w:sz w:val="18"/>
                <w:szCs w:val="18"/>
              </w:rPr>
              <w:t>24 months (dose 4)</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D827F55" w14:textId="77777777" w:rsidR="008563E6" w:rsidRPr="00834CDC" w:rsidRDefault="008563E6" w:rsidP="0085769C">
            <w:pPr>
              <w:pStyle w:val="NormalWeb"/>
              <w:rPr>
                <w:sz w:val="18"/>
                <w:szCs w:val="18"/>
              </w:rPr>
            </w:pPr>
            <w:r w:rsidRPr="00834CDC">
              <w:rPr>
                <w:sz w:val="18"/>
                <w:szCs w:val="18"/>
              </w:rPr>
              <w:t>94.6</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25B9FB9" w14:textId="77777777" w:rsidR="008563E6" w:rsidRPr="00834CDC" w:rsidRDefault="008563E6" w:rsidP="0085769C">
            <w:pPr>
              <w:pStyle w:val="NormalWeb"/>
              <w:rPr>
                <w:sz w:val="18"/>
                <w:szCs w:val="18"/>
              </w:rPr>
            </w:pPr>
            <w:r w:rsidRPr="00834CDC">
              <w:rPr>
                <w:sz w:val="18"/>
                <w:szCs w:val="18"/>
              </w:rPr>
              <w:t>+0.7</w:t>
            </w:r>
          </w:p>
        </w:tc>
      </w:tr>
      <w:tr w:rsidR="008563E6" w:rsidRPr="00834CDC" w14:paraId="6269138A"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6CCAE4A" w14:textId="77777777" w:rsidR="008563E6" w:rsidRPr="00834CDC" w:rsidRDefault="008563E6" w:rsidP="0085769C">
            <w:pPr>
              <w:pStyle w:val="NormalWeb"/>
              <w:jc w:val="left"/>
              <w:rPr>
                <w:sz w:val="18"/>
                <w:szCs w:val="18"/>
              </w:rPr>
            </w:pPr>
            <w:r w:rsidRPr="00834CDC">
              <w:rPr>
                <w:sz w:val="18"/>
                <w:szCs w:val="18"/>
              </w:rPr>
              <w:t>Hepatitis B</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546FCD6" w14:textId="77777777" w:rsidR="008563E6" w:rsidRPr="00834CDC" w:rsidRDefault="008563E6" w:rsidP="0085769C">
            <w:pPr>
              <w:pStyle w:val="NormalWeb"/>
              <w:rPr>
                <w:sz w:val="18"/>
                <w:szCs w:val="18"/>
              </w:rPr>
            </w:pPr>
            <w:r w:rsidRPr="00834CDC">
              <w:rPr>
                <w:sz w:val="18"/>
                <w:szCs w:val="18"/>
              </w:rPr>
              <w:t>Birth, 2 months, 4 months, 6 months</w:t>
            </w: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F5E812C" w14:textId="77777777" w:rsidR="008563E6" w:rsidRPr="00834CDC" w:rsidRDefault="008563E6" w:rsidP="0085769C">
            <w:pPr>
              <w:pStyle w:val="NormalWeb"/>
              <w:rPr>
                <w:sz w:val="18"/>
                <w:szCs w:val="18"/>
              </w:rPr>
            </w:pPr>
            <w:r w:rsidRPr="00834CDC">
              <w:rPr>
                <w:sz w:val="18"/>
                <w:szCs w:val="18"/>
              </w:rPr>
              <w:t>12 months (dose 3)</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78E503E" w14:textId="77777777" w:rsidR="008563E6" w:rsidRPr="00834CDC" w:rsidRDefault="008563E6" w:rsidP="0085769C">
            <w:pPr>
              <w:pStyle w:val="NormalWeb"/>
              <w:rPr>
                <w:sz w:val="18"/>
                <w:szCs w:val="18"/>
              </w:rPr>
            </w:pPr>
            <w:r w:rsidRPr="00834CDC">
              <w:rPr>
                <w:sz w:val="18"/>
                <w:szCs w:val="18"/>
              </w:rPr>
              <w:t>93.1</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9A963DE" w14:textId="77777777" w:rsidR="008563E6" w:rsidRPr="00834CDC" w:rsidRDefault="008563E6" w:rsidP="0085769C">
            <w:pPr>
              <w:pStyle w:val="NormalWeb"/>
              <w:rPr>
                <w:sz w:val="18"/>
                <w:szCs w:val="18"/>
              </w:rPr>
            </w:pPr>
            <w:r w:rsidRPr="00834CDC">
              <w:rPr>
                <w:sz w:val="18"/>
                <w:szCs w:val="18"/>
              </w:rPr>
              <w:t>+3.4</w:t>
            </w:r>
          </w:p>
        </w:tc>
      </w:tr>
      <w:tr w:rsidR="008563E6" w:rsidRPr="00834CDC" w14:paraId="60F3E787" w14:textId="77777777" w:rsidTr="0085769C">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41F7171" w14:textId="77777777" w:rsidR="008563E6" w:rsidRPr="00834CDC" w:rsidRDefault="008563E6" w:rsidP="0085769C">
            <w:pPr>
              <w:jc w:val="left"/>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54FF3DC" w14:textId="77777777" w:rsidR="008563E6" w:rsidRPr="00834CDC" w:rsidRDefault="008563E6" w:rsidP="0085769C">
            <w:pPr>
              <w:rPr>
                <w:sz w:val="18"/>
                <w:szCs w:val="18"/>
              </w:rPr>
            </w:pP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74B29D9" w14:textId="77777777" w:rsidR="008563E6" w:rsidRPr="00834CDC" w:rsidRDefault="008563E6" w:rsidP="0085769C">
            <w:pPr>
              <w:pStyle w:val="NormalWeb"/>
              <w:rPr>
                <w:sz w:val="18"/>
                <w:szCs w:val="18"/>
              </w:rPr>
            </w:pPr>
            <w:r w:rsidRPr="00834CDC">
              <w:rPr>
                <w:sz w:val="18"/>
                <w:szCs w:val="18"/>
              </w:rPr>
              <w:t>24 months (dose 3)</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991251A" w14:textId="77777777" w:rsidR="008563E6" w:rsidRPr="00834CDC" w:rsidRDefault="008563E6" w:rsidP="0085769C">
            <w:pPr>
              <w:pStyle w:val="NormalWeb"/>
              <w:rPr>
                <w:sz w:val="18"/>
                <w:szCs w:val="18"/>
              </w:rPr>
            </w:pPr>
            <w:r w:rsidRPr="00834CDC">
              <w:rPr>
                <w:sz w:val="18"/>
                <w:szCs w:val="18"/>
              </w:rPr>
              <w:t>97.1</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04923ED" w14:textId="77777777" w:rsidR="008563E6" w:rsidRPr="00834CDC" w:rsidRDefault="008563E6" w:rsidP="0085769C">
            <w:pPr>
              <w:pStyle w:val="NormalWeb"/>
              <w:rPr>
                <w:sz w:val="18"/>
                <w:szCs w:val="18"/>
              </w:rPr>
            </w:pPr>
            <w:r w:rsidRPr="00834CDC">
              <w:rPr>
                <w:sz w:val="18"/>
                <w:szCs w:val="18"/>
              </w:rPr>
              <w:t>+1.1</w:t>
            </w:r>
          </w:p>
        </w:tc>
      </w:tr>
      <w:tr w:rsidR="008563E6" w:rsidRPr="00834CDC" w14:paraId="16CA09DE"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8061B3C" w14:textId="77777777" w:rsidR="008563E6" w:rsidRPr="00834CDC" w:rsidRDefault="008563E6" w:rsidP="0085769C">
            <w:pPr>
              <w:pStyle w:val="NormalWeb"/>
              <w:jc w:val="left"/>
              <w:rPr>
                <w:sz w:val="18"/>
                <w:szCs w:val="18"/>
              </w:rPr>
            </w:pPr>
            <w:r w:rsidRPr="00834CDC">
              <w:rPr>
                <w:sz w:val="18"/>
                <w:szCs w:val="18"/>
              </w:rPr>
              <w:t>Measles-mumps- rubella</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D4F8391" w14:textId="77777777" w:rsidR="008563E6" w:rsidRPr="00834CDC" w:rsidRDefault="008563E6" w:rsidP="0085769C">
            <w:pPr>
              <w:pStyle w:val="NormalWeb"/>
              <w:rPr>
                <w:sz w:val="18"/>
                <w:szCs w:val="18"/>
              </w:rPr>
            </w:pPr>
            <w:r w:rsidRPr="00834CDC">
              <w:rPr>
                <w:sz w:val="18"/>
                <w:szCs w:val="18"/>
              </w:rPr>
              <w:t xml:space="preserve">12 months, </w:t>
            </w:r>
            <w:proofErr w:type="gramStart"/>
            <w:r w:rsidRPr="00834CDC">
              <w:rPr>
                <w:sz w:val="18"/>
                <w:szCs w:val="18"/>
              </w:rPr>
              <w:t>18</w:t>
            </w:r>
            <w:proofErr w:type="gramEnd"/>
            <w:r w:rsidRPr="00834CDC">
              <w:rPr>
                <w:sz w:val="18"/>
                <w:szCs w:val="18"/>
              </w:rPr>
              <w:t xml:space="preserve"> </w:t>
            </w:r>
            <w:proofErr w:type="spellStart"/>
            <w:r w:rsidRPr="00834CDC">
              <w:rPr>
                <w:sz w:val="18"/>
                <w:szCs w:val="18"/>
              </w:rPr>
              <w:t>months</w:t>
            </w:r>
            <w:r w:rsidRPr="00834CDC">
              <w:rPr>
                <w:sz w:val="18"/>
                <w:szCs w:val="18"/>
                <w:vertAlign w:val="superscript"/>
              </w:rPr>
              <w:t>a</w:t>
            </w:r>
            <w:proofErr w:type="spellEnd"/>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E77496A" w14:textId="77777777" w:rsidR="008563E6" w:rsidRPr="00834CDC" w:rsidRDefault="008563E6" w:rsidP="0085769C">
            <w:pPr>
              <w:pStyle w:val="NormalWeb"/>
              <w:rPr>
                <w:sz w:val="18"/>
                <w:szCs w:val="18"/>
              </w:rPr>
            </w:pPr>
            <w:r w:rsidRPr="00834CDC">
              <w:rPr>
                <w:sz w:val="18"/>
                <w:szCs w:val="18"/>
              </w:rPr>
              <w:t>24 months (dose 1)</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148252C" w14:textId="77777777" w:rsidR="008563E6" w:rsidRPr="00834CDC" w:rsidRDefault="008563E6" w:rsidP="0085769C">
            <w:pPr>
              <w:pStyle w:val="NormalWeb"/>
              <w:rPr>
                <w:sz w:val="18"/>
                <w:szCs w:val="18"/>
              </w:rPr>
            </w:pPr>
            <w:r w:rsidRPr="00834CDC">
              <w:rPr>
                <w:sz w:val="18"/>
                <w:szCs w:val="18"/>
              </w:rPr>
              <w:t>96.6</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7C6F5A2" w14:textId="77777777" w:rsidR="008563E6" w:rsidRPr="00834CDC" w:rsidRDefault="008563E6" w:rsidP="0085769C">
            <w:pPr>
              <w:pStyle w:val="NormalWeb"/>
              <w:rPr>
                <w:sz w:val="18"/>
                <w:szCs w:val="18"/>
              </w:rPr>
            </w:pPr>
            <w:r w:rsidRPr="00834CDC">
              <w:rPr>
                <w:sz w:val="18"/>
                <w:szCs w:val="18"/>
              </w:rPr>
              <w:t>N/A</w:t>
            </w:r>
          </w:p>
        </w:tc>
      </w:tr>
      <w:tr w:rsidR="008563E6" w:rsidRPr="00834CDC" w14:paraId="4A1E716A" w14:textId="77777777" w:rsidTr="0085769C">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FE93E19" w14:textId="77777777" w:rsidR="008563E6" w:rsidRPr="00834CDC" w:rsidRDefault="008563E6" w:rsidP="0085769C">
            <w:pPr>
              <w:jc w:val="left"/>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200249E" w14:textId="77777777" w:rsidR="008563E6" w:rsidRPr="00834CDC" w:rsidRDefault="008563E6" w:rsidP="0085769C">
            <w:pPr>
              <w:rPr>
                <w:sz w:val="18"/>
                <w:szCs w:val="18"/>
              </w:rPr>
            </w:pP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A898B94" w14:textId="77777777" w:rsidR="008563E6" w:rsidRPr="00834CDC" w:rsidRDefault="008563E6" w:rsidP="0085769C">
            <w:pPr>
              <w:pStyle w:val="NormalWeb"/>
              <w:rPr>
                <w:sz w:val="18"/>
                <w:szCs w:val="18"/>
              </w:rPr>
            </w:pPr>
            <w:r w:rsidRPr="00834CDC">
              <w:rPr>
                <w:sz w:val="18"/>
                <w:szCs w:val="18"/>
              </w:rPr>
              <w:t>24 months (dose 2)</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9BC7FDC" w14:textId="77777777" w:rsidR="008563E6" w:rsidRPr="00834CDC" w:rsidRDefault="008563E6" w:rsidP="0085769C">
            <w:pPr>
              <w:pStyle w:val="NormalWeb"/>
              <w:rPr>
                <w:sz w:val="18"/>
                <w:szCs w:val="18"/>
              </w:rPr>
            </w:pPr>
            <w:r w:rsidRPr="00834CDC">
              <w:rPr>
                <w:sz w:val="18"/>
                <w:szCs w:val="18"/>
              </w:rPr>
              <w:t>92.9</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F82059E" w14:textId="77777777" w:rsidR="008563E6" w:rsidRPr="00834CDC" w:rsidRDefault="008563E6" w:rsidP="0085769C">
            <w:pPr>
              <w:pStyle w:val="NormalWeb"/>
              <w:rPr>
                <w:sz w:val="18"/>
                <w:szCs w:val="18"/>
              </w:rPr>
            </w:pPr>
            <w:r w:rsidRPr="00834CDC">
              <w:rPr>
                <w:sz w:val="18"/>
                <w:szCs w:val="18"/>
              </w:rPr>
              <w:t>+3.7</w:t>
            </w:r>
          </w:p>
        </w:tc>
      </w:tr>
      <w:tr w:rsidR="008563E6" w:rsidRPr="00834CDC" w14:paraId="0F686A1A"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CF1C262" w14:textId="77777777" w:rsidR="008563E6" w:rsidRPr="00834CDC" w:rsidRDefault="008563E6" w:rsidP="0085769C">
            <w:pPr>
              <w:jc w:val="left"/>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1BAD908" w14:textId="77777777" w:rsidR="008563E6" w:rsidRPr="00834CDC" w:rsidRDefault="008563E6" w:rsidP="0085769C">
            <w:pPr>
              <w:rPr>
                <w:sz w:val="18"/>
                <w:szCs w:val="18"/>
              </w:rPr>
            </w:pP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824E0EB" w14:textId="77777777" w:rsidR="008563E6" w:rsidRPr="00834CDC" w:rsidRDefault="008563E6" w:rsidP="0085769C">
            <w:pPr>
              <w:pStyle w:val="NormalWeb"/>
              <w:rPr>
                <w:sz w:val="18"/>
                <w:szCs w:val="18"/>
              </w:rPr>
            </w:pPr>
            <w:r w:rsidRPr="00834CDC">
              <w:rPr>
                <w:sz w:val="18"/>
                <w:szCs w:val="18"/>
              </w:rPr>
              <w:t>60 months (dose 2)</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9D58F7B" w14:textId="77777777" w:rsidR="008563E6" w:rsidRPr="00834CDC" w:rsidRDefault="008563E6" w:rsidP="0085769C">
            <w:pPr>
              <w:pStyle w:val="NormalWeb"/>
              <w:rPr>
                <w:sz w:val="18"/>
                <w:szCs w:val="18"/>
              </w:rPr>
            </w:pPr>
            <w:r w:rsidRPr="00834CDC">
              <w:rPr>
                <w:sz w:val="18"/>
                <w:szCs w:val="18"/>
              </w:rPr>
              <w:t>98.9</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0EE420B" w14:textId="77777777" w:rsidR="008563E6" w:rsidRPr="00834CDC" w:rsidRDefault="008563E6" w:rsidP="0085769C">
            <w:pPr>
              <w:pStyle w:val="NormalWeb"/>
              <w:rPr>
                <w:sz w:val="18"/>
                <w:szCs w:val="18"/>
              </w:rPr>
            </w:pPr>
            <w:r w:rsidRPr="00834CDC">
              <w:rPr>
                <w:sz w:val="18"/>
                <w:szCs w:val="18"/>
              </w:rPr>
              <w:t>+3.7</w:t>
            </w:r>
          </w:p>
        </w:tc>
      </w:tr>
      <w:tr w:rsidR="008563E6" w:rsidRPr="00834CDC" w14:paraId="6D2D3934" w14:textId="77777777" w:rsidTr="0085769C">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3BB3393" w14:textId="77777777" w:rsidR="008563E6" w:rsidRPr="00834CDC" w:rsidRDefault="008563E6" w:rsidP="0085769C">
            <w:pPr>
              <w:pStyle w:val="NormalWeb"/>
              <w:jc w:val="left"/>
              <w:rPr>
                <w:sz w:val="18"/>
                <w:szCs w:val="18"/>
              </w:rPr>
            </w:pPr>
            <w:r w:rsidRPr="00834CDC">
              <w:rPr>
                <w:sz w:val="18"/>
                <w:szCs w:val="18"/>
              </w:rPr>
              <w:t>Varicella</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FB656DC" w14:textId="77777777" w:rsidR="008563E6" w:rsidRPr="00834CDC" w:rsidRDefault="008563E6" w:rsidP="0085769C">
            <w:pPr>
              <w:pStyle w:val="NormalWeb"/>
              <w:rPr>
                <w:sz w:val="18"/>
                <w:szCs w:val="18"/>
              </w:rPr>
            </w:pPr>
            <w:proofErr w:type="gramStart"/>
            <w:r w:rsidRPr="00834CDC">
              <w:rPr>
                <w:sz w:val="18"/>
                <w:szCs w:val="18"/>
              </w:rPr>
              <w:t>18</w:t>
            </w:r>
            <w:proofErr w:type="gramEnd"/>
            <w:r w:rsidRPr="00834CDC">
              <w:rPr>
                <w:sz w:val="18"/>
                <w:szCs w:val="18"/>
              </w:rPr>
              <w:t xml:space="preserve"> </w:t>
            </w:r>
            <w:proofErr w:type="spellStart"/>
            <w:r w:rsidRPr="00834CDC">
              <w:rPr>
                <w:sz w:val="18"/>
                <w:szCs w:val="18"/>
              </w:rPr>
              <w:t>months</w:t>
            </w:r>
            <w:r w:rsidRPr="00834CDC">
              <w:rPr>
                <w:sz w:val="18"/>
                <w:szCs w:val="18"/>
                <w:vertAlign w:val="superscript"/>
              </w:rPr>
              <w:t>a</w:t>
            </w:r>
            <w:proofErr w:type="spellEnd"/>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12F0234" w14:textId="77777777" w:rsidR="008563E6" w:rsidRPr="00834CDC" w:rsidRDefault="008563E6" w:rsidP="0085769C">
            <w:pPr>
              <w:pStyle w:val="NormalWeb"/>
              <w:rPr>
                <w:sz w:val="18"/>
                <w:szCs w:val="18"/>
              </w:rPr>
            </w:pPr>
            <w:r w:rsidRPr="00834CDC">
              <w:rPr>
                <w:sz w:val="18"/>
                <w:szCs w:val="18"/>
              </w:rPr>
              <w:t>24 months (dose 1)</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37434EC" w14:textId="77777777" w:rsidR="008563E6" w:rsidRPr="00834CDC" w:rsidRDefault="008563E6" w:rsidP="0085769C">
            <w:pPr>
              <w:pStyle w:val="NormalWeb"/>
              <w:rPr>
                <w:sz w:val="18"/>
                <w:szCs w:val="18"/>
              </w:rPr>
            </w:pPr>
            <w:r w:rsidRPr="00834CDC">
              <w:rPr>
                <w:sz w:val="18"/>
                <w:szCs w:val="18"/>
              </w:rPr>
              <w:t>92.7</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C1F05C6" w14:textId="77777777" w:rsidR="008563E6" w:rsidRPr="00834CDC" w:rsidRDefault="008563E6" w:rsidP="0085769C">
            <w:pPr>
              <w:pStyle w:val="NormalWeb"/>
              <w:rPr>
                <w:sz w:val="18"/>
                <w:szCs w:val="18"/>
              </w:rPr>
            </w:pPr>
            <w:r w:rsidRPr="00834CDC">
              <w:rPr>
                <w:sz w:val="18"/>
                <w:szCs w:val="18"/>
              </w:rPr>
              <w:t>+4.4</w:t>
            </w:r>
          </w:p>
        </w:tc>
      </w:tr>
      <w:tr w:rsidR="008563E6" w:rsidRPr="00834CDC" w14:paraId="71F7B7E1"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AF86A40" w14:textId="77777777" w:rsidR="008563E6" w:rsidRPr="00834CDC" w:rsidRDefault="008563E6" w:rsidP="0085769C">
            <w:pPr>
              <w:jc w:val="left"/>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7110021" w14:textId="77777777" w:rsidR="008563E6" w:rsidRPr="00834CDC" w:rsidRDefault="008563E6" w:rsidP="0085769C">
            <w:pPr>
              <w:rPr>
                <w:sz w:val="18"/>
                <w:szCs w:val="18"/>
              </w:rPr>
            </w:pP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23EB499" w14:textId="77777777" w:rsidR="008563E6" w:rsidRPr="00834CDC" w:rsidRDefault="008563E6" w:rsidP="0085769C">
            <w:pPr>
              <w:pStyle w:val="NormalWeb"/>
              <w:rPr>
                <w:sz w:val="18"/>
                <w:szCs w:val="18"/>
              </w:rPr>
            </w:pPr>
            <w:r w:rsidRPr="00834CDC">
              <w:rPr>
                <w:sz w:val="18"/>
                <w:szCs w:val="18"/>
              </w:rPr>
              <w:t>60 months (dose 1)</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AA33DC7" w14:textId="77777777" w:rsidR="008563E6" w:rsidRPr="00834CDC" w:rsidRDefault="008563E6" w:rsidP="0085769C">
            <w:pPr>
              <w:pStyle w:val="NormalWeb"/>
              <w:rPr>
                <w:sz w:val="18"/>
                <w:szCs w:val="18"/>
              </w:rPr>
            </w:pPr>
            <w:r w:rsidRPr="00834CDC">
              <w:rPr>
                <w:sz w:val="18"/>
                <w:szCs w:val="18"/>
              </w:rPr>
              <w:t>98.8</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385E038" w14:textId="77777777" w:rsidR="008563E6" w:rsidRPr="00834CDC" w:rsidRDefault="008563E6" w:rsidP="0085769C">
            <w:pPr>
              <w:pStyle w:val="NormalWeb"/>
              <w:rPr>
                <w:sz w:val="18"/>
                <w:szCs w:val="18"/>
              </w:rPr>
            </w:pPr>
            <w:r w:rsidRPr="00834CDC">
              <w:rPr>
                <w:sz w:val="18"/>
                <w:szCs w:val="18"/>
              </w:rPr>
              <w:t>N/A</w:t>
            </w:r>
          </w:p>
        </w:tc>
      </w:tr>
      <w:tr w:rsidR="008563E6" w:rsidRPr="00834CDC" w14:paraId="202D7D00" w14:textId="77777777" w:rsidTr="0085769C">
        <w:trPr>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7563689" w14:textId="77777777" w:rsidR="008563E6" w:rsidRPr="00834CDC" w:rsidRDefault="008563E6" w:rsidP="0085769C">
            <w:pPr>
              <w:pStyle w:val="NormalWeb"/>
              <w:jc w:val="left"/>
              <w:rPr>
                <w:sz w:val="18"/>
                <w:szCs w:val="18"/>
              </w:rPr>
            </w:pPr>
            <w:r w:rsidRPr="00834CDC">
              <w:rPr>
                <w:sz w:val="18"/>
                <w:szCs w:val="18"/>
              </w:rPr>
              <w:t>Meningococcal C</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1771317" w14:textId="77777777" w:rsidR="008563E6" w:rsidRPr="00834CDC" w:rsidRDefault="008563E6" w:rsidP="0085769C">
            <w:pPr>
              <w:pStyle w:val="NormalWeb"/>
              <w:rPr>
                <w:sz w:val="18"/>
                <w:szCs w:val="18"/>
              </w:rPr>
            </w:pPr>
            <w:r w:rsidRPr="00834CDC">
              <w:rPr>
                <w:sz w:val="18"/>
                <w:szCs w:val="18"/>
              </w:rPr>
              <w:t>12 months (until 2018)</w:t>
            </w: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02433B8" w14:textId="77777777" w:rsidR="008563E6" w:rsidRPr="00834CDC" w:rsidRDefault="008563E6" w:rsidP="0085769C">
            <w:pPr>
              <w:pStyle w:val="NormalWeb"/>
              <w:rPr>
                <w:sz w:val="18"/>
                <w:szCs w:val="18"/>
              </w:rPr>
            </w:pPr>
            <w:r w:rsidRPr="00834CDC">
              <w:rPr>
                <w:sz w:val="18"/>
                <w:szCs w:val="18"/>
              </w:rPr>
              <w:t>24 months (dose 1)</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7E0F5EE" w14:textId="77777777" w:rsidR="008563E6" w:rsidRPr="00834CDC" w:rsidRDefault="008563E6" w:rsidP="0085769C">
            <w:pPr>
              <w:pStyle w:val="NormalWeb"/>
              <w:rPr>
                <w:sz w:val="18"/>
                <w:szCs w:val="18"/>
              </w:rPr>
            </w:pPr>
            <w:r w:rsidRPr="00834CDC">
              <w:rPr>
                <w:sz w:val="18"/>
                <w:szCs w:val="18"/>
              </w:rPr>
              <w:t>96.6</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C478E5E" w14:textId="77777777" w:rsidR="008563E6" w:rsidRPr="00834CDC" w:rsidRDefault="008563E6" w:rsidP="0085769C">
            <w:pPr>
              <w:pStyle w:val="NormalWeb"/>
              <w:rPr>
                <w:sz w:val="18"/>
                <w:szCs w:val="18"/>
              </w:rPr>
            </w:pPr>
            <w:r w:rsidRPr="00834CDC">
              <w:rPr>
                <w:sz w:val="18"/>
                <w:szCs w:val="18"/>
              </w:rPr>
              <w:t>+1.7</w:t>
            </w:r>
          </w:p>
        </w:tc>
      </w:tr>
      <w:tr w:rsidR="008563E6" w:rsidRPr="00834CDC" w14:paraId="53D99B6B"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C211C1B" w14:textId="77777777" w:rsidR="008563E6" w:rsidRPr="00834CDC" w:rsidRDefault="008563E6" w:rsidP="0085769C">
            <w:pPr>
              <w:pStyle w:val="NormalWeb"/>
              <w:jc w:val="left"/>
              <w:rPr>
                <w:sz w:val="18"/>
                <w:szCs w:val="18"/>
              </w:rPr>
            </w:pPr>
            <w:r w:rsidRPr="00834CDC">
              <w:rPr>
                <w:sz w:val="18"/>
                <w:szCs w:val="18"/>
              </w:rPr>
              <w:t>Meningococcal ACWY</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D3FE6A3" w14:textId="77777777" w:rsidR="008563E6" w:rsidRPr="00834CDC" w:rsidRDefault="008563E6" w:rsidP="0085769C">
            <w:pPr>
              <w:pStyle w:val="NormalWeb"/>
              <w:rPr>
                <w:sz w:val="18"/>
                <w:szCs w:val="18"/>
              </w:rPr>
            </w:pPr>
            <w:r w:rsidRPr="00834CDC">
              <w:rPr>
                <w:sz w:val="18"/>
                <w:szCs w:val="18"/>
              </w:rPr>
              <w:t>12 months</w:t>
            </w: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77FE936" w14:textId="77777777" w:rsidR="008563E6" w:rsidRPr="00834CDC" w:rsidRDefault="008563E6" w:rsidP="0085769C">
            <w:pPr>
              <w:pStyle w:val="NormalWeb"/>
              <w:rPr>
                <w:sz w:val="18"/>
                <w:szCs w:val="18"/>
              </w:rPr>
            </w:pPr>
            <w:r w:rsidRPr="00834CDC">
              <w:rPr>
                <w:sz w:val="18"/>
                <w:szCs w:val="18"/>
              </w:rPr>
              <w:t>24 months (dose 1)</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12288F9" w14:textId="77777777" w:rsidR="008563E6" w:rsidRPr="00834CDC" w:rsidRDefault="008563E6" w:rsidP="0085769C">
            <w:pPr>
              <w:pStyle w:val="NormalWeb"/>
              <w:rPr>
                <w:sz w:val="18"/>
                <w:szCs w:val="18"/>
              </w:rPr>
            </w:pPr>
            <w:r w:rsidRPr="00834CDC">
              <w:rPr>
                <w:sz w:val="18"/>
                <w:szCs w:val="18"/>
              </w:rPr>
              <w:t>95.0</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4ED6F74" w14:textId="77777777" w:rsidR="008563E6" w:rsidRPr="00834CDC" w:rsidRDefault="008563E6" w:rsidP="0085769C">
            <w:pPr>
              <w:pStyle w:val="NormalWeb"/>
              <w:rPr>
                <w:sz w:val="18"/>
                <w:szCs w:val="18"/>
              </w:rPr>
            </w:pPr>
            <w:r w:rsidRPr="00834CDC">
              <w:rPr>
                <w:sz w:val="18"/>
                <w:szCs w:val="18"/>
              </w:rPr>
              <w:t>N/A</w:t>
            </w:r>
          </w:p>
        </w:tc>
      </w:tr>
      <w:tr w:rsidR="008563E6" w:rsidRPr="00834CDC" w14:paraId="047FCB4F" w14:textId="77777777" w:rsidTr="0085769C">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E2C2F76" w14:textId="77777777" w:rsidR="008563E6" w:rsidRPr="00834CDC" w:rsidRDefault="008563E6" w:rsidP="0085769C">
            <w:pPr>
              <w:pStyle w:val="NormalWeb"/>
              <w:jc w:val="left"/>
              <w:rPr>
                <w:sz w:val="18"/>
                <w:szCs w:val="18"/>
              </w:rPr>
            </w:pPr>
            <w:r w:rsidRPr="00834CDC">
              <w:rPr>
                <w:sz w:val="18"/>
                <w:szCs w:val="18"/>
              </w:rPr>
              <w:t>13-valent pneumococcal conjugate</w:t>
            </w:r>
          </w:p>
        </w:t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025A8AB" w14:textId="77777777" w:rsidR="008563E6" w:rsidRPr="00834CDC" w:rsidRDefault="008563E6" w:rsidP="0085769C">
            <w:pPr>
              <w:pStyle w:val="NormalWeb"/>
              <w:rPr>
                <w:sz w:val="18"/>
                <w:szCs w:val="18"/>
              </w:rPr>
            </w:pPr>
            <w:r w:rsidRPr="00834CDC">
              <w:rPr>
                <w:sz w:val="18"/>
                <w:szCs w:val="18"/>
              </w:rPr>
              <w:t xml:space="preserve">2 months, 4 months, 6 months, </w:t>
            </w:r>
            <w:proofErr w:type="gramStart"/>
            <w:r w:rsidRPr="00834CDC">
              <w:rPr>
                <w:sz w:val="18"/>
                <w:szCs w:val="18"/>
              </w:rPr>
              <w:t>12</w:t>
            </w:r>
            <w:proofErr w:type="gramEnd"/>
            <w:r w:rsidRPr="00834CDC">
              <w:rPr>
                <w:sz w:val="18"/>
                <w:szCs w:val="18"/>
              </w:rPr>
              <w:t xml:space="preserve"> </w:t>
            </w:r>
            <w:proofErr w:type="spellStart"/>
            <w:r w:rsidRPr="00834CDC">
              <w:rPr>
                <w:sz w:val="18"/>
                <w:szCs w:val="18"/>
              </w:rPr>
              <w:t>months</w:t>
            </w:r>
            <w:r w:rsidRPr="00834CDC">
              <w:rPr>
                <w:sz w:val="18"/>
                <w:szCs w:val="18"/>
                <w:vertAlign w:val="superscript"/>
              </w:rPr>
              <w:t>b</w:t>
            </w:r>
            <w:proofErr w:type="spellEnd"/>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FC48A0E" w14:textId="77777777" w:rsidR="008563E6" w:rsidRPr="00834CDC" w:rsidRDefault="008563E6" w:rsidP="0085769C">
            <w:pPr>
              <w:pStyle w:val="NormalWeb"/>
              <w:rPr>
                <w:sz w:val="18"/>
                <w:szCs w:val="18"/>
              </w:rPr>
            </w:pPr>
            <w:r w:rsidRPr="00834CDC">
              <w:rPr>
                <w:sz w:val="18"/>
                <w:szCs w:val="18"/>
              </w:rPr>
              <w:t>12 months (dose 2 or 3)</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1F0FE12" w14:textId="77777777" w:rsidR="008563E6" w:rsidRPr="00834CDC" w:rsidRDefault="008563E6" w:rsidP="0085769C">
            <w:pPr>
              <w:pStyle w:val="NormalWeb"/>
              <w:rPr>
                <w:sz w:val="18"/>
                <w:szCs w:val="18"/>
              </w:rPr>
            </w:pPr>
            <w:r w:rsidRPr="00834CDC">
              <w:rPr>
                <w:sz w:val="18"/>
                <w:szCs w:val="18"/>
              </w:rPr>
              <w:t>97.0</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54FE137" w14:textId="77777777" w:rsidR="008563E6" w:rsidRPr="00834CDC" w:rsidRDefault="008563E6" w:rsidP="0085769C">
            <w:pPr>
              <w:pStyle w:val="NormalWeb"/>
              <w:rPr>
                <w:sz w:val="18"/>
                <w:szCs w:val="18"/>
              </w:rPr>
            </w:pPr>
            <w:r w:rsidRPr="00834CDC">
              <w:rPr>
                <w:sz w:val="18"/>
                <w:szCs w:val="18"/>
              </w:rPr>
              <w:t>+7.2</w:t>
            </w:r>
          </w:p>
        </w:tc>
      </w:tr>
      <w:tr w:rsidR="008563E6" w:rsidRPr="00834CDC" w14:paraId="414E8707"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5A73E63" w14:textId="77777777" w:rsidR="008563E6" w:rsidRPr="00834CDC" w:rsidRDefault="008563E6" w:rsidP="0085769C">
            <w:pPr>
              <w:jc w:val="left"/>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C1127A4" w14:textId="77777777" w:rsidR="008563E6" w:rsidRPr="00834CDC" w:rsidRDefault="008563E6" w:rsidP="0085769C">
            <w:pPr>
              <w:rPr>
                <w:sz w:val="18"/>
                <w:szCs w:val="18"/>
              </w:rPr>
            </w:pP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92AA9F3" w14:textId="77777777" w:rsidR="008563E6" w:rsidRPr="00834CDC" w:rsidRDefault="008563E6" w:rsidP="0085769C">
            <w:pPr>
              <w:pStyle w:val="NormalWeb"/>
              <w:rPr>
                <w:sz w:val="18"/>
                <w:szCs w:val="18"/>
              </w:rPr>
            </w:pPr>
            <w:r w:rsidRPr="00834CDC">
              <w:rPr>
                <w:sz w:val="18"/>
                <w:szCs w:val="18"/>
              </w:rPr>
              <w:t>24 months (dose 3)</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4C6B45C" w14:textId="77777777" w:rsidR="008563E6" w:rsidRPr="00834CDC" w:rsidRDefault="008563E6" w:rsidP="0085769C">
            <w:pPr>
              <w:pStyle w:val="NormalWeb"/>
              <w:rPr>
                <w:sz w:val="18"/>
                <w:szCs w:val="18"/>
              </w:rPr>
            </w:pPr>
            <w:r w:rsidRPr="00834CDC">
              <w:rPr>
                <w:sz w:val="18"/>
                <w:szCs w:val="18"/>
              </w:rPr>
              <w:t>96.7</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601E22B" w14:textId="77777777" w:rsidR="008563E6" w:rsidRPr="00834CDC" w:rsidRDefault="008563E6" w:rsidP="0085769C">
            <w:pPr>
              <w:pStyle w:val="NormalWeb"/>
              <w:rPr>
                <w:sz w:val="18"/>
                <w:szCs w:val="18"/>
              </w:rPr>
            </w:pPr>
            <w:r w:rsidRPr="00834CDC">
              <w:rPr>
                <w:sz w:val="18"/>
                <w:szCs w:val="18"/>
              </w:rPr>
              <w:t>N/A</w:t>
            </w:r>
          </w:p>
        </w:tc>
      </w:tr>
      <w:tr w:rsidR="008563E6" w:rsidRPr="00834CDC" w14:paraId="1ECE632C" w14:textId="77777777" w:rsidTr="0085769C">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C9EF7AC" w14:textId="77777777" w:rsidR="008563E6" w:rsidRPr="00834CDC" w:rsidRDefault="008563E6" w:rsidP="0085769C">
            <w:pPr>
              <w:jc w:val="left"/>
              <w:rPr>
                <w:sz w:val="18"/>
                <w:szCs w:val="18"/>
              </w:rPr>
            </w:pPr>
          </w:p>
        </w:t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9908368" w14:textId="77777777" w:rsidR="008563E6" w:rsidRPr="00834CDC" w:rsidRDefault="008563E6" w:rsidP="0085769C">
            <w:pPr>
              <w:rPr>
                <w:sz w:val="18"/>
                <w:szCs w:val="18"/>
              </w:rPr>
            </w:pP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80E2BC9" w14:textId="77777777" w:rsidR="008563E6" w:rsidRPr="00834CDC" w:rsidRDefault="008563E6" w:rsidP="0085769C">
            <w:pPr>
              <w:pStyle w:val="NormalWeb"/>
              <w:rPr>
                <w:sz w:val="18"/>
                <w:szCs w:val="18"/>
              </w:rPr>
            </w:pPr>
            <w:r w:rsidRPr="00834CDC">
              <w:rPr>
                <w:sz w:val="18"/>
                <w:szCs w:val="18"/>
              </w:rPr>
              <w:t>30 months (dose 4)</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2B2935E" w14:textId="77777777" w:rsidR="008563E6" w:rsidRPr="00834CDC" w:rsidRDefault="008563E6" w:rsidP="0085769C">
            <w:pPr>
              <w:pStyle w:val="NormalWeb"/>
              <w:rPr>
                <w:sz w:val="18"/>
                <w:szCs w:val="18"/>
              </w:rPr>
            </w:pPr>
            <w:r w:rsidRPr="00834CDC">
              <w:rPr>
                <w:sz w:val="18"/>
                <w:szCs w:val="18"/>
              </w:rPr>
              <w:t>62.0</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7CC2C5A" w14:textId="77777777" w:rsidR="008563E6" w:rsidRPr="00834CDC" w:rsidRDefault="008563E6" w:rsidP="0085769C">
            <w:pPr>
              <w:pStyle w:val="NormalWeb"/>
              <w:rPr>
                <w:sz w:val="18"/>
                <w:szCs w:val="18"/>
              </w:rPr>
            </w:pPr>
            <w:r w:rsidRPr="00834CDC">
              <w:rPr>
                <w:sz w:val="18"/>
                <w:szCs w:val="18"/>
              </w:rPr>
              <w:t>N/A</w:t>
            </w:r>
          </w:p>
        </w:tc>
      </w:tr>
      <w:tr w:rsidR="008563E6" w:rsidRPr="00834CDC" w14:paraId="1D8619EF"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EBF46BA" w14:textId="77777777" w:rsidR="008563E6" w:rsidRPr="00834CDC" w:rsidRDefault="008563E6" w:rsidP="0085769C">
            <w:pPr>
              <w:pStyle w:val="NormalWeb"/>
              <w:jc w:val="left"/>
              <w:rPr>
                <w:sz w:val="18"/>
                <w:szCs w:val="18"/>
              </w:rPr>
            </w:pPr>
            <w:r w:rsidRPr="00834CDC">
              <w:rPr>
                <w:sz w:val="18"/>
                <w:szCs w:val="18"/>
              </w:rPr>
              <w:t>Rotavirus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B09532B" w14:textId="77777777" w:rsidR="008563E6" w:rsidRPr="00834CDC" w:rsidRDefault="008563E6" w:rsidP="0085769C">
            <w:pPr>
              <w:pStyle w:val="NormalWeb"/>
              <w:rPr>
                <w:sz w:val="18"/>
                <w:szCs w:val="18"/>
              </w:rPr>
            </w:pPr>
            <w:r w:rsidRPr="00834CDC">
              <w:rPr>
                <w:sz w:val="18"/>
                <w:szCs w:val="18"/>
              </w:rPr>
              <w:t>2 months, 4 months</w:t>
            </w: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FC86D5D" w14:textId="77777777" w:rsidR="008563E6" w:rsidRPr="00834CDC" w:rsidRDefault="008563E6" w:rsidP="0085769C">
            <w:pPr>
              <w:pStyle w:val="NormalWeb"/>
              <w:rPr>
                <w:sz w:val="18"/>
                <w:szCs w:val="18"/>
              </w:rPr>
            </w:pPr>
            <w:r w:rsidRPr="00834CDC">
              <w:rPr>
                <w:sz w:val="18"/>
                <w:szCs w:val="18"/>
              </w:rPr>
              <w:t>12 months (dose 2)</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7187355" w14:textId="77777777" w:rsidR="008563E6" w:rsidRPr="00834CDC" w:rsidRDefault="008563E6" w:rsidP="0085769C">
            <w:pPr>
              <w:pStyle w:val="NormalWeb"/>
              <w:rPr>
                <w:sz w:val="18"/>
                <w:szCs w:val="18"/>
              </w:rPr>
            </w:pPr>
            <w:r w:rsidRPr="00834CDC">
              <w:rPr>
                <w:sz w:val="18"/>
                <w:szCs w:val="18"/>
              </w:rPr>
              <w:t>87.3</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00D691C" w14:textId="77777777" w:rsidR="008563E6" w:rsidRPr="00834CDC" w:rsidRDefault="008563E6" w:rsidP="0085769C">
            <w:pPr>
              <w:pStyle w:val="NormalWeb"/>
              <w:rPr>
                <w:sz w:val="18"/>
                <w:szCs w:val="18"/>
              </w:rPr>
            </w:pPr>
            <w:r w:rsidRPr="00834CDC">
              <w:rPr>
                <w:sz w:val="18"/>
                <w:szCs w:val="18"/>
              </w:rPr>
              <w:t>+11.9</w:t>
            </w:r>
          </w:p>
        </w:tc>
      </w:tr>
      <w:tr w:rsidR="008563E6" w:rsidRPr="00834CDC" w14:paraId="11B12F20" w14:textId="77777777" w:rsidTr="0085769C">
        <w:trPr>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C9DB999" w14:textId="405D5847" w:rsidR="008563E6" w:rsidRPr="00834CDC" w:rsidRDefault="008563E6" w:rsidP="0085769C">
            <w:pPr>
              <w:pStyle w:val="NormalWeb"/>
              <w:jc w:val="left"/>
              <w:rPr>
                <w:sz w:val="18"/>
                <w:szCs w:val="18"/>
              </w:rPr>
            </w:pPr>
            <w:r w:rsidRPr="00834CDC">
              <w:rPr>
                <w:sz w:val="18"/>
                <w:szCs w:val="18"/>
              </w:rPr>
              <w:t>Hepatitis A</w:t>
            </w:r>
            <w:r w:rsidR="00D24B47">
              <w:rPr>
                <w:sz w:val="18"/>
                <w:szCs w:val="18"/>
              </w:rPr>
              <w:t xml:space="preserve"> </w:t>
            </w:r>
            <w:r w:rsidRPr="00D24B47">
              <w:rPr>
                <w:sz w:val="18"/>
                <w:szCs w:val="18"/>
                <w:vertAlign w:val="superscript"/>
              </w:rPr>
              <w:t>c</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9E5E68C" w14:textId="77777777" w:rsidR="008563E6" w:rsidRPr="00834CDC" w:rsidRDefault="008563E6" w:rsidP="0085769C">
            <w:pPr>
              <w:pStyle w:val="NormalWeb"/>
              <w:rPr>
                <w:sz w:val="18"/>
                <w:szCs w:val="18"/>
              </w:rPr>
            </w:pPr>
            <w:r w:rsidRPr="00834CDC">
              <w:rPr>
                <w:sz w:val="18"/>
                <w:szCs w:val="18"/>
              </w:rPr>
              <w:t>12 months, 18 months</w:t>
            </w: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3CA32AB" w14:textId="77777777" w:rsidR="008563E6" w:rsidRPr="00834CDC" w:rsidRDefault="008563E6" w:rsidP="0085769C">
            <w:pPr>
              <w:pStyle w:val="NormalWeb"/>
              <w:rPr>
                <w:sz w:val="18"/>
                <w:szCs w:val="18"/>
              </w:rPr>
            </w:pPr>
            <w:r w:rsidRPr="00834CDC">
              <w:rPr>
                <w:sz w:val="18"/>
                <w:szCs w:val="18"/>
              </w:rPr>
              <w:t>30 months (dose 2)</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F06B19A" w14:textId="77777777" w:rsidR="008563E6" w:rsidRPr="00834CDC" w:rsidRDefault="008563E6" w:rsidP="0085769C">
            <w:pPr>
              <w:pStyle w:val="NormalWeb"/>
              <w:rPr>
                <w:sz w:val="18"/>
                <w:szCs w:val="18"/>
              </w:rPr>
            </w:pPr>
            <w:r w:rsidRPr="00834CDC">
              <w:rPr>
                <w:sz w:val="18"/>
                <w:szCs w:val="18"/>
              </w:rPr>
              <w:t>72.2</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ED80E81" w14:textId="77777777" w:rsidR="008563E6" w:rsidRPr="00834CDC" w:rsidRDefault="008563E6" w:rsidP="0085769C">
            <w:pPr>
              <w:pStyle w:val="NormalWeb"/>
              <w:rPr>
                <w:sz w:val="18"/>
                <w:szCs w:val="18"/>
              </w:rPr>
            </w:pPr>
            <w:r w:rsidRPr="00834CDC">
              <w:rPr>
                <w:sz w:val="18"/>
                <w:szCs w:val="18"/>
              </w:rPr>
              <w:t>+1.4</w:t>
            </w:r>
          </w:p>
        </w:tc>
      </w:tr>
      <w:tr w:rsidR="008563E6" w:rsidRPr="00834CDC" w14:paraId="50D141B1"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BA991"/>
            <w:vAlign w:val="top"/>
            <w:hideMark/>
          </w:tcPr>
          <w:p w14:paraId="5569A44F" w14:textId="77777777" w:rsidR="008563E6" w:rsidRPr="00834CDC" w:rsidRDefault="008563E6" w:rsidP="0085769C">
            <w:pPr>
              <w:pStyle w:val="NormalWeb"/>
              <w:jc w:val="left"/>
              <w:rPr>
                <w:b/>
                <w:bCs/>
                <w:sz w:val="18"/>
                <w:szCs w:val="18"/>
              </w:rPr>
            </w:pPr>
            <w:r w:rsidRPr="00834CDC">
              <w:rPr>
                <w:b/>
                <w:bCs/>
                <w:sz w:val="18"/>
                <w:szCs w:val="18"/>
              </w:rPr>
              <w:t>Adolescents (</w:t>
            </w:r>
            <w:proofErr w:type="gramStart"/>
            <w:r w:rsidRPr="00834CDC">
              <w:rPr>
                <w:b/>
                <w:bCs/>
                <w:sz w:val="18"/>
                <w:szCs w:val="18"/>
              </w:rPr>
              <w:t>predominantly via</w:t>
            </w:r>
            <w:proofErr w:type="gramEnd"/>
            <w:r w:rsidRPr="00834CDC">
              <w:rPr>
                <w:b/>
                <w:bCs/>
                <w:sz w:val="18"/>
                <w:szCs w:val="18"/>
              </w:rPr>
              <w:t xml:space="preserve"> school programs)</w:t>
            </w:r>
          </w:p>
        </w:tc>
      </w:tr>
      <w:tr w:rsidR="008563E6" w:rsidRPr="00834CDC" w14:paraId="2CD82F35" w14:textId="77777777" w:rsidTr="0085769C">
        <w:trPr>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6D1F8B9" w14:textId="77777777" w:rsidR="008563E6" w:rsidRPr="00834CDC" w:rsidRDefault="008563E6" w:rsidP="0085769C">
            <w:pPr>
              <w:pStyle w:val="NormalWeb"/>
              <w:jc w:val="left"/>
              <w:rPr>
                <w:sz w:val="18"/>
                <w:szCs w:val="18"/>
              </w:rPr>
            </w:pPr>
            <w:r w:rsidRPr="00834CDC">
              <w:rPr>
                <w:sz w:val="18"/>
                <w:szCs w:val="18"/>
              </w:rPr>
              <w:t>HPV</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03F8761" w14:textId="77777777" w:rsidR="008563E6" w:rsidRPr="00834CDC" w:rsidRDefault="008563E6" w:rsidP="0085769C">
            <w:pPr>
              <w:pStyle w:val="NormalWeb"/>
              <w:rPr>
                <w:sz w:val="18"/>
                <w:szCs w:val="18"/>
              </w:rPr>
            </w:pPr>
            <w:r w:rsidRPr="00834CDC">
              <w:rPr>
                <w:sz w:val="18"/>
                <w:szCs w:val="18"/>
              </w:rPr>
              <w:t>12 –&lt; 15 years</w:t>
            </w: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820D158" w14:textId="2486192D" w:rsidR="008563E6" w:rsidRPr="00834CDC" w:rsidRDefault="008563E6" w:rsidP="0085769C">
            <w:pPr>
              <w:pStyle w:val="NormalWeb"/>
              <w:rPr>
                <w:sz w:val="18"/>
                <w:szCs w:val="18"/>
              </w:rPr>
            </w:pPr>
            <w:r w:rsidRPr="00834CDC">
              <w:rPr>
                <w:sz w:val="18"/>
                <w:szCs w:val="18"/>
              </w:rPr>
              <w:t>15 years (dose 1)</w:t>
            </w:r>
            <w:r w:rsidRPr="00834CDC">
              <w:rPr>
                <w:sz w:val="18"/>
                <w:szCs w:val="18"/>
              </w:rPr>
              <w:br/>
              <w:t>15 years (dose 2)</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FAB32E5" w14:textId="17C4DD5E" w:rsidR="008563E6" w:rsidRPr="00834CDC" w:rsidRDefault="008563E6" w:rsidP="0085769C">
            <w:pPr>
              <w:pStyle w:val="NormalWeb"/>
              <w:rPr>
                <w:sz w:val="18"/>
                <w:szCs w:val="18"/>
              </w:rPr>
            </w:pPr>
            <w:r w:rsidRPr="00834CDC">
              <w:rPr>
                <w:sz w:val="18"/>
                <w:szCs w:val="18"/>
              </w:rPr>
              <w:t>87.8 (girls)</w:t>
            </w:r>
            <w:r w:rsidRPr="00834CDC">
              <w:rPr>
                <w:sz w:val="18"/>
                <w:szCs w:val="18"/>
              </w:rPr>
              <w:br/>
              <w:t>83.0 (boys)</w:t>
            </w:r>
            <w:r w:rsidRPr="00834CDC">
              <w:rPr>
                <w:sz w:val="18"/>
                <w:szCs w:val="18"/>
              </w:rPr>
              <w:br/>
              <w:t>77.9 (girls)</w:t>
            </w:r>
            <w:r w:rsidRPr="00834CDC">
              <w:rPr>
                <w:sz w:val="18"/>
                <w:szCs w:val="18"/>
              </w:rPr>
              <w:br/>
              <w:t>71.8 (boys)</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5CC61FF" w14:textId="77777777" w:rsidR="008563E6" w:rsidRPr="00834CDC" w:rsidRDefault="008563E6" w:rsidP="0085769C">
            <w:pPr>
              <w:pStyle w:val="NormalWeb"/>
              <w:rPr>
                <w:sz w:val="18"/>
                <w:szCs w:val="18"/>
              </w:rPr>
            </w:pPr>
            <w:r w:rsidRPr="00834CDC">
              <w:rPr>
                <w:sz w:val="18"/>
                <w:szCs w:val="18"/>
              </w:rPr>
              <w:t>N/A</w:t>
            </w:r>
          </w:p>
        </w:tc>
      </w:tr>
      <w:tr w:rsidR="008563E6" w:rsidRPr="00834CDC" w14:paraId="0AD4CAF7"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C97C73D" w14:textId="77777777" w:rsidR="008563E6" w:rsidRPr="00834CDC" w:rsidRDefault="008563E6" w:rsidP="0085769C">
            <w:pPr>
              <w:pStyle w:val="NormalWeb"/>
              <w:jc w:val="left"/>
              <w:rPr>
                <w:sz w:val="18"/>
                <w:szCs w:val="18"/>
              </w:rPr>
            </w:pPr>
            <w:r w:rsidRPr="00834CDC">
              <w:rPr>
                <w:sz w:val="18"/>
                <w:szCs w:val="18"/>
              </w:rPr>
              <w:t>Meningococcal ACWY</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5C357D5" w14:textId="77777777" w:rsidR="008563E6" w:rsidRPr="00834CDC" w:rsidRDefault="008563E6" w:rsidP="0085769C">
            <w:pPr>
              <w:pStyle w:val="NormalWeb"/>
              <w:rPr>
                <w:sz w:val="18"/>
                <w:szCs w:val="18"/>
              </w:rPr>
            </w:pPr>
            <w:r w:rsidRPr="00834CDC">
              <w:rPr>
                <w:sz w:val="18"/>
                <w:szCs w:val="18"/>
              </w:rPr>
              <w:t>14 –&lt; 16 years</w:t>
            </w: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20D7D25" w14:textId="77777777" w:rsidR="008563E6" w:rsidRPr="00834CDC" w:rsidRDefault="008563E6" w:rsidP="0085769C">
            <w:pPr>
              <w:pStyle w:val="NormalWeb"/>
              <w:rPr>
                <w:sz w:val="18"/>
                <w:szCs w:val="18"/>
              </w:rPr>
            </w:pPr>
            <w:r w:rsidRPr="00834CDC">
              <w:rPr>
                <w:sz w:val="18"/>
                <w:szCs w:val="18"/>
              </w:rPr>
              <w:t>16 years</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A86A419" w14:textId="77777777" w:rsidR="008563E6" w:rsidRPr="00834CDC" w:rsidRDefault="008563E6" w:rsidP="0085769C">
            <w:pPr>
              <w:pStyle w:val="NormalWeb"/>
              <w:rPr>
                <w:sz w:val="18"/>
                <w:szCs w:val="18"/>
              </w:rPr>
            </w:pPr>
            <w:r w:rsidRPr="00834CDC">
              <w:rPr>
                <w:sz w:val="18"/>
                <w:szCs w:val="18"/>
              </w:rPr>
              <w:t>66.1</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A521AA4" w14:textId="77777777" w:rsidR="008563E6" w:rsidRPr="00834CDC" w:rsidRDefault="008563E6" w:rsidP="0085769C">
            <w:pPr>
              <w:pStyle w:val="NormalWeb"/>
              <w:rPr>
                <w:sz w:val="18"/>
                <w:szCs w:val="18"/>
              </w:rPr>
            </w:pPr>
            <w:r w:rsidRPr="00834CDC">
              <w:rPr>
                <w:sz w:val="18"/>
                <w:szCs w:val="18"/>
              </w:rPr>
              <w:t>N/A</w:t>
            </w:r>
          </w:p>
        </w:tc>
      </w:tr>
      <w:tr w:rsidR="008563E6" w:rsidRPr="00834CDC" w14:paraId="2EA80ABC" w14:textId="77777777" w:rsidTr="0085769C">
        <w:trPr>
          <w:divId w:val="1988506822"/>
        </w:trPr>
        <w:tc>
          <w:tcPr>
            <w:tcW w:w="0" w:type="auto"/>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BA991"/>
            <w:vAlign w:val="top"/>
            <w:hideMark/>
          </w:tcPr>
          <w:p w14:paraId="207B20DA" w14:textId="77777777" w:rsidR="008563E6" w:rsidRPr="00834CDC" w:rsidRDefault="008563E6" w:rsidP="0085769C">
            <w:pPr>
              <w:pStyle w:val="NormalWeb"/>
              <w:jc w:val="left"/>
              <w:rPr>
                <w:b/>
                <w:bCs/>
                <w:sz w:val="18"/>
                <w:szCs w:val="18"/>
              </w:rPr>
            </w:pPr>
            <w:r w:rsidRPr="00834CDC">
              <w:rPr>
                <w:b/>
                <w:bCs/>
                <w:sz w:val="18"/>
                <w:szCs w:val="18"/>
              </w:rPr>
              <w:t>Adults</w:t>
            </w:r>
          </w:p>
        </w:tc>
      </w:tr>
      <w:tr w:rsidR="008563E6" w:rsidRPr="00834CDC" w14:paraId="07282052"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FB0A955" w14:textId="77777777" w:rsidR="008563E6" w:rsidRPr="00834CDC" w:rsidRDefault="008563E6" w:rsidP="0085769C">
            <w:pPr>
              <w:pStyle w:val="NormalWeb"/>
              <w:jc w:val="left"/>
              <w:rPr>
                <w:sz w:val="18"/>
                <w:szCs w:val="18"/>
              </w:rPr>
            </w:pPr>
            <w:r w:rsidRPr="00834CDC">
              <w:rPr>
                <w:sz w:val="18"/>
                <w:szCs w:val="18"/>
              </w:rPr>
              <w:t>Herpes zoster</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75D1651" w14:textId="77777777" w:rsidR="008563E6" w:rsidRPr="00834CDC" w:rsidRDefault="008563E6" w:rsidP="0085769C">
            <w:pPr>
              <w:pStyle w:val="NormalWeb"/>
              <w:rPr>
                <w:sz w:val="18"/>
                <w:szCs w:val="18"/>
              </w:rPr>
            </w:pPr>
            <w:r w:rsidRPr="00834CDC">
              <w:rPr>
                <w:sz w:val="18"/>
                <w:szCs w:val="18"/>
              </w:rPr>
              <w:t>70 years</w:t>
            </w: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92E05C2" w14:textId="77777777" w:rsidR="008563E6" w:rsidRPr="00834CDC" w:rsidRDefault="008563E6" w:rsidP="0085769C">
            <w:pPr>
              <w:pStyle w:val="NormalWeb"/>
              <w:rPr>
                <w:sz w:val="18"/>
                <w:szCs w:val="18"/>
              </w:rPr>
            </w:pPr>
            <w:r w:rsidRPr="00834CDC">
              <w:rPr>
                <w:sz w:val="18"/>
                <w:szCs w:val="18"/>
              </w:rPr>
              <w:t>71 years</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59F9F45" w14:textId="77777777" w:rsidR="008563E6" w:rsidRPr="00834CDC" w:rsidRDefault="008563E6" w:rsidP="0085769C">
            <w:pPr>
              <w:pStyle w:val="NormalWeb"/>
              <w:rPr>
                <w:sz w:val="18"/>
                <w:szCs w:val="18"/>
              </w:rPr>
            </w:pPr>
            <w:r w:rsidRPr="00834CDC">
              <w:rPr>
                <w:sz w:val="18"/>
                <w:szCs w:val="18"/>
              </w:rPr>
              <w:t>33.2</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7ADF1F6" w14:textId="77777777" w:rsidR="008563E6" w:rsidRPr="00834CDC" w:rsidRDefault="008563E6" w:rsidP="0085769C">
            <w:pPr>
              <w:pStyle w:val="NormalWeb"/>
              <w:rPr>
                <w:sz w:val="18"/>
                <w:szCs w:val="18"/>
              </w:rPr>
            </w:pPr>
            <w:r w:rsidRPr="00834CDC">
              <w:rPr>
                <w:sz w:val="18"/>
                <w:szCs w:val="18"/>
              </w:rPr>
              <w:t>N/A</w:t>
            </w:r>
          </w:p>
        </w:tc>
      </w:tr>
      <w:tr w:rsidR="008563E6" w:rsidRPr="00834CDC" w14:paraId="459819DC" w14:textId="77777777" w:rsidTr="0085769C">
        <w:trPr>
          <w:divId w:val="1988506822"/>
        </w:trPr>
        <w:tc>
          <w:tcPr>
            <w:tcW w:w="0" w:type="auto"/>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BA991"/>
            <w:vAlign w:val="top"/>
            <w:hideMark/>
          </w:tcPr>
          <w:p w14:paraId="296C94E0" w14:textId="77777777" w:rsidR="008563E6" w:rsidRPr="00834CDC" w:rsidRDefault="008563E6" w:rsidP="0085769C">
            <w:pPr>
              <w:pStyle w:val="NormalWeb"/>
              <w:jc w:val="left"/>
              <w:rPr>
                <w:b/>
                <w:bCs/>
                <w:sz w:val="18"/>
                <w:szCs w:val="18"/>
              </w:rPr>
            </w:pPr>
            <w:r w:rsidRPr="00834CDC">
              <w:rPr>
                <w:b/>
                <w:bCs/>
                <w:sz w:val="18"/>
                <w:szCs w:val="18"/>
              </w:rPr>
              <w:t>Influenza vaccination – all ages</w:t>
            </w:r>
          </w:p>
        </w:tc>
      </w:tr>
      <w:tr w:rsidR="008563E6" w:rsidRPr="00834CDC" w14:paraId="73BBA5F5" w14:textId="77777777" w:rsidTr="0085769C">
        <w:trPr>
          <w:cnfStyle w:val="000000010000" w:firstRow="0" w:lastRow="0" w:firstColumn="0" w:lastColumn="0" w:oddVBand="0" w:evenVBand="0" w:oddHBand="0" w:evenHBand="1" w:firstRowFirstColumn="0" w:firstRowLastColumn="0" w:lastRowFirstColumn="0" w:lastRowLastColumn="0"/>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724E782" w14:textId="77777777" w:rsidR="008563E6" w:rsidRPr="00834CDC" w:rsidRDefault="008563E6" w:rsidP="0085769C">
            <w:pPr>
              <w:pStyle w:val="NormalWeb"/>
              <w:jc w:val="left"/>
              <w:rPr>
                <w:sz w:val="18"/>
                <w:szCs w:val="18"/>
              </w:rPr>
            </w:pPr>
            <w:r w:rsidRPr="00834CDC">
              <w:rPr>
                <w:sz w:val="18"/>
                <w:szCs w:val="18"/>
              </w:rPr>
              <w:t>Influenza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DD25738" w14:textId="77777777" w:rsidR="008563E6" w:rsidRPr="00834CDC" w:rsidRDefault="008563E6" w:rsidP="0085769C">
            <w:pPr>
              <w:pStyle w:val="NormalWeb"/>
              <w:rPr>
                <w:sz w:val="18"/>
                <w:szCs w:val="18"/>
              </w:rPr>
            </w:pPr>
            <w:r w:rsidRPr="00834CDC">
              <w:rPr>
                <w:sz w:val="18"/>
                <w:szCs w:val="18"/>
              </w:rPr>
              <w:t>Annual vaccination for all Aboriginal and Torres Strait Islander people aged ≥ 6 months</w:t>
            </w:r>
          </w:p>
        </w:tc>
        <w:tc>
          <w:tcPr>
            <w:tcW w:w="21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5B6047D" w14:textId="61119E1D" w:rsidR="008563E6" w:rsidRPr="00834CDC" w:rsidRDefault="008563E6" w:rsidP="0085769C">
            <w:pPr>
              <w:pStyle w:val="NormalWeb"/>
              <w:rPr>
                <w:sz w:val="18"/>
                <w:szCs w:val="18"/>
              </w:rPr>
            </w:pPr>
            <w:r w:rsidRPr="00834CDC">
              <w:rPr>
                <w:sz w:val="18"/>
                <w:szCs w:val="18"/>
              </w:rPr>
              <w:t>6 months to &lt; 5 years</w:t>
            </w:r>
            <w:r w:rsidRPr="00834CDC">
              <w:rPr>
                <w:sz w:val="18"/>
                <w:szCs w:val="18"/>
              </w:rPr>
              <w:br/>
              <w:t>5 –&lt; 10 years</w:t>
            </w:r>
            <w:r w:rsidRPr="00834CDC">
              <w:rPr>
                <w:sz w:val="18"/>
                <w:szCs w:val="18"/>
              </w:rPr>
              <w:br/>
              <w:t>10 –&lt; 15 years</w:t>
            </w:r>
            <w:r w:rsidRPr="00834CDC">
              <w:rPr>
                <w:sz w:val="18"/>
                <w:szCs w:val="18"/>
              </w:rPr>
              <w:br/>
              <w:t>15 –&lt; 20 years</w:t>
            </w:r>
            <w:r w:rsidRPr="00834CDC">
              <w:rPr>
                <w:sz w:val="18"/>
                <w:szCs w:val="18"/>
              </w:rPr>
              <w:br/>
              <w:t>20 –&lt; 50 years</w:t>
            </w:r>
            <w:r w:rsidRPr="00834CDC">
              <w:rPr>
                <w:sz w:val="18"/>
                <w:szCs w:val="18"/>
              </w:rPr>
              <w:br/>
              <w:t>50 –&lt; 65 years</w:t>
            </w:r>
            <w:r w:rsidRPr="00834CDC">
              <w:rPr>
                <w:sz w:val="18"/>
                <w:szCs w:val="18"/>
              </w:rPr>
              <w:br/>
              <w:t>65 –&lt; 75 years</w:t>
            </w:r>
            <w:r w:rsidRPr="00834CDC">
              <w:rPr>
                <w:sz w:val="18"/>
                <w:szCs w:val="18"/>
              </w:rPr>
              <w:br/>
              <w:t>≥ 75 years</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19DDBD7" w14:textId="1D7EC9D3" w:rsidR="008563E6" w:rsidRPr="00834CDC" w:rsidRDefault="008563E6" w:rsidP="0085769C">
            <w:pPr>
              <w:pStyle w:val="NormalWeb"/>
              <w:rPr>
                <w:sz w:val="18"/>
                <w:szCs w:val="18"/>
              </w:rPr>
            </w:pPr>
            <w:r w:rsidRPr="00834CDC">
              <w:rPr>
                <w:sz w:val="18"/>
                <w:szCs w:val="18"/>
              </w:rPr>
              <w:t>43.6</w:t>
            </w:r>
            <w:r w:rsidRPr="00834CDC">
              <w:rPr>
                <w:sz w:val="18"/>
                <w:szCs w:val="18"/>
              </w:rPr>
              <w:br/>
              <w:t>32.3</w:t>
            </w:r>
            <w:r w:rsidRPr="00834CDC">
              <w:rPr>
                <w:sz w:val="18"/>
                <w:szCs w:val="18"/>
              </w:rPr>
              <w:br/>
              <w:t>29.4</w:t>
            </w:r>
            <w:r w:rsidRPr="00834CDC">
              <w:rPr>
                <w:sz w:val="18"/>
                <w:szCs w:val="18"/>
              </w:rPr>
              <w:br/>
              <w:t>27.3</w:t>
            </w:r>
            <w:r w:rsidRPr="00834CDC">
              <w:rPr>
                <w:sz w:val="18"/>
                <w:szCs w:val="18"/>
              </w:rPr>
              <w:br/>
              <w:t>31.1</w:t>
            </w:r>
            <w:r w:rsidRPr="00834CDC">
              <w:rPr>
                <w:sz w:val="18"/>
                <w:szCs w:val="18"/>
              </w:rPr>
              <w:br/>
              <w:t>52.7</w:t>
            </w:r>
            <w:r w:rsidRPr="00834CDC">
              <w:rPr>
                <w:sz w:val="18"/>
                <w:szCs w:val="18"/>
              </w:rPr>
              <w:br/>
              <w:t>74.9</w:t>
            </w:r>
            <w:r w:rsidRPr="00834CDC">
              <w:rPr>
                <w:sz w:val="18"/>
                <w:szCs w:val="18"/>
              </w:rPr>
              <w:br/>
              <w:t>83.5</w:t>
            </w:r>
          </w:p>
        </w:tc>
        <w:tc>
          <w:tcPr>
            <w:tcW w:w="19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4F41AFA" w14:textId="2D9A86D5" w:rsidR="008563E6" w:rsidRPr="00834CDC" w:rsidRDefault="008563E6" w:rsidP="0085769C">
            <w:pPr>
              <w:pStyle w:val="NormalWeb"/>
              <w:rPr>
                <w:sz w:val="18"/>
                <w:szCs w:val="18"/>
              </w:rPr>
            </w:pPr>
            <w:r w:rsidRPr="00834CDC">
              <w:rPr>
                <w:sz w:val="18"/>
                <w:szCs w:val="18"/>
              </w:rPr>
              <w:t>+31.5</w:t>
            </w:r>
            <w:r w:rsidRPr="00834CDC">
              <w:rPr>
                <w:sz w:val="18"/>
                <w:szCs w:val="18"/>
              </w:rPr>
              <w:br/>
              <w:t>N/A</w:t>
            </w:r>
            <w:r w:rsidRPr="00834CDC">
              <w:rPr>
                <w:sz w:val="18"/>
                <w:szCs w:val="18"/>
              </w:rPr>
              <w:br/>
              <w:t>N/A</w:t>
            </w:r>
            <w:r w:rsidRPr="00834CDC">
              <w:rPr>
                <w:sz w:val="18"/>
                <w:szCs w:val="18"/>
              </w:rPr>
              <w:br/>
              <w:t>N/A</w:t>
            </w:r>
            <w:r w:rsidRPr="00834CDC">
              <w:rPr>
                <w:sz w:val="18"/>
                <w:szCs w:val="18"/>
              </w:rPr>
              <w:br/>
              <w:t>N/A</w:t>
            </w:r>
            <w:r w:rsidRPr="00834CDC">
              <w:rPr>
                <w:sz w:val="18"/>
                <w:szCs w:val="18"/>
              </w:rPr>
              <w:br/>
              <w:t>N/A</w:t>
            </w:r>
            <w:r w:rsidRPr="00834CDC">
              <w:rPr>
                <w:sz w:val="18"/>
                <w:szCs w:val="18"/>
              </w:rPr>
              <w:br/>
              <w:t>N/A</w:t>
            </w:r>
            <w:r w:rsidRPr="00834CDC">
              <w:rPr>
                <w:sz w:val="18"/>
                <w:szCs w:val="18"/>
              </w:rPr>
              <w:br/>
              <w:t>N/A</w:t>
            </w:r>
          </w:p>
        </w:tc>
      </w:tr>
    </w:tbl>
    <w:p w14:paraId="00DAB09A" w14:textId="77777777" w:rsidR="008563E6" w:rsidRPr="00834CDC" w:rsidRDefault="008563E6" w:rsidP="008563E6">
      <w:pPr>
        <w:pStyle w:val="CDIfootnotes"/>
        <w:divId w:val="1988506822"/>
      </w:pPr>
      <w:r w:rsidRPr="00834CDC">
        <w:t>a.</w:t>
      </w:r>
      <w:r w:rsidRPr="00834CDC">
        <w:tab/>
        <w:t xml:space="preserve"> MMRV vaccine given at 18 months.</w:t>
      </w:r>
    </w:p>
    <w:p w14:paraId="60B5BC84" w14:textId="77777777" w:rsidR="008563E6" w:rsidRPr="00834CDC" w:rsidRDefault="008563E6" w:rsidP="008563E6">
      <w:pPr>
        <w:pStyle w:val="CDIfootnotes"/>
        <w:divId w:val="1988506822"/>
      </w:pPr>
      <w:r w:rsidRPr="00834CDC">
        <w:t xml:space="preserve">b. </w:t>
      </w:r>
      <w:r w:rsidRPr="00834CDC">
        <w:tab/>
        <w:t xml:space="preserve">Due to schedule changes in 2018, the coverage percent point change since 2015 of the fourth dose could not </w:t>
      </w:r>
      <w:proofErr w:type="gramStart"/>
      <w:r w:rsidRPr="00834CDC">
        <w:t>be calculated</w:t>
      </w:r>
      <w:proofErr w:type="gramEnd"/>
      <w:r w:rsidRPr="00834CDC">
        <w:t>.</w:t>
      </w:r>
    </w:p>
    <w:p w14:paraId="61B972FF" w14:textId="214AEF1D" w:rsidR="008563E6" w:rsidRPr="00834CDC" w:rsidRDefault="008563E6" w:rsidP="00605021">
      <w:pPr>
        <w:pStyle w:val="CDIfootnotes"/>
        <w:divId w:val="1988506822"/>
      </w:pPr>
      <w:r w:rsidRPr="00834CDC">
        <w:t xml:space="preserve">c. </w:t>
      </w:r>
      <w:r w:rsidRPr="00834CDC">
        <w:tab/>
        <w:t xml:space="preserve">Aboriginal and Torres Strait Islander children only in the Northern Territory, Queensland, South </w:t>
      </w:r>
      <w:proofErr w:type="gramStart"/>
      <w:r w:rsidRPr="00834CDC">
        <w:t>Australia</w:t>
      </w:r>
      <w:proofErr w:type="gramEnd"/>
      <w:r w:rsidRPr="00834CDC">
        <w:t xml:space="preserve"> and Western Australia.</w:t>
      </w:r>
    </w:p>
    <w:p w14:paraId="094814F5" w14:textId="77777777" w:rsidR="00A64669" w:rsidRPr="00834CDC" w:rsidRDefault="00A64669">
      <w:pPr>
        <w:rPr>
          <w:rFonts w:asciiTheme="majorHAnsi" w:eastAsiaTheme="majorEastAsia" w:hAnsiTheme="majorHAnsi" w:cstheme="majorBidi"/>
          <w:b/>
          <w:bCs/>
          <w:sz w:val="32"/>
          <w:szCs w:val="28"/>
        </w:rPr>
      </w:pPr>
      <w:r w:rsidRPr="00834CDC">
        <w:br w:type="page"/>
      </w:r>
    </w:p>
    <w:p w14:paraId="6AB6E5A0" w14:textId="77777777" w:rsidR="000707DD" w:rsidRPr="00834CDC" w:rsidRDefault="000707DD" w:rsidP="0033445F">
      <w:pPr>
        <w:pStyle w:val="Heading1"/>
        <w:divId w:val="1988506822"/>
        <w:sectPr w:rsidR="000707DD" w:rsidRPr="00834CDC"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1E2CE8E0" w14:textId="3659797F" w:rsidR="000707DD" w:rsidRPr="00834CDC" w:rsidRDefault="000707DD" w:rsidP="000707DD">
      <w:pPr>
        <w:pStyle w:val="CDIFigures"/>
        <w:divId w:val="1988506822"/>
      </w:pPr>
      <w:r w:rsidRPr="00834CDC">
        <w:rPr>
          <w:rStyle w:val="Strong"/>
          <w:b/>
          <w:bCs w:val="0"/>
        </w:rPr>
        <w:lastRenderedPageBreak/>
        <w:t>Table ES.2: Aboriginal and Torres Strait Islander status completeness (%) in notification data for selected vaccine preventable diseases, by state/territory, Australia,</w:t>
      </w:r>
      <w:r w:rsidR="0023698D" w:rsidRPr="00834CDC">
        <w:rPr>
          <w:rStyle w:val="Strong"/>
          <w:b/>
          <w:bCs w:val="0"/>
        </w:rPr>
        <w:t> </w:t>
      </w:r>
      <w:r w:rsidRPr="00834CDC">
        <w:rPr>
          <w:rStyle w:val="Strong"/>
          <w:b/>
          <w:bCs w:val="0"/>
        </w:rPr>
        <w:t>2016–2019</w:t>
      </w:r>
    </w:p>
    <w:tbl>
      <w:tblPr>
        <w:tblStyle w:val="CDI-StandardTable"/>
        <w:tblW w:w="0" w:type="auto"/>
        <w:tblCellMar>
          <w:top w:w="113" w:type="dxa"/>
          <w:bottom w:w="113" w:type="dxa"/>
        </w:tblCellMar>
        <w:tblLook w:val="04A0" w:firstRow="1" w:lastRow="0" w:firstColumn="1" w:lastColumn="0" w:noHBand="0" w:noVBand="1"/>
        <w:tblDescription w:val="Executive Summary Table 2 shows Aboriginal and Torres Strait Islander status completeness as a percentage in notification data for selected vaccine preventable diseases, by state/territory, Australia, 2016-2019.&#10;"/>
      </w:tblPr>
      <w:tblGrid>
        <w:gridCol w:w="4111"/>
        <w:gridCol w:w="1418"/>
        <w:gridCol w:w="850"/>
        <w:gridCol w:w="1276"/>
        <w:gridCol w:w="992"/>
        <w:gridCol w:w="1276"/>
        <w:gridCol w:w="1134"/>
        <w:gridCol w:w="2835"/>
        <w:gridCol w:w="1048"/>
      </w:tblGrid>
      <w:tr w:rsidR="000707DD" w:rsidRPr="00834CDC" w14:paraId="072F18DB" w14:textId="77777777" w:rsidTr="00F95E1C">
        <w:trPr>
          <w:cnfStyle w:val="100000000000" w:firstRow="1" w:lastRow="0" w:firstColumn="0" w:lastColumn="0" w:oddVBand="0" w:evenVBand="0" w:oddHBand="0" w:evenHBand="0" w:firstRowFirstColumn="0" w:firstRowLastColumn="0" w:lastRowFirstColumn="0" w:lastRowLastColumn="0"/>
          <w:divId w:val="1988506822"/>
          <w:tblHeader/>
        </w:trPr>
        <w:tc>
          <w:tcPr>
            <w:tcW w:w="4111" w:type="dxa"/>
            <w:vMerge w:val="restart"/>
            <w:tcBorders>
              <w:top w:val="single" w:sz="2" w:space="0" w:color="0D0D0D" w:themeColor="text1" w:themeTint="F2"/>
              <w:left w:val="single" w:sz="2" w:space="0" w:color="0D0D0D" w:themeColor="text1" w:themeTint="F2"/>
              <w:bottom w:val="single" w:sz="2" w:space="0" w:color="F7ECDD"/>
              <w:right w:val="single" w:sz="2" w:space="0" w:color="F7ECDD"/>
            </w:tcBorders>
            <w:hideMark/>
          </w:tcPr>
          <w:p w14:paraId="3BEE9791" w14:textId="77777777" w:rsidR="000707DD" w:rsidRPr="00834CDC" w:rsidRDefault="000707DD" w:rsidP="0036655F">
            <w:pPr>
              <w:pStyle w:val="NormalWeb"/>
              <w:jc w:val="left"/>
              <w:rPr>
                <w:sz w:val="18"/>
                <w:szCs w:val="18"/>
              </w:rPr>
            </w:pPr>
            <w:r w:rsidRPr="00834CDC">
              <w:rPr>
                <w:sz w:val="18"/>
                <w:szCs w:val="18"/>
              </w:rPr>
              <w:t>Vaccine preventable disease</w:t>
            </w:r>
          </w:p>
        </w:tc>
        <w:tc>
          <w:tcPr>
            <w:tcW w:w="1418" w:type="dxa"/>
            <w:vMerge w:val="restart"/>
            <w:tcBorders>
              <w:top w:val="single" w:sz="2" w:space="0" w:color="0D0D0D" w:themeColor="text1" w:themeTint="F2"/>
              <w:left w:val="single" w:sz="2" w:space="0" w:color="F7ECDD"/>
              <w:bottom w:val="single" w:sz="2" w:space="0" w:color="F7ECDD"/>
              <w:right w:val="single" w:sz="2" w:space="0" w:color="F7ECDD"/>
            </w:tcBorders>
            <w:hideMark/>
          </w:tcPr>
          <w:p w14:paraId="4B396660" w14:textId="32F31B1A" w:rsidR="000707DD" w:rsidRPr="00834CDC" w:rsidRDefault="000707DD" w:rsidP="003058F5">
            <w:pPr>
              <w:pStyle w:val="NormalWeb"/>
              <w:rPr>
                <w:sz w:val="18"/>
                <w:szCs w:val="18"/>
              </w:rPr>
            </w:pPr>
            <w:r w:rsidRPr="00834CDC">
              <w:rPr>
                <w:sz w:val="18"/>
                <w:szCs w:val="18"/>
              </w:rPr>
              <w:t>Notifications</w:t>
            </w:r>
            <w:r w:rsidR="00014343" w:rsidRPr="00834CDC">
              <w:rPr>
                <w:sz w:val="18"/>
                <w:szCs w:val="18"/>
              </w:rPr>
              <w:t xml:space="preserve"> </w:t>
            </w:r>
            <w:r w:rsidRPr="00834CDC">
              <w:rPr>
                <w:sz w:val="18"/>
                <w:szCs w:val="18"/>
                <w:vertAlign w:val="superscript"/>
              </w:rPr>
              <w:t>a</w:t>
            </w:r>
            <w:r w:rsidRPr="00834CDC">
              <w:rPr>
                <w:sz w:val="18"/>
                <w:szCs w:val="18"/>
              </w:rPr>
              <w:t xml:space="preserve"> </w:t>
            </w:r>
          </w:p>
        </w:tc>
        <w:tc>
          <w:tcPr>
            <w:tcW w:w="9411" w:type="dxa"/>
            <w:gridSpan w:val="7"/>
            <w:tcBorders>
              <w:top w:val="single" w:sz="2" w:space="0" w:color="0D0D0D" w:themeColor="text1" w:themeTint="F2"/>
              <w:left w:val="single" w:sz="2" w:space="0" w:color="F7ECDD"/>
              <w:bottom w:val="single" w:sz="2" w:space="0" w:color="F7ECDD"/>
              <w:right w:val="single" w:sz="2" w:space="0" w:color="0D0D0D" w:themeColor="text1" w:themeTint="F2"/>
            </w:tcBorders>
            <w:hideMark/>
          </w:tcPr>
          <w:p w14:paraId="74193C66" w14:textId="77777777" w:rsidR="000707DD" w:rsidRPr="00834CDC" w:rsidRDefault="000707DD" w:rsidP="003058F5">
            <w:pPr>
              <w:pStyle w:val="NormalWeb"/>
              <w:rPr>
                <w:sz w:val="18"/>
                <w:szCs w:val="18"/>
              </w:rPr>
            </w:pPr>
            <w:r w:rsidRPr="00834CDC">
              <w:rPr>
                <w:sz w:val="18"/>
                <w:szCs w:val="18"/>
              </w:rPr>
              <w:t>Aboriginal and Torres Strait Islander status completeness (%)</w:t>
            </w:r>
          </w:p>
        </w:tc>
      </w:tr>
      <w:tr w:rsidR="000707DD" w:rsidRPr="00834CDC" w14:paraId="66387DFB" w14:textId="77777777" w:rsidTr="00F95E1C">
        <w:trPr>
          <w:cnfStyle w:val="100000000000" w:firstRow="1" w:lastRow="0" w:firstColumn="0" w:lastColumn="0" w:oddVBand="0" w:evenVBand="0" w:oddHBand="0" w:evenHBand="0" w:firstRowFirstColumn="0" w:firstRowLastColumn="0" w:lastRowFirstColumn="0" w:lastRowLastColumn="0"/>
          <w:divId w:val="1988506822"/>
          <w:tblHeader/>
        </w:trPr>
        <w:tc>
          <w:tcPr>
            <w:tcW w:w="4111" w:type="dxa"/>
            <w:vMerge/>
            <w:tcBorders>
              <w:top w:val="single" w:sz="2" w:space="0" w:color="F7ECDD"/>
              <w:left w:val="single" w:sz="2" w:space="0" w:color="0D0D0D" w:themeColor="text1" w:themeTint="F2"/>
              <w:bottom w:val="single" w:sz="2" w:space="0" w:color="F7ECDD"/>
              <w:right w:val="single" w:sz="2" w:space="0" w:color="F7ECDD"/>
            </w:tcBorders>
            <w:hideMark/>
          </w:tcPr>
          <w:p w14:paraId="34D95084" w14:textId="77777777" w:rsidR="000707DD" w:rsidRPr="00834CDC" w:rsidRDefault="000707DD" w:rsidP="0036655F">
            <w:pPr>
              <w:jc w:val="left"/>
              <w:rPr>
                <w:sz w:val="18"/>
                <w:szCs w:val="18"/>
              </w:rPr>
            </w:pPr>
          </w:p>
        </w:tc>
        <w:tc>
          <w:tcPr>
            <w:tcW w:w="1418" w:type="dxa"/>
            <w:vMerge/>
            <w:tcBorders>
              <w:top w:val="single" w:sz="2" w:space="0" w:color="F7ECDD"/>
              <w:left w:val="single" w:sz="2" w:space="0" w:color="F7ECDD"/>
              <w:bottom w:val="single" w:sz="2" w:space="0" w:color="F7ECDD"/>
              <w:right w:val="single" w:sz="2" w:space="0" w:color="F7ECDD"/>
            </w:tcBorders>
            <w:hideMark/>
          </w:tcPr>
          <w:p w14:paraId="0FF2B252" w14:textId="77777777" w:rsidR="000707DD" w:rsidRPr="00834CDC" w:rsidRDefault="000707DD" w:rsidP="003058F5">
            <w:pPr>
              <w:rPr>
                <w:sz w:val="18"/>
                <w:szCs w:val="18"/>
              </w:rPr>
            </w:pPr>
          </w:p>
        </w:tc>
        <w:tc>
          <w:tcPr>
            <w:tcW w:w="850" w:type="dxa"/>
            <w:vMerge w:val="restart"/>
            <w:tcBorders>
              <w:top w:val="single" w:sz="2" w:space="0" w:color="F7ECDD"/>
              <w:left w:val="single" w:sz="2" w:space="0" w:color="F7ECDD"/>
              <w:bottom w:val="single" w:sz="2" w:space="0" w:color="F7ECDD"/>
              <w:right w:val="single" w:sz="2" w:space="0" w:color="F7ECDD"/>
            </w:tcBorders>
            <w:hideMark/>
          </w:tcPr>
          <w:p w14:paraId="6CAFA983" w14:textId="77777777" w:rsidR="000707DD" w:rsidRPr="00834CDC" w:rsidRDefault="000707DD" w:rsidP="003058F5">
            <w:pPr>
              <w:pStyle w:val="NormalWeb"/>
              <w:rPr>
                <w:sz w:val="18"/>
                <w:szCs w:val="18"/>
              </w:rPr>
            </w:pPr>
            <w:r w:rsidRPr="00834CDC">
              <w:rPr>
                <w:sz w:val="18"/>
                <w:szCs w:val="18"/>
              </w:rPr>
              <w:t>Australia</w:t>
            </w:r>
          </w:p>
        </w:tc>
        <w:tc>
          <w:tcPr>
            <w:tcW w:w="8561" w:type="dxa"/>
            <w:gridSpan w:val="6"/>
            <w:tcBorders>
              <w:top w:val="single" w:sz="2" w:space="0" w:color="F7ECDD"/>
              <w:left w:val="single" w:sz="2" w:space="0" w:color="F7ECDD"/>
              <w:bottom w:val="single" w:sz="2" w:space="0" w:color="F7ECDD"/>
              <w:right w:val="single" w:sz="2" w:space="0" w:color="0D0D0D" w:themeColor="text1" w:themeTint="F2"/>
            </w:tcBorders>
            <w:hideMark/>
          </w:tcPr>
          <w:p w14:paraId="2A06E97F" w14:textId="33637423" w:rsidR="000707DD" w:rsidRPr="00834CDC" w:rsidRDefault="000707DD" w:rsidP="003058F5">
            <w:pPr>
              <w:pStyle w:val="NormalWeb"/>
              <w:rPr>
                <w:sz w:val="18"/>
                <w:szCs w:val="18"/>
              </w:rPr>
            </w:pPr>
            <w:r w:rsidRPr="00834CDC">
              <w:rPr>
                <w:sz w:val="18"/>
                <w:szCs w:val="18"/>
              </w:rPr>
              <w:t xml:space="preserve">Range within </w:t>
            </w:r>
            <w:proofErr w:type="gramStart"/>
            <w:r w:rsidRPr="00834CDC">
              <w:rPr>
                <w:sz w:val="18"/>
                <w:szCs w:val="18"/>
              </w:rPr>
              <w:t>indicated</w:t>
            </w:r>
            <w:proofErr w:type="gramEnd"/>
            <w:r w:rsidRPr="00834CDC">
              <w:rPr>
                <w:sz w:val="18"/>
                <w:szCs w:val="18"/>
              </w:rPr>
              <w:t xml:space="preserve"> jurisdictions</w:t>
            </w:r>
            <w:r w:rsidR="00014343" w:rsidRPr="00834CDC">
              <w:rPr>
                <w:sz w:val="18"/>
                <w:szCs w:val="18"/>
              </w:rPr>
              <w:t xml:space="preserve"> </w:t>
            </w:r>
            <w:r w:rsidRPr="00834CDC">
              <w:rPr>
                <w:sz w:val="18"/>
                <w:szCs w:val="18"/>
                <w:vertAlign w:val="superscript"/>
              </w:rPr>
              <w:t>b</w:t>
            </w:r>
          </w:p>
        </w:tc>
      </w:tr>
      <w:tr w:rsidR="000707DD" w:rsidRPr="00834CDC" w14:paraId="34B67F8C" w14:textId="77777777" w:rsidTr="00F95E1C">
        <w:trPr>
          <w:cnfStyle w:val="100000000000" w:firstRow="1" w:lastRow="0" w:firstColumn="0" w:lastColumn="0" w:oddVBand="0" w:evenVBand="0" w:oddHBand="0" w:evenHBand="0" w:firstRowFirstColumn="0" w:firstRowLastColumn="0" w:lastRowFirstColumn="0" w:lastRowLastColumn="0"/>
          <w:divId w:val="1988506822"/>
          <w:tblHeader/>
        </w:trPr>
        <w:tc>
          <w:tcPr>
            <w:tcW w:w="4111" w:type="dxa"/>
            <w:vMerge/>
            <w:tcBorders>
              <w:top w:val="single" w:sz="2" w:space="0" w:color="F7ECDD"/>
              <w:left w:val="single" w:sz="2" w:space="0" w:color="0D0D0D" w:themeColor="text1" w:themeTint="F2"/>
              <w:right w:val="single" w:sz="2" w:space="0" w:color="F7ECDD"/>
            </w:tcBorders>
            <w:hideMark/>
          </w:tcPr>
          <w:p w14:paraId="20460603" w14:textId="77777777" w:rsidR="000707DD" w:rsidRPr="00834CDC" w:rsidRDefault="000707DD" w:rsidP="0036655F">
            <w:pPr>
              <w:jc w:val="left"/>
              <w:rPr>
                <w:sz w:val="18"/>
                <w:szCs w:val="18"/>
              </w:rPr>
            </w:pPr>
          </w:p>
        </w:tc>
        <w:tc>
          <w:tcPr>
            <w:tcW w:w="1418" w:type="dxa"/>
            <w:vMerge/>
            <w:tcBorders>
              <w:top w:val="single" w:sz="2" w:space="0" w:color="F7ECDD"/>
              <w:left w:val="single" w:sz="2" w:space="0" w:color="F7ECDD"/>
              <w:right w:val="single" w:sz="2" w:space="0" w:color="F7ECDD"/>
            </w:tcBorders>
            <w:hideMark/>
          </w:tcPr>
          <w:p w14:paraId="39617649" w14:textId="77777777" w:rsidR="000707DD" w:rsidRPr="00834CDC" w:rsidRDefault="000707DD" w:rsidP="003058F5">
            <w:pPr>
              <w:rPr>
                <w:sz w:val="18"/>
                <w:szCs w:val="18"/>
              </w:rPr>
            </w:pPr>
          </w:p>
        </w:tc>
        <w:tc>
          <w:tcPr>
            <w:tcW w:w="850" w:type="dxa"/>
            <w:vMerge/>
            <w:tcBorders>
              <w:top w:val="single" w:sz="2" w:space="0" w:color="F7ECDD"/>
              <w:left w:val="single" w:sz="2" w:space="0" w:color="F7ECDD"/>
              <w:right w:val="single" w:sz="2" w:space="0" w:color="F7ECDD"/>
            </w:tcBorders>
            <w:hideMark/>
          </w:tcPr>
          <w:p w14:paraId="6B039626" w14:textId="77777777" w:rsidR="000707DD" w:rsidRPr="00834CDC" w:rsidRDefault="000707DD" w:rsidP="003058F5">
            <w:pPr>
              <w:rPr>
                <w:sz w:val="18"/>
                <w:szCs w:val="18"/>
              </w:rPr>
            </w:pPr>
          </w:p>
        </w:tc>
        <w:tc>
          <w:tcPr>
            <w:tcW w:w="1276" w:type="dxa"/>
            <w:tcBorders>
              <w:top w:val="single" w:sz="2" w:space="0" w:color="F7ECDD"/>
              <w:left w:val="single" w:sz="2" w:space="0" w:color="F7ECDD"/>
              <w:right w:val="single" w:sz="2" w:space="0" w:color="F7ECDD"/>
            </w:tcBorders>
            <w:hideMark/>
          </w:tcPr>
          <w:p w14:paraId="03A42286" w14:textId="77777777" w:rsidR="000707DD" w:rsidRPr="00834CDC" w:rsidRDefault="000707DD" w:rsidP="003058F5">
            <w:pPr>
              <w:pStyle w:val="NormalWeb"/>
              <w:rPr>
                <w:sz w:val="18"/>
                <w:szCs w:val="18"/>
              </w:rPr>
            </w:pPr>
            <w:r w:rsidRPr="00834CDC">
              <w:rPr>
                <w:sz w:val="18"/>
                <w:szCs w:val="18"/>
              </w:rPr>
              <w:t>&lt; 20</w:t>
            </w:r>
          </w:p>
        </w:tc>
        <w:tc>
          <w:tcPr>
            <w:tcW w:w="992" w:type="dxa"/>
            <w:tcBorders>
              <w:top w:val="single" w:sz="2" w:space="0" w:color="F7ECDD"/>
              <w:left w:val="single" w:sz="2" w:space="0" w:color="F7ECDD"/>
              <w:right w:val="single" w:sz="2" w:space="0" w:color="F7ECDD"/>
            </w:tcBorders>
            <w:hideMark/>
          </w:tcPr>
          <w:p w14:paraId="4ACD25C0" w14:textId="77777777" w:rsidR="000707DD" w:rsidRPr="00834CDC" w:rsidRDefault="000707DD" w:rsidP="003058F5">
            <w:pPr>
              <w:pStyle w:val="NormalWeb"/>
              <w:rPr>
                <w:sz w:val="18"/>
                <w:szCs w:val="18"/>
              </w:rPr>
            </w:pPr>
            <w:r w:rsidRPr="00834CDC">
              <w:rPr>
                <w:sz w:val="18"/>
                <w:szCs w:val="18"/>
              </w:rPr>
              <w:t>20 –&lt; 50</w:t>
            </w:r>
          </w:p>
        </w:tc>
        <w:tc>
          <w:tcPr>
            <w:tcW w:w="1276" w:type="dxa"/>
            <w:tcBorders>
              <w:top w:val="single" w:sz="2" w:space="0" w:color="F7ECDD"/>
              <w:left w:val="single" w:sz="2" w:space="0" w:color="F7ECDD"/>
              <w:right w:val="single" w:sz="2" w:space="0" w:color="F7ECDD"/>
            </w:tcBorders>
            <w:hideMark/>
          </w:tcPr>
          <w:p w14:paraId="3B2E23FF" w14:textId="77777777" w:rsidR="000707DD" w:rsidRPr="00834CDC" w:rsidRDefault="000707DD" w:rsidP="003058F5">
            <w:pPr>
              <w:pStyle w:val="NormalWeb"/>
              <w:rPr>
                <w:sz w:val="18"/>
                <w:szCs w:val="18"/>
              </w:rPr>
            </w:pPr>
            <w:r w:rsidRPr="00834CDC">
              <w:rPr>
                <w:sz w:val="18"/>
                <w:szCs w:val="18"/>
              </w:rPr>
              <w:t>50 –&lt; 70</w:t>
            </w:r>
          </w:p>
        </w:tc>
        <w:tc>
          <w:tcPr>
            <w:tcW w:w="1134" w:type="dxa"/>
            <w:tcBorders>
              <w:top w:val="single" w:sz="2" w:space="0" w:color="F7ECDD"/>
              <w:left w:val="single" w:sz="2" w:space="0" w:color="F7ECDD"/>
              <w:right w:val="single" w:sz="2" w:space="0" w:color="F7ECDD"/>
            </w:tcBorders>
            <w:hideMark/>
          </w:tcPr>
          <w:p w14:paraId="7427C107" w14:textId="77777777" w:rsidR="000707DD" w:rsidRPr="00834CDC" w:rsidRDefault="000707DD" w:rsidP="003058F5">
            <w:pPr>
              <w:pStyle w:val="NormalWeb"/>
              <w:rPr>
                <w:sz w:val="18"/>
                <w:szCs w:val="18"/>
              </w:rPr>
            </w:pPr>
            <w:r w:rsidRPr="00834CDC">
              <w:rPr>
                <w:sz w:val="18"/>
                <w:szCs w:val="18"/>
              </w:rPr>
              <w:t>70 –&lt; 90</w:t>
            </w:r>
          </w:p>
        </w:tc>
        <w:tc>
          <w:tcPr>
            <w:tcW w:w="2835" w:type="dxa"/>
            <w:tcBorders>
              <w:top w:val="single" w:sz="2" w:space="0" w:color="F7ECDD"/>
              <w:left w:val="single" w:sz="2" w:space="0" w:color="F7ECDD"/>
              <w:right w:val="single" w:sz="2" w:space="0" w:color="F7ECDD"/>
            </w:tcBorders>
            <w:hideMark/>
          </w:tcPr>
          <w:p w14:paraId="3425301D" w14:textId="77777777" w:rsidR="000707DD" w:rsidRPr="00834CDC" w:rsidRDefault="000707DD" w:rsidP="003058F5">
            <w:pPr>
              <w:pStyle w:val="NormalWeb"/>
              <w:rPr>
                <w:sz w:val="18"/>
                <w:szCs w:val="18"/>
              </w:rPr>
            </w:pPr>
            <w:r w:rsidRPr="00834CDC">
              <w:rPr>
                <w:sz w:val="18"/>
                <w:szCs w:val="18"/>
              </w:rPr>
              <w:t>≥ 90</w:t>
            </w:r>
          </w:p>
        </w:tc>
        <w:tc>
          <w:tcPr>
            <w:tcW w:w="1048" w:type="dxa"/>
            <w:tcBorders>
              <w:top w:val="single" w:sz="2" w:space="0" w:color="F7ECDD"/>
              <w:left w:val="single" w:sz="2" w:space="0" w:color="F7ECDD"/>
              <w:right w:val="single" w:sz="2" w:space="0" w:color="0D0D0D" w:themeColor="text1" w:themeTint="F2"/>
            </w:tcBorders>
            <w:hideMark/>
          </w:tcPr>
          <w:p w14:paraId="11B3AB12" w14:textId="096B2554" w:rsidR="000707DD" w:rsidRPr="00834CDC" w:rsidRDefault="000707DD" w:rsidP="003058F5">
            <w:pPr>
              <w:pStyle w:val="NormalWeb"/>
              <w:rPr>
                <w:sz w:val="18"/>
                <w:szCs w:val="18"/>
              </w:rPr>
            </w:pPr>
            <w:r w:rsidRPr="00834CDC">
              <w:rPr>
                <w:sz w:val="18"/>
                <w:szCs w:val="18"/>
              </w:rPr>
              <w:t>NC</w:t>
            </w:r>
            <w:r w:rsidR="00014343" w:rsidRPr="00834CDC">
              <w:rPr>
                <w:sz w:val="18"/>
                <w:szCs w:val="18"/>
              </w:rPr>
              <w:t xml:space="preserve"> </w:t>
            </w:r>
            <w:r w:rsidRPr="00834CDC">
              <w:rPr>
                <w:sz w:val="18"/>
                <w:szCs w:val="18"/>
                <w:vertAlign w:val="superscript"/>
              </w:rPr>
              <w:t>c</w:t>
            </w:r>
          </w:p>
        </w:tc>
      </w:tr>
      <w:tr w:rsidR="000707DD" w:rsidRPr="00834CDC" w14:paraId="647E4407" w14:textId="77777777" w:rsidTr="0050657F">
        <w:trPr>
          <w:divId w:val="1988506822"/>
        </w:trPr>
        <w:tc>
          <w:tcPr>
            <w:tcW w:w="4111" w:type="dxa"/>
            <w:tcBorders>
              <w:left w:val="single" w:sz="2" w:space="0" w:color="auto"/>
              <w:bottom w:val="single" w:sz="2" w:space="0" w:color="auto"/>
              <w:right w:val="single" w:sz="2" w:space="0" w:color="auto"/>
            </w:tcBorders>
            <w:shd w:val="clear" w:color="auto" w:fill="auto"/>
            <w:hideMark/>
          </w:tcPr>
          <w:p w14:paraId="5847E591" w14:textId="77777777" w:rsidR="000707DD" w:rsidRPr="00834CDC" w:rsidRDefault="000707DD" w:rsidP="0036655F">
            <w:pPr>
              <w:pStyle w:val="NormalWeb"/>
              <w:jc w:val="left"/>
              <w:rPr>
                <w:sz w:val="18"/>
                <w:szCs w:val="18"/>
              </w:rPr>
            </w:pPr>
            <w:r w:rsidRPr="00834CDC">
              <w:rPr>
                <w:i/>
                <w:iCs/>
                <w:sz w:val="18"/>
                <w:szCs w:val="18"/>
              </w:rPr>
              <w:t>Haemophilus influenzae</w:t>
            </w:r>
            <w:r w:rsidRPr="00834CDC">
              <w:rPr>
                <w:sz w:val="18"/>
                <w:szCs w:val="18"/>
              </w:rPr>
              <w:t xml:space="preserve"> type b (Hib) disease</w:t>
            </w:r>
          </w:p>
        </w:tc>
        <w:tc>
          <w:tcPr>
            <w:tcW w:w="1418" w:type="dxa"/>
            <w:tcBorders>
              <w:left w:val="single" w:sz="2" w:space="0" w:color="auto"/>
              <w:bottom w:val="single" w:sz="2" w:space="0" w:color="auto"/>
              <w:right w:val="single" w:sz="2" w:space="0" w:color="auto"/>
            </w:tcBorders>
            <w:shd w:val="clear" w:color="auto" w:fill="auto"/>
            <w:hideMark/>
          </w:tcPr>
          <w:p w14:paraId="593EBEFF" w14:textId="77777777" w:rsidR="000707DD" w:rsidRPr="00834CDC" w:rsidRDefault="000707DD" w:rsidP="003058F5">
            <w:pPr>
              <w:pStyle w:val="NormalWeb"/>
              <w:rPr>
                <w:sz w:val="18"/>
                <w:szCs w:val="18"/>
              </w:rPr>
            </w:pPr>
            <w:r w:rsidRPr="00834CDC">
              <w:rPr>
                <w:sz w:val="18"/>
                <w:szCs w:val="18"/>
              </w:rPr>
              <w:t>73</w:t>
            </w:r>
          </w:p>
        </w:tc>
        <w:tc>
          <w:tcPr>
            <w:tcW w:w="850" w:type="dxa"/>
            <w:tcBorders>
              <w:left w:val="single" w:sz="2" w:space="0" w:color="auto"/>
              <w:bottom w:val="single" w:sz="2" w:space="0" w:color="auto"/>
              <w:right w:val="single" w:sz="2" w:space="0" w:color="auto"/>
            </w:tcBorders>
            <w:shd w:val="clear" w:color="auto" w:fill="auto"/>
            <w:hideMark/>
          </w:tcPr>
          <w:p w14:paraId="573215E0" w14:textId="77777777" w:rsidR="000707DD" w:rsidRPr="00834CDC" w:rsidRDefault="000707DD" w:rsidP="003058F5">
            <w:pPr>
              <w:pStyle w:val="NormalWeb"/>
              <w:rPr>
                <w:sz w:val="18"/>
                <w:szCs w:val="18"/>
              </w:rPr>
            </w:pPr>
            <w:r w:rsidRPr="00834CDC">
              <w:rPr>
                <w:sz w:val="18"/>
                <w:szCs w:val="18"/>
              </w:rPr>
              <w:t>100</w:t>
            </w:r>
          </w:p>
        </w:tc>
        <w:tc>
          <w:tcPr>
            <w:tcW w:w="1276" w:type="dxa"/>
            <w:tcBorders>
              <w:left w:val="single" w:sz="2" w:space="0" w:color="auto"/>
              <w:bottom w:val="single" w:sz="2" w:space="0" w:color="auto"/>
              <w:right w:val="single" w:sz="2" w:space="0" w:color="auto"/>
            </w:tcBorders>
            <w:shd w:val="clear" w:color="auto" w:fill="auto"/>
            <w:hideMark/>
          </w:tcPr>
          <w:p w14:paraId="377E1907" w14:textId="77777777" w:rsidR="000707DD" w:rsidRPr="00834CDC" w:rsidRDefault="000707DD" w:rsidP="003058F5">
            <w:pPr>
              <w:rPr>
                <w:sz w:val="18"/>
                <w:szCs w:val="18"/>
              </w:rPr>
            </w:pPr>
          </w:p>
        </w:tc>
        <w:tc>
          <w:tcPr>
            <w:tcW w:w="992" w:type="dxa"/>
            <w:tcBorders>
              <w:left w:val="single" w:sz="2" w:space="0" w:color="auto"/>
              <w:bottom w:val="single" w:sz="2" w:space="0" w:color="auto"/>
              <w:right w:val="single" w:sz="2" w:space="0" w:color="auto"/>
            </w:tcBorders>
            <w:shd w:val="clear" w:color="auto" w:fill="auto"/>
            <w:hideMark/>
          </w:tcPr>
          <w:p w14:paraId="7B92F589" w14:textId="77777777" w:rsidR="000707DD" w:rsidRPr="00834CDC" w:rsidRDefault="000707DD" w:rsidP="003058F5">
            <w:pPr>
              <w:rPr>
                <w:rFonts w:eastAsia="Times New Roman"/>
                <w:sz w:val="18"/>
                <w:szCs w:val="18"/>
              </w:rPr>
            </w:pPr>
          </w:p>
        </w:tc>
        <w:tc>
          <w:tcPr>
            <w:tcW w:w="1276" w:type="dxa"/>
            <w:tcBorders>
              <w:left w:val="single" w:sz="2" w:space="0" w:color="auto"/>
              <w:bottom w:val="single" w:sz="2" w:space="0" w:color="auto"/>
              <w:right w:val="single" w:sz="2" w:space="0" w:color="auto"/>
            </w:tcBorders>
            <w:shd w:val="clear" w:color="auto" w:fill="auto"/>
            <w:hideMark/>
          </w:tcPr>
          <w:p w14:paraId="4FE27A5C" w14:textId="77777777" w:rsidR="000707DD" w:rsidRPr="00834CDC" w:rsidRDefault="000707DD" w:rsidP="003058F5">
            <w:pPr>
              <w:rPr>
                <w:rFonts w:eastAsia="Times New Roman"/>
                <w:sz w:val="18"/>
                <w:szCs w:val="18"/>
              </w:rPr>
            </w:pPr>
          </w:p>
        </w:tc>
        <w:tc>
          <w:tcPr>
            <w:tcW w:w="1134" w:type="dxa"/>
            <w:tcBorders>
              <w:left w:val="single" w:sz="2" w:space="0" w:color="auto"/>
              <w:bottom w:val="single" w:sz="2" w:space="0" w:color="auto"/>
              <w:right w:val="single" w:sz="2" w:space="0" w:color="auto"/>
            </w:tcBorders>
            <w:shd w:val="clear" w:color="auto" w:fill="auto"/>
            <w:hideMark/>
          </w:tcPr>
          <w:p w14:paraId="3E7D0359" w14:textId="77777777" w:rsidR="000707DD" w:rsidRPr="00834CDC" w:rsidRDefault="000707DD" w:rsidP="003058F5">
            <w:pPr>
              <w:rPr>
                <w:rFonts w:eastAsia="Times New Roman"/>
                <w:sz w:val="18"/>
                <w:szCs w:val="18"/>
              </w:rPr>
            </w:pPr>
          </w:p>
        </w:tc>
        <w:tc>
          <w:tcPr>
            <w:tcW w:w="2835" w:type="dxa"/>
            <w:tcBorders>
              <w:left w:val="single" w:sz="2" w:space="0" w:color="auto"/>
              <w:bottom w:val="single" w:sz="2" w:space="0" w:color="auto"/>
              <w:right w:val="single" w:sz="2" w:space="0" w:color="auto"/>
            </w:tcBorders>
            <w:shd w:val="clear" w:color="auto" w:fill="auto"/>
            <w:hideMark/>
          </w:tcPr>
          <w:p w14:paraId="5CF644B2" w14:textId="77777777" w:rsidR="000707DD" w:rsidRPr="00834CDC" w:rsidRDefault="000707DD" w:rsidP="003058F5">
            <w:pPr>
              <w:pStyle w:val="NormalWeb"/>
              <w:rPr>
                <w:sz w:val="18"/>
                <w:szCs w:val="18"/>
              </w:rPr>
            </w:pPr>
            <w:r w:rsidRPr="00834CDC">
              <w:rPr>
                <w:sz w:val="18"/>
                <w:szCs w:val="18"/>
              </w:rPr>
              <w:t>NSW, NT, Qld, SA, Vic., WA</w:t>
            </w:r>
          </w:p>
        </w:tc>
        <w:tc>
          <w:tcPr>
            <w:tcW w:w="1048" w:type="dxa"/>
            <w:tcBorders>
              <w:left w:val="single" w:sz="2" w:space="0" w:color="auto"/>
              <w:bottom w:val="single" w:sz="2" w:space="0" w:color="auto"/>
              <w:right w:val="single" w:sz="2" w:space="0" w:color="auto"/>
            </w:tcBorders>
            <w:shd w:val="clear" w:color="auto" w:fill="auto"/>
            <w:hideMark/>
          </w:tcPr>
          <w:p w14:paraId="6EB658EC" w14:textId="77777777" w:rsidR="000707DD" w:rsidRPr="00834CDC" w:rsidRDefault="000707DD" w:rsidP="003058F5">
            <w:pPr>
              <w:pStyle w:val="NormalWeb"/>
              <w:rPr>
                <w:sz w:val="18"/>
                <w:szCs w:val="18"/>
              </w:rPr>
            </w:pPr>
            <w:r w:rsidRPr="00834CDC">
              <w:rPr>
                <w:sz w:val="18"/>
                <w:szCs w:val="18"/>
              </w:rPr>
              <w:t>ACT, Tas.</w:t>
            </w:r>
          </w:p>
        </w:tc>
      </w:tr>
      <w:tr w:rsidR="000707DD" w:rsidRPr="00834CDC" w14:paraId="41B85390" w14:textId="77777777" w:rsidTr="000E4006">
        <w:trPr>
          <w:cnfStyle w:val="000000010000" w:firstRow="0" w:lastRow="0" w:firstColumn="0" w:lastColumn="0" w:oddVBand="0" w:evenVBand="0" w:oddHBand="0" w:evenHBand="1" w:firstRowFirstColumn="0" w:firstRowLastColumn="0" w:lastRowFirstColumn="0" w:lastRowLastColumn="0"/>
          <w:divId w:val="1988506822"/>
        </w:trPr>
        <w:tc>
          <w:tcPr>
            <w:tcW w:w="4111" w:type="dxa"/>
            <w:tcBorders>
              <w:top w:val="single" w:sz="2" w:space="0" w:color="auto"/>
              <w:left w:val="single" w:sz="2" w:space="0" w:color="auto"/>
              <w:bottom w:val="single" w:sz="2" w:space="0" w:color="auto"/>
              <w:right w:val="single" w:sz="2" w:space="0" w:color="auto"/>
            </w:tcBorders>
            <w:shd w:val="clear" w:color="auto" w:fill="auto"/>
            <w:hideMark/>
          </w:tcPr>
          <w:p w14:paraId="5B04A8C4" w14:textId="77777777" w:rsidR="000707DD" w:rsidRPr="00834CDC" w:rsidRDefault="000707DD" w:rsidP="0036655F">
            <w:pPr>
              <w:pStyle w:val="NormalWeb"/>
              <w:jc w:val="left"/>
              <w:rPr>
                <w:sz w:val="18"/>
                <w:szCs w:val="18"/>
              </w:rPr>
            </w:pPr>
            <w:r w:rsidRPr="00834CDC">
              <w:rPr>
                <w:sz w:val="18"/>
                <w:szCs w:val="18"/>
              </w:rPr>
              <w:t>Hepatitis A</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5CCB5A71" w14:textId="77777777" w:rsidR="000707DD" w:rsidRPr="00834CDC" w:rsidRDefault="000707DD" w:rsidP="003058F5">
            <w:pPr>
              <w:pStyle w:val="NormalWeb"/>
              <w:rPr>
                <w:sz w:val="18"/>
                <w:szCs w:val="18"/>
              </w:rPr>
            </w:pPr>
            <w:r w:rsidRPr="00834CDC">
              <w:rPr>
                <w:sz w:val="18"/>
                <w:szCs w:val="18"/>
              </w:rPr>
              <w:t>1,042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05988D5" w14:textId="77777777" w:rsidR="000707DD" w:rsidRPr="00834CDC" w:rsidRDefault="000707DD" w:rsidP="003058F5">
            <w:pPr>
              <w:pStyle w:val="NormalWeb"/>
              <w:rPr>
                <w:sz w:val="18"/>
                <w:szCs w:val="18"/>
              </w:rPr>
            </w:pPr>
            <w:r w:rsidRPr="00834CDC">
              <w:rPr>
                <w:sz w:val="18"/>
                <w:szCs w:val="18"/>
              </w:rPr>
              <w:t>92.7</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05E2F673" w14:textId="77777777" w:rsidR="000707DD" w:rsidRPr="00834CDC" w:rsidRDefault="000707DD" w:rsidP="003058F5">
            <w:pPr>
              <w:rPr>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6F154D8D" w14:textId="77777777" w:rsidR="000707DD" w:rsidRPr="00834CDC" w:rsidRDefault="000707DD" w:rsidP="003058F5">
            <w:pPr>
              <w:rPr>
                <w:rFonts w:eastAsia="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1F4D1624" w14:textId="77777777" w:rsidR="000707DD" w:rsidRPr="00834CDC" w:rsidRDefault="000707DD" w:rsidP="003058F5">
            <w:pPr>
              <w:rPr>
                <w:rFonts w:eastAsia="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B5736C5" w14:textId="77777777" w:rsidR="000707DD" w:rsidRPr="00834CDC" w:rsidRDefault="000707DD" w:rsidP="003058F5">
            <w:pPr>
              <w:pStyle w:val="NormalWeb"/>
              <w:rPr>
                <w:sz w:val="18"/>
                <w:szCs w:val="18"/>
              </w:rPr>
            </w:pPr>
            <w:r w:rsidRPr="00834CDC">
              <w:rPr>
                <w:sz w:val="18"/>
                <w:szCs w:val="18"/>
              </w:rPr>
              <w:t>NT, Vic.</w:t>
            </w:r>
          </w:p>
        </w:tc>
        <w:tc>
          <w:tcPr>
            <w:tcW w:w="2835" w:type="dxa"/>
            <w:tcBorders>
              <w:top w:val="single" w:sz="2" w:space="0" w:color="auto"/>
              <w:left w:val="single" w:sz="2" w:space="0" w:color="auto"/>
              <w:bottom w:val="single" w:sz="2" w:space="0" w:color="auto"/>
              <w:right w:val="single" w:sz="2" w:space="0" w:color="auto"/>
            </w:tcBorders>
            <w:shd w:val="clear" w:color="auto" w:fill="auto"/>
            <w:hideMark/>
          </w:tcPr>
          <w:p w14:paraId="0BDD1FA7" w14:textId="77777777" w:rsidR="000707DD" w:rsidRPr="00834CDC" w:rsidRDefault="000707DD" w:rsidP="003058F5">
            <w:pPr>
              <w:pStyle w:val="NormalWeb"/>
              <w:rPr>
                <w:sz w:val="18"/>
                <w:szCs w:val="18"/>
              </w:rPr>
            </w:pPr>
            <w:r w:rsidRPr="00834CDC">
              <w:rPr>
                <w:sz w:val="18"/>
                <w:szCs w:val="18"/>
              </w:rPr>
              <w:t>ACT, NSW, Qld, SA, Tas., WA</w:t>
            </w:r>
          </w:p>
        </w:tc>
        <w:tc>
          <w:tcPr>
            <w:tcW w:w="1048" w:type="dxa"/>
            <w:tcBorders>
              <w:top w:val="single" w:sz="2" w:space="0" w:color="auto"/>
              <w:left w:val="single" w:sz="2" w:space="0" w:color="auto"/>
              <w:bottom w:val="single" w:sz="2" w:space="0" w:color="auto"/>
              <w:right w:val="single" w:sz="2" w:space="0" w:color="auto"/>
            </w:tcBorders>
            <w:shd w:val="clear" w:color="auto" w:fill="auto"/>
            <w:hideMark/>
          </w:tcPr>
          <w:p w14:paraId="3D13F55A" w14:textId="77777777" w:rsidR="000707DD" w:rsidRPr="00834CDC" w:rsidRDefault="000707DD" w:rsidP="003058F5">
            <w:pPr>
              <w:rPr>
                <w:sz w:val="18"/>
                <w:szCs w:val="18"/>
              </w:rPr>
            </w:pPr>
          </w:p>
        </w:tc>
      </w:tr>
      <w:tr w:rsidR="000707DD" w:rsidRPr="00834CDC" w14:paraId="170CCFB5" w14:textId="77777777" w:rsidTr="000E4006">
        <w:trPr>
          <w:divId w:val="1988506822"/>
        </w:trPr>
        <w:tc>
          <w:tcPr>
            <w:tcW w:w="4111" w:type="dxa"/>
            <w:tcBorders>
              <w:top w:val="single" w:sz="2" w:space="0" w:color="auto"/>
              <w:left w:val="single" w:sz="2" w:space="0" w:color="auto"/>
              <w:bottom w:val="single" w:sz="2" w:space="0" w:color="auto"/>
              <w:right w:val="single" w:sz="2" w:space="0" w:color="auto"/>
            </w:tcBorders>
            <w:shd w:val="clear" w:color="auto" w:fill="auto"/>
            <w:hideMark/>
          </w:tcPr>
          <w:p w14:paraId="576A9B4B" w14:textId="77777777" w:rsidR="000707DD" w:rsidRPr="00834CDC" w:rsidRDefault="000707DD" w:rsidP="0036655F">
            <w:pPr>
              <w:pStyle w:val="NormalWeb"/>
              <w:jc w:val="left"/>
              <w:rPr>
                <w:sz w:val="18"/>
                <w:szCs w:val="18"/>
              </w:rPr>
            </w:pPr>
            <w:r w:rsidRPr="00834CDC">
              <w:rPr>
                <w:sz w:val="18"/>
                <w:szCs w:val="18"/>
              </w:rPr>
              <w:t>Hepatitis B</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2FD4803D" w14:textId="77777777" w:rsidR="000707DD" w:rsidRPr="00834CDC" w:rsidRDefault="000707DD" w:rsidP="003058F5">
            <w:pPr>
              <w:pStyle w:val="NormalWeb"/>
              <w:rPr>
                <w:sz w:val="18"/>
                <w:szCs w:val="18"/>
              </w:rPr>
            </w:pPr>
            <w:r w:rsidRPr="00834CDC">
              <w:rPr>
                <w:sz w:val="18"/>
                <w:szCs w:val="18"/>
              </w:rPr>
              <w:t>612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6485E88" w14:textId="77777777" w:rsidR="000707DD" w:rsidRPr="00834CDC" w:rsidRDefault="000707DD" w:rsidP="003058F5">
            <w:pPr>
              <w:pStyle w:val="NormalWeb"/>
              <w:rPr>
                <w:sz w:val="18"/>
                <w:szCs w:val="18"/>
              </w:rPr>
            </w:pPr>
            <w:r w:rsidRPr="00834CDC">
              <w:rPr>
                <w:sz w:val="18"/>
                <w:szCs w:val="18"/>
              </w:rPr>
              <w:t>94.6</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215F4DFE" w14:textId="77777777" w:rsidR="000707DD" w:rsidRPr="00834CDC" w:rsidRDefault="000707DD" w:rsidP="003058F5">
            <w:pPr>
              <w:rPr>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603FC0CB" w14:textId="77777777" w:rsidR="000707DD" w:rsidRPr="00834CDC" w:rsidRDefault="000707DD" w:rsidP="003058F5">
            <w:pPr>
              <w:rPr>
                <w:rFonts w:eastAsia="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08D41C71" w14:textId="77777777" w:rsidR="000707DD" w:rsidRPr="00834CDC" w:rsidRDefault="000707DD" w:rsidP="003058F5">
            <w:pPr>
              <w:rPr>
                <w:rFonts w:eastAsia="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C53D5B8" w14:textId="77777777" w:rsidR="000707DD" w:rsidRPr="00834CDC" w:rsidRDefault="000707DD" w:rsidP="003058F5">
            <w:pPr>
              <w:pStyle w:val="NormalWeb"/>
              <w:rPr>
                <w:sz w:val="18"/>
                <w:szCs w:val="18"/>
              </w:rPr>
            </w:pPr>
            <w:r w:rsidRPr="00834CDC">
              <w:rPr>
                <w:sz w:val="18"/>
                <w:szCs w:val="18"/>
              </w:rPr>
              <w:t>Tas.</w:t>
            </w:r>
          </w:p>
        </w:tc>
        <w:tc>
          <w:tcPr>
            <w:tcW w:w="2835" w:type="dxa"/>
            <w:tcBorders>
              <w:top w:val="single" w:sz="2" w:space="0" w:color="auto"/>
              <w:left w:val="single" w:sz="2" w:space="0" w:color="auto"/>
              <w:bottom w:val="single" w:sz="2" w:space="0" w:color="auto"/>
              <w:right w:val="single" w:sz="2" w:space="0" w:color="auto"/>
            </w:tcBorders>
            <w:shd w:val="clear" w:color="auto" w:fill="auto"/>
            <w:hideMark/>
          </w:tcPr>
          <w:p w14:paraId="473AD64D" w14:textId="77777777" w:rsidR="000707DD" w:rsidRPr="00834CDC" w:rsidRDefault="000707DD" w:rsidP="003058F5">
            <w:pPr>
              <w:pStyle w:val="NormalWeb"/>
              <w:rPr>
                <w:sz w:val="18"/>
                <w:szCs w:val="18"/>
              </w:rPr>
            </w:pPr>
            <w:r w:rsidRPr="00834CDC">
              <w:rPr>
                <w:sz w:val="18"/>
                <w:szCs w:val="18"/>
              </w:rPr>
              <w:t>ACT, NSW, NT, Qld, SA, Vic., WA</w:t>
            </w:r>
          </w:p>
        </w:tc>
        <w:tc>
          <w:tcPr>
            <w:tcW w:w="1048" w:type="dxa"/>
            <w:tcBorders>
              <w:top w:val="single" w:sz="2" w:space="0" w:color="auto"/>
              <w:left w:val="single" w:sz="2" w:space="0" w:color="auto"/>
              <w:bottom w:val="single" w:sz="2" w:space="0" w:color="auto"/>
              <w:right w:val="single" w:sz="2" w:space="0" w:color="auto"/>
            </w:tcBorders>
            <w:shd w:val="clear" w:color="auto" w:fill="auto"/>
            <w:hideMark/>
          </w:tcPr>
          <w:p w14:paraId="373C1560" w14:textId="77777777" w:rsidR="000707DD" w:rsidRPr="00834CDC" w:rsidRDefault="000707DD" w:rsidP="003058F5">
            <w:pPr>
              <w:rPr>
                <w:sz w:val="18"/>
                <w:szCs w:val="18"/>
              </w:rPr>
            </w:pPr>
          </w:p>
        </w:tc>
      </w:tr>
      <w:tr w:rsidR="000707DD" w:rsidRPr="00834CDC" w14:paraId="409BD417" w14:textId="77777777" w:rsidTr="000E4006">
        <w:trPr>
          <w:cnfStyle w:val="000000010000" w:firstRow="0" w:lastRow="0" w:firstColumn="0" w:lastColumn="0" w:oddVBand="0" w:evenVBand="0" w:oddHBand="0" w:evenHBand="1" w:firstRowFirstColumn="0" w:firstRowLastColumn="0" w:lastRowFirstColumn="0" w:lastRowLastColumn="0"/>
          <w:divId w:val="1988506822"/>
        </w:trPr>
        <w:tc>
          <w:tcPr>
            <w:tcW w:w="4111" w:type="dxa"/>
            <w:tcBorders>
              <w:top w:val="single" w:sz="2" w:space="0" w:color="auto"/>
              <w:left w:val="single" w:sz="2" w:space="0" w:color="auto"/>
              <w:bottom w:val="single" w:sz="2" w:space="0" w:color="auto"/>
              <w:right w:val="single" w:sz="2" w:space="0" w:color="auto"/>
            </w:tcBorders>
            <w:shd w:val="clear" w:color="auto" w:fill="auto"/>
            <w:hideMark/>
          </w:tcPr>
          <w:p w14:paraId="6188FF56" w14:textId="77777777" w:rsidR="000707DD" w:rsidRPr="00834CDC" w:rsidRDefault="000707DD" w:rsidP="0036655F">
            <w:pPr>
              <w:pStyle w:val="NormalWeb"/>
              <w:jc w:val="left"/>
              <w:rPr>
                <w:sz w:val="18"/>
                <w:szCs w:val="18"/>
              </w:rPr>
            </w:pPr>
            <w:r w:rsidRPr="00834CDC">
              <w:rPr>
                <w:sz w:val="18"/>
                <w:szCs w:val="18"/>
              </w:rPr>
              <w:t>Influenza</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5FB86300" w14:textId="77777777" w:rsidR="000707DD" w:rsidRPr="00834CDC" w:rsidRDefault="000707DD" w:rsidP="003058F5">
            <w:pPr>
              <w:pStyle w:val="NormalWeb"/>
              <w:rPr>
                <w:sz w:val="18"/>
                <w:szCs w:val="18"/>
              </w:rPr>
            </w:pPr>
            <w:r w:rsidRPr="00834CDC">
              <w:rPr>
                <w:sz w:val="18"/>
                <w:szCs w:val="18"/>
              </w:rPr>
              <w:t>714,488</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FBAF242" w14:textId="77777777" w:rsidR="000707DD" w:rsidRPr="00834CDC" w:rsidRDefault="000707DD" w:rsidP="003058F5">
            <w:pPr>
              <w:pStyle w:val="NormalWeb"/>
              <w:rPr>
                <w:sz w:val="18"/>
                <w:szCs w:val="18"/>
              </w:rPr>
            </w:pPr>
            <w:r w:rsidRPr="00834CDC">
              <w:rPr>
                <w:sz w:val="18"/>
                <w:szCs w:val="18"/>
              </w:rPr>
              <w:t>37.4</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01ECA01A" w14:textId="77777777" w:rsidR="000707DD" w:rsidRPr="00834CDC" w:rsidRDefault="000707DD" w:rsidP="003058F5">
            <w:pPr>
              <w:pStyle w:val="NormalWeb"/>
              <w:rPr>
                <w:sz w:val="18"/>
                <w:szCs w:val="18"/>
              </w:rPr>
            </w:pPr>
            <w:r w:rsidRPr="00834CDC">
              <w:rPr>
                <w:sz w:val="18"/>
                <w:szCs w:val="18"/>
              </w:rPr>
              <w:t>NSW, Tas., Vic.</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6DC6BBEA" w14:textId="77777777" w:rsidR="000707DD" w:rsidRPr="00834CDC" w:rsidRDefault="000707DD" w:rsidP="003058F5">
            <w:pPr>
              <w:rPr>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7C24023B" w14:textId="77777777" w:rsidR="000707DD" w:rsidRPr="00834CDC" w:rsidRDefault="000707DD" w:rsidP="003058F5">
            <w:pPr>
              <w:pStyle w:val="NormalWeb"/>
              <w:rPr>
                <w:sz w:val="18"/>
                <w:szCs w:val="18"/>
              </w:rPr>
            </w:pPr>
            <w:r w:rsidRPr="00834CDC">
              <w:rPr>
                <w:sz w:val="18"/>
                <w:szCs w:val="18"/>
              </w:rPr>
              <w:t>ACT, Qld, SA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C769CE1" w14:textId="77777777" w:rsidR="000707DD" w:rsidRPr="00834CDC" w:rsidRDefault="000707DD" w:rsidP="003058F5">
            <w:pPr>
              <w:pStyle w:val="NormalWeb"/>
              <w:rPr>
                <w:sz w:val="18"/>
                <w:szCs w:val="18"/>
              </w:rPr>
            </w:pPr>
            <w:r w:rsidRPr="00834CDC">
              <w:rPr>
                <w:sz w:val="18"/>
                <w:szCs w:val="18"/>
              </w:rPr>
              <w:t>WA</w:t>
            </w:r>
          </w:p>
        </w:tc>
        <w:tc>
          <w:tcPr>
            <w:tcW w:w="2835" w:type="dxa"/>
            <w:tcBorders>
              <w:top w:val="single" w:sz="2" w:space="0" w:color="auto"/>
              <w:left w:val="single" w:sz="2" w:space="0" w:color="auto"/>
              <w:bottom w:val="single" w:sz="2" w:space="0" w:color="auto"/>
              <w:right w:val="single" w:sz="2" w:space="0" w:color="auto"/>
            </w:tcBorders>
            <w:shd w:val="clear" w:color="auto" w:fill="auto"/>
            <w:hideMark/>
          </w:tcPr>
          <w:p w14:paraId="3D6D1890" w14:textId="77777777" w:rsidR="000707DD" w:rsidRPr="00834CDC" w:rsidRDefault="000707DD" w:rsidP="003058F5">
            <w:pPr>
              <w:pStyle w:val="NormalWeb"/>
              <w:rPr>
                <w:sz w:val="18"/>
                <w:szCs w:val="18"/>
              </w:rPr>
            </w:pPr>
            <w:r w:rsidRPr="00834CDC">
              <w:rPr>
                <w:sz w:val="18"/>
                <w:szCs w:val="18"/>
              </w:rPr>
              <w:t>NT</w:t>
            </w:r>
          </w:p>
        </w:tc>
        <w:tc>
          <w:tcPr>
            <w:tcW w:w="1048" w:type="dxa"/>
            <w:tcBorders>
              <w:top w:val="single" w:sz="2" w:space="0" w:color="auto"/>
              <w:left w:val="single" w:sz="2" w:space="0" w:color="auto"/>
              <w:bottom w:val="single" w:sz="2" w:space="0" w:color="auto"/>
              <w:right w:val="single" w:sz="2" w:space="0" w:color="auto"/>
            </w:tcBorders>
            <w:shd w:val="clear" w:color="auto" w:fill="auto"/>
            <w:hideMark/>
          </w:tcPr>
          <w:p w14:paraId="1D542854" w14:textId="77777777" w:rsidR="000707DD" w:rsidRPr="00834CDC" w:rsidRDefault="000707DD" w:rsidP="003058F5">
            <w:pPr>
              <w:rPr>
                <w:sz w:val="18"/>
                <w:szCs w:val="18"/>
              </w:rPr>
            </w:pPr>
          </w:p>
        </w:tc>
      </w:tr>
      <w:tr w:rsidR="000707DD" w:rsidRPr="00834CDC" w14:paraId="4F4E4256" w14:textId="77777777" w:rsidTr="000E4006">
        <w:trPr>
          <w:divId w:val="1988506822"/>
        </w:trPr>
        <w:tc>
          <w:tcPr>
            <w:tcW w:w="4111" w:type="dxa"/>
            <w:tcBorders>
              <w:top w:val="single" w:sz="2" w:space="0" w:color="auto"/>
              <w:left w:val="single" w:sz="2" w:space="0" w:color="auto"/>
              <w:bottom w:val="single" w:sz="2" w:space="0" w:color="auto"/>
              <w:right w:val="single" w:sz="2" w:space="0" w:color="auto"/>
            </w:tcBorders>
            <w:shd w:val="clear" w:color="auto" w:fill="auto"/>
            <w:hideMark/>
          </w:tcPr>
          <w:p w14:paraId="35244B53" w14:textId="77777777" w:rsidR="000707DD" w:rsidRPr="00834CDC" w:rsidRDefault="000707DD" w:rsidP="0036655F">
            <w:pPr>
              <w:pStyle w:val="NormalWeb"/>
              <w:jc w:val="left"/>
              <w:rPr>
                <w:sz w:val="18"/>
                <w:szCs w:val="18"/>
              </w:rPr>
            </w:pPr>
            <w:r w:rsidRPr="00834CDC">
              <w:rPr>
                <w:sz w:val="18"/>
                <w:szCs w:val="18"/>
              </w:rPr>
              <w:t>Measles</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4C6A883E" w14:textId="77777777" w:rsidR="000707DD" w:rsidRPr="00834CDC" w:rsidRDefault="000707DD" w:rsidP="003058F5">
            <w:pPr>
              <w:pStyle w:val="NormalWeb"/>
              <w:rPr>
                <w:sz w:val="18"/>
                <w:szCs w:val="18"/>
              </w:rPr>
            </w:pPr>
            <w:r w:rsidRPr="00834CDC">
              <w:rPr>
                <w:sz w:val="18"/>
                <w:szCs w:val="18"/>
              </w:rPr>
              <w:t>568</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DF98B3D" w14:textId="77777777" w:rsidR="000707DD" w:rsidRPr="00834CDC" w:rsidRDefault="000707DD" w:rsidP="003058F5">
            <w:pPr>
              <w:pStyle w:val="NormalWeb"/>
              <w:rPr>
                <w:sz w:val="18"/>
                <w:szCs w:val="18"/>
              </w:rPr>
            </w:pPr>
            <w:r w:rsidRPr="00834CDC">
              <w:rPr>
                <w:sz w:val="18"/>
                <w:szCs w:val="18"/>
              </w:rPr>
              <w:t>97.5</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595F7F65" w14:textId="77777777" w:rsidR="000707DD" w:rsidRPr="00834CDC" w:rsidRDefault="000707DD" w:rsidP="003058F5">
            <w:pPr>
              <w:rPr>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3FA73689" w14:textId="77777777" w:rsidR="000707DD" w:rsidRPr="00834CDC" w:rsidRDefault="000707DD" w:rsidP="003058F5">
            <w:pPr>
              <w:rPr>
                <w:rFonts w:eastAsia="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0CE3EE61" w14:textId="77777777" w:rsidR="000707DD" w:rsidRPr="00834CDC" w:rsidRDefault="000707DD" w:rsidP="003058F5">
            <w:pPr>
              <w:rPr>
                <w:rFonts w:eastAsia="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F3CB317" w14:textId="77777777" w:rsidR="000707DD" w:rsidRPr="00834CDC" w:rsidRDefault="000707DD" w:rsidP="003058F5">
            <w:pPr>
              <w:rPr>
                <w:rFonts w:eastAsia="Times New Roman"/>
                <w:sz w:val="18"/>
                <w:szCs w:val="18"/>
              </w:rPr>
            </w:pPr>
          </w:p>
        </w:tc>
        <w:tc>
          <w:tcPr>
            <w:tcW w:w="2835" w:type="dxa"/>
            <w:tcBorders>
              <w:top w:val="single" w:sz="2" w:space="0" w:color="auto"/>
              <w:left w:val="single" w:sz="2" w:space="0" w:color="auto"/>
              <w:bottom w:val="single" w:sz="2" w:space="0" w:color="auto"/>
              <w:right w:val="single" w:sz="2" w:space="0" w:color="auto"/>
            </w:tcBorders>
            <w:shd w:val="clear" w:color="auto" w:fill="auto"/>
            <w:hideMark/>
          </w:tcPr>
          <w:p w14:paraId="76AF4781" w14:textId="77777777" w:rsidR="000707DD" w:rsidRPr="00834CDC" w:rsidRDefault="000707DD" w:rsidP="003058F5">
            <w:pPr>
              <w:pStyle w:val="NormalWeb"/>
              <w:rPr>
                <w:sz w:val="18"/>
                <w:szCs w:val="18"/>
              </w:rPr>
            </w:pPr>
            <w:r w:rsidRPr="00834CDC">
              <w:rPr>
                <w:sz w:val="18"/>
                <w:szCs w:val="18"/>
              </w:rPr>
              <w:t>ACT, NSW, NT, Qld, SA, Tas., Vic., WA</w:t>
            </w:r>
          </w:p>
        </w:tc>
        <w:tc>
          <w:tcPr>
            <w:tcW w:w="1048" w:type="dxa"/>
            <w:tcBorders>
              <w:top w:val="single" w:sz="2" w:space="0" w:color="auto"/>
              <w:left w:val="single" w:sz="2" w:space="0" w:color="auto"/>
              <w:bottom w:val="single" w:sz="2" w:space="0" w:color="auto"/>
              <w:right w:val="single" w:sz="2" w:space="0" w:color="auto"/>
            </w:tcBorders>
            <w:shd w:val="clear" w:color="auto" w:fill="auto"/>
            <w:hideMark/>
          </w:tcPr>
          <w:p w14:paraId="3D570B03" w14:textId="77777777" w:rsidR="000707DD" w:rsidRPr="00834CDC" w:rsidRDefault="000707DD" w:rsidP="003058F5">
            <w:pPr>
              <w:rPr>
                <w:sz w:val="18"/>
                <w:szCs w:val="18"/>
              </w:rPr>
            </w:pPr>
          </w:p>
        </w:tc>
      </w:tr>
      <w:tr w:rsidR="000707DD" w:rsidRPr="00834CDC" w14:paraId="5376D8AB" w14:textId="77777777" w:rsidTr="000E4006">
        <w:trPr>
          <w:cnfStyle w:val="000000010000" w:firstRow="0" w:lastRow="0" w:firstColumn="0" w:lastColumn="0" w:oddVBand="0" w:evenVBand="0" w:oddHBand="0" w:evenHBand="1" w:firstRowFirstColumn="0" w:firstRowLastColumn="0" w:lastRowFirstColumn="0" w:lastRowLastColumn="0"/>
          <w:divId w:val="1988506822"/>
        </w:trPr>
        <w:tc>
          <w:tcPr>
            <w:tcW w:w="4111" w:type="dxa"/>
            <w:tcBorders>
              <w:top w:val="single" w:sz="2" w:space="0" w:color="auto"/>
              <w:left w:val="single" w:sz="2" w:space="0" w:color="auto"/>
              <w:bottom w:val="single" w:sz="2" w:space="0" w:color="auto"/>
              <w:right w:val="single" w:sz="2" w:space="0" w:color="auto"/>
            </w:tcBorders>
            <w:shd w:val="clear" w:color="auto" w:fill="auto"/>
            <w:hideMark/>
          </w:tcPr>
          <w:p w14:paraId="0853CBB1" w14:textId="77777777" w:rsidR="000707DD" w:rsidRPr="00834CDC" w:rsidRDefault="000707DD" w:rsidP="0036655F">
            <w:pPr>
              <w:pStyle w:val="NormalWeb"/>
              <w:jc w:val="left"/>
              <w:rPr>
                <w:sz w:val="18"/>
                <w:szCs w:val="18"/>
              </w:rPr>
            </w:pPr>
            <w:r w:rsidRPr="00834CDC">
              <w:rPr>
                <w:sz w:val="18"/>
                <w:szCs w:val="18"/>
              </w:rPr>
              <w:t>Meningococcal disease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11B9EEBD" w14:textId="77777777" w:rsidR="000707DD" w:rsidRPr="00834CDC" w:rsidRDefault="000707DD" w:rsidP="003058F5">
            <w:pPr>
              <w:pStyle w:val="NormalWeb"/>
              <w:rPr>
                <w:sz w:val="18"/>
                <w:szCs w:val="18"/>
              </w:rPr>
            </w:pPr>
            <w:r w:rsidRPr="00834CDC">
              <w:rPr>
                <w:sz w:val="18"/>
                <w:szCs w:val="18"/>
              </w:rPr>
              <w:t>1,120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5088D4C" w14:textId="77777777" w:rsidR="000707DD" w:rsidRPr="00834CDC" w:rsidRDefault="000707DD" w:rsidP="003058F5">
            <w:pPr>
              <w:pStyle w:val="NormalWeb"/>
              <w:rPr>
                <w:sz w:val="18"/>
                <w:szCs w:val="18"/>
              </w:rPr>
            </w:pPr>
            <w:r w:rsidRPr="00834CDC">
              <w:rPr>
                <w:sz w:val="18"/>
                <w:szCs w:val="18"/>
              </w:rPr>
              <w:t>98.4</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54215EC5" w14:textId="77777777" w:rsidR="000707DD" w:rsidRPr="00834CDC" w:rsidRDefault="000707DD" w:rsidP="003058F5">
            <w:pPr>
              <w:rPr>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F3D9452" w14:textId="77777777" w:rsidR="000707DD" w:rsidRPr="00834CDC" w:rsidRDefault="000707DD" w:rsidP="003058F5">
            <w:pPr>
              <w:rPr>
                <w:rFonts w:eastAsia="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186FBEB8" w14:textId="77777777" w:rsidR="000707DD" w:rsidRPr="00834CDC" w:rsidRDefault="000707DD" w:rsidP="003058F5">
            <w:pPr>
              <w:rPr>
                <w:rFonts w:eastAsia="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1F463C6" w14:textId="77777777" w:rsidR="000707DD" w:rsidRPr="00834CDC" w:rsidRDefault="000707DD" w:rsidP="003058F5">
            <w:pPr>
              <w:rPr>
                <w:rFonts w:eastAsia="Times New Roman"/>
                <w:sz w:val="18"/>
                <w:szCs w:val="18"/>
              </w:rPr>
            </w:pPr>
          </w:p>
        </w:tc>
        <w:tc>
          <w:tcPr>
            <w:tcW w:w="2835" w:type="dxa"/>
            <w:tcBorders>
              <w:top w:val="single" w:sz="2" w:space="0" w:color="auto"/>
              <w:left w:val="single" w:sz="2" w:space="0" w:color="auto"/>
              <w:bottom w:val="single" w:sz="2" w:space="0" w:color="auto"/>
              <w:right w:val="single" w:sz="2" w:space="0" w:color="auto"/>
            </w:tcBorders>
            <w:shd w:val="clear" w:color="auto" w:fill="auto"/>
            <w:hideMark/>
          </w:tcPr>
          <w:p w14:paraId="67A46EFB" w14:textId="77777777" w:rsidR="000707DD" w:rsidRPr="00834CDC" w:rsidRDefault="000707DD" w:rsidP="003058F5">
            <w:pPr>
              <w:pStyle w:val="NormalWeb"/>
              <w:rPr>
                <w:sz w:val="18"/>
                <w:szCs w:val="18"/>
              </w:rPr>
            </w:pPr>
            <w:r w:rsidRPr="00834CDC">
              <w:rPr>
                <w:sz w:val="18"/>
                <w:szCs w:val="18"/>
              </w:rPr>
              <w:t>ACT, NSW, NT, Qld, SA, Tas., Vic., WA</w:t>
            </w:r>
          </w:p>
        </w:tc>
        <w:tc>
          <w:tcPr>
            <w:tcW w:w="1048" w:type="dxa"/>
            <w:tcBorders>
              <w:top w:val="single" w:sz="2" w:space="0" w:color="auto"/>
              <w:left w:val="single" w:sz="2" w:space="0" w:color="auto"/>
              <w:bottom w:val="single" w:sz="2" w:space="0" w:color="auto"/>
              <w:right w:val="single" w:sz="2" w:space="0" w:color="auto"/>
            </w:tcBorders>
            <w:shd w:val="clear" w:color="auto" w:fill="auto"/>
            <w:hideMark/>
          </w:tcPr>
          <w:p w14:paraId="2A427B09" w14:textId="77777777" w:rsidR="000707DD" w:rsidRPr="00834CDC" w:rsidRDefault="000707DD" w:rsidP="003058F5">
            <w:pPr>
              <w:rPr>
                <w:sz w:val="18"/>
                <w:szCs w:val="18"/>
              </w:rPr>
            </w:pPr>
          </w:p>
        </w:tc>
      </w:tr>
      <w:tr w:rsidR="000707DD" w:rsidRPr="00834CDC" w14:paraId="6A63AD6A" w14:textId="77777777" w:rsidTr="000E4006">
        <w:trPr>
          <w:divId w:val="1988506822"/>
        </w:trPr>
        <w:tc>
          <w:tcPr>
            <w:tcW w:w="4111" w:type="dxa"/>
            <w:tcBorders>
              <w:top w:val="single" w:sz="2" w:space="0" w:color="auto"/>
              <w:left w:val="single" w:sz="2" w:space="0" w:color="auto"/>
              <w:bottom w:val="single" w:sz="2" w:space="0" w:color="auto"/>
              <w:right w:val="single" w:sz="2" w:space="0" w:color="auto"/>
            </w:tcBorders>
            <w:shd w:val="clear" w:color="auto" w:fill="auto"/>
            <w:hideMark/>
          </w:tcPr>
          <w:p w14:paraId="1162EE24" w14:textId="77777777" w:rsidR="000707DD" w:rsidRPr="00834CDC" w:rsidRDefault="000707DD" w:rsidP="0036655F">
            <w:pPr>
              <w:pStyle w:val="NormalWeb"/>
              <w:jc w:val="left"/>
              <w:rPr>
                <w:sz w:val="18"/>
                <w:szCs w:val="18"/>
              </w:rPr>
            </w:pPr>
            <w:r w:rsidRPr="00834CDC">
              <w:rPr>
                <w:sz w:val="18"/>
                <w:szCs w:val="18"/>
              </w:rPr>
              <w:t>Mumps</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1B56A2A3" w14:textId="77777777" w:rsidR="000707DD" w:rsidRPr="00834CDC" w:rsidRDefault="000707DD" w:rsidP="003058F5">
            <w:pPr>
              <w:pStyle w:val="NormalWeb"/>
              <w:rPr>
                <w:sz w:val="18"/>
                <w:szCs w:val="18"/>
              </w:rPr>
            </w:pPr>
            <w:r w:rsidRPr="00834CDC">
              <w:rPr>
                <w:sz w:val="18"/>
                <w:szCs w:val="18"/>
              </w:rPr>
              <w:t>2,422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5AA0C99" w14:textId="77777777" w:rsidR="000707DD" w:rsidRPr="00834CDC" w:rsidRDefault="000707DD" w:rsidP="003058F5">
            <w:pPr>
              <w:pStyle w:val="NormalWeb"/>
              <w:rPr>
                <w:sz w:val="18"/>
                <w:szCs w:val="18"/>
              </w:rPr>
            </w:pPr>
            <w:r w:rsidRPr="00834CDC">
              <w:rPr>
                <w:sz w:val="18"/>
                <w:szCs w:val="18"/>
              </w:rPr>
              <w:t>95.3</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7B22B10" w14:textId="77777777" w:rsidR="000707DD" w:rsidRPr="00834CDC" w:rsidRDefault="000707DD" w:rsidP="003058F5">
            <w:pPr>
              <w:rPr>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92AEAB8" w14:textId="77777777" w:rsidR="000707DD" w:rsidRPr="00834CDC" w:rsidRDefault="000707DD" w:rsidP="003058F5">
            <w:pPr>
              <w:rPr>
                <w:rFonts w:eastAsia="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1E7B4985" w14:textId="77777777" w:rsidR="000707DD" w:rsidRPr="00834CDC" w:rsidRDefault="000707DD" w:rsidP="003058F5">
            <w:pPr>
              <w:rPr>
                <w:rFonts w:eastAsia="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AC04163" w14:textId="77777777" w:rsidR="000707DD" w:rsidRPr="00834CDC" w:rsidRDefault="000707DD" w:rsidP="003058F5">
            <w:pPr>
              <w:pStyle w:val="NormalWeb"/>
              <w:rPr>
                <w:sz w:val="18"/>
                <w:szCs w:val="18"/>
              </w:rPr>
            </w:pPr>
            <w:r w:rsidRPr="00834CDC">
              <w:rPr>
                <w:sz w:val="18"/>
                <w:szCs w:val="18"/>
              </w:rPr>
              <w:t>NSW, Vic.</w:t>
            </w:r>
          </w:p>
        </w:tc>
        <w:tc>
          <w:tcPr>
            <w:tcW w:w="2835" w:type="dxa"/>
            <w:tcBorders>
              <w:top w:val="single" w:sz="2" w:space="0" w:color="auto"/>
              <w:left w:val="single" w:sz="2" w:space="0" w:color="auto"/>
              <w:bottom w:val="single" w:sz="2" w:space="0" w:color="auto"/>
              <w:right w:val="single" w:sz="2" w:space="0" w:color="auto"/>
            </w:tcBorders>
            <w:shd w:val="clear" w:color="auto" w:fill="auto"/>
            <w:hideMark/>
          </w:tcPr>
          <w:p w14:paraId="3C997D82" w14:textId="77777777" w:rsidR="000707DD" w:rsidRPr="00834CDC" w:rsidRDefault="000707DD" w:rsidP="003058F5">
            <w:pPr>
              <w:pStyle w:val="NormalWeb"/>
              <w:rPr>
                <w:sz w:val="18"/>
                <w:szCs w:val="18"/>
              </w:rPr>
            </w:pPr>
            <w:r w:rsidRPr="00834CDC">
              <w:rPr>
                <w:sz w:val="18"/>
                <w:szCs w:val="18"/>
              </w:rPr>
              <w:t>ACT, NT, Qld, SA, Tas., WA</w:t>
            </w:r>
          </w:p>
        </w:tc>
        <w:tc>
          <w:tcPr>
            <w:tcW w:w="1048" w:type="dxa"/>
            <w:tcBorders>
              <w:top w:val="single" w:sz="2" w:space="0" w:color="auto"/>
              <w:left w:val="single" w:sz="2" w:space="0" w:color="auto"/>
              <w:bottom w:val="single" w:sz="2" w:space="0" w:color="auto"/>
              <w:right w:val="single" w:sz="2" w:space="0" w:color="auto"/>
            </w:tcBorders>
            <w:shd w:val="clear" w:color="auto" w:fill="auto"/>
            <w:hideMark/>
          </w:tcPr>
          <w:p w14:paraId="6770B885" w14:textId="77777777" w:rsidR="000707DD" w:rsidRPr="00834CDC" w:rsidRDefault="000707DD" w:rsidP="003058F5">
            <w:pPr>
              <w:rPr>
                <w:sz w:val="18"/>
                <w:szCs w:val="18"/>
              </w:rPr>
            </w:pPr>
          </w:p>
        </w:tc>
      </w:tr>
      <w:tr w:rsidR="000707DD" w:rsidRPr="00834CDC" w14:paraId="55DB3D7C" w14:textId="77777777" w:rsidTr="000E4006">
        <w:trPr>
          <w:cnfStyle w:val="000000010000" w:firstRow="0" w:lastRow="0" w:firstColumn="0" w:lastColumn="0" w:oddVBand="0" w:evenVBand="0" w:oddHBand="0" w:evenHBand="1" w:firstRowFirstColumn="0" w:firstRowLastColumn="0" w:lastRowFirstColumn="0" w:lastRowLastColumn="0"/>
          <w:divId w:val="1988506822"/>
        </w:trPr>
        <w:tc>
          <w:tcPr>
            <w:tcW w:w="4111" w:type="dxa"/>
            <w:tcBorders>
              <w:top w:val="single" w:sz="2" w:space="0" w:color="auto"/>
              <w:left w:val="single" w:sz="2" w:space="0" w:color="auto"/>
              <w:bottom w:val="single" w:sz="2" w:space="0" w:color="auto"/>
              <w:right w:val="single" w:sz="2" w:space="0" w:color="auto"/>
            </w:tcBorders>
            <w:shd w:val="clear" w:color="auto" w:fill="auto"/>
            <w:hideMark/>
          </w:tcPr>
          <w:p w14:paraId="0D00B951" w14:textId="77777777" w:rsidR="000707DD" w:rsidRPr="00834CDC" w:rsidRDefault="000707DD" w:rsidP="0036655F">
            <w:pPr>
              <w:pStyle w:val="NormalWeb"/>
              <w:jc w:val="left"/>
              <w:rPr>
                <w:sz w:val="18"/>
                <w:szCs w:val="18"/>
              </w:rPr>
            </w:pPr>
            <w:r w:rsidRPr="00834CDC">
              <w:rPr>
                <w:sz w:val="18"/>
                <w:szCs w:val="18"/>
              </w:rPr>
              <w:t>Pertussis</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6FD20AED" w14:textId="77777777" w:rsidR="000707DD" w:rsidRPr="00834CDC" w:rsidRDefault="000707DD" w:rsidP="003058F5">
            <w:pPr>
              <w:pStyle w:val="NormalWeb"/>
              <w:rPr>
                <w:sz w:val="18"/>
                <w:szCs w:val="18"/>
              </w:rPr>
            </w:pPr>
            <w:r w:rsidRPr="00834CDC">
              <w:rPr>
                <w:sz w:val="18"/>
                <w:szCs w:val="18"/>
              </w:rPr>
              <w:t>56,963</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7FA1045" w14:textId="77777777" w:rsidR="000707DD" w:rsidRPr="00834CDC" w:rsidRDefault="000707DD" w:rsidP="003058F5">
            <w:pPr>
              <w:pStyle w:val="NormalWeb"/>
              <w:rPr>
                <w:sz w:val="18"/>
                <w:szCs w:val="18"/>
              </w:rPr>
            </w:pPr>
            <w:r w:rsidRPr="00834CDC">
              <w:rPr>
                <w:sz w:val="18"/>
                <w:szCs w:val="18"/>
              </w:rPr>
              <w:t>59.2</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7F4F0FBD" w14:textId="77777777" w:rsidR="000707DD" w:rsidRPr="00834CDC" w:rsidRDefault="000707DD" w:rsidP="003058F5">
            <w:pPr>
              <w:rPr>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71BBC59" w14:textId="77777777" w:rsidR="000707DD" w:rsidRPr="00834CDC" w:rsidRDefault="000707DD" w:rsidP="003058F5">
            <w:pPr>
              <w:pStyle w:val="NormalWeb"/>
              <w:rPr>
                <w:sz w:val="18"/>
                <w:szCs w:val="18"/>
              </w:rPr>
            </w:pPr>
            <w:r w:rsidRPr="00834CDC">
              <w:rPr>
                <w:sz w:val="18"/>
                <w:szCs w:val="18"/>
              </w:rPr>
              <w:t>NSW, Vic.</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1E157162" w14:textId="77777777" w:rsidR="000707DD" w:rsidRPr="00834CDC" w:rsidRDefault="000707DD" w:rsidP="003058F5">
            <w:pPr>
              <w:pStyle w:val="NormalWeb"/>
              <w:rPr>
                <w:sz w:val="18"/>
                <w:szCs w:val="18"/>
              </w:rPr>
            </w:pPr>
            <w:r w:rsidRPr="00834CDC">
              <w:rPr>
                <w:sz w:val="18"/>
                <w:szCs w:val="18"/>
              </w:rPr>
              <w:t>Qld</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7AB8848" w14:textId="77777777" w:rsidR="000707DD" w:rsidRPr="00834CDC" w:rsidRDefault="000707DD" w:rsidP="003058F5">
            <w:pPr>
              <w:pStyle w:val="NormalWeb"/>
              <w:rPr>
                <w:sz w:val="18"/>
                <w:szCs w:val="18"/>
              </w:rPr>
            </w:pPr>
            <w:r w:rsidRPr="00834CDC">
              <w:rPr>
                <w:sz w:val="18"/>
                <w:szCs w:val="18"/>
              </w:rPr>
              <w:t>Tas.</w:t>
            </w:r>
          </w:p>
        </w:tc>
        <w:tc>
          <w:tcPr>
            <w:tcW w:w="2835" w:type="dxa"/>
            <w:tcBorders>
              <w:top w:val="single" w:sz="2" w:space="0" w:color="auto"/>
              <w:left w:val="single" w:sz="2" w:space="0" w:color="auto"/>
              <w:bottom w:val="single" w:sz="2" w:space="0" w:color="auto"/>
              <w:right w:val="single" w:sz="2" w:space="0" w:color="auto"/>
            </w:tcBorders>
            <w:shd w:val="clear" w:color="auto" w:fill="auto"/>
            <w:hideMark/>
          </w:tcPr>
          <w:p w14:paraId="4A97F72A" w14:textId="77777777" w:rsidR="000707DD" w:rsidRPr="00834CDC" w:rsidRDefault="000707DD" w:rsidP="003058F5">
            <w:pPr>
              <w:pStyle w:val="NormalWeb"/>
              <w:rPr>
                <w:sz w:val="18"/>
                <w:szCs w:val="18"/>
              </w:rPr>
            </w:pPr>
            <w:r w:rsidRPr="00834CDC">
              <w:rPr>
                <w:sz w:val="18"/>
                <w:szCs w:val="18"/>
              </w:rPr>
              <w:t>ACT, NT, SA, WA</w:t>
            </w:r>
          </w:p>
        </w:tc>
        <w:tc>
          <w:tcPr>
            <w:tcW w:w="1048" w:type="dxa"/>
            <w:tcBorders>
              <w:top w:val="single" w:sz="2" w:space="0" w:color="auto"/>
              <w:left w:val="single" w:sz="2" w:space="0" w:color="auto"/>
              <w:bottom w:val="single" w:sz="2" w:space="0" w:color="auto"/>
              <w:right w:val="single" w:sz="2" w:space="0" w:color="auto"/>
            </w:tcBorders>
            <w:shd w:val="clear" w:color="auto" w:fill="auto"/>
            <w:hideMark/>
          </w:tcPr>
          <w:p w14:paraId="42F1EB43" w14:textId="77777777" w:rsidR="000707DD" w:rsidRPr="00834CDC" w:rsidRDefault="000707DD" w:rsidP="003058F5">
            <w:pPr>
              <w:rPr>
                <w:sz w:val="18"/>
                <w:szCs w:val="18"/>
              </w:rPr>
            </w:pPr>
          </w:p>
        </w:tc>
      </w:tr>
      <w:tr w:rsidR="000707DD" w:rsidRPr="00834CDC" w14:paraId="5668163C" w14:textId="77777777" w:rsidTr="000E4006">
        <w:trPr>
          <w:divId w:val="1988506822"/>
        </w:trPr>
        <w:tc>
          <w:tcPr>
            <w:tcW w:w="4111" w:type="dxa"/>
            <w:tcBorders>
              <w:top w:val="single" w:sz="2" w:space="0" w:color="auto"/>
              <w:left w:val="single" w:sz="2" w:space="0" w:color="auto"/>
              <w:bottom w:val="single" w:sz="2" w:space="0" w:color="auto"/>
              <w:right w:val="single" w:sz="2" w:space="0" w:color="auto"/>
            </w:tcBorders>
            <w:shd w:val="clear" w:color="auto" w:fill="auto"/>
            <w:hideMark/>
          </w:tcPr>
          <w:p w14:paraId="56D29736" w14:textId="77777777" w:rsidR="000707DD" w:rsidRPr="00834CDC" w:rsidRDefault="000707DD" w:rsidP="0036655F">
            <w:pPr>
              <w:pStyle w:val="NormalWeb"/>
              <w:jc w:val="left"/>
              <w:rPr>
                <w:sz w:val="18"/>
                <w:szCs w:val="18"/>
              </w:rPr>
            </w:pPr>
            <w:r w:rsidRPr="00834CDC">
              <w:rPr>
                <w:sz w:val="18"/>
                <w:szCs w:val="18"/>
              </w:rPr>
              <w:t>Pneumococcal disease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67FFD24C" w14:textId="77777777" w:rsidR="000707DD" w:rsidRPr="00834CDC" w:rsidRDefault="000707DD" w:rsidP="003058F5">
            <w:pPr>
              <w:pStyle w:val="NormalWeb"/>
              <w:rPr>
                <w:sz w:val="18"/>
                <w:szCs w:val="18"/>
              </w:rPr>
            </w:pPr>
            <w:r w:rsidRPr="00834CDC">
              <w:rPr>
                <w:sz w:val="18"/>
                <w:szCs w:val="18"/>
              </w:rPr>
              <w:t>7,782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C33AC16" w14:textId="77777777" w:rsidR="000707DD" w:rsidRPr="00834CDC" w:rsidRDefault="000707DD" w:rsidP="003058F5">
            <w:pPr>
              <w:pStyle w:val="NormalWeb"/>
              <w:rPr>
                <w:sz w:val="18"/>
                <w:szCs w:val="18"/>
              </w:rPr>
            </w:pPr>
            <w:r w:rsidRPr="00834CDC">
              <w:rPr>
                <w:sz w:val="18"/>
                <w:szCs w:val="18"/>
              </w:rPr>
              <w:t>91.7</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55DB935" w14:textId="77777777" w:rsidR="000707DD" w:rsidRPr="00834CDC" w:rsidRDefault="000707DD" w:rsidP="003058F5">
            <w:pPr>
              <w:rPr>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379711B4" w14:textId="77777777" w:rsidR="000707DD" w:rsidRPr="00834CDC" w:rsidRDefault="000707DD" w:rsidP="003058F5">
            <w:pPr>
              <w:rPr>
                <w:rFonts w:eastAsia="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98EEC00" w14:textId="77777777" w:rsidR="000707DD" w:rsidRPr="00834CDC" w:rsidRDefault="000707DD" w:rsidP="003058F5">
            <w:pPr>
              <w:rPr>
                <w:rFonts w:eastAsia="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B008C06" w14:textId="77777777" w:rsidR="000707DD" w:rsidRPr="00834CDC" w:rsidRDefault="000707DD" w:rsidP="003058F5">
            <w:pPr>
              <w:pStyle w:val="NormalWeb"/>
              <w:rPr>
                <w:sz w:val="18"/>
                <w:szCs w:val="18"/>
              </w:rPr>
            </w:pPr>
            <w:r w:rsidRPr="00834CDC">
              <w:rPr>
                <w:sz w:val="18"/>
                <w:szCs w:val="18"/>
              </w:rPr>
              <w:t>NSW, Vic.</w:t>
            </w:r>
          </w:p>
        </w:tc>
        <w:tc>
          <w:tcPr>
            <w:tcW w:w="2835" w:type="dxa"/>
            <w:tcBorders>
              <w:top w:val="single" w:sz="2" w:space="0" w:color="auto"/>
              <w:left w:val="single" w:sz="2" w:space="0" w:color="auto"/>
              <w:bottom w:val="single" w:sz="2" w:space="0" w:color="auto"/>
              <w:right w:val="single" w:sz="2" w:space="0" w:color="auto"/>
            </w:tcBorders>
            <w:shd w:val="clear" w:color="auto" w:fill="auto"/>
            <w:hideMark/>
          </w:tcPr>
          <w:p w14:paraId="1F089BB9" w14:textId="77777777" w:rsidR="000707DD" w:rsidRPr="00834CDC" w:rsidRDefault="000707DD" w:rsidP="003058F5">
            <w:pPr>
              <w:pStyle w:val="NormalWeb"/>
              <w:rPr>
                <w:sz w:val="18"/>
                <w:szCs w:val="18"/>
              </w:rPr>
            </w:pPr>
            <w:r w:rsidRPr="00834CDC">
              <w:rPr>
                <w:sz w:val="18"/>
                <w:szCs w:val="18"/>
              </w:rPr>
              <w:t>ACT, NT, Qld, SA, Tas., WA</w:t>
            </w:r>
          </w:p>
        </w:tc>
        <w:tc>
          <w:tcPr>
            <w:tcW w:w="1048" w:type="dxa"/>
            <w:tcBorders>
              <w:top w:val="single" w:sz="2" w:space="0" w:color="auto"/>
              <w:left w:val="single" w:sz="2" w:space="0" w:color="auto"/>
              <w:bottom w:val="single" w:sz="2" w:space="0" w:color="auto"/>
              <w:right w:val="single" w:sz="2" w:space="0" w:color="auto"/>
            </w:tcBorders>
            <w:shd w:val="clear" w:color="auto" w:fill="auto"/>
            <w:hideMark/>
          </w:tcPr>
          <w:p w14:paraId="284ABE02" w14:textId="77777777" w:rsidR="000707DD" w:rsidRPr="00834CDC" w:rsidRDefault="000707DD" w:rsidP="003058F5">
            <w:pPr>
              <w:rPr>
                <w:sz w:val="18"/>
                <w:szCs w:val="18"/>
              </w:rPr>
            </w:pPr>
          </w:p>
        </w:tc>
      </w:tr>
      <w:tr w:rsidR="000707DD" w:rsidRPr="00834CDC" w14:paraId="760D4666" w14:textId="77777777" w:rsidTr="000E4006">
        <w:trPr>
          <w:cnfStyle w:val="000000010000" w:firstRow="0" w:lastRow="0" w:firstColumn="0" w:lastColumn="0" w:oddVBand="0" w:evenVBand="0" w:oddHBand="0" w:evenHBand="1" w:firstRowFirstColumn="0" w:firstRowLastColumn="0" w:lastRowFirstColumn="0" w:lastRowLastColumn="0"/>
          <w:divId w:val="1988506822"/>
        </w:trPr>
        <w:tc>
          <w:tcPr>
            <w:tcW w:w="4111" w:type="dxa"/>
            <w:tcBorders>
              <w:top w:val="single" w:sz="2" w:space="0" w:color="auto"/>
              <w:left w:val="single" w:sz="2" w:space="0" w:color="auto"/>
              <w:bottom w:val="single" w:sz="2" w:space="0" w:color="auto"/>
              <w:right w:val="single" w:sz="2" w:space="0" w:color="auto"/>
            </w:tcBorders>
            <w:shd w:val="clear" w:color="auto" w:fill="auto"/>
            <w:hideMark/>
          </w:tcPr>
          <w:p w14:paraId="7229EEE2" w14:textId="77777777" w:rsidR="000707DD" w:rsidRPr="00834CDC" w:rsidRDefault="000707DD" w:rsidP="0036655F">
            <w:pPr>
              <w:pStyle w:val="NormalWeb"/>
              <w:jc w:val="left"/>
              <w:rPr>
                <w:sz w:val="18"/>
                <w:szCs w:val="18"/>
              </w:rPr>
            </w:pPr>
            <w:r w:rsidRPr="00834CDC">
              <w:rPr>
                <w:sz w:val="18"/>
                <w:szCs w:val="18"/>
              </w:rPr>
              <w:t xml:space="preserve">Rotavirus </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4DBE544E" w14:textId="77777777" w:rsidR="000707DD" w:rsidRPr="00834CDC" w:rsidRDefault="000707DD" w:rsidP="003058F5">
            <w:pPr>
              <w:pStyle w:val="NormalWeb"/>
              <w:rPr>
                <w:sz w:val="18"/>
                <w:szCs w:val="18"/>
              </w:rPr>
            </w:pPr>
            <w:r w:rsidRPr="00834CDC">
              <w:rPr>
                <w:sz w:val="18"/>
                <w:szCs w:val="18"/>
              </w:rPr>
              <w:t>7,911</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9B50616" w14:textId="77777777" w:rsidR="000707DD" w:rsidRPr="00834CDC" w:rsidRDefault="000707DD" w:rsidP="003058F5">
            <w:pPr>
              <w:pStyle w:val="NormalWeb"/>
              <w:rPr>
                <w:sz w:val="18"/>
                <w:szCs w:val="18"/>
              </w:rPr>
            </w:pPr>
            <w:r w:rsidRPr="00834CDC">
              <w:rPr>
                <w:sz w:val="18"/>
                <w:szCs w:val="18"/>
              </w:rPr>
              <w:t>69.7</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50B733FC" w14:textId="77777777" w:rsidR="000707DD" w:rsidRPr="00834CDC" w:rsidRDefault="000707DD" w:rsidP="003058F5">
            <w:pPr>
              <w:pStyle w:val="NormalWeb"/>
              <w:rPr>
                <w:sz w:val="18"/>
                <w:szCs w:val="18"/>
              </w:rPr>
            </w:pPr>
            <w:r w:rsidRPr="00834CDC">
              <w:rPr>
                <w:sz w:val="18"/>
                <w:szCs w:val="18"/>
              </w:rPr>
              <w:t>Vic.</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F523B04" w14:textId="77777777" w:rsidR="000707DD" w:rsidRPr="00834CDC" w:rsidRDefault="000707DD" w:rsidP="003058F5">
            <w:pPr>
              <w:pStyle w:val="NormalWeb"/>
              <w:rPr>
                <w:sz w:val="18"/>
                <w:szCs w:val="18"/>
              </w:rPr>
            </w:pPr>
            <w:r w:rsidRPr="00834CDC">
              <w:rPr>
                <w:sz w:val="18"/>
                <w:szCs w:val="18"/>
              </w:rPr>
              <w:t>NSW, Tas.</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0AED495" w14:textId="77777777" w:rsidR="000707DD" w:rsidRPr="00834CDC" w:rsidRDefault="000707DD" w:rsidP="003058F5">
            <w:pPr>
              <w:rPr>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E1E2096" w14:textId="77777777" w:rsidR="000707DD" w:rsidRPr="00834CDC" w:rsidRDefault="000707DD" w:rsidP="003058F5">
            <w:pPr>
              <w:pStyle w:val="NormalWeb"/>
              <w:rPr>
                <w:sz w:val="18"/>
                <w:szCs w:val="18"/>
              </w:rPr>
            </w:pPr>
            <w:r w:rsidRPr="00834CDC">
              <w:rPr>
                <w:sz w:val="18"/>
                <w:szCs w:val="18"/>
              </w:rPr>
              <w:t>Qld, SA</w:t>
            </w:r>
          </w:p>
        </w:tc>
        <w:tc>
          <w:tcPr>
            <w:tcW w:w="2835" w:type="dxa"/>
            <w:tcBorders>
              <w:top w:val="single" w:sz="2" w:space="0" w:color="auto"/>
              <w:left w:val="single" w:sz="2" w:space="0" w:color="auto"/>
              <w:bottom w:val="single" w:sz="2" w:space="0" w:color="auto"/>
              <w:right w:val="single" w:sz="2" w:space="0" w:color="auto"/>
            </w:tcBorders>
            <w:shd w:val="clear" w:color="auto" w:fill="auto"/>
            <w:hideMark/>
          </w:tcPr>
          <w:p w14:paraId="24D4E6C5" w14:textId="77777777" w:rsidR="000707DD" w:rsidRPr="00834CDC" w:rsidRDefault="000707DD" w:rsidP="003058F5">
            <w:pPr>
              <w:pStyle w:val="NormalWeb"/>
              <w:rPr>
                <w:sz w:val="18"/>
                <w:szCs w:val="18"/>
              </w:rPr>
            </w:pPr>
            <w:r w:rsidRPr="00834CDC">
              <w:rPr>
                <w:sz w:val="18"/>
                <w:szCs w:val="18"/>
              </w:rPr>
              <w:t>ACT, NT, WA</w:t>
            </w:r>
          </w:p>
        </w:tc>
        <w:tc>
          <w:tcPr>
            <w:tcW w:w="1048" w:type="dxa"/>
            <w:tcBorders>
              <w:top w:val="single" w:sz="2" w:space="0" w:color="auto"/>
              <w:left w:val="single" w:sz="2" w:space="0" w:color="auto"/>
              <w:bottom w:val="single" w:sz="2" w:space="0" w:color="auto"/>
              <w:right w:val="single" w:sz="2" w:space="0" w:color="auto"/>
            </w:tcBorders>
            <w:shd w:val="clear" w:color="auto" w:fill="auto"/>
            <w:hideMark/>
          </w:tcPr>
          <w:p w14:paraId="16A5E9F6" w14:textId="77777777" w:rsidR="000707DD" w:rsidRPr="00834CDC" w:rsidRDefault="000707DD" w:rsidP="003058F5">
            <w:pPr>
              <w:rPr>
                <w:sz w:val="18"/>
                <w:szCs w:val="18"/>
              </w:rPr>
            </w:pPr>
          </w:p>
        </w:tc>
      </w:tr>
    </w:tbl>
    <w:p w14:paraId="66F1E789" w14:textId="18C6FB4D" w:rsidR="000707DD" w:rsidRPr="00834CDC" w:rsidRDefault="000707DD" w:rsidP="000707DD">
      <w:pPr>
        <w:divId w:val="1988506822"/>
      </w:pPr>
    </w:p>
    <w:p w14:paraId="30AEB978" w14:textId="77777777" w:rsidR="00027E5D" w:rsidRPr="00834CDC" w:rsidRDefault="00027E5D" w:rsidP="00027E5D">
      <w:pPr>
        <w:pStyle w:val="CDIfootnotes"/>
        <w:ind w:left="0" w:firstLine="0"/>
        <w:divId w:val="1988506822"/>
      </w:pPr>
      <w:r w:rsidRPr="00834CDC">
        <w:t>a</w:t>
      </w:r>
      <w:r w:rsidRPr="00834CDC">
        <w:tab/>
        <w:t xml:space="preserve">Notifications </w:t>
      </w:r>
      <w:proofErr w:type="gramStart"/>
      <w:r w:rsidRPr="00834CDC">
        <w:t>where</w:t>
      </w:r>
      <w:proofErr w:type="gramEnd"/>
      <w:r w:rsidRPr="00834CDC">
        <w:t xml:space="preserve"> date of diagnosis between 1 January 2016 and 31 December 2019, except for rotavirus (1 July 2018 to 31 December 2019).</w:t>
      </w:r>
    </w:p>
    <w:p w14:paraId="3A0E0F9A" w14:textId="77777777" w:rsidR="00027E5D" w:rsidRPr="00834CDC" w:rsidRDefault="00027E5D" w:rsidP="00027E5D">
      <w:pPr>
        <w:pStyle w:val="CDIfootnotes"/>
        <w:divId w:val="1988506822"/>
      </w:pPr>
      <w:r w:rsidRPr="00834CDC">
        <w:t>b</w:t>
      </w:r>
      <w:r w:rsidRPr="00834CDC">
        <w:tab/>
        <w:t>ACT: Australian Capital Territory; NSW: New South Wales; NT: Northern Territory; Qld: Queensland; SA: South Australia; Tas.; Tasmania; Vic.: Victoria; WA: Western Australia.</w:t>
      </w:r>
    </w:p>
    <w:p w14:paraId="24A38840" w14:textId="0AB1EBCB" w:rsidR="00027E5D" w:rsidRPr="00834CDC" w:rsidRDefault="00027E5D" w:rsidP="00027E5D">
      <w:pPr>
        <w:pStyle w:val="CDIfootnotes"/>
        <w:divId w:val="1988506822"/>
      </w:pPr>
      <w:r w:rsidRPr="00834CDC">
        <w:t>c</w:t>
      </w:r>
      <w:r w:rsidRPr="00834CDC">
        <w:tab/>
        <w:t>NC: no cases in the reporting period.</w:t>
      </w:r>
    </w:p>
    <w:p w14:paraId="2F5D4BC2" w14:textId="77777777" w:rsidR="00027E5D" w:rsidRPr="00834CDC" w:rsidRDefault="00027E5D" w:rsidP="000707DD">
      <w:pPr>
        <w:divId w:val="1988506822"/>
      </w:pPr>
    </w:p>
    <w:p w14:paraId="059421E4" w14:textId="694C4E1B" w:rsidR="00027E5D" w:rsidRPr="00834CDC" w:rsidRDefault="00027E5D" w:rsidP="000707DD">
      <w:pPr>
        <w:divId w:val="1988506822"/>
        <w:sectPr w:rsidR="00027E5D" w:rsidRPr="00834CDC" w:rsidSect="000707DD">
          <w:pgSz w:w="16838" w:h="11906" w:orient="landscape"/>
          <w:pgMar w:top="720" w:right="720" w:bottom="720" w:left="1134" w:header="709" w:footer="284" w:gutter="0"/>
          <w:cols w:space="708"/>
          <w:titlePg/>
          <w:docGrid w:linePitch="360"/>
        </w:sectPr>
      </w:pPr>
    </w:p>
    <w:p w14:paraId="11088329" w14:textId="77777777" w:rsidR="0023395F" w:rsidRPr="00834CDC" w:rsidRDefault="0023395F" w:rsidP="0023395F">
      <w:pPr>
        <w:pStyle w:val="CDIFigures"/>
        <w:divId w:val="1988506822"/>
      </w:pPr>
      <w:r w:rsidRPr="00834CDC">
        <w:rPr>
          <w:rStyle w:val="Strong"/>
          <w:b/>
          <w:bCs w:val="0"/>
        </w:rPr>
        <w:lastRenderedPageBreak/>
        <w:t>Table ES.3: Summary of key achievements and ways to move forward</w:t>
      </w:r>
    </w:p>
    <w:tbl>
      <w:tblPr>
        <w:tblStyle w:val="CDI-StandardTable"/>
        <w:tblW w:w="0" w:type="auto"/>
        <w:tblLook w:val="04A0" w:firstRow="1" w:lastRow="0" w:firstColumn="1" w:lastColumn="0" w:noHBand="0" w:noVBand="1"/>
        <w:tblDescription w:val="Executive Summary Table 3 summarises the key achievements in VPD control and ways to move forward."/>
      </w:tblPr>
      <w:tblGrid>
        <w:gridCol w:w="2410"/>
        <w:gridCol w:w="3958"/>
        <w:gridCol w:w="4098"/>
      </w:tblGrid>
      <w:tr w:rsidR="0023395F" w:rsidRPr="00834CDC" w14:paraId="04BEC263" w14:textId="77777777" w:rsidTr="00091242">
        <w:trPr>
          <w:cnfStyle w:val="100000000000" w:firstRow="1" w:lastRow="0" w:firstColumn="0" w:lastColumn="0" w:oddVBand="0" w:evenVBand="0" w:oddHBand="0" w:evenHBand="0" w:firstRowFirstColumn="0" w:firstRowLastColumn="0" w:lastRowFirstColumn="0" w:lastRowLastColumn="0"/>
          <w:divId w:val="1988506822"/>
        </w:trPr>
        <w:tc>
          <w:tcPr>
            <w:tcW w:w="2410" w:type="dxa"/>
            <w:tcBorders>
              <w:bottom w:val="single" w:sz="2" w:space="0" w:color="808080" w:themeColor="background1" w:themeShade="80"/>
              <w:right w:val="single" w:sz="2" w:space="0" w:color="F7ECDD"/>
            </w:tcBorders>
            <w:hideMark/>
          </w:tcPr>
          <w:p w14:paraId="55255CC6" w14:textId="77777777" w:rsidR="0023395F" w:rsidRPr="00834CDC" w:rsidRDefault="0023395F" w:rsidP="0023395F">
            <w:pPr>
              <w:pStyle w:val="NormalWeb"/>
              <w:jc w:val="left"/>
              <w:rPr>
                <w:sz w:val="18"/>
                <w:szCs w:val="18"/>
              </w:rPr>
            </w:pPr>
            <w:r w:rsidRPr="00834CDC">
              <w:rPr>
                <w:sz w:val="18"/>
                <w:szCs w:val="18"/>
              </w:rPr>
              <w:t>Vaccine preventable disease</w:t>
            </w:r>
          </w:p>
        </w:tc>
        <w:tc>
          <w:tcPr>
            <w:tcW w:w="3958" w:type="dxa"/>
            <w:tcBorders>
              <w:left w:val="single" w:sz="2" w:space="0" w:color="F7ECDD"/>
              <w:bottom w:val="single" w:sz="2" w:space="0" w:color="808080" w:themeColor="background1" w:themeShade="80"/>
              <w:right w:val="single" w:sz="2" w:space="0" w:color="F7ECDD"/>
            </w:tcBorders>
            <w:hideMark/>
          </w:tcPr>
          <w:p w14:paraId="1564FD89" w14:textId="77777777" w:rsidR="0023395F" w:rsidRPr="00834CDC" w:rsidRDefault="0023395F" w:rsidP="0023395F">
            <w:pPr>
              <w:pStyle w:val="NormalWeb"/>
              <w:jc w:val="left"/>
              <w:rPr>
                <w:sz w:val="18"/>
                <w:szCs w:val="18"/>
              </w:rPr>
            </w:pPr>
            <w:r w:rsidRPr="00834CDC">
              <w:rPr>
                <w:sz w:val="18"/>
                <w:szCs w:val="18"/>
              </w:rPr>
              <w:t>Key achievements</w:t>
            </w:r>
          </w:p>
        </w:tc>
        <w:tc>
          <w:tcPr>
            <w:tcW w:w="0" w:type="auto"/>
            <w:tcBorders>
              <w:left w:val="single" w:sz="2" w:space="0" w:color="F7ECDD"/>
              <w:bottom w:val="single" w:sz="2" w:space="0" w:color="808080" w:themeColor="background1" w:themeShade="80"/>
            </w:tcBorders>
            <w:hideMark/>
          </w:tcPr>
          <w:p w14:paraId="5E5F2FEF" w14:textId="77777777" w:rsidR="0023395F" w:rsidRPr="00834CDC" w:rsidRDefault="0023395F" w:rsidP="0023395F">
            <w:pPr>
              <w:pStyle w:val="NormalWeb"/>
              <w:jc w:val="left"/>
              <w:rPr>
                <w:sz w:val="18"/>
                <w:szCs w:val="18"/>
              </w:rPr>
            </w:pPr>
            <w:r w:rsidRPr="00834CDC">
              <w:rPr>
                <w:sz w:val="18"/>
                <w:szCs w:val="18"/>
              </w:rPr>
              <w:t>Moving forward</w:t>
            </w:r>
          </w:p>
        </w:tc>
      </w:tr>
      <w:tr w:rsidR="0023395F" w:rsidRPr="00834CDC" w14:paraId="5A318CBB" w14:textId="77777777" w:rsidTr="00232167">
        <w:trPr>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5340C49" w14:textId="77777777" w:rsidR="0023395F" w:rsidRPr="00834CDC" w:rsidRDefault="0023395F" w:rsidP="00232167">
            <w:pPr>
              <w:pStyle w:val="NormalWeb"/>
              <w:jc w:val="left"/>
              <w:rPr>
                <w:sz w:val="18"/>
                <w:szCs w:val="18"/>
              </w:rPr>
            </w:pPr>
            <w:r w:rsidRPr="00834CDC">
              <w:rPr>
                <w:sz w:val="18"/>
                <w:szCs w:val="18"/>
              </w:rPr>
              <w:t>Diphtheria</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8C80876" w14:textId="77777777" w:rsidR="0023395F" w:rsidRPr="00834CDC" w:rsidRDefault="0023395F" w:rsidP="00232167">
            <w:pPr>
              <w:pStyle w:val="NormalWeb"/>
              <w:jc w:val="left"/>
              <w:rPr>
                <w:sz w:val="18"/>
                <w:szCs w:val="18"/>
              </w:rPr>
            </w:pPr>
            <w:r w:rsidRPr="00834CDC">
              <w:rPr>
                <w:sz w:val="18"/>
                <w:szCs w:val="18"/>
              </w:rPr>
              <w:t>Diphtheria is rare in Australia due to long-standing immunisation programs.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CF97CB3" w14:textId="77777777" w:rsidR="0023395F" w:rsidRPr="00834CDC" w:rsidRDefault="0023395F" w:rsidP="00232167">
            <w:pPr>
              <w:pStyle w:val="NormalWeb"/>
              <w:jc w:val="left"/>
              <w:rPr>
                <w:sz w:val="18"/>
                <w:szCs w:val="18"/>
              </w:rPr>
            </w:pPr>
            <w:r w:rsidRPr="00834CDC">
              <w:rPr>
                <w:sz w:val="18"/>
                <w:szCs w:val="18"/>
              </w:rPr>
              <w:t>Maintain high vaccination coverage and disease surveillance.</w:t>
            </w:r>
          </w:p>
        </w:tc>
      </w:tr>
      <w:tr w:rsidR="0023395F" w:rsidRPr="00834CDC" w14:paraId="5EFE099A" w14:textId="77777777" w:rsidTr="00232167">
        <w:trPr>
          <w:cnfStyle w:val="000000010000" w:firstRow="0" w:lastRow="0" w:firstColumn="0" w:lastColumn="0" w:oddVBand="0" w:evenVBand="0" w:oddHBand="0" w:evenHBand="1" w:firstRowFirstColumn="0" w:firstRowLastColumn="0" w:lastRowFirstColumn="0" w:lastRowLastColumn="0"/>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9F0DA7E" w14:textId="77777777" w:rsidR="0023395F" w:rsidRPr="00834CDC" w:rsidRDefault="0023395F" w:rsidP="00232167">
            <w:pPr>
              <w:pStyle w:val="NormalWeb"/>
              <w:jc w:val="left"/>
              <w:rPr>
                <w:sz w:val="18"/>
                <w:szCs w:val="18"/>
              </w:rPr>
            </w:pPr>
            <w:r w:rsidRPr="00834CDC">
              <w:rPr>
                <w:sz w:val="18"/>
                <w:szCs w:val="18"/>
              </w:rPr>
              <w:t>Hepatitis A</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7FAF793" w14:textId="77777777" w:rsidR="0023395F" w:rsidRPr="00834CDC" w:rsidRDefault="0023395F" w:rsidP="00232167">
            <w:pPr>
              <w:pStyle w:val="NormalWeb"/>
              <w:jc w:val="left"/>
              <w:rPr>
                <w:sz w:val="18"/>
                <w:szCs w:val="18"/>
              </w:rPr>
            </w:pPr>
            <w:r w:rsidRPr="00834CDC">
              <w:rPr>
                <w:sz w:val="18"/>
                <w:szCs w:val="18"/>
              </w:rPr>
              <w:t xml:space="preserve">Hepatitis A notification rates among Aboriginal and Torres Strait Islander people decreased after the immunisation program for young children was introduced in </w:t>
            </w:r>
            <w:proofErr w:type="gramStart"/>
            <w:r w:rsidRPr="00834CDC">
              <w:rPr>
                <w:sz w:val="18"/>
                <w:szCs w:val="18"/>
              </w:rPr>
              <w:t>2005, and</w:t>
            </w:r>
            <w:proofErr w:type="gramEnd"/>
            <w:r w:rsidRPr="00834CDC">
              <w:rPr>
                <w:sz w:val="18"/>
                <w:szCs w:val="18"/>
              </w:rPr>
              <w:t xml:space="preserve"> have remained low with the all-age notification rate in the 2016–2019 period less than half that in other Australians.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1F8C082" w14:textId="77777777" w:rsidR="0023395F" w:rsidRPr="00834CDC" w:rsidRDefault="0023395F" w:rsidP="00232167">
            <w:pPr>
              <w:pStyle w:val="NormalWeb"/>
              <w:jc w:val="left"/>
              <w:rPr>
                <w:sz w:val="18"/>
                <w:szCs w:val="18"/>
              </w:rPr>
            </w:pPr>
            <w:r w:rsidRPr="00834CDC">
              <w:rPr>
                <w:sz w:val="18"/>
                <w:szCs w:val="18"/>
              </w:rPr>
              <w:t>Maintain vaccination coverage and disease surveillance.</w:t>
            </w:r>
          </w:p>
        </w:tc>
      </w:tr>
      <w:tr w:rsidR="0023395F" w:rsidRPr="00834CDC" w14:paraId="34BCA11F" w14:textId="77777777" w:rsidTr="00232167">
        <w:trPr>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2C332A2" w14:textId="77777777" w:rsidR="0023395F" w:rsidRPr="00834CDC" w:rsidRDefault="0023395F" w:rsidP="00232167">
            <w:pPr>
              <w:pStyle w:val="NormalWeb"/>
              <w:jc w:val="left"/>
              <w:rPr>
                <w:sz w:val="18"/>
                <w:szCs w:val="18"/>
              </w:rPr>
            </w:pPr>
            <w:r w:rsidRPr="00834CDC">
              <w:rPr>
                <w:sz w:val="18"/>
                <w:szCs w:val="18"/>
              </w:rPr>
              <w:t>Hepatitis B</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57A5AF4" w14:textId="77777777" w:rsidR="0023395F" w:rsidRPr="00834CDC" w:rsidRDefault="0023395F" w:rsidP="00232167">
            <w:pPr>
              <w:pStyle w:val="NormalWeb"/>
              <w:jc w:val="left"/>
              <w:rPr>
                <w:sz w:val="18"/>
                <w:szCs w:val="18"/>
              </w:rPr>
            </w:pPr>
            <w:r w:rsidRPr="00834CDC">
              <w:rPr>
                <w:sz w:val="18"/>
                <w:szCs w:val="18"/>
              </w:rPr>
              <w:t xml:space="preserve">Low rates of hepatitis B in people aged &lt; 15 years, both Aboriginal and Torres Strait Islander and other, </w:t>
            </w:r>
            <w:proofErr w:type="gramStart"/>
            <w:r w:rsidRPr="00834CDC">
              <w:rPr>
                <w:sz w:val="18"/>
                <w:szCs w:val="18"/>
              </w:rPr>
              <w:t>demonstrate</w:t>
            </w:r>
            <w:proofErr w:type="gramEnd"/>
            <w:r w:rsidRPr="00834CDC">
              <w:rPr>
                <w:sz w:val="18"/>
                <w:szCs w:val="18"/>
              </w:rPr>
              <w:t xml:space="preserve"> the success of the universal infant immunisation program introduced in 2000.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1FFFDE8" w14:textId="77777777" w:rsidR="0023395F" w:rsidRPr="00834CDC" w:rsidRDefault="0023395F" w:rsidP="00232167">
            <w:pPr>
              <w:pStyle w:val="NormalWeb"/>
              <w:jc w:val="left"/>
              <w:rPr>
                <w:sz w:val="18"/>
                <w:szCs w:val="18"/>
              </w:rPr>
            </w:pPr>
            <w:r w:rsidRPr="00834CDC">
              <w:rPr>
                <w:sz w:val="18"/>
                <w:szCs w:val="18"/>
              </w:rPr>
              <w:t>Improve hepatitis B vaccination uptake in Aboriginal and Torres Strait Islander adults, either through existing jurisdictional programs or inclusion on the NIP, to address higher rates of infection and chronic sequelae.</w:t>
            </w:r>
          </w:p>
        </w:tc>
      </w:tr>
      <w:tr w:rsidR="0023395F" w:rsidRPr="00834CDC" w14:paraId="6000050C" w14:textId="77777777" w:rsidTr="00232167">
        <w:trPr>
          <w:cnfStyle w:val="000000010000" w:firstRow="0" w:lastRow="0" w:firstColumn="0" w:lastColumn="0" w:oddVBand="0" w:evenVBand="0" w:oddHBand="0" w:evenHBand="1" w:firstRowFirstColumn="0" w:firstRowLastColumn="0" w:lastRowFirstColumn="0" w:lastRowLastColumn="0"/>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37DF50F" w14:textId="77777777" w:rsidR="0023395F" w:rsidRPr="00834CDC" w:rsidRDefault="0023395F" w:rsidP="00232167">
            <w:pPr>
              <w:pStyle w:val="NormalWeb"/>
              <w:jc w:val="left"/>
              <w:rPr>
                <w:sz w:val="18"/>
                <w:szCs w:val="18"/>
              </w:rPr>
            </w:pPr>
            <w:r w:rsidRPr="00834CDC">
              <w:rPr>
                <w:sz w:val="18"/>
                <w:szCs w:val="18"/>
              </w:rPr>
              <w:t>Hib disease</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22F0F46" w14:textId="77777777" w:rsidR="0023395F" w:rsidRPr="00834CDC" w:rsidRDefault="0023395F" w:rsidP="00232167">
            <w:pPr>
              <w:pStyle w:val="NormalWeb"/>
              <w:jc w:val="left"/>
              <w:rPr>
                <w:sz w:val="18"/>
                <w:szCs w:val="18"/>
              </w:rPr>
            </w:pPr>
            <w:r w:rsidRPr="00834CDC">
              <w:rPr>
                <w:sz w:val="18"/>
                <w:szCs w:val="18"/>
              </w:rPr>
              <w:t>Notification rates of invasive Hib disease in children aged &lt; 5 years, both Aboriginal and Torres Strait Islander and other, have decreased by &gt; 99% since introduction of vaccination in 1993.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269CD90" w14:textId="77777777" w:rsidR="0023395F" w:rsidRPr="00834CDC" w:rsidRDefault="0023395F" w:rsidP="00232167">
            <w:pPr>
              <w:pStyle w:val="NormalWeb"/>
              <w:jc w:val="left"/>
              <w:rPr>
                <w:sz w:val="18"/>
                <w:szCs w:val="18"/>
              </w:rPr>
            </w:pPr>
            <w:r w:rsidRPr="00834CDC">
              <w:rPr>
                <w:sz w:val="18"/>
                <w:szCs w:val="18"/>
              </w:rPr>
              <w:t xml:space="preserve">Optimise timeliness of Hib vaccination in Aboriginal and Torres Strait Islander children, given notification rate in the ˂ 5 years age group is </w:t>
            </w:r>
            <w:proofErr w:type="gramStart"/>
            <w:r w:rsidRPr="00834CDC">
              <w:rPr>
                <w:sz w:val="18"/>
                <w:szCs w:val="18"/>
              </w:rPr>
              <w:t>12</w:t>
            </w:r>
            <w:proofErr w:type="gramEnd"/>
            <w:r w:rsidRPr="00834CDC">
              <w:rPr>
                <w:sz w:val="18"/>
                <w:szCs w:val="18"/>
              </w:rPr>
              <w:t xml:space="preserve"> times higher than in other children, with earlier mean age of infection.</w:t>
            </w:r>
          </w:p>
        </w:tc>
      </w:tr>
      <w:tr w:rsidR="0023395F" w:rsidRPr="00834CDC" w14:paraId="6FB86272" w14:textId="77777777" w:rsidTr="00232167">
        <w:trPr>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BCE8163" w14:textId="77777777" w:rsidR="0023395F" w:rsidRPr="00834CDC" w:rsidRDefault="0023395F" w:rsidP="00232167">
            <w:pPr>
              <w:pStyle w:val="NormalWeb"/>
              <w:jc w:val="left"/>
              <w:rPr>
                <w:sz w:val="18"/>
                <w:szCs w:val="18"/>
              </w:rPr>
            </w:pPr>
            <w:r w:rsidRPr="00834CDC">
              <w:rPr>
                <w:sz w:val="18"/>
                <w:szCs w:val="18"/>
              </w:rPr>
              <w:t>Human papillomavirus (HPV)</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C469F9D" w14:textId="77777777" w:rsidR="0023395F" w:rsidRPr="00834CDC" w:rsidRDefault="0023395F" w:rsidP="00232167">
            <w:pPr>
              <w:pStyle w:val="NormalWeb"/>
              <w:jc w:val="left"/>
              <w:rPr>
                <w:sz w:val="18"/>
                <w:szCs w:val="18"/>
              </w:rPr>
            </w:pPr>
            <w:r w:rsidRPr="00834CDC">
              <w:rPr>
                <w:sz w:val="18"/>
                <w:szCs w:val="18"/>
              </w:rPr>
              <w:t>Rates of HPV infection, genital warts and cervical pre-cancers have decreased by 70–90% in relevant age groups, both Aboriginal and Torres Strait Islander and other, since introduction of the HPV vaccination program in 2007.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C660C32" w14:textId="77777777" w:rsidR="0023395F" w:rsidRPr="00834CDC" w:rsidRDefault="0023395F" w:rsidP="00232167">
            <w:pPr>
              <w:pStyle w:val="NormalWeb"/>
              <w:jc w:val="left"/>
              <w:rPr>
                <w:sz w:val="18"/>
                <w:szCs w:val="18"/>
              </w:rPr>
            </w:pPr>
            <w:r w:rsidRPr="00834CDC">
              <w:rPr>
                <w:sz w:val="18"/>
                <w:szCs w:val="18"/>
              </w:rPr>
              <w:t>Strongly promote HPV vaccination and optimise HPV course completion among Aboriginal and Torres Strait Islander adolescents.</w:t>
            </w:r>
          </w:p>
          <w:p w14:paraId="71EEC2E9" w14:textId="77777777" w:rsidR="0023395F" w:rsidRPr="00834CDC" w:rsidRDefault="0023395F" w:rsidP="00232167">
            <w:pPr>
              <w:pStyle w:val="NormalWeb"/>
              <w:jc w:val="left"/>
              <w:rPr>
                <w:sz w:val="18"/>
                <w:szCs w:val="18"/>
              </w:rPr>
            </w:pPr>
            <w:r w:rsidRPr="00834CDC">
              <w:rPr>
                <w:sz w:val="18"/>
                <w:szCs w:val="18"/>
              </w:rPr>
              <w:t>Ensure high-quality Aboriginal and Torres Strait Islander status reporting to cervical screening and cancer registers.</w:t>
            </w:r>
          </w:p>
        </w:tc>
      </w:tr>
      <w:tr w:rsidR="0023395F" w:rsidRPr="00834CDC" w14:paraId="0389C126" w14:textId="77777777" w:rsidTr="00232167">
        <w:trPr>
          <w:cnfStyle w:val="000000010000" w:firstRow="0" w:lastRow="0" w:firstColumn="0" w:lastColumn="0" w:oddVBand="0" w:evenVBand="0" w:oddHBand="0" w:evenHBand="1" w:firstRowFirstColumn="0" w:firstRowLastColumn="0" w:lastRowFirstColumn="0" w:lastRowLastColumn="0"/>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FA5AEB8" w14:textId="77777777" w:rsidR="0023395F" w:rsidRPr="00834CDC" w:rsidRDefault="0023395F" w:rsidP="00232167">
            <w:pPr>
              <w:pStyle w:val="NormalWeb"/>
              <w:jc w:val="left"/>
              <w:rPr>
                <w:sz w:val="18"/>
                <w:szCs w:val="18"/>
              </w:rPr>
            </w:pPr>
            <w:r w:rsidRPr="00834CDC">
              <w:rPr>
                <w:sz w:val="18"/>
                <w:szCs w:val="18"/>
              </w:rPr>
              <w:t>Influenza</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22C93B2" w14:textId="77777777" w:rsidR="0023395F" w:rsidRPr="00834CDC" w:rsidRDefault="0023395F" w:rsidP="00232167">
            <w:pPr>
              <w:pStyle w:val="NormalWeb"/>
              <w:jc w:val="left"/>
              <w:rPr>
                <w:sz w:val="18"/>
                <w:szCs w:val="18"/>
              </w:rPr>
            </w:pPr>
            <w:r w:rsidRPr="00834CDC">
              <w:rPr>
                <w:sz w:val="18"/>
                <w:szCs w:val="18"/>
              </w:rPr>
              <w:t>Vaccination coverage in 2019 was higher among Aboriginal and Torres Strait Islander people than other Australians, across all age groups.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32AFF1C" w14:textId="77777777" w:rsidR="0023395F" w:rsidRPr="00834CDC" w:rsidRDefault="0023395F" w:rsidP="00232167">
            <w:pPr>
              <w:pStyle w:val="NormalWeb"/>
              <w:jc w:val="left"/>
              <w:rPr>
                <w:sz w:val="18"/>
                <w:szCs w:val="18"/>
              </w:rPr>
            </w:pPr>
            <w:r w:rsidRPr="00834CDC">
              <w:rPr>
                <w:sz w:val="18"/>
                <w:szCs w:val="18"/>
              </w:rPr>
              <w:t xml:space="preserve">Strongly promote influenza vaccination for Aboriginal and Torres Strait Islander people of all ages, and address barriers to uptake, given the </w:t>
            </w:r>
            <w:proofErr w:type="gramStart"/>
            <w:r w:rsidRPr="00834CDC">
              <w:rPr>
                <w:sz w:val="18"/>
                <w:szCs w:val="18"/>
              </w:rPr>
              <w:t>high levels</w:t>
            </w:r>
            <w:proofErr w:type="gramEnd"/>
            <w:r w:rsidRPr="00834CDC">
              <w:rPr>
                <w:sz w:val="18"/>
                <w:szCs w:val="18"/>
              </w:rPr>
              <w:t xml:space="preserve"> of morbidity and mortality associated with this disease.</w:t>
            </w:r>
          </w:p>
        </w:tc>
      </w:tr>
      <w:tr w:rsidR="0023395F" w:rsidRPr="00834CDC" w14:paraId="5711FC71" w14:textId="77777777" w:rsidTr="00232167">
        <w:trPr>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6C37877" w14:textId="77777777" w:rsidR="0023395F" w:rsidRPr="00834CDC" w:rsidRDefault="0023395F" w:rsidP="00232167">
            <w:pPr>
              <w:pStyle w:val="NormalWeb"/>
              <w:jc w:val="left"/>
              <w:rPr>
                <w:sz w:val="18"/>
                <w:szCs w:val="18"/>
              </w:rPr>
            </w:pPr>
            <w:r w:rsidRPr="00834CDC">
              <w:rPr>
                <w:sz w:val="18"/>
                <w:szCs w:val="18"/>
              </w:rPr>
              <w:t>Measles</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3F146C6" w14:textId="77777777" w:rsidR="0023395F" w:rsidRPr="00834CDC" w:rsidRDefault="0023395F" w:rsidP="00232167">
            <w:pPr>
              <w:pStyle w:val="NormalWeb"/>
              <w:jc w:val="left"/>
              <w:rPr>
                <w:sz w:val="18"/>
                <w:szCs w:val="18"/>
              </w:rPr>
            </w:pPr>
            <w:r w:rsidRPr="00834CDC">
              <w:rPr>
                <w:sz w:val="18"/>
                <w:szCs w:val="18"/>
              </w:rPr>
              <w:t xml:space="preserve">Notification and hospitalisation rates in Aboriginal and Torres Strait Islander people </w:t>
            </w:r>
            <w:proofErr w:type="gramStart"/>
            <w:r w:rsidRPr="00834CDC">
              <w:rPr>
                <w:sz w:val="18"/>
                <w:szCs w:val="18"/>
              </w:rPr>
              <w:t>remain</w:t>
            </w:r>
            <w:proofErr w:type="gramEnd"/>
            <w:r w:rsidRPr="00834CDC">
              <w:rPr>
                <w:sz w:val="18"/>
                <w:szCs w:val="18"/>
              </w:rPr>
              <w:t xml:space="preserve"> low across all age groups, with the all-age notification rate half that in other Australians.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A34CFBA" w14:textId="77777777" w:rsidR="0023395F" w:rsidRPr="00834CDC" w:rsidRDefault="0023395F" w:rsidP="00232167">
            <w:pPr>
              <w:pStyle w:val="NormalWeb"/>
              <w:jc w:val="left"/>
              <w:rPr>
                <w:sz w:val="18"/>
                <w:szCs w:val="18"/>
              </w:rPr>
            </w:pPr>
            <w:r w:rsidRPr="00834CDC">
              <w:rPr>
                <w:sz w:val="18"/>
                <w:szCs w:val="18"/>
              </w:rPr>
              <w:t>Maintain high vaccination coverage and disease surveillance.</w:t>
            </w:r>
          </w:p>
        </w:tc>
      </w:tr>
      <w:tr w:rsidR="0023395F" w:rsidRPr="00834CDC" w14:paraId="1374E897" w14:textId="77777777" w:rsidTr="00232167">
        <w:trPr>
          <w:cnfStyle w:val="000000010000" w:firstRow="0" w:lastRow="0" w:firstColumn="0" w:lastColumn="0" w:oddVBand="0" w:evenVBand="0" w:oddHBand="0" w:evenHBand="1" w:firstRowFirstColumn="0" w:firstRowLastColumn="0" w:lastRowFirstColumn="0" w:lastRowLastColumn="0"/>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80E6E37" w14:textId="77777777" w:rsidR="0023395F" w:rsidRPr="00834CDC" w:rsidRDefault="0023395F" w:rsidP="00232167">
            <w:pPr>
              <w:pStyle w:val="NormalWeb"/>
              <w:jc w:val="left"/>
              <w:rPr>
                <w:sz w:val="18"/>
                <w:szCs w:val="18"/>
              </w:rPr>
            </w:pPr>
            <w:r w:rsidRPr="00834CDC">
              <w:rPr>
                <w:sz w:val="18"/>
                <w:szCs w:val="18"/>
              </w:rPr>
              <w:t>Meningococcal disease</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CA714CB" w14:textId="77777777" w:rsidR="0023395F" w:rsidRPr="00834CDC" w:rsidRDefault="0023395F" w:rsidP="00232167">
            <w:pPr>
              <w:pStyle w:val="NormalWeb"/>
              <w:jc w:val="left"/>
              <w:rPr>
                <w:sz w:val="18"/>
                <w:szCs w:val="18"/>
              </w:rPr>
            </w:pPr>
            <w:r w:rsidRPr="00834CDC">
              <w:rPr>
                <w:sz w:val="18"/>
                <w:szCs w:val="18"/>
              </w:rPr>
              <w:t>Routine meningococcal C vaccination, implemented from 2003, has resulted in near elimination of serogroup C disease in Australia.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0D556F0" w14:textId="77777777" w:rsidR="0023395F" w:rsidRPr="00834CDC" w:rsidRDefault="0023395F" w:rsidP="00232167">
            <w:pPr>
              <w:pStyle w:val="NormalWeb"/>
              <w:jc w:val="left"/>
              <w:rPr>
                <w:sz w:val="18"/>
                <w:szCs w:val="18"/>
              </w:rPr>
            </w:pPr>
            <w:r w:rsidRPr="00834CDC">
              <w:rPr>
                <w:sz w:val="18"/>
                <w:szCs w:val="18"/>
              </w:rPr>
              <w:t xml:space="preserve">Reduce barriers to uptake of meningococcal vaccination for Aboriginal and Torres Strait Islander children and </w:t>
            </w:r>
            <w:proofErr w:type="gramStart"/>
            <w:r w:rsidRPr="00834CDC">
              <w:rPr>
                <w:sz w:val="18"/>
                <w:szCs w:val="18"/>
              </w:rPr>
              <w:t>adolescents, and</w:t>
            </w:r>
            <w:proofErr w:type="gramEnd"/>
            <w:r w:rsidRPr="00834CDC">
              <w:rPr>
                <w:sz w:val="18"/>
                <w:szCs w:val="18"/>
              </w:rPr>
              <w:t xml:space="preserve"> assess need for expansion of NIP-funded programs given relatively high rates of disease.</w:t>
            </w:r>
          </w:p>
        </w:tc>
      </w:tr>
      <w:tr w:rsidR="0023395F" w:rsidRPr="00834CDC" w14:paraId="7F3A4E5E" w14:textId="77777777" w:rsidTr="00232167">
        <w:trPr>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70BB390" w14:textId="77777777" w:rsidR="0023395F" w:rsidRPr="00834CDC" w:rsidRDefault="0023395F" w:rsidP="00232167">
            <w:pPr>
              <w:pStyle w:val="NormalWeb"/>
              <w:jc w:val="left"/>
              <w:rPr>
                <w:sz w:val="18"/>
                <w:szCs w:val="18"/>
              </w:rPr>
            </w:pPr>
            <w:r w:rsidRPr="00834CDC">
              <w:rPr>
                <w:sz w:val="18"/>
                <w:szCs w:val="18"/>
              </w:rPr>
              <w:t>Mumps</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6F45DF6" w14:textId="77777777" w:rsidR="0023395F" w:rsidRPr="00834CDC" w:rsidRDefault="0023395F" w:rsidP="00232167">
            <w:pPr>
              <w:pStyle w:val="NormalWeb"/>
              <w:jc w:val="left"/>
              <w:rPr>
                <w:sz w:val="18"/>
                <w:szCs w:val="18"/>
              </w:rPr>
            </w:pPr>
            <w:r w:rsidRPr="00834CDC">
              <w:rPr>
                <w:sz w:val="18"/>
                <w:szCs w:val="18"/>
              </w:rPr>
              <w:t xml:space="preserve">Coverage of measles-mumps-rubella (MMR) vaccine is </w:t>
            </w:r>
            <w:proofErr w:type="gramStart"/>
            <w:r w:rsidRPr="00834CDC">
              <w:rPr>
                <w:sz w:val="18"/>
                <w:szCs w:val="18"/>
              </w:rPr>
              <w:t>very high</w:t>
            </w:r>
            <w:proofErr w:type="gramEnd"/>
            <w:r w:rsidRPr="00834CDC">
              <w:rPr>
                <w:sz w:val="18"/>
                <w:szCs w:val="18"/>
              </w:rPr>
              <w:t xml:space="preserve"> among Aboriginal and Torres Strait Islander children (99% 2-dose coverage by 5 years of age).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7C582DE" w14:textId="77777777" w:rsidR="0023395F" w:rsidRPr="00834CDC" w:rsidRDefault="0023395F" w:rsidP="00232167">
            <w:pPr>
              <w:pStyle w:val="NormalWeb"/>
              <w:jc w:val="left"/>
              <w:rPr>
                <w:sz w:val="18"/>
                <w:szCs w:val="18"/>
              </w:rPr>
            </w:pPr>
            <w:r w:rsidRPr="00834CDC">
              <w:rPr>
                <w:sz w:val="18"/>
                <w:szCs w:val="18"/>
              </w:rPr>
              <w:t xml:space="preserve">Closely </w:t>
            </w:r>
            <w:proofErr w:type="gramStart"/>
            <w:r w:rsidRPr="00834CDC">
              <w:rPr>
                <w:sz w:val="18"/>
                <w:szCs w:val="18"/>
              </w:rPr>
              <w:t>monitor</w:t>
            </w:r>
            <w:proofErr w:type="gramEnd"/>
            <w:r w:rsidRPr="00834CDC">
              <w:rPr>
                <w:sz w:val="18"/>
                <w:szCs w:val="18"/>
              </w:rPr>
              <w:t xml:space="preserve"> evidence around potential need for routine MMR booster (third) doses, given recent mumps outbreaks in Aboriginal and Torres Strait Islander communities and concerns about waning of vaccine-induced immunity.</w:t>
            </w:r>
          </w:p>
        </w:tc>
      </w:tr>
      <w:tr w:rsidR="0023395F" w:rsidRPr="00834CDC" w14:paraId="6E288EB1" w14:textId="77777777" w:rsidTr="00232167">
        <w:trPr>
          <w:cnfStyle w:val="000000010000" w:firstRow="0" w:lastRow="0" w:firstColumn="0" w:lastColumn="0" w:oddVBand="0" w:evenVBand="0" w:oddHBand="0" w:evenHBand="1" w:firstRowFirstColumn="0" w:firstRowLastColumn="0" w:lastRowFirstColumn="0" w:lastRowLastColumn="0"/>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ADD768A" w14:textId="77777777" w:rsidR="0023395F" w:rsidRPr="00834CDC" w:rsidRDefault="0023395F" w:rsidP="00232167">
            <w:pPr>
              <w:pStyle w:val="NormalWeb"/>
              <w:jc w:val="left"/>
              <w:rPr>
                <w:sz w:val="18"/>
                <w:szCs w:val="18"/>
              </w:rPr>
            </w:pPr>
            <w:r w:rsidRPr="00834CDC">
              <w:rPr>
                <w:sz w:val="18"/>
                <w:szCs w:val="18"/>
              </w:rPr>
              <w:t>Pertussis</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D1978DB" w14:textId="77777777" w:rsidR="0023395F" w:rsidRPr="00834CDC" w:rsidRDefault="0023395F" w:rsidP="00232167">
            <w:pPr>
              <w:pStyle w:val="NormalWeb"/>
              <w:jc w:val="left"/>
              <w:rPr>
                <w:sz w:val="18"/>
                <w:szCs w:val="18"/>
              </w:rPr>
            </w:pPr>
            <w:r w:rsidRPr="00834CDC">
              <w:rPr>
                <w:sz w:val="18"/>
                <w:szCs w:val="18"/>
              </w:rPr>
              <w:t>The notification rate in Aboriginal and Torres Strait Islander infants was 18% lower in the 2016–2019 period than the 2011–2015 period.</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53E329C" w14:textId="77777777" w:rsidR="0023395F" w:rsidRPr="00834CDC" w:rsidRDefault="0023395F" w:rsidP="00232167">
            <w:pPr>
              <w:pStyle w:val="NormalWeb"/>
              <w:jc w:val="left"/>
              <w:rPr>
                <w:sz w:val="18"/>
                <w:szCs w:val="18"/>
              </w:rPr>
            </w:pPr>
            <w:r w:rsidRPr="00834CDC">
              <w:rPr>
                <w:sz w:val="18"/>
                <w:szCs w:val="18"/>
              </w:rPr>
              <w:t xml:space="preserve">Improve timeliness of the first two infant doses of pertussis-containing vaccine, and uptake of maternal pertussis vaccination during pregnancy, to protect Aboriginal and Torres Strait Islander infants, who are at </w:t>
            </w:r>
            <w:proofErr w:type="gramStart"/>
            <w:r w:rsidRPr="00834CDC">
              <w:rPr>
                <w:sz w:val="18"/>
                <w:szCs w:val="18"/>
              </w:rPr>
              <w:t>high risk</w:t>
            </w:r>
            <w:proofErr w:type="gramEnd"/>
            <w:r w:rsidRPr="00834CDC">
              <w:rPr>
                <w:sz w:val="18"/>
                <w:szCs w:val="18"/>
              </w:rPr>
              <w:t xml:space="preserve"> of severe pertussis.</w:t>
            </w:r>
          </w:p>
        </w:tc>
      </w:tr>
      <w:tr w:rsidR="0023395F" w:rsidRPr="00834CDC" w14:paraId="218E3D2F" w14:textId="77777777" w:rsidTr="00232167">
        <w:trPr>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4F71E9A" w14:textId="77777777" w:rsidR="0023395F" w:rsidRPr="00834CDC" w:rsidRDefault="0023395F" w:rsidP="00232167">
            <w:pPr>
              <w:pStyle w:val="NormalWeb"/>
              <w:jc w:val="left"/>
              <w:rPr>
                <w:sz w:val="18"/>
                <w:szCs w:val="18"/>
              </w:rPr>
            </w:pPr>
            <w:r w:rsidRPr="00834CDC">
              <w:rPr>
                <w:sz w:val="18"/>
                <w:szCs w:val="18"/>
              </w:rPr>
              <w:t>Pneumococcal disease</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75DCEFD" w14:textId="77777777" w:rsidR="0023395F" w:rsidRPr="00834CDC" w:rsidRDefault="0023395F" w:rsidP="00232167">
            <w:pPr>
              <w:pStyle w:val="NormalWeb"/>
              <w:jc w:val="left"/>
              <w:rPr>
                <w:sz w:val="18"/>
                <w:szCs w:val="18"/>
              </w:rPr>
            </w:pPr>
            <w:r w:rsidRPr="00834CDC">
              <w:rPr>
                <w:sz w:val="18"/>
                <w:szCs w:val="18"/>
              </w:rPr>
              <w:t>Invasive pneumococcal disease (IPD) notification rates in Aboriginal and Torres Strait Islander children and adolescents were 23% lower in children aged &lt; 5 years in the 2016–2019 period than the 2011–2015 period, and 60% lower in those aged 5–14 years.</w:t>
            </w:r>
          </w:p>
          <w:p w14:paraId="24DA9FF8" w14:textId="77777777" w:rsidR="0023395F" w:rsidRPr="00834CDC" w:rsidRDefault="0023395F" w:rsidP="00232167">
            <w:pPr>
              <w:pStyle w:val="NormalWeb"/>
              <w:jc w:val="left"/>
              <w:rPr>
                <w:sz w:val="18"/>
                <w:szCs w:val="18"/>
              </w:rPr>
            </w:pPr>
            <w:r w:rsidRPr="00834CDC">
              <w:rPr>
                <w:sz w:val="18"/>
                <w:szCs w:val="18"/>
              </w:rPr>
              <w:t xml:space="preserve">Coverage of 13-valent pneumococcal conjugate vaccine (13vPCV) was high among Aboriginal and Torres Strait Islander children (97% for dose </w:t>
            </w:r>
            <w:proofErr w:type="gramStart"/>
            <w:r w:rsidRPr="00834CDC">
              <w:rPr>
                <w:sz w:val="18"/>
                <w:szCs w:val="18"/>
              </w:rPr>
              <w:t>3</w:t>
            </w:r>
            <w:proofErr w:type="gramEnd"/>
            <w:r w:rsidRPr="00834CDC">
              <w:rPr>
                <w:sz w:val="18"/>
                <w:szCs w:val="18"/>
              </w:rPr>
              <w:t xml:space="preserve">, </w:t>
            </w:r>
            <w:r w:rsidRPr="00834CDC">
              <w:rPr>
                <w:sz w:val="18"/>
                <w:szCs w:val="18"/>
              </w:rPr>
              <w:lastRenderedPageBreak/>
              <w:t>assessed at 24 months), resulting in a decline in rates of IPD caused by the additional six serotypes covered by 13vPCV compared to the previous 7-valent vaccine.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237C1AF" w14:textId="77777777" w:rsidR="0023395F" w:rsidRPr="00834CDC" w:rsidRDefault="0023395F" w:rsidP="00232167">
            <w:pPr>
              <w:pStyle w:val="NormalWeb"/>
              <w:jc w:val="left"/>
              <w:rPr>
                <w:sz w:val="18"/>
                <w:szCs w:val="18"/>
              </w:rPr>
            </w:pPr>
            <w:r w:rsidRPr="00834CDC">
              <w:rPr>
                <w:sz w:val="18"/>
                <w:szCs w:val="18"/>
              </w:rPr>
              <w:lastRenderedPageBreak/>
              <w:t>Promote high uptake of pneumococcal vaccination among Aboriginal and Torres Strait Islander adults aged ≥ 50 years, and younger individuals with underlying medical conditions, given increasing IPD notification rates.</w:t>
            </w:r>
          </w:p>
          <w:p w14:paraId="600E598C" w14:textId="77777777" w:rsidR="0023395F" w:rsidRPr="00834CDC" w:rsidRDefault="0023395F" w:rsidP="00232167">
            <w:pPr>
              <w:pStyle w:val="NormalWeb"/>
              <w:jc w:val="left"/>
              <w:rPr>
                <w:sz w:val="18"/>
                <w:szCs w:val="18"/>
              </w:rPr>
            </w:pPr>
            <w:r w:rsidRPr="00834CDC">
              <w:rPr>
                <w:sz w:val="18"/>
                <w:szCs w:val="18"/>
              </w:rPr>
              <w:t xml:space="preserve">Monitor IPD epidemiology in Aboriginal and Torres Strait Islander people to </w:t>
            </w:r>
            <w:proofErr w:type="gramStart"/>
            <w:r w:rsidRPr="00834CDC">
              <w:rPr>
                <w:sz w:val="18"/>
                <w:szCs w:val="18"/>
              </w:rPr>
              <w:t>identify</w:t>
            </w:r>
            <w:proofErr w:type="gramEnd"/>
            <w:r w:rsidRPr="00834CDC">
              <w:rPr>
                <w:sz w:val="18"/>
                <w:szCs w:val="18"/>
              </w:rPr>
              <w:t xml:space="preserve"> any need for expanded access to NIP-funded vaccines, both current and newer higher valency ones.</w:t>
            </w:r>
          </w:p>
        </w:tc>
      </w:tr>
      <w:tr w:rsidR="0023395F" w:rsidRPr="00834CDC" w14:paraId="4B661AC6" w14:textId="77777777" w:rsidTr="00232167">
        <w:trPr>
          <w:cnfStyle w:val="000000010000" w:firstRow="0" w:lastRow="0" w:firstColumn="0" w:lastColumn="0" w:oddVBand="0" w:evenVBand="0" w:oddHBand="0" w:evenHBand="1" w:firstRowFirstColumn="0" w:firstRowLastColumn="0" w:lastRowFirstColumn="0" w:lastRowLastColumn="0"/>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8CDE813" w14:textId="77777777" w:rsidR="0023395F" w:rsidRPr="00834CDC" w:rsidRDefault="0023395F" w:rsidP="00232167">
            <w:pPr>
              <w:pStyle w:val="NormalWeb"/>
              <w:jc w:val="left"/>
              <w:rPr>
                <w:sz w:val="18"/>
                <w:szCs w:val="18"/>
              </w:rPr>
            </w:pPr>
            <w:r w:rsidRPr="00834CDC">
              <w:rPr>
                <w:sz w:val="18"/>
                <w:szCs w:val="18"/>
              </w:rPr>
              <w:t>Polio</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E4CFCFD" w14:textId="77777777" w:rsidR="0023395F" w:rsidRPr="00834CDC" w:rsidRDefault="0023395F" w:rsidP="00232167">
            <w:pPr>
              <w:pStyle w:val="NormalWeb"/>
              <w:jc w:val="left"/>
              <w:rPr>
                <w:sz w:val="18"/>
                <w:szCs w:val="18"/>
              </w:rPr>
            </w:pPr>
            <w:r w:rsidRPr="00834CDC">
              <w:rPr>
                <w:sz w:val="18"/>
                <w:szCs w:val="18"/>
              </w:rPr>
              <w:t xml:space="preserve">Australia </w:t>
            </w:r>
            <w:proofErr w:type="gramStart"/>
            <w:r w:rsidRPr="00834CDC">
              <w:rPr>
                <w:sz w:val="18"/>
                <w:szCs w:val="18"/>
              </w:rPr>
              <w:t>was declared</w:t>
            </w:r>
            <w:proofErr w:type="gramEnd"/>
            <w:r w:rsidRPr="00834CDC">
              <w:rPr>
                <w:sz w:val="18"/>
                <w:szCs w:val="18"/>
              </w:rPr>
              <w:t xml:space="preserve"> free of endemic polio transmission by WHO in 2000; there were no notifications of polio in the 2016–2019 period.</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A9258D1" w14:textId="77777777" w:rsidR="0023395F" w:rsidRPr="00834CDC" w:rsidRDefault="0023395F" w:rsidP="00232167">
            <w:pPr>
              <w:pStyle w:val="NormalWeb"/>
              <w:jc w:val="left"/>
              <w:rPr>
                <w:sz w:val="18"/>
                <w:szCs w:val="18"/>
              </w:rPr>
            </w:pPr>
            <w:r w:rsidRPr="00834CDC">
              <w:rPr>
                <w:sz w:val="18"/>
                <w:szCs w:val="18"/>
              </w:rPr>
              <w:t>Maintain high vaccination coverage and disease surveillance.</w:t>
            </w:r>
          </w:p>
        </w:tc>
      </w:tr>
      <w:tr w:rsidR="0023395F" w:rsidRPr="00834CDC" w14:paraId="5077A4AF" w14:textId="77777777" w:rsidTr="00232167">
        <w:trPr>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71DF765" w14:textId="77777777" w:rsidR="0023395F" w:rsidRPr="00834CDC" w:rsidRDefault="0023395F" w:rsidP="00232167">
            <w:pPr>
              <w:pStyle w:val="NormalWeb"/>
              <w:jc w:val="left"/>
              <w:rPr>
                <w:sz w:val="18"/>
                <w:szCs w:val="18"/>
              </w:rPr>
            </w:pPr>
            <w:r w:rsidRPr="00834CDC">
              <w:rPr>
                <w:sz w:val="18"/>
                <w:szCs w:val="18"/>
              </w:rPr>
              <w:t>Rotavirus</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3A8B2E3" w14:textId="77777777" w:rsidR="0023395F" w:rsidRPr="00834CDC" w:rsidRDefault="0023395F" w:rsidP="00232167">
            <w:pPr>
              <w:pStyle w:val="NormalWeb"/>
              <w:jc w:val="left"/>
              <w:rPr>
                <w:sz w:val="18"/>
                <w:szCs w:val="18"/>
              </w:rPr>
            </w:pPr>
            <w:r w:rsidRPr="00834CDC">
              <w:rPr>
                <w:sz w:val="18"/>
                <w:szCs w:val="18"/>
              </w:rPr>
              <w:t xml:space="preserve">Rotavirus hospitalisation rates in Aboriginal and Torres Strait Islander infants have decreased by approximately 80% since the national rotavirus immunisation program </w:t>
            </w:r>
            <w:proofErr w:type="gramStart"/>
            <w:r w:rsidRPr="00834CDC">
              <w:rPr>
                <w:sz w:val="18"/>
                <w:szCs w:val="18"/>
              </w:rPr>
              <w:t>was introduced</w:t>
            </w:r>
            <w:proofErr w:type="gramEnd"/>
            <w:r w:rsidRPr="00834CDC">
              <w:rPr>
                <w:sz w:val="18"/>
                <w:szCs w:val="18"/>
              </w:rPr>
              <w:t xml:space="preserve"> in 2007.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9E37619" w14:textId="77777777" w:rsidR="0023395F" w:rsidRPr="00834CDC" w:rsidRDefault="0023395F" w:rsidP="00232167">
            <w:pPr>
              <w:pStyle w:val="NormalWeb"/>
              <w:jc w:val="left"/>
              <w:rPr>
                <w:sz w:val="18"/>
                <w:szCs w:val="18"/>
              </w:rPr>
            </w:pPr>
            <w:r w:rsidRPr="00834CDC">
              <w:rPr>
                <w:sz w:val="18"/>
                <w:szCs w:val="18"/>
              </w:rPr>
              <w:t xml:space="preserve">Optimise timeliness of vaccination in Aboriginal and Torres Strait Islander infants, who are at </w:t>
            </w:r>
            <w:proofErr w:type="gramStart"/>
            <w:r w:rsidRPr="00834CDC">
              <w:rPr>
                <w:sz w:val="18"/>
                <w:szCs w:val="18"/>
              </w:rPr>
              <w:t>high risk</w:t>
            </w:r>
            <w:proofErr w:type="gramEnd"/>
            <w:r w:rsidRPr="00834CDC">
              <w:rPr>
                <w:sz w:val="18"/>
                <w:szCs w:val="18"/>
              </w:rPr>
              <w:t xml:space="preserve"> of severe disease.</w:t>
            </w:r>
          </w:p>
          <w:p w14:paraId="6636696F" w14:textId="77777777" w:rsidR="0023395F" w:rsidRPr="00834CDC" w:rsidRDefault="0023395F" w:rsidP="00232167">
            <w:pPr>
              <w:pStyle w:val="NormalWeb"/>
              <w:jc w:val="left"/>
              <w:rPr>
                <w:sz w:val="18"/>
                <w:szCs w:val="18"/>
              </w:rPr>
            </w:pPr>
            <w:r w:rsidRPr="00834CDC">
              <w:rPr>
                <w:sz w:val="18"/>
                <w:szCs w:val="18"/>
              </w:rPr>
              <w:t>Consider other potential strategies such as loosening of current strict upper age limits for rotavirus vaccines.</w:t>
            </w:r>
          </w:p>
        </w:tc>
      </w:tr>
      <w:tr w:rsidR="0023395F" w:rsidRPr="00834CDC" w14:paraId="559E5254" w14:textId="77777777" w:rsidTr="00232167">
        <w:trPr>
          <w:cnfStyle w:val="000000010000" w:firstRow="0" w:lastRow="0" w:firstColumn="0" w:lastColumn="0" w:oddVBand="0" w:evenVBand="0" w:oddHBand="0" w:evenHBand="1" w:firstRowFirstColumn="0" w:firstRowLastColumn="0" w:lastRowFirstColumn="0" w:lastRowLastColumn="0"/>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8F5B3DB" w14:textId="77777777" w:rsidR="0023395F" w:rsidRPr="00834CDC" w:rsidRDefault="0023395F" w:rsidP="00232167">
            <w:pPr>
              <w:pStyle w:val="NormalWeb"/>
              <w:jc w:val="left"/>
              <w:rPr>
                <w:sz w:val="18"/>
                <w:szCs w:val="18"/>
              </w:rPr>
            </w:pPr>
            <w:r w:rsidRPr="00834CDC">
              <w:rPr>
                <w:sz w:val="18"/>
                <w:szCs w:val="18"/>
              </w:rPr>
              <w:t>Rubella</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50189B7" w14:textId="77777777" w:rsidR="0023395F" w:rsidRPr="00834CDC" w:rsidRDefault="0023395F" w:rsidP="00232167">
            <w:pPr>
              <w:pStyle w:val="NormalWeb"/>
              <w:jc w:val="left"/>
              <w:rPr>
                <w:sz w:val="18"/>
                <w:szCs w:val="18"/>
              </w:rPr>
            </w:pPr>
            <w:r w:rsidRPr="00834CDC">
              <w:rPr>
                <w:sz w:val="18"/>
                <w:szCs w:val="18"/>
              </w:rPr>
              <w:t xml:space="preserve">Rubella </w:t>
            </w:r>
            <w:proofErr w:type="gramStart"/>
            <w:r w:rsidRPr="00834CDC">
              <w:rPr>
                <w:sz w:val="18"/>
                <w:szCs w:val="18"/>
              </w:rPr>
              <w:t>was declared</w:t>
            </w:r>
            <w:proofErr w:type="gramEnd"/>
            <w:r w:rsidRPr="00834CDC">
              <w:rPr>
                <w:sz w:val="18"/>
                <w:szCs w:val="18"/>
              </w:rPr>
              <w:t xml:space="preserve"> eliminated from Australia by WHO in 2018; there were &lt; 5 notifications among Aboriginal and Torres Strait Islander people in the 2016–2019 period.</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70CEAF3" w14:textId="77777777" w:rsidR="0023395F" w:rsidRPr="00834CDC" w:rsidRDefault="0023395F" w:rsidP="00232167">
            <w:pPr>
              <w:pStyle w:val="NormalWeb"/>
              <w:jc w:val="left"/>
              <w:rPr>
                <w:sz w:val="18"/>
                <w:szCs w:val="18"/>
              </w:rPr>
            </w:pPr>
            <w:r w:rsidRPr="00834CDC">
              <w:rPr>
                <w:sz w:val="18"/>
                <w:szCs w:val="18"/>
              </w:rPr>
              <w:t>Maintain high vaccination coverage and disease surveillance.</w:t>
            </w:r>
          </w:p>
        </w:tc>
      </w:tr>
      <w:tr w:rsidR="0023395F" w:rsidRPr="00834CDC" w14:paraId="0FEAC057" w14:textId="77777777" w:rsidTr="00232167">
        <w:trPr>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5C9497E" w14:textId="77777777" w:rsidR="0023395F" w:rsidRPr="00834CDC" w:rsidRDefault="0023395F" w:rsidP="00232167">
            <w:pPr>
              <w:pStyle w:val="NormalWeb"/>
              <w:jc w:val="left"/>
              <w:rPr>
                <w:sz w:val="18"/>
                <w:szCs w:val="18"/>
              </w:rPr>
            </w:pPr>
            <w:r w:rsidRPr="00834CDC">
              <w:rPr>
                <w:sz w:val="18"/>
                <w:szCs w:val="18"/>
              </w:rPr>
              <w:t>Tetanus</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6152C9C" w14:textId="77777777" w:rsidR="0023395F" w:rsidRPr="00834CDC" w:rsidRDefault="0023395F" w:rsidP="00232167">
            <w:pPr>
              <w:pStyle w:val="NormalWeb"/>
              <w:jc w:val="left"/>
              <w:rPr>
                <w:sz w:val="18"/>
                <w:szCs w:val="18"/>
              </w:rPr>
            </w:pPr>
            <w:r w:rsidRPr="00834CDC">
              <w:rPr>
                <w:sz w:val="18"/>
                <w:szCs w:val="18"/>
              </w:rPr>
              <w:t>Tetanus is rare in Australia due to long-standing immunisation programs.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55D1B3C" w14:textId="77777777" w:rsidR="0023395F" w:rsidRPr="00834CDC" w:rsidRDefault="0023395F" w:rsidP="00232167">
            <w:pPr>
              <w:pStyle w:val="NormalWeb"/>
              <w:jc w:val="left"/>
              <w:rPr>
                <w:sz w:val="18"/>
                <w:szCs w:val="18"/>
              </w:rPr>
            </w:pPr>
            <w:r w:rsidRPr="00834CDC">
              <w:rPr>
                <w:sz w:val="18"/>
                <w:szCs w:val="18"/>
              </w:rPr>
              <w:t>Maintain high vaccination coverage and disease surveillance.</w:t>
            </w:r>
          </w:p>
        </w:tc>
      </w:tr>
      <w:tr w:rsidR="0023395F" w:rsidRPr="00834CDC" w14:paraId="2007418E" w14:textId="77777777" w:rsidTr="00232167">
        <w:trPr>
          <w:cnfStyle w:val="000000010000" w:firstRow="0" w:lastRow="0" w:firstColumn="0" w:lastColumn="0" w:oddVBand="0" w:evenVBand="0" w:oddHBand="0" w:evenHBand="1" w:firstRowFirstColumn="0" w:firstRowLastColumn="0" w:lastRowFirstColumn="0" w:lastRowLastColumn="0"/>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BE180AE" w14:textId="77777777" w:rsidR="0023395F" w:rsidRPr="00834CDC" w:rsidRDefault="0023395F" w:rsidP="00232167">
            <w:pPr>
              <w:pStyle w:val="NormalWeb"/>
              <w:jc w:val="left"/>
              <w:rPr>
                <w:sz w:val="18"/>
                <w:szCs w:val="18"/>
              </w:rPr>
            </w:pPr>
            <w:r w:rsidRPr="00834CDC">
              <w:rPr>
                <w:sz w:val="18"/>
                <w:szCs w:val="18"/>
              </w:rPr>
              <w:t>Varicella (chickenpox)</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5125A18" w14:textId="77777777" w:rsidR="0023395F" w:rsidRPr="00834CDC" w:rsidRDefault="0023395F" w:rsidP="00232167">
            <w:pPr>
              <w:pStyle w:val="NormalWeb"/>
              <w:jc w:val="left"/>
              <w:rPr>
                <w:sz w:val="18"/>
                <w:szCs w:val="18"/>
              </w:rPr>
            </w:pPr>
            <w:r w:rsidRPr="00834CDC">
              <w:rPr>
                <w:sz w:val="18"/>
                <w:szCs w:val="18"/>
              </w:rPr>
              <w:t xml:space="preserve">The all-age varicella hospitalisation rate in Aboriginal and Torres Strait Islander people has decreased by 67% since the national varicella immunisation program </w:t>
            </w:r>
            <w:proofErr w:type="gramStart"/>
            <w:r w:rsidRPr="00834CDC">
              <w:rPr>
                <w:sz w:val="18"/>
                <w:szCs w:val="18"/>
              </w:rPr>
              <w:t>was introduced</w:t>
            </w:r>
            <w:proofErr w:type="gramEnd"/>
            <w:r w:rsidRPr="00834CDC">
              <w:rPr>
                <w:sz w:val="18"/>
                <w:szCs w:val="18"/>
              </w:rPr>
              <w:t xml:space="preserve"> in 2005.</w:t>
            </w:r>
          </w:p>
          <w:p w14:paraId="3C171E1D" w14:textId="77777777" w:rsidR="0023395F" w:rsidRPr="00834CDC" w:rsidRDefault="0023395F" w:rsidP="00232167">
            <w:pPr>
              <w:pStyle w:val="NormalWeb"/>
              <w:jc w:val="left"/>
              <w:rPr>
                <w:sz w:val="18"/>
                <w:szCs w:val="18"/>
              </w:rPr>
            </w:pPr>
            <w:r w:rsidRPr="00834CDC">
              <w:rPr>
                <w:sz w:val="18"/>
                <w:szCs w:val="18"/>
              </w:rPr>
              <w:t>The varicella hospitalisation rate among Aboriginal and Torres Strait Islander children aged &lt; 5 years was 53% lower in the 2016–2019 period than the 2011–2015 period.</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DEB1EBE" w14:textId="77777777" w:rsidR="0023395F" w:rsidRPr="00834CDC" w:rsidRDefault="0023395F" w:rsidP="00232167">
            <w:pPr>
              <w:pStyle w:val="NormalWeb"/>
              <w:jc w:val="left"/>
              <w:rPr>
                <w:sz w:val="18"/>
                <w:szCs w:val="18"/>
              </w:rPr>
            </w:pPr>
            <w:r w:rsidRPr="00834CDC">
              <w:rPr>
                <w:sz w:val="18"/>
                <w:szCs w:val="18"/>
              </w:rPr>
              <w:t>Maintain high vaccination coverage and disease surveillance.</w:t>
            </w:r>
          </w:p>
        </w:tc>
      </w:tr>
      <w:tr w:rsidR="0023395F" w:rsidRPr="00834CDC" w14:paraId="635A36BF" w14:textId="77777777" w:rsidTr="00232167">
        <w:trPr>
          <w:divId w:val="1988506822"/>
        </w:trPr>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16AB8F4" w14:textId="77777777" w:rsidR="0023395F" w:rsidRPr="00834CDC" w:rsidRDefault="0023395F" w:rsidP="00232167">
            <w:pPr>
              <w:pStyle w:val="NormalWeb"/>
              <w:jc w:val="left"/>
              <w:rPr>
                <w:sz w:val="18"/>
                <w:szCs w:val="18"/>
              </w:rPr>
            </w:pPr>
            <w:r w:rsidRPr="00834CDC">
              <w:rPr>
                <w:sz w:val="18"/>
                <w:szCs w:val="18"/>
              </w:rPr>
              <w:t>Zoster (shingles)</w:t>
            </w:r>
          </w:p>
        </w:tc>
        <w:tc>
          <w:tcPr>
            <w:tcW w:w="39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64656B7" w14:textId="77777777" w:rsidR="0023395F" w:rsidRPr="00834CDC" w:rsidRDefault="0023395F" w:rsidP="00232167">
            <w:pPr>
              <w:pStyle w:val="NormalWeb"/>
              <w:jc w:val="left"/>
              <w:rPr>
                <w:sz w:val="18"/>
                <w:szCs w:val="18"/>
              </w:rPr>
            </w:pPr>
            <w:r w:rsidRPr="00834CDC">
              <w:rPr>
                <w:sz w:val="18"/>
                <w:szCs w:val="18"/>
              </w:rPr>
              <w:t>Zoster hospitalisation rates in Aboriginal and Torres Strait Islander people, which were rising prior to introduction of the national zoster vaccination program in 2016, have since plateaued and, more recently, may have started to decrease.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3795770" w14:textId="77777777" w:rsidR="0023395F" w:rsidRPr="00834CDC" w:rsidRDefault="0023395F" w:rsidP="00232167">
            <w:pPr>
              <w:pStyle w:val="NormalWeb"/>
              <w:jc w:val="left"/>
              <w:rPr>
                <w:sz w:val="18"/>
                <w:szCs w:val="18"/>
              </w:rPr>
            </w:pPr>
            <w:r w:rsidRPr="00834CDC">
              <w:rPr>
                <w:sz w:val="18"/>
                <w:szCs w:val="18"/>
              </w:rPr>
              <w:t>Increase zoster vaccination coverage.</w:t>
            </w:r>
          </w:p>
          <w:p w14:paraId="711C3CED" w14:textId="77777777" w:rsidR="0023395F" w:rsidRPr="00834CDC" w:rsidRDefault="0023395F" w:rsidP="00232167">
            <w:pPr>
              <w:pStyle w:val="NormalWeb"/>
              <w:jc w:val="left"/>
              <w:rPr>
                <w:sz w:val="18"/>
                <w:szCs w:val="18"/>
              </w:rPr>
            </w:pPr>
            <w:r w:rsidRPr="00834CDC">
              <w:rPr>
                <w:sz w:val="18"/>
                <w:szCs w:val="18"/>
              </w:rPr>
              <w:t xml:space="preserve">Monitor disease rates to </w:t>
            </w:r>
            <w:proofErr w:type="gramStart"/>
            <w:r w:rsidRPr="00834CDC">
              <w:rPr>
                <w:sz w:val="18"/>
                <w:szCs w:val="18"/>
              </w:rPr>
              <w:t>identify</w:t>
            </w:r>
            <w:proofErr w:type="gramEnd"/>
            <w:r w:rsidRPr="00834CDC">
              <w:rPr>
                <w:sz w:val="18"/>
                <w:szCs w:val="18"/>
              </w:rPr>
              <w:t xml:space="preserve"> any need for expanded access to NIP-funded vaccines, both current live vaccine and newer inactivated vaccine.</w:t>
            </w:r>
          </w:p>
        </w:tc>
      </w:tr>
    </w:tbl>
    <w:p w14:paraId="399F0EF2" w14:textId="77777777" w:rsidR="00255AC4" w:rsidRPr="00834CDC" w:rsidRDefault="00255AC4" w:rsidP="00255AC4">
      <w:pPr>
        <w:divId w:val="1988506822"/>
        <w:rPr>
          <w:rStyle w:val="Strong"/>
        </w:rPr>
      </w:pPr>
    </w:p>
    <w:p w14:paraId="56D4D4A8" w14:textId="594EA865" w:rsidR="00255AC4" w:rsidRPr="00834CDC" w:rsidRDefault="00255AC4" w:rsidP="00255AC4">
      <w:pPr>
        <w:divId w:val="1988506822"/>
      </w:pPr>
      <w:r w:rsidRPr="00834CDC">
        <w:rPr>
          <w:rStyle w:val="Strong"/>
        </w:rPr>
        <w:t>Abbreviations</w:t>
      </w:r>
    </w:p>
    <w:tbl>
      <w:tblPr>
        <w:tblStyle w:val="CDI-StandardTable"/>
        <w:tblW w:w="10490" w:type="dxa"/>
        <w:tblLook w:val="04A0" w:firstRow="1" w:lastRow="0" w:firstColumn="1" w:lastColumn="0" w:noHBand="0" w:noVBand="1"/>
        <w:tblDescription w:val="Table of abbreviations"/>
      </w:tblPr>
      <w:tblGrid>
        <w:gridCol w:w="1418"/>
        <w:gridCol w:w="9072"/>
      </w:tblGrid>
      <w:tr w:rsidR="00255AC4" w:rsidRPr="00834CDC" w14:paraId="19900486" w14:textId="77777777" w:rsidTr="00684F68">
        <w:trPr>
          <w:cnfStyle w:val="100000000000" w:firstRow="1" w:lastRow="0" w:firstColumn="0" w:lastColumn="0" w:oddVBand="0" w:evenVBand="0" w:oddHBand="0" w:evenHBand="0" w:firstRowFirstColumn="0" w:firstRowLastColumn="0" w:lastRowFirstColumn="0" w:lastRowLastColumn="0"/>
          <w:divId w:val="1988506822"/>
          <w:tblHeader/>
        </w:trPr>
        <w:tc>
          <w:tcPr>
            <w:tcW w:w="1418" w:type="dxa"/>
            <w:hideMark/>
          </w:tcPr>
          <w:p w14:paraId="3DEF2279" w14:textId="77777777" w:rsidR="00255AC4" w:rsidRPr="00834CDC" w:rsidRDefault="00255AC4" w:rsidP="00B2269B">
            <w:pPr>
              <w:pStyle w:val="NormalWeb"/>
              <w:jc w:val="left"/>
              <w:rPr>
                <w:sz w:val="18"/>
                <w:szCs w:val="18"/>
              </w:rPr>
            </w:pPr>
            <w:r w:rsidRPr="00834CDC">
              <w:rPr>
                <w:sz w:val="18"/>
                <w:szCs w:val="18"/>
              </w:rPr>
              <w:t>Abbreviations</w:t>
            </w:r>
          </w:p>
        </w:tc>
        <w:tc>
          <w:tcPr>
            <w:tcW w:w="9072" w:type="dxa"/>
            <w:hideMark/>
          </w:tcPr>
          <w:p w14:paraId="1A0A55F3" w14:textId="77777777" w:rsidR="00255AC4" w:rsidRPr="00834CDC" w:rsidRDefault="00255AC4" w:rsidP="003058F5">
            <w:pPr>
              <w:pStyle w:val="NormalWeb"/>
              <w:jc w:val="left"/>
              <w:rPr>
                <w:sz w:val="18"/>
                <w:szCs w:val="18"/>
              </w:rPr>
            </w:pPr>
            <w:r w:rsidRPr="00834CDC">
              <w:rPr>
                <w:sz w:val="18"/>
                <w:szCs w:val="18"/>
              </w:rPr>
              <w:t>Definition</w:t>
            </w:r>
          </w:p>
        </w:tc>
      </w:tr>
      <w:tr w:rsidR="00255AC4" w:rsidRPr="00834CDC" w14:paraId="580B1CFB" w14:textId="77777777" w:rsidTr="00684F68">
        <w:trPr>
          <w:divId w:val="1988506822"/>
        </w:trPr>
        <w:tc>
          <w:tcPr>
            <w:tcW w:w="1418" w:type="dxa"/>
            <w:hideMark/>
          </w:tcPr>
          <w:p w14:paraId="450A59D4" w14:textId="77777777" w:rsidR="00255AC4" w:rsidRPr="00834CDC" w:rsidRDefault="00255AC4" w:rsidP="00B2269B">
            <w:pPr>
              <w:pStyle w:val="NormalWeb"/>
              <w:jc w:val="left"/>
              <w:rPr>
                <w:sz w:val="18"/>
                <w:szCs w:val="18"/>
              </w:rPr>
            </w:pPr>
            <w:r w:rsidRPr="00834CDC">
              <w:rPr>
                <w:sz w:val="18"/>
                <w:szCs w:val="18"/>
              </w:rPr>
              <w:t>2vHPV</w:t>
            </w:r>
          </w:p>
        </w:tc>
        <w:tc>
          <w:tcPr>
            <w:tcW w:w="9072" w:type="dxa"/>
            <w:hideMark/>
          </w:tcPr>
          <w:p w14:paraId="3924E8FE" w14:textId="77777777" w:rsidR="00255AC4" w:rsidRPr="00834CDC" w:rsidRDefault="00255AC4" w:rsidP="003058F5">
            <w:pPr>
              <w:pStyle w:val="NormalWeb"/>
              <w:jc w:val="left"/>
              <w:rPr>
                <w:sz w:val="18"/>
                <w:szCs w:val="18"/>
              </w:rPr>
            </w:pPr>
            <w:r w:rsidRPr="00834CDC">
              <w:rPr>
                <w:sz w:val="18"/>
                <w:szCs w:val="18"/>
              </w:rPr>
              <w:t>Bivalent HPV vaccine</w:t>
            </w:r>
          </w:p>
        </w:tc>
      </w:tr>
      <w:tr w:rsidR="00255AC4" w:rsidRPr="00834CDC" w14:paraId="556284FC"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3D63B8AD" w14:textId="77777777" w:rsidR="00255AC4" w:rsidRPr="00834CDC" w:rsidRDefault="00255AC4" w:rsidP="00B2269B">
            <w:pPr>
              <w:pStyle w:val="NormalWeb"/>
              <w:jc w:val="left"/>
              <w:rPr>
                <w:sz w:val="18"/>
                <w:szCs w:val="18"/>
              </w:rPr>
            </w:pPr>
            <w:r w:rsidRPr="00834CDC">
              <w:rPr>
                <w:sz w:val="18"/>
                <w:szCs w:val="18"/>
              </w:rPr>
              <w:t>4vHPV</w:t>
            </w:r>
          </w:p>
        </w:tc>
        <w:tc>
          <w:tcPr>
            <w:tcW w:w="9072" w:type="dxa"/>
            <w:hideMark/>
          </w:tcPr>
          <w:p w14:paraId="35B0A97A" w14:textId="77777777" w:rsidR="00255AC4" w:rsidRPr="00834CDC" w:rsidRDefault="00255AC4" w:rsidP="003058F5">
            <w:pPr>
              <w:pStyle w:val="NormalWeb"/>
              <w:jc w:val="left"/>
              <w:rPr>
                <w:sz w:val="18"/>
                <w:szCs w:val="18"/>
              </w:rPr>
            </w:pPr>
            <w:r w:rsidRPr="00834CDC">
              <w:rPr>
                <w:sz w:val="18"/>
                <w:szCs w:val="18"/>
              </w:rPr>
              <w:t>Quadrivalent human papillomavirus vaccine</w:t>
            </w:r>
          </w:p>
        </w:tc>
      </w:tr>
      <w:tr w:rsidR="00255AC4" w:rsidRPr="00834CDC" w14:paraId="6DD7D185" w14:textId="77777777" w:rsidTr="00684F68">
        <w:trPr>
          <w:divId w:val="1988506822"/>
        </w:trPr>
        <w:tc>
          <w:tcPr>
            <w:tcW w:w="1418" w:type="dxa"/>
            <w:hideMark/>
          </w:tcPr>
          <w:p w14:paraId="3F94A551" w14:textId="77777777" w:rsidR="00255AC4" w:rsidRPr="00834CDC" w:rsidRDefault="00255AC4" w:rsidP="00B2269B">
            <w:pPr>
              <w:pStyle w:val="NormalWeb"/>
              <w:jc w:val="left"/>
              <w:rPr>
                <w:sz w:val="18"/>
                <w:szCs w:val="18"/>
              </w:rPr>
            </w:pPr>
            <w:r w:rsidRPr="00834CDC">
              <w:rPr>
                <w:sz w:val="18"/>
                <w:szCs w:val="18"/>
              </w:rPr>
              <w:t>7vPCV</w:t>
            </w:r>
          </w:p>
        </w:tc>
        <w:tc>
          <w:tcPr>
            <w:tcW w:w="9072" w:type="dxa"/>
            <w:hideMark/>
          </w:tcPr>
          <w:p w14:paraId="4496F23C" w14:textId="77777777" w:rsidR="00255AC4" w:rsidRPr="00834CDC" w:rsidRDefault="00255AC4" w:rsidP="003058F5">
            <w:pPr>
              <w:pStyle w:val="NormalWeb"/>
              <w:jc w:val="left"/>
              <w:rPr>
                <w:sz w:val="18"/>
                <w:szCs w:val="18"/>
              </w:rPr>
            </w:pPr>
            <w:r w:rsidRPr="00834CDC">
              <w:rPr>
                <w:sz w:val="18"/>
                <w:szCs w:val="18"/>
              </w:rPr>
              <w:t>7-valent pneumococcal conjugate vaccine</w:t>
            </w:r>
          </w:p>
        </w:tc>
      </w:tr>
      <w:tr w:rsidR="00255AC4" w:rsidRPr="00834CDC" w14:paraId="033C8684"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0B8DC079" w14:textId="77777777" w:rsidR="00255AC4" w:rsidRPr="00834CDC" w:rsidRDefault="00255AC4" w:rsidP="00B2269B">
            <w:pPr>
              <w:pStyle w:val="NormalWeb"/>
              <w:jc w:val="left"/>
              <w:rPr>
                <w:sz w:val="18"/>
                <w:szCs w:val="18"/>
              </w:rPr>
            </w:pPr>
            <w:r w:rsidRPr="00834CDC">
              <w:rPr>
                <w:sz w:val="18"/>
                <w:szCs w:val="18"/>
              </w:rPr>
              <w:t>9vHPV</w:t>
            </w:r>
          </w:p>
        </w:tc>
        <w:tc>
          <w:tcPr>
            <w:tcW w:w="9072" w:type="dxa"/>
            <w:hideMark/>
          </w:tcPr>
          <w:p w14:paraId="581D9DD3" w14:textId="77777777" w:rsidR="00255AC4" w:rsidRPr="00834CDC" w:rsidRDefault="00255AC4" w:rsidP="003058F5">
            <w:pPr>
              <w:pStyle w:val="NormalWeb"/>
              <w:jc w:val="left"/>
              <w:rPr>
                <w:sz w:val="18"/>
                <w:szCs w:val="18"/>
              </w:rPr>
            </w:pPr>
            <w:proofErr w:type="spellStart"/>
            <w:r w:rsidRPr="00834CDC">
              <w:rPr>
                <w:sz w:val="18"/>
                <w:szCs w:val="18"/>
              </w:rPr>
              <w:t>Nonavalent</w:t>
            </w:r>
            <w:proofErr w:type="spellEnd"/>
            <w:r w:rsidRPr="00834CDC">
              <w:rPr>
                <w:sz w:val="18"/>
                <w:szCs w:val="18"/>
              </w:rPr>
              <w:t xml:space="preserve"> human papillomavirus vaccine</w:t>
            </w:r>
          </w:p>
        </w:tc>
      </w:tr>
      <w:tr w:rsidR="00255AC4" w:rsidRPr="00834CDC" w14:paraId="2B5947A7" w14:textId="77777777" w:rsidTr="00684F68">
        <w:trPr>
          <w:divId w:val="1988506822"/>
        </w:trPr>
        <w:tc>
          <w:tcPr>
            <w:tcW w:w="1418" w:type="dxa"/>
            <w:hideMark/>
          </w:tcPr>
          <w:p w14:paraId="440127C8" w14:textId="77777777" w:rsidR="00255AC4" w:rsidRPr="00834CDC" w:rsidRDefault="00255AC4" w:rsidP="00B2269B">
            <w:pPr>
              <w:pStyle w:val="NormalWeb"/>
              <w:jc w:val="left"/>
              <w:rPr>
                <w:sz w:val="18"/>
                <w:szCs w:val="18"/>
              </w:rPr>
            </w:pPr>
            <w:r w:rsidRPr="00834CDC">
              <w:rPr>
                <w:sz w:val="18"/>
                <w:szCs w:val="18"/>
              </w:rPr>
              <w:t>13vPCV</w:t>
            </w:r>
          </w:p>
        </w:tc>
        <w:tc>
          <w:tcPr>
            <w:tcW w:w="9072" w:type="dxa"/>
            <w:hideMark/>
          </w:tcPr>
          <w:p w14:paraId="7B5FF57A" w14:textId="77777777" w:rsidR="00255AC4" w:rsidRPr="00834CDC" w:rsidRDefault="00255AC4" w:rsidP="003058F5">
            <w:pPr>
              <w:pStyle w:val="NormalWeb"/>
              <w:jc w:val="left"/>
              <w:rPr>
                <w:sz w:val="18"/>
                <w:szCs w:val="18"/>
              </w:rPr>
            </w:pPr>
            <w:r w:rsidRPr="00834CDC">
              <w:rPr>
                <w:sz w:val="18"/>
                <w:szCs w:val="18"/>
              </w:rPr>
              <w:t>13-valent pneumococcal conjugate vaccine</w:t>
            </w:r>
          </w:p>
        </w:tc>
      </w:tr>
      <w:tr w:rsidR="00255AC4" w:rsidRPr="00834CDC" w14:paraId="5BE759EE"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1B1E8EBD" w14:textId="77777777" w:rsidR="00255AC4" w:rsidRPr="00834CDC" w:rsidRDefault="00255AC4" w:rsidP="00B2269B">
            <w:pPr>
              <w:pStyle w:val="NormalWeb"/>
              <w:jc w:val="left"/>
              <w:rPr>
                <w:sz w:val="18"/>
                <w:szCs w:val="18"/>
              </w:rPr>
            </w:pPr>
            <w:r w:rsidRPr="00834CDC">
              <w:rPr>
                <w:sz w:val="18"/>
                <w:szCs w:val="18"/>
              </w:rPr>
              <w:t>23vPPV</w:t>
            </w:r>
          </w:p>
        </w:tc>
        <w:tc>
          <w:tcPr>
            <w:tcW w:w="9072" w:type="dxa"/>
            <w:hideMark/>
          </w:tcPr>
          <w:p w14:paraId="7E569D8E" w14:textId="77777777" w:rsidR="00255AC4" w:rsidRPr="00834CDC" w:rsidRDefault="00255AC4" w:rsidP="003058F5">
            <w:pPr>
              <w:pStyle w:val="NormalWeb"/>
              <w:jc w:val="left"/>
              <w:rPr>
                <w:sz w:val="18"/>
                <w:szCs w:val="18"/>
              </w:rPr>
            </w:pPr>
            <w:r w:rsidRPr="00834CDC">
              <w:rPr>
                <w:sz w:val="18"/>
                <w:szCs w:val="18"/>
              </w:rPr>
              <w:t>23-valent pneumococcal polysaccharide vaccine</w:t>
            </w:r>
          </w:p>
        </w:tc>
      </w:tr>
      <w:tr w:rsidR="00255AC4" w:rsidRPr="00834CDC" w14:paraId="67F2422C" w14:textId="77777777" w:rsidTr="00684F68">
        <w:trPr>
          <w:divId w:val="1988506822"/>
        </w:trPr>
        <w:tc>
          <w:tcPr>
            <w:tcW w:w="1418" w:type="dxa"/>
            <w:hideMark/>
          </w:tcPr>
          <w:p w14:paraId="5571D75A" w14:textId="77777777" w:rsidR="00255AC4" w:rsidRPr="00834CDC" w:rsidRDefault="00255AC4" w:rsidP="00B2269B">
            <w:pPr>
              <w:pStyle w:val="NormalWeb"/>
              <w:jc w:val="left"/>
              <w:rPr>
                <w:sz w:val="18"/>
                <w:szCs w:val="18"/>
              </w:rPr>
            </w:pPr>
            <w:r w:rsidRPr="00834CDC">
              <w:rPr>
                <w:sz w:val="18"/>
                <w:szCs w:val="18"/>
              </w:rPr>
              <w:t>ABS</w:t>
            </w:r>
          </w:p>
        </w:tc>
        <w:tc>
          <w:tcPr>
            <w:tcW w:w="9072" w:type="dxa"/>
            <w:hideMark/>
          </w:tcPr>
          <w:p w14:paraId="0B5F7403" w14:textId="77777777" w:rsidR="00255AC4" w:rsidRPr="00834CDC" w:rsidRDefault="00255AC4" w:rsidP="003058F5">
            <w:pPr>
              <w:pStyle w:val="NormalWeb"/>
              <w:jc w:val="left"/>
              <w:rPr>
                <w:sz w:val="18"/>
                <w:szCs w:val="18"/>
              </w:rPr>
            </w:pPr>
            <w:r w:rsidRPr="00834CDC">
              <w:rPr>
                <w:sz w:val="18"/>
                <w:szCs w:val="18"/>
              </w:rPr>
              <w:t>Australian Bureau of Statistics</w:t>
            </w:r>
          </w:p>
        </w:tc>
      </w:tr>
      <w:tr w:rsidR="00255AC4" w:rsidRPr="00834CDC" w14:paraId="7849E1B8"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53E17CD5" w14:textId="77777777" w:rsidR="00255AC4" w:rsidRPr="00834CDC" w:rsidRDefault="00255AC4" w:rsidP="00B2269B">
            <w:pPr>
              <w:pStyle w:val="NormalWeb"/>
              <w:jc w:val="left"/>
              <w:rPr>
                <w:sz w:val="18"/>
                <w:szCs w:val="18"/>
              </w:rPr>
            </w:pPr>
            <w:r w:rsidRPr="00834CDC">
              <w:rPr>
                <w:sz w:val="18"/>
                <w:szCs w:val="18"/>
              </w:rPr>
              <w:t>ACR</w:t>
            </w:r>
          </w:p>
        </w:tc>
        <w:tc>
          <w:tcPr>
            <w:tcW w:w="9072" w:type="dxa"/>
            <w:hideMark/>
          </w:tcPr>
          <w:p w14:paraId="0C7ED1F8" w14:textId="77777777" w:rsidR="00255AC4" w:rsidRPr="00834CDC" w:rsidRDefault="00255AC4" w:rsidP="003058F5">
            <w:pPr>
              <w:pStyle w:val="NormalWeb"/>
              <w:jc w:val="left"/>
              <w:rPr>
                <w:sz w:val="18"/>
                <w:szCs w:val="18"/>
              </w:rPr>
            </w:pPr>
            <w:r w:rsidRPr="00834CDC">
              <w:rPr>
                <w:sz w:val="18"/>
                <w:szCs w:val="18"/>
              </w:rPr>
              <w:t>Australian Coordinating Registry</w:t>
            </w:r>
          </w:p>
        </w:tc>
      </w:tr>
      <w:tr w:rsidR="00255AC4" w:rsidRPr="00834CDC" w14:paraId="1F55EEFB" w14:textId="77777777" w:rsidTr="00684F68">
        <w:trPr>
          <w:divId w:val="1988506822"/>
        </w:trPr>
        <w:tc>
          <w:tcPr>
            <w:tcW w:w="1418" w:type="dxa"/>
            <w:hideMark/>
          </w:tcPr>
          <w:p w14:paraId="45654CC0" w14:textId="77777777" w:rsidR="00255AC4" w:rsidRPr="00834CDC" w:rsidRDefault="00255AC4" w:rsidP="00B2269B">
            <w:pPr>
              <w:pStyle w:val="NormalWeb"/>
              <w:jc w:val="left"/>
              <w:rPr>
                <w:sz w:val="18"/>
                <w:szCs w:val="18"/>
              </w:rPr>
            </w:pPr>
            <w:r w:rsidRPr="00834CDC">
              <w:rPr>
                <w:sz w:val="18"/>
                <w:szCs w:val="18"/>
              </w:rPr>
              <w:t>ACT</w:t>
            </w:r>
          </w:p>
        </w:tc>
        <w:tc>
          <w:tcPr>
            <w:tcW w:w="9072" w:type="dxa"/>
            <w:hideMark/>
          </w:tcPr>
          <w:p w14:paraId="5A3E33CC" w14:textId="77777777" w:rsidR="00255AC4" w:rsidRPr="00834CDC" w:rsidRDefault="00255AC4" w:rsidP="003058F5">
            <w:pPr>
              <w:pStyle w:val="NormalWeb"/>
              <w:jc w:val="left"/>
              <w:rPr>
                <w:sz w:val="18"/>
                <w:szCs w:val="18"/>
              </w:rPr>
            </w:pPr>
            <w:r w:rsidRPr="00834CDC">
              <w:rPr>
                <w:sz w:val="18"/>
                <w:szCs w:val="18"/>
              </w:rPr>
              <w:t>Australian Capital Territory</w:t>
            </w:r>
          </w:p>
        </w:tc>
      </w:tr>
      <w:tr w:rsidR="00255AC4" w:rsidRPr="00834CDC" w14:paraId="0C25379A"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3EBDCCCE" w14:textId="77777777" w:rsidR="00255AC4" w:rsidRPr="00834CDC" w:rsidRDefault="00255AC4" w:rsidP="00B2269B">
            <w:pPr>
              <w:pStyle w:val="NormalWeb"/>
              <w:jc w:val="left"/>
              <w:rPr>
                <w:sz w:val="18"/>
                <w:szCs w:val="18"/>
              </w:rPr>
            </w:pPr>
            <w:r w:rsidRPr="00834CDC">
              <w:rPr>
                <w:sz w:val="18"/>
                <w:szCs w:val="18"/>
              </w:rPr>
              <w:t>AIHW</w:t>
            </w:r>
          </w:p>
        </w:tc>
        <w:tc>
          <w:tcPr>
            <w:tcW w:w="9072" w:type="dxa"/>
            <w:hideMark/>
          </w:tcPr>
          <w:p w14:paraId="1266C877" w14:textId="77777777" w:rsidR="00255AC4" w:rsidRPr="00834CDC" w:rsidRDefault="00255AC4" w:rsidP="003058F5">
            <w:pPr>
              <w:pStyle w:val="NormalWeb"/>
              <w:jc w:val="left"/>
              <w:rPr>
                <w:sz w:val="18"/>
                <w:szCs w:val="18"/>
              </w:rPr>
            </w:pPr>
            <w:r w:rsidRPr="00834CDC">
              <w:rPr>
                <w:sz w:val="18"/>
                <w:szCs w:val="18"/>
              </w:rPr>
              <w:t>Australian Institute of Health and Welfare</w:t>
            </w:r>
          </w:p>
        </w:tc>
      </w:tr>
      <w:tr w:rsidR="00255AC4" w:rsidRPr="00834CDC" w14:paraId="719069C9" w14:textId="77777777" w:rsidTr="00684F68">
        <w:trPr>
          <w:divId w:val="1988506822"/>
        </w:trPr>
        <w:tc>
          <w:tcPr>
            <w:tcW w:w="1418" w:type="dxa"/>
            <w:hideMark/>
          </w:tcPr>
          <w:p w14:paraId="0AD2D588" w14:textId="77777777" w:rsidR="00255AC4" w:rsidRPr="00834CDC" w:rsidRDefault="00255AC4" w:rsidP="00B2269B">
            <w:pPr>
              <w:pStyle w:val="NormalWeb"/>
              <w:jc w:val="left"/>
              <w:rPr>
                <w:sz w:val="18"/>
                <w:szCs w:val="18"/>
              </w:rPr>
            </w:pPr>
            <w:r w:rsidRPr="00834CDC">
              <w:rPr>
                <w:sz w:val="18"/>
                <w:szCs w:val="18"/>
              </w:rPr>
              <w:t>AIR</w:t>
            </w:r>
          </w:p>
        </w:tc>
        <w:tc>
          <w:tcPr>
            <w:tcW w:w="9072" w:type="dxa"/>
            <w:hideMark/>
          </w:tcPr>
          <w:p w14:paraId="555679ED" w14:textId="77777777" w:rsidR="00255AC4" w:rsidRPr="00834CDC" w:rsidRDefault="00255AC4" w:rsidP="003058F5">
            <w:pPr>
              <w:pStyle w:val="NormalWeb"/>
              <w:jc w:val="left"/>
              <w:rPr>
                <w:sz w:val="18"/>
                <w:szCs w:val="18"/>
              </w:rPr>
            </w:pPr>
            <w:r w:rsidRPr="00834CDC">
              <w:rPr>
                <w:sz w:val="18"/>
                <w:szCs w:val="18"/>
              </w:rPr>
              <w:t>Australian Immunisation Register</w:t>
            </w:r>
          </w:p>
        </w:tc>
      </w:tr>
      <w:tr w:rsidR="00255AC4" w:rsidRPr="00834CDC" w14:paraId="5888C800"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4C374B6A" w14:textId="77777777" w:rsidR="00255AC4" w:rsidRPr="00834CDC" w:rsidRDefault="00255AC4" w:rsidP="00B2269B">
            <w:pPr>
              <w:pStyle w:val="NormalWeb"/>
              <w:jc w:val="left"/>
              <w:rPr>
                <w:sz w:val="18"/>
                <w:szCs w:val="18"/>
              </w:rPr>
            </w:pPr>
            <w:r w:rsidRPr="00834CDC">
              <w:rPr>
                <w:sz w:val="18"/>
                <w:szCs w:val="18"/>
              </w:rPr>
              <w:t>APSU</w:t>
            </w:r>
          </w:p>
        </w:tc>
        <w:tc>
          <w:tcPr>
            <w:tcW w:w="9072" w:type="dxa"/>
            <w:hideMark/>
          </w:tcPr>
          <w:p w14:paraId="0055040B" w14:textId="77777777" w:rsidR="00255AC4" w:rsidRPr="00834CDC" w:rsidRDefault="00255AC4" w:rsidP="003058F5">
            <w:pPr>
              <w:pStyle w:val="NormalWeb"/>
              <w:jc w:val="left"/>
              <w:rPr>
                <w:sz w:val="18"/>
                <w:szCs w:val="18"/>
              </w:rPr>
            </w:pPr>
            <w:r w:rsidRPr="00834CDC">
              <w:rPr>
                <w:sz w:val="18"/>
                <w:szCs w:val="18"/>
              </w:rPr>
              <w:t>Australian Paediatric Surveillance Unit</w:t>
            </w:r>
          </w:p>
        </w:tc>
      </w:tr>
      <w:tr w:rsidR="00255AC4" w:rsidRPr="00834CDC" w14:paraId="097FCF56" w14:textId="77777777" w:rsidTr="00684F68">
        <w:trPr>
          <w:divId w:val="1988506822"/>
        </w:trPr>
        <w:tc>
          <w:tcPr>
            <w:tcW w:w="1418" w:type="dxa"/>
            <w:hideMark/>
          </w:tcPr>
          <w:p w14:paraId="126D9613" w14:textId="77777777" w:rsidR="00255AC4" w:rsidRPr="00834CDC" w:rsidRDefault="00255AC4" w:rsidP="00B2269B">
            <w:pPr>
              <w:pStyle w:val="NormalWeb"/>
              <w:jc w:val="left"/>
              <w:rPr>
                <w:sz w:val="18"/>
                <w:szCs w:val="18"/>
              </w:rPr>
            </w:pPr>
            <w:r w:rsidRPr="00834CDC">
              <w:rPr>
                <w:sz w:val="18"/>
                <w:szCs w:val="18"/>
              </w:rPr>
              <w:t>BCG</w:t>
            </w:r>
          </w:p>
        </w:tc>
        <w:tc>
          <w:tcPr>
            <w:tcW w:w="9072" w:type="dxa"/>
            <w:hideMark/>
          </w:tcPr>
          <w:p w14:paraId="11231240" w14:textId="77777777" w:rsidR="00255AC4" w:rsidRPr="00834CDC" w:rsidRDefault="00255AC4" w:rsidP="003058F5">
            <w:pPr>
              <w:pStyle w:val="NormalWeb"/>
              <w:jc w:val="left"/>
              <w:rPr>
                <w:sz w:val="18"/>
                <w:szCs w:val="18"/>
              </w:rPr>
            </w:pPr>
            <w:r w:rsidRPr="00834CDC">
              <w:rPr>
                <w:sz w:val="18"/>
                <w:szCs w:val="18"/>
              </w:rPr>
              <w:t>Bacillus Calmette–</w:t>
            </w:r>
            <w:proofErr w:type="spellStart"/>
            <w:r w:rsidRPr="00834CDC">
              <w:rPr>
                <w:sz w:val="18"/>
                <w:szCs w:val="18"/>
              </w:rPr>
              <w:t>Guérin</w:t>
            </w:r>
            <w:proofErr w:type="spellEnd"/>
          </w:p>
        </w:tc>
      </w:tr>
      <w:tr w:rsidR="00255AC4" w:rsidRPr="00834CDC" w14:paraId="03B524A3"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0741BE8F" w14:textId="77777777" w:rsidR="00255AC4" w:rsidRPr="00834CDC" w:rsidRDefault="00255AC4" w:rsidP="00B2269B">
            <w:pPr>
              <w:pStyle w:val="NormalWeb"/>
              <w:jc w:val="left"/>
              <w:rPr>
                <w:sz w:val="18"/>
                <w:szCs w:val="18"/>
              </w:rPr>
            </w:pPr>
            <w:r w:rsidRPr="00834CDC">
              <w:rPr>
                <w:sz w:val="18"/>
                <w:szCs w:val="18"/>
              </w:rPr>
              <w:lastRenderedPageBreak/>
              <w:t>CI</w:t>
            </w:r>
          </w:p>
        </w:tc>
        <w:tc>
          <w:tcPr>
            <w:tcW w:w="9072" w:type="dxa"/>
            <w:hideMark/>
          </w:tcPr>
          <w:p w14:paraId="00381CCA" w14:textId="77777777" w:rsidR="00255AC4" w:rsidRPr="00834CDC" w:rsidRDefault="00255AC4" w:rsidP="003058F5">
            <w:pPr>
              <w:pStyle w:val="NormalWeb"/>
              <w:jc w:val="left"/>
              <w:rPr>
                <w:sz w:val="18"/>
                <w:szCs w:val="18"/>
              </w:rPr>
            </w:pPr>
            <w:r w:rsidRPr="00834CDC">
              <w:rPr>
                <w:sz w:val="18"/>
                <w:szCs w:val="18"/>
              </w:rPr>
              <w:t>Confidence interval</w:t>
            </w:r>
          </w:p>
        </w:tc>
      </w:tr>
      <w:tr w:rsidR="00255AC4" w:rsidRPr="00834CDC" w14:paraId="17194085" w14:textId="77777777" w:rsidTr="00684F68">
        <w:trPr>
          <w:divId w:val="1988506822"/>
        </w:trPr>
        <w:tc>
          <w:tcPr>
            <w:tcW w:w="1418" w:type="dxa"/>
            <w:hideMark/>
          </w:tcPr>
          <w:p w14:paraId="574B3DFB" w14:textId="77777777" w:rsidR="00255AC4" w:rsidRPr="00834CDC" w:rsidRDefault="00255AC4" w:rsidP="00B2269B">
            <w:pPr>
              <w:pStyle w:val="NormalWeb"/>
              <w:jc w:val="left"/>
              <w:rPr>
                <w:sz w:val="18"/>
                <w:szCs w:val="18"/>
              </w:rPr>
            </w:pPr>
            <w:r w:rsidRPr="00834CDC">
              <w:rPr>
                <w:sz w:val="18"/>
                <w:szCs w:val="18"/>
              </w:rPr>
              <w:t>CIN</w:t>
            </w:r>
          </w:p>
        </w:tc>
        <w:tc>
          <w:tcPr>
            <w:tcW w:w="9072" w:type="dxa"/>
            <w:hideMark/>
          </w:tcPr>
          <w:p w14:paraId="7C95BA4E" w14:textId="77777777" w:rsidR="00255AC4" w:rsidRPr="00834CDC" w:rsidRDefault="00255AC4" w:rsidP="003058F5">
            <w:pPr>
              <w:pStyle w:val="NormalWeb"/>
              <w:jc w:val="left"/>
              <w:rPr>
                <w:sz w:val="18"/>
                <w:szCs w:val="18"/>
              </w:rPr>
            </w:pPr>
            <w:r w:rsidRPr="00834CDC">
              <w:rPr>
                <w:sz w:val="18"/>
                <w:szCs w:val="18"/>
              </w:rPr>
              <w:t>Cervical intraepithelial neoplasia</w:t>
            </w:r>
          </w:p>
        </w:tc>
      </w:tr>
      <w:tr w:rsidR="00255AC4" w:rsidRPr="00834CDC" w14:paraId="7C58E2D1"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3ECCDD4C" w14:textId="77777777" w:rsidR="00255AC4" w:rsidRPr="00834CDC" w:rsidRDefault="00255AC4" w:rsidP="00B2269B">
            <w:pPr>
              <w:pStyle w:val="NormalWeb"/>
              <w:jc w:val="left"/>
              <w:rPr>
                <w:sz w:val="18"/>
                <w:szCs w:val="18"/>
              </w:rPr>
            </w:pPr>
            <w:r w:rsidRPr="00834CDC">
              <w:rPr>
                <w:sz w:val="18"/>
                <w:szCs w:val="18"/>
              </w:rPr>
              <w:t>CRS</w:t>
            </w:r>
          </w:p>
        </w:tc>
        <w:tc>
          <w:tcPr>
            <w:tcW w:w="9072" w:type="dxa"/>
            <w:hideMark/>
          </w:tcPr>
          <w:p w14:paraId="5452822D" w14:textId="77777777" w:rsidR="00255AC4" w:rsidRPr="00834CDC" w:rsidRDefault="00255AC4" w:rsidP="003058F5">
            <w:pPr>
              <w:pStyle w:val="NormalWeb"/>
              <w:jc w:val="left"/>
              <w:rPr>
                <w:sz w:val="18"/>
                <w:szCs w:val="18"/>
              </w:rPr>
            </w:pPr>
            <w:r w:rsidRPr="00834CDC">
              <w:rPr>
                <w:sz w:val="18"/>
                <w:szCs w:val="18"/>
              </w:rPr>
              <w:t>Congenital rubella syndrome</w:t>
            </w:r>
          </w:p>
        </w:tc>
      </w:tr>
      <w:tr w:rsidR="00255AC4" w:rsidRPr="00834CDC" w14:paraId="01DC63A1" w14:textId="77777777" w:rsidTr="00684F68">
        <w:trPr>
          <w:divId w:val="1988506822"/>
        </w:trPr>
        <w:tc>
          <w:tcPr>
            <w:tcW w:w="1418" w:type="dxa"/>
            <w:hideMark/>
          </w:tcPr>
          <w:p w14:paraId="79027065" w14:textId="77777777" w:rsidR="00255AC4" w:rsidRPr="00834CDC" w:rsidRDefault="00255AC4" w:rsidP="00B2269B">
            <w:pPr>
              <w:pStyle w:val="NormalWeb"/>
              <w:jc w:val="left"/>
              <w:rPr>
                <w:sz w:val="18"/>
                <w:szCs w:val="18"/>
              </w:rPr>
            </w:pPr>
            <w:r w:rsidRPr="00834CDC">
              <w:rPr>
                <w:sz w:val="18"/>
                <w:szCs w:val="18"/>
              </w:rPr>
              <w:t>DNA</w:t>
            </w:r>
          </w:p>
        </w:tc>
        <w:tc>
          <w:tcPr>
            <w:tcW w:w="9072" w:type="dxa"/>
            <w:hideMark/>
          </w:tcPr>
          <w:p w14:paraId="6D9ED849" w14:textId="77777777" w:rsidR="00255AC4" w:rsidRPr="00834CDC" w:rsidRDefault="00255AC4" w:rsidP="003058F5">
            <w:pPr>
              <w:pStyle w:val="NormalWeb"/>
              <w:jc w:val="left"/>
              <w:rPr>
                <w:sz w:val="18"/>
                <w:szCs w:val="18"/>
              </w:rPr>
            </w:pPr>
            <w:r w:rsidRPr="00834CDC">
              <w:rPr>
                <w:sz w:val="18"/>
                <w:szCs w:val="18"/>
              </w:rPr>
              <w:t>Deoxyribonucleic acid</w:t>
            </w:r>
          </w:p>
        </w:tc>
      </w:tr>
      <w:tr w:rsidR="00255AC4" w:rsidRPr="00834CDC" w14:paraId="1BC80265"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7EE6DBBF" w14:textId="77777777" w:rsidR="00255AC4" w:rsidRPr="00834CDC" w:rsidRDefault="00255AC4" w:rsidP="00B2269B">
            <w:pPr>
              <w:pStyle w:val="NormalWeb"/>
              <w:jc w:val="left"/>
              <w:rPr>
                <w:sz w:val="18"/>
                <w:szCs w:val="18"/>
              </w:rPr>
            </w:pPr>
            <w:proofErr w:type="spellStart"/>
            <w:r w:rsidRPr="00834CDC">
              <w:rPr>
                <w:sz w:val="18"/>
                <w:szCs w:val="18"/>
              </w:rPr>
              <w:t>DTPa</w:t>
            </w:r>
            <w:proofErr w:type="spellEnd"/>
          </w:p>
        </w:tc>
        <w:tc>
          <w:tcPr>
            <w:tcW w:w="9072" w:type="dxa"/>
            <w:hideMark/>
          </w:tcPr>
          <w:p w14:paraId="79891A6F" w14:textId="77777777" w:rsidR="00255AC4" w:rsidRPr="00834CDC" w:rsidRDefault="00255AC4" w:rsidP="003058F5">
            <w:pPr>
              <w:pStyle w:val="NormalWeb"/>
              <w:jc w:val="left"/>
              <w:rPr>
                <w:sz w:val="18"/>
                <w:szCs w:val="18"/>
              </w:rPr>
            </w:pPr>
            <w:r w:rsidRPr="00834CDC">
              <w:rPr>
                <w:sz w:val="18"/>
                <w:szCs w:val="18"/>
              </w:rPr>
              <w:t>Diphtheria-tetanus-pertussis vaccine</w:t>
            </w:r>
          </w:p>
        </w:tc>
      </w:tr>
      <w:tr w:rsidR="00255AC4" w:rsidRPr="00834CDC" w14:paraId="4086B30F" w14:textId="77777777" w:rsidTr="00684F68">
        <w:trPr>
          <w:divId w:val="1988506822"/>
        </w:trPr>
        <w:tc>
          <w:tcPr>
            <w:tcW w:w="1418" w:type="dxa"/>
            <w:hideMark/>
          </w:tcPr>
          <w:p w14:paraId="6310B016" w14:textId="77777777" w:rsidR="00255AC4" w:rsidRPr="00834CDC" w:rsidRDefault="00255AC4" w:rsidP="00B2269B">
            <w:pPr>
              <w:pStyle w:val="NormalWeb"/>
              <w:jc w:val="left"/>
              <w:rPr>
                <w:sz w:val="18"/>
                <w:szCs w:val="18"/>
              </w:rPr>
            </w:pPr>
            <w:proofErr w:type="spellStart"/>
            <w:r w:rsidRPr="00834CDC">
              <w:rPr>
                <w:sz w:val="18"/>
                <w:szCs w:val="18"/>
              </w:rPr>
              <w:t>dTpa</w:t>
            </w:r>
            <w:proofErr w:type="spellEnd"/>
          </w:p>
        </w:tc>
        <w:tc>
          <w:tcPr>
            <w:tcW w:w="9072" w:type="dxa"/>
            <w:hideMark/>
          </w:tcPr>
          <w:p w14:paraId="12401C34" w14:textId="77777777" w:rsidR="00255AC4" w:rsidRPr="00834CDC" w:rsidRDefault="00255AC4" w:rsidP="003058F5">
            <w:pPr>
              <w:pStyle w:val="NormalWeb"/>
              <w:jc w:val="left"/>
              <w:rPr>
                <w:sz w:val="18"/>
                <w:szCs w:val="18"/>
              </w:rPr>
            </w:pPr>
            <w:r w:rsidRPr="00834CDC">
              <w:rPr>
                <w:sz w:val="18"/>
                <w:szCs w:val="18"/>
              </w:rPr>
              <w:t>Diphtheria-tetanus-pertussis vaccine (reduced antigen formulation)</w:t>
            </w:r>
          </w:p>
        </w:tc>
      </w:tr>
      <w:tr w:rsidR="00255AC4" w:rsidRPr="00834CDC" w14:paraId="1FF656F6"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0A901AD2" w14:textId="77777777" w:rsidR="00255AC4" w:rsidRPr="00834CDC" w:rsidRDefault="00255AC4" w:rsidP="00B2269B">
            <w:pPr>
              <w:pStyle w:val="NormalWeb"/>
              <w:jc w:val="left"/>
              <w:rPr>
                <w:sz w:val="18"/>
                <w:szCs w:val="18"/>
              </w:rPr>
            </w:pPr>
            <w:r w:rsidRPr="00834CDC">
              <w:rPr>
                <w:sz w:val="18"/>
                <w:szCs w:val="18"/>
              </w:rPr>
              <w:t>HAV</w:t>
            </w:r>
          </w:p>
        </w:tc>
        <w:tc>
          <w:tcPr>
            <w:tcW w:w="9072" w:type="dxa"/>
            <w:hideMark/>
          </w:tcPr>
          <w:p w14:paraId="5561B1FF" w14:textId="77777777" w:rsidR="00255AC4" w:rsidRPr="00834CDC" w:rsidRDefault="00255AC4" w:rsidP="003058F5">
            <w:pPr>
              <w:pStyle w:val="NormalWeb"/>
              <w:jc w:val="left"/>
              <w:rPr>
                <w:sz w:val="18"/>
                <w:szCs w:val="18"/>
              </w:rPr>
            </w:pPr>
            <w:r w:rsidRPr="00834CDC">
              <w:rPr>
                <w:sz w:val="18"/>
                <w:szCs w:val="18"/>
              </w:rPr>
              <w:t>Hepatitis A virus</w:t>
            </w:r>
          </w:p>
        </w:tc>
      </w:tr>
      <w:tr w:rsidR="00255AC4" w:rsidRPr="00834CDC" w14:paraId="13A31D58" w14:textId="77777777" w:rsidTr="00684F68">
        <w:trPr>
          <w:divId w:val="1988506822"/>
        </w:trPr>
        <w:tc>
          <w:tcPr>
            <w:tcW w:w="1418" w:type="dxa"/>
            <w:hideMark/>
          </w:tcPr>
          <w:p w14:paraId="4872CE3E" w14:textId="77777777" w:rsidR="00255AC4" w:rsidRPr="00834CDC" w:rsidRDefault="00255AC4" w:rsidP="00B2269B">
            <w:pPr>
              <w:pStyle w:val="NormalWeb"/>
              <w:jc w:val="left"/>
              <w:rPr>
                <w:sz w:val="18"/>
                <w:szCs w:val="18"/>
              </w:rPr>
            </w:pPr>
            <w:r w:rsidRPr="00834CDC">
              <w:rPr>
                <w:sz w:val="18"/>
                <w:szCs w:val="18"/>
              </w:rPr>
              <w:t>HBV</w:t>
            </w:r>
          </w:p>
        </w:tc>
        <w:tc>
          <w:tcPr>
            <w:tcW w:w="9072" w:type="dxa"/>
            <w:hideMark/>
          </w:tcPr>
          <w:p w14:paraId="775F072C" w14:textId="77777777" w:rsidR="00255AC4" w:rsidRPr="00834CDC" w:rsidRDefault="00255AC4" w:rsidP="003058F5">
            <w:pPr>
              <w:pStyle w:val="NormalWeb"/>
              <w:jc w:val="left"/>
              <w:rPr>
                <w:sz w:val="18"/>
                <w:szCs w:val="18"/>
              </w:rPr>
            </w:pPr>
            <w:r w:rsidRPr="00834CDC">
              <w:rPr>
                <w:sz w:val="18"/>
                <w:szCs w:val="18"/>
              </w:rPr>
              <w:t>Hepatitis B virus</w:t>
            </w:r>
          </w:p>
        </w:tc>
      </w:tr>
      <w:tr w:rsidR="00255AC4" w:rsidRPr="00834CDC" w14:paraId="5970659C"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73A98445" w14:textId="77777777" w:rsidR="00255AC4" w:rsidRPr="00834CDC" w:rsidRDefault="00255AC4" w:rsidP="00B2269B">
            <w:pPr>
              <w:pStyle w:val="NormalWeb"/>
              <w:jc w:val="left"/>
              <w:rPr>
                <w:sz w:val="18"/>
                <w:szCs w:val="18"/>
              </w:rPr>
            </w:pPr>
            <w:r w:rsidRPr="00834CDC">
              <w:rPr>
                <w:sz w:val="18"/>
                <w:szCs w:val="18"/>
              </w:rPr>
              <w:t>Hib</w:t>
            </w:r>
          </w:p>
        </w:tc>
        <w:tc>
          <w:tcPr>
            <w:tcW w:w="9072" w:type="dxa"/>
            <w:hideMark/>
          </w:tcPr>
          <w:p w14:paraId="494439F6" w14:textId="77777777" w:rsidR="00255AC4" w:rsidRPr="00834CDC" w:rsidRDefault="00255AC4" w:rsidP="003058F5">
            <w:pPr>
              <w:pStyle w:val="NormalWeb"/>
              <w:jc w:val="left"/>
              <w:rPr>
                <w:sz w:val="18"/>
                <w:szCs w:val="18"/>
              </w:rPr>
            </w:pPr>
            <w:r w:rsidRPr="00D24B47">
              <w:rPr>
                <w:i/>
                <w:iCs/>
                <w:sz w:val="18"/>
                <w:szCs w:val="18"/>
              </w:rPr>
              <w:t>Haemophilus influenzae</w:t>
            </w:r>
            <w:r w:rsidRPr="00834CDC">
              <w:rPr>
                <w:sz w:val="18"/>
                <w:szCs w:val="18"/>
              </w:rPr>
              <w:t xml:space="preserve"> type b</w:t>
            </w:r>
          </w:p>
        </w:tc>
      </w:tr>
      <w:tr w:rsidR="00255AC4" w:rsidRPr="00834CDC" w14:paraId="735C2ECA" w14:textId="77777777" w:rsidTr="00684F68">
        <w:trPr>
          <w:divId w:val="1988506822"/>
        </w:trPr>
        <w:tc>
          <w:tcPr>
            <w:tcW w:w="1418" w:type="dxa"/>
            <w:hideMark/>
          </w:tcPr>
          <w:p w14:paraId="47F70A4E" w14:textId="77777777" w:rsidR="00255AC4" w:rsidRPr="00834CDC" w:rsidRDefault="00255AC4" w:rsidP="00B2269B">
            <w:pPr>
              <w:pStyle w:val="NormalWeb"/>
              <w:jc w:val="left"/>
              <w:rPr>
                <w:sz w:val="18"/>
                <w:szCs w:val="18"/>
              </w:rPr>
            </w:pPr>
            <w:r w:rsidRPr="00834CDC">
              <w:rPr>
                <w:sz w:val="18"/>
                <w:szCs w:val="18"/>
              </w:rPr>
              <w:t>Hib-</w:t>
            </w:r>
            <w:proofErr w:type="spellStart"/>
            <w:r w:rsidRPr="00834CDC">
              <w:rPr>
                <w:sz w:val="18"/>
                <w:szCs w:val="18"/>
              </w:rPr>
              <w:t>MenC</w:t>
            </w:r>
            <w:proofErr w:type="spellEnd"/>
          </w:p>
        </w:tc>
        <w:tc>
          <w:tcPr>
            <w:tcW w:w="9072" w:type="dxa"/>
            <w:hideMark/>
          </w:tcPr>
          <w:p w14:paraId="6B533D1B" w14:textId="77777777" w:rsidR="00255AC4" w:rsidRPr="00834CDC" w:rsidRDefault="00255AC4" w:rsidP="003058F5">
            <w:pPr>
              <w:pStyle w:val="NormalWeb"/>
              <w:jc w:val="left"/>
              <w:rPr>
                <w:sz w:val="18"/>
                <w:szCs w:val="18"/>
              </w:rPr>
            </w:pPr>
            <w:r w:rsidRPr="00D24B47">
              <w:rPr>
                <w:i/>
                <w:iCs/>
                <w:sz w:val="18"/>
                <w:szCs w:val="18"/>
              </w:rPr>
              <w:t>Haemophilus influenzae</w:t>
            </w:r>
            <w:r w:rsidRPr="00834CDC">
              <w:rPr>
                <w:sz w:val="18"/>
                <w:szCs w:val="18"/>
              </w:rPr>
              <w:t xml:space="preserve"> type b- meningococcal serogroup C vaccine</w:t>
            </w:r>
          </w:p>
        </w:tc>
      </w:tr>
      <w:tr w:rsidR="00255AC4" w:rsidRPr="00834CDC" w14:paraId="64227BB3"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327BF07F" w14:textId="77777777" w:rsidR="00255AC4" w:rsidRPr="00834CDC" w:rsidRDefault="00255AC4" w:rsidP="00B2269B">
            <w:pPr>
              <w:pStyle w:val="NormalWeb"/>
              <w:jc w:val="left"/>
              <w:rPr>
                <w:sz w:val="18"/>
                <w:szCs w:val="18"/>
              </w:rPr>
            </w:pPr>
            <w:r w:rsidRPr="00834CDC">
              <w:rPr>
                <w:sz w:val="18"/>
                <w:szCs w:val="18"/>
              </w:rPr>
              <w:t>HPV</w:t>
            </w:r>
          </w:p>
        </w:tc>
        <w:tc>
          <w:tcPr>
            <w:tcW w:w="9072" w:type="dxa"/>
            <w:hideMark/>
          </w:tcPr>
          <w:p w14:paraId="57C60E61" w14:textId="77777777" w:rsidR="00255AC4" w:rsidRPr="00834CDC" w:rsidRDefault="00255AC4" w:rsidP="003058F5">
            <w:pPr>
              <w:pStyle w:val="NormalWeb"/>
              <w:jc w:val="left"/>
              <w:rPr>
                <w:sz w:val="18"/>
                <w:szCs w:val="18"/>
              </w:rPr>
            </w:pPr>
            <w:r w:rsidRPr="00834CDC">
              <w:rPr>
                <w:sz w:val="18"/>
                <w:szCs w:val="18"/>
              </w:rPr>
              <w:t>Human papillomavirus</w:t>
            </w:r>
          </w:p>
        </w:tc>
      </w:tr>
      <w:tr w:rsidR="00255AC4" w:rsidRPr="00834CDC" w14:paraId="685C3016" w14:textId="77777777" w:rsidTr="00684F68">
        <w:trPr>
          <w:divId w:val="1988506822"/>
        </w:trPr>
        <w:tc>
          <w:tcPr>
            <w:tcW w:w="1418" w:type="dxa"/>
            <w:hideMark/>
          </w:tcPr>
          <w:p w14:paraId="19F0616A" w14:textId="77777777" w:rsidR="00255AC4" w:rsidRPr="00834CDC" w:rsidRDefault="00255AC4" w:rsidP="00B2269B">
            <w:pPr>
              <w:pStyle w:val="NormalWeb"/>
              <w:jc w:val="left"/>
              <w:rPr>
                <w:sz w:val="18"/>
                <w:szCs w:val="18"/>
              </w:rPr>
            </w:pPr>
            <w:r w:rsidRPr="00834CDC">
              <w:rPr>
                <w:sz w:val="18"/>
                <w:szCs w:val="18"/>
              </w:rPr>
              <w:t>HZ</w:t>
            </w:r>
          </w:p>
        </w:tc>
        <w:tc>
          <w:tcPr>
            <w:tcW w:w="9072" w:type="dxa"/>
            <w:hideMark/>
          </w:tcPr>
          <w:p w14:paraId="35D5DBC0" w14:textId="77777777" w:rsidR="00255AC4" w:rsidRPr="00834CDC" w:rsidRDefault="00255AC4" w:rsidP="003058F5">
            <w:pPr>
              <w:pStyle w:val="NormalWeb"/>
              <w:jc w:val="left"/>
              <w:rPr>
                <w:sz w:val="18"/>
                <w:szCs w:val="18"/>
              </w:rPr>
            </w:pPr>
            <w:r w:rsidRPr="00834CDC">
              <w:rPr>
                <w:sz w:val="18"/>
                <w:szCs w:val="18"/>
              </w:rPr>
              <w:t>Herpes zoster</w:t>
            </w:r>
          </w:p>
        </w:tc>
      </w:tr>
      <w:tr w:rsidR="00255AC4" w:rsidRPr="00834CDC" w14:paraId="20CB609B"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33ADA5F1" w14:textId="77777777" w:rsidR="00255AC4" w:rsidRPr="00834CDC" w:rsidRDefault="00255AC4" w:rsidP="00B2269B">
            <w:pPr>
              <w:pStyle w:val="NormalWeb"/>
              <w:jc w:val="left"/>
              <w:rPr>
                <w:sz w:val="18"/>
                <w:szCs w:val="18"/>
              </w:rPr>
            </w:pPr>
            <w:r w:rsidRPr="00834CDC">
              <w:rPr>
                <w:sz w:val="18"/>
                <w:szCs w:val="18"/>
              </w:rPr>
              <w:t>ICD</w:t>
            </w:r>
          </w:p>
        </w:tc>
        <w:tc>
          <w:tcPr>
            <w:tcW w:w="9072" w:type="dxa"/>
            <w:hideMark/>
          </w:tcPr>
          <w:p w14:paraId="27C3E23F" w14:textId="77777777" w:rsidR="00255AC4" w:rsidRPr="00834CDC" w:rsidRDefault="00255AC4" w:rsidP="003058F5">
            <w:pPr>
              <w:pStyle w:val="NormalWeb"/>
              <w:jc w:val="left"/>
              <w:rPr>
                <w:sz w:val="18"/>
                <w:szCs w:val="18"/>
              </w:rPr>
            </w:pPr>
            <w:r w:rsidRPr="00834CDC">
              <w:rPr>
                <w:sz w:val="18"/>
                <w:szCs w:val="18"/>
              </w:rPr>
              <w:t>International Classification of Diseases</w:t>
            </w:r>
          </w:p>
        </w:tc>
      </w:tr>
      <w:tr w:rsidR="00255AC4" w:rsidRPr="00834CDC" w14:paraId="68C04814" w14:textId="77777777" w:rsidTr="00684F68">
        <w:trPr>
          <w:divId w:val="1988506822"/>
        </w:trPr>
        <w:tc>
          <w:tcPr>
            <w:tcW w:w="1418" w:type="dxa"/>
            <w:hideMark/>
          </w:tcPr>
          <w:p w14:paraId="3545EC5B" w14:textId="77777777" w:rsidR="00255AC4" w:rsidRPr="00834CDC" w:rsidRDefault="00255AC4" w:rsidP="00B2269B">
            <w:pPr>
              <w:pStyle w:val="NormalWeb"/>
              <w:jc w:val="left"/>
              <w:rPr>
                <w:sz w:val="18"/>
                <w:szCs w:val="18"/>
              </w:rPr>
            </w:pPr>
            <w:r w:rsidRPr="00834CDC">
              <w:rPr>
                <w:sz w:val="18"/>
                <w:szCs w:val="18"/>
              </w:rPr>
              <w:t>ICD-10-AM</w:t>
            </w:r>
          </w:p>
        </w:tc>
        <w:tc>
          <w:tcPr>
            <w:tcW w:w="9072" w:type="dxa"/>
            <w:hideMark/>
          </w:tcPr>
          <w:p w14:paraId="568934ED" w14:textId="77777777" w:rsidR="00255AC4" w:rsidRPr="00834CDC" w:rsidRDefault="00255AC4" w:rsidP="003058F5">
            <w:pPr>
              <w:pStyle w:val="NormalWeb"/>
              <w:jc w:val="left"/>
              <w:rPr>
                <w:sz w:val="18"/>
                <w:szCs w:val="18"/>
              </w:rPr>
            </w:pPr>
            <w:r w:rsidRPr="00834CDC">
              <w:rPr>
                <w:sz w:val="18"/>
                <w:szCs w:val="18"/>
              </w:rPr>
              <w:t>International Statistical Classification of Diseases and Related Health Problems, 10th Revision, Australian Modification</w:t>
            </w:r>
          </w:p>
        </w:tc>
      </w:tr>
      <w:tr w:rsidR="00255AC4" w:rsidRPr="00834CDC" w14:paraId="3CB3B5EA"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339A1B41" w14:textId="77777777" w:rsidR="00255AC4" w:rsidRPr="00834CDC" w:rsidRDefault="00255AC4" w:rsidP="00B2269B">
            <w:pPr>
              <w:pStyle w:val="NormalWeb"/>
              <w:jc w:val="left"/>
              <w:rPr>
                <w:sz w:val="18"/>
                <w:szCs w:val="18"/>
              </w:rPr>
            </w:pPr>
            <w:r w:rsidRPr="00834CDC">
              <w:rPr>
                <w:sz w:val="18"/>
                <w:szCs w:val="18"/>
              </w:rPr>
              <w:t>IMD</w:t>
            </w:r>
          </w:p>
        </w:tc>
        <w:tc>
          <w:tcPr>
            <w:tcW w:w="9072" w:type="dxa"/>
            <w:hideMark/>
          </w:tcPr>
          <w:p w14:paraId="3A146D59" w14:textId="77777777" w:rsidR="00255AC4" w:rsidRPr="00834CDC" w:rsidRDefault="00255AC4" w:rsidP="003058F5">
            <w:pPr>
              <w:pStyle w:val="NormalWeb"/>
              <w:jc w:val="left"/>
              <w:rPr>
                <w:sz w:val="18"/>
                <w:szCs w:val="18"/>
              </w:rPr>
            </w:pPr>
            <w:r w:rsidRPr="00834CDC">
              <w:rPr>
                <w:sz w:val="18"/>
                <w:szCs w:val="18"/>
              </w:rPr>
              <w:t>Invasive meningococcal disease</w:t>
            </w:r>
          </w:p>
        </w:tc>
      </w:tr>
      <w:tr w:rsidR="00255AC4" w:rsidRPr="00834CDC" w14:paraId="0A82055A" w14:textId="77777777" w:rsidTr="00684F68">
        <w:trPr>
          <w:divId w:val="1988506822"/>
        </w:trPr>
        <w:tc>
          <w:tcPr>
            <w:tcW w:w="1418" w:type="dxa"/>
            <w:hideMark/>
          </w:tcPr>
          <w:p w14:paraId="5556AFE4" w14:textId="77777777" w:rsidR="00255AC4" w:rsidRPr="00834CDC" w:rsidRDefault="00255AC4" w:rsidP="00B2269B">
            <w:pPr>
              <w:pStyle w:val="NormalWeb"/>
              <w:jc w:val="left"/>
              <w:rPr>
                <w:sz w:val="18"/>
                <w:szCs w:val="18"/>
              </w:rPr>
            </w:pPr>
            <w:r w:rsidRPr="00834CDC">
              <w:rPr>
                <w:sz w:val="18"/>
                <w:szCs w:val="18"/>
              </w:rPr>
              <w:t>IPD</w:t>
            </w:r>
          </w:p>
        </w:tc>
        <w:tc>
          <w:tcPr>
            <w:tcW w:w="9072" w:type="dxa"/>
            <w:hideMark/>
          </w:tcPr>
          <w:p w14:paraId="79A6AE84" w14:textId="77777777" w:rsidR="00255AC4" w:rsidRPr="00834CDC" w:rsidRDefault="00255AC4" w:rsidP="003058F5">
            <w:pPr>
              <w:pStyle w:val="NormalWeb"/>
              <w:jc w:val="left"/>
              <w:rPr>
                <w:sz w:val="18"/>
                <w:szCs w:val="18"/>
              </w:rPr>
            </w:pPr>
            <w:r w:rsidRPr="00834CDC">
              <w:rPr>
                <w:sz w:val="18"/>
                <w:szCs w:val="18"/>
              </w:rPr>
              <w:t>Invasive pneumococcal disease</w:t>
            </w:r>
          </w:p>
        </w:tc>
      </w:tr>
      <w:tr w:rsidR="00255AC4" w:rsidRPr="00834CDC" w14:paraId="1F22EFBD"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391409DD" w14:textId="77777777" w:rsidR="00255AC4" w:rsidRPr="00834CDC" w:rsidRDefault="00255AC4" w:rsidP="00B2269B">
            <w:pPr>
              <w:pStyle w:val="NormalWeb"/>
              <w:jc w:val="left"/>
              <w:rPr>
                <w:sz w:val="18"/>
                <w:szCs w:val="18"/>
              </w:rPr>
            </w:pPr>
            <w:proofErr w:type="spellStart"/>
            <w:r w:rsidRPr="00834CDC">
              <w:rPr>
                <w:sz w:val="18"/>
                <w:szCs w:val="18"/>
              </w:rPr>
              <w:t>MenACWY</w:t>
            </w:r>
            <w:proofErr w:type="spellEnd"/>
          </w:p>
        </w:tc>
        <w:tc>
          <w:tcPr>
            <w:tcW w:w="9072" w:type="dxa"/>
            <w:hideMark/>
          </w:tcPr>
          <w:p w14:paraId="50CB37A7" w14:textId="77777777" w:rsidR="00255AC4" w:rsidRPr="00834CDC" w:rsidRDefault="00255AC4" w:rsidP="003058F5">
            <w:pPr>
              <w:pStyle w:val="NormalWeb"/>
              <w:jc w:val="left"/>
              <w:rPr>
                <w:sz w:val="18"/>
                <w:szCs w:val="18"/>
              </w:rPr>
            </w:pPr>
            <w:r w:rsidRPr="00834CDC">
              <w:rPr>
                <w:sz w:val="18"/>
                <w:szCs w:val="18"/>
              </w:rPr>
              <w:t>Quadrivalent meningococcal conjugate vaccine</w:t>
            </w:r>
          </w:p>
        </w:tc>
      </w:tr>
      <w:tr w:rsidR="00255AC4" w:rsidRPr="00834CDC" w14:paraId="2BFBABE3" w14:textId="77777777" w:rsidTr="00684F68">
        <w:trPr>
          <w:divId w:val="1988506822"/>
        </w:trPr>
        <w:tc>
          <w:tcPr>
            <w:tcW w:w="1418" w:type="dxa"/>
            <w:hideMark/>
          </w:tcPr>
          <w:p w14:paraId="1A53F8FC" w14:textId="77777777" w:rsidR="00255AC4" w:rsidRPr="00834CDC" w:rsidRDefault="00255AC4" w:rsidP="00B2269B">
            <w:pPr>
              <w:pStyle w:val="NormalWeb"/>
              <w:jc w:val="left"/>
              <w:rPr>
                <w:sz w:val="18"/>
                <w:szCs w:val="18"/>
              </w:rPr>
            </w:pPr>
            <w:r w:rsidRPr="00834CDC">
              <w:rPr>
                <w:sz w:val="18"/>
                <w:szCs w:val="18"/>
              </w:rPr>
              <w:t>NCIRS</w:t>
            </w:r>
          </w:p>
        </w:tc>
        <w:tc>
          <w:tcPr>
            <w:tcW w:w="9072" w:type="dxa"/>
            <w:hideMark/>
          </w:tcPr>
          <w:p w14:paraId="22838E6D" w14:textId="77777777" w:rsidR="00255AC4" w:rsidRPr="00834CDC" w:rsidRDefault="00255AC4" w:rsidP="003058F5">
            <w:pPr>
              <w:pStyle w:val="NormalWeb"/>
              <w:jc w:val="left"/>
              <w:rPr>
                <w:sz w:val="18"/>
                <w:szCs w:val="18"/>
              </w:rPr>
            </w:pPr>
            <w:r w:rsidRPr="00834CDC">
              <w:rPr>
                <w:sz w:val="18"/>
                <w:szCs w:val="18"/>
              </w:rPr>
              <w:t>National Centre for Immunisation Research and Surveillance</w:t>
            </w:r>
          </w:p>
        </w:tc>
      </w:tr>
      <w:tr w:rsidR="00255AC4" w:rsidRPr="00834CDC" w14:paraId="7B00C1A4"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70FDF775" w14:textId="77777777" w:rsidR="00255AC4" w:rsidRPr="00834CDC" w:rsidRDefault="00255AC4" w:rsidP="00B2269B">
            <w:pPr>
              <w:pStyle w:val="NormalWeb"/>
              <w:jc w:val="left"/>
              <w:rPr>
                <w:sz w:val="18"/>
                <w:szCs w:val="18"/>
              </w:rPr>
            </w:pPr>
            <w:r w:rsidRPr="00834CDC">
              <w:rPr>
                <w:sz w:val="18"/>
                <w:szCs w:val="18"/>
              </w:rPr>
              <w:t>NIP</w:t>
            </w:r>
          </w:p>
        </w:tc>
        <w:tc>
          <w:tcPr>
            <w:tcW w:w="9072" w:type="dxa"/>
            <w:hideMark/>
          </w:tcPr>
          <w:p w14:paraId="5A0B3518" w14:textId="77777777" w:rsidR="00255AC4" w:rsidRPr="00834CDC" w:rsidRDefault="00255AC4" w:rsidP="003058F5">
            <w:pPr>
              <w:pStyle w:val="NormalWeb"/>
              <w:jc w:val="left"/>
              <w:rPr>
                <w:sz w:val="18"/>
                <w:szCs w:val="18"/>
              </w:rPr>
            </w:pPr>
            <w:r w:rsidRPr="00834CDC">
              <w:rPr>
                <w:sz w:val="18"/>
                <w:szCs w:val="18"/>
              </w:rPr>
              <w:t>National Immunisation Program</w:t>
            </w:r>
          </w:p>
        </w:tc>
      </w:tr>
      <w:tr w:rsidR="00255AC4" w:rsidRPr="00834CDC" w14:paraId="68661B41" w14:textId="77777777" w:rsidTr="00684F68">
        <w:trPr>
          <w:divId w:val="1988506822"/>
        </w:trPr>
        <w:tc>
          <w:tcPr>
            <w:tcW w:w="1418" w:type="dxa"/>
            <w:hideMark/>
          </w:tcPr>
          <w:p w14:paraId="6711AE4E" w14:textId="77777777" w:rsidR="00255AC4" w:rsidRPr="00834CDC" w:rsidRDefault="00255AC4" w:rsidP="00B2269B">
            <w:pPr>
              <w:pStyle w:val="NormalWeb"/>
              <w:jc w:val="left"/>
              <w:rPr>
                <w:sz w:val="18"/>
                <w:szCs w:val="18"/>
              </w:rPr>
            </w:pPr>
            <w:r w:rsidRPr="00834CDC">
              <w:rPr>
                <w:sz w:val="18"/>
                <w:szCs w:val="18"/>
              </w:rPr>
              <w:t>NNDSS</w:t>
            </w:r>
          </w:p>
        </w:tc>
        <w:tc>
          <w:tcPr>
            <w:tcW w:w="9072" w:type="dxa"/>
            <w:hideMark/>
          </w:tcPr>
          <w:p w14:paraId="2C58DEBF" w14:textId="77777777" w:rsidR="00255AC4" w:rsidRPr="00834CDC" w:rsidRDefault="00255AC4" w:rsidP="003058F5">
            <w:pPr>
              <w:pStyle w:val="NormalWeb"/>
              <w:jc w:val="left"/>
              <w:rPr>
                <w:sz w:val="18"/>
                <w:szCs w:val="18"/>
              </w:rPr>
            </w:pPr>
            <w:r w:rsidRPr="00834CDC">
              <w:rPr>
                <w:sz w:val="18"/>
                <w:szCs w:val="18"/>
              </w:rPr>
              <w:t>National Notifiable Diseases Surveillance System</w:t>
            </w:r>
          </w:p>
        </w:tc>
      </w:tr>
      <w:tr w:rsidR="00255AC4" w:rsidRPr="00834CDC" w14:paraId="6E928CFC"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30306C99" w14:textId="77777777" w:rsidR="00255AC4" w:rsidRPr="00834CDC" w:rsidRDefault="00255AC4" w:rsidP="00B2269B">
            <w:pPr>
              <w:pStyle w:val="NormalWeb"/>
              <w:jc w:val="left"/>
              <w:rPr>
                <w:sz w:val="18"/>
                <w:szCs w:val="18"/>
              </w:rPr>
            </w:pPr>
            <w:r w:rsidRPr="00834CDC">
              <w:rPr>
                <w:sz w:val="18"/>
                <w:szCs w:val="18"/>
              </w:rPr>
              <w:t>NSW</w:t>
            </w:r>
          </w:p>
        </w:tc>
        <w:tc>
          <w:tcPr>
            <w:tcW w:w="9072" w:type="dxa"/>
            <w:hideMark/>
          </w:tcPr>
          <w:p w14:paraId="4CC2F735" w14:textId="77777777" w:rsidR="00255AC4" w:rsidRPr="00834CDC" w:rsidRDefault="00255AC4" w:rsidP="003058F5">
            <w:pPr>
              <w:pStyle w:val="NormalWeb"/>
              <w:jc w:val="left"/>
              <w:rPr>
                <w:sz w:val="18"/>
                <w:szCs w:val="18"/>
              </w:rPr>
            </w:pPr>
            <w:r w:rsidRPr="00834CDC">
              <w:rPr>
                <w:sz w:val="18"/>
                <w:szCs w:val="18"/>
              </w:rPr>
              <w:t>New South Wales</w:t>
            </w:r>
          </w:p>
        </w:tc>
      </w:tr>
      <w:tr w:rsidR="00255AC4" w:rsidRPr="00834CDC" w14:paraId="4D072C77" w14:textId="77777777" w:rsidTr="00684F68">
        <w:trPr>
          <w:divId w:val="1988506822"/>
        </w:trPr>
        <w:tc>
          <w:tcPr>
            <w:tcW w:w="1418" w:type="dxa"/>
            <w:hideMark/>
          </w:tcPr>
          <w:p w14:paraId="07378C7F" w14:textId="77777777" w:rsidR="00255AC4" w:rsidRPr="00834CDC" w:rsidRDefault="00255AC4" w:rsidP="00B2269B">
            <w:pPr>
              <w:pStyle w:val="NormalWeb"/>
              <w:jc w:val="left"/>
              <w:rPr>
                <w:sz w:val="18"/>
                <w:szCs w:val="18"/>
              </w:rPr>
            </w:pPr>
            <w:r w:rsidRPr="00834CDC">
              <w:rPr>
                <w:sz w:val="18"/>
                <w:szCs w:val="18"/>
              </w:rPr>
              <w:t>NT</w:t>
            </w:r>
          </w:p>
        </w:tc>
        <w:tc>
          <w:tcPr>
            <w:tcW w:w="9072" w:type="dxa"/>
            <w:hideMark/>
          </w:tcPr>
          <w:p w14:paraId="79159BCE" w14:textId="77777777" w:rsidR="00255AC4" w:rsidRPr="00834CDC" w:rsidRDefault="00255AC4" w:rsidP="003058F5">
            <w:pPr>
              <w:pStyle w:val="NormalWeb"/>
              <w:jc w:val="left"/>
              <w:rPr>
                <w:sz w:val="18"/>
                <w:szCs w:val="18"/>
              </w:rPr>
            </w:pPr>
            <w:r w:rsidRPr="00834CDC">
              <w:rPr>
                <w:sz w:val="18"/>
                <w:szCs w:val="18"/>
              </w:rPr>
              <w:t>Northern Territory</w:t>
            </w:r>
          </w:p>
        </w:tc>
      </w:tr>
      <w:tr w:rsidR="00255AC4" w:rsidRPr="00834CDC" w14:paraId="74D13151"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2741AA2C" w14:textId="77777777" w:rsidR="00255AC4" w:rsidRPr="00834CDC" w:rsidRDefault="00255AC4" w:rsidP="00B2269B">
            <w:pPr>
              <w:pStyle w:val="NormalWeb"/>
              <w:jc w:val="left"/>
              <w:rPr>
                <w:sz w:val="18"/>
                <w:szCs w:val="18"/>
              </w:rPr>
            </w:pPr>
            <w:r w:rsidRPr="00834CDC">
              <w:rPr>
                <w:sz w:val="18"/>
                <w:szCs w:val="18"/>
              </w:rPr>
              <w:t>PCR</w:t>
            </w:r>
          </w:p>
        </w:tc>
        <w:tc>
          <w:tcPr>
            <w:tcW w:w="9072" w:type="dxa"/>
            <w:hideMark/>
          </w:tcPr>
          <w:p w14:paraId="1D2A24C4" w14:textId="77777777" w:rsidR="00255AC4" w:rsidRPr="00834CDC" w:rsidRDefault="00255AC4" w:rsidP="003058F5">
            <w:pPr>
              <w:pStyle w:val="NormalWeb"/>
              <w:jc w:val="left"/>
              <w:rPr>
                <w:sz w:val="18"/>
                <w:szCs w:val="18"/>
              </w:rPr>
            </w:pPr>
            <w:r w:rsidRPr="00834CDC">
              <w:rPr>
                <w:sz w:val="18"/>
                <w:szCs w:val="18"/>
              </w:rPr>
              <w:t>Polymerase chain reaction</w:t>
            </w:r>
          </w:p>
        </w:tc>
      </w:tr>
      <w:tr w:rsidR="00255AC4" w:rsidRPr="00834CDC" w14:paraId="623969CA" w14:textId="77777777" w:rsidTr="00684F68">
        <w:trPr>
          <w:divId w:val="1988506822"/>
        </w:trPr>
        <w:tc>
          <w:tcPr>
            <w:tcW w:w="1418" w:type="dxa"/>
            <w:hideMark/>
          </w:tcPr>
          <w:p w14:paraId="185DE085" w14:textId="77777777" w:rsidR="00255AC4" w:rsidRPr="00834CDC" w:rsidRDefault="00255AC4" w:rsidP="00B2269B">
            <w:pPr>
              <w:pStyle w:val="NormalWeb"/>
              <w:jc w:val="left"/>
              <w:rPr>
                <w:sz w:val="18"/>
                <w:szCs w:val="18"/>
              </w:rPr>
            </w:pPr>
            <w:r w:rsidRPr="00834CDC">
              <w:rPr>
                <w:sz w:val="18"/>
                <w:szCs w:val="18"/>
              </w:rPr>
              <w:t>Qld</w:t>
            </w:r>
          </w:p>
        </w:tc>
        <w:tc>
          <w:tcPr>
            <w:tcW w:w="9072" w:type="dxa"/>
            <w:hideMark/>
          </w:tcPr>
          <w:p w14:paraId="647B1DF7" w14:textId="77777777" w:rsidR="00255AC4" w:rsidRPr="00834CDC" w:rsidRDefault="00255AC4" w:rsidP="003058F5">
            <w:pPr>
              <w:pStyle w:val="NormalWeb"/>
              <w:jc w:val="left"/>
              <w:rPr>
                <w:sz w:val="18"/>
                <w:szCs w:val="18"/>
              </w:rPr>
            </w:pPr>
            <w:r w:rsidRPr="00834CDC">
              <w:rPr>
                <w:sz w:val="18"/>
                <w:szCs w:val="18"/>
              </w:rPr>
              <w:t>Queensland</w:t>
            </w:r>
          </w:p>
        </w:tc>
      </w:tr>
      <w:tr w:rsidR="00255AC4" w:rsidRPr="00834CDC" w14:paraId="0995C52D"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4F9C5B26" w14:textId="77777777" w:rsidR="00255AC4" w:rsidRPr="00834CDC" w:rsidRDefault="00255AC4" w:rsidP="00B2269B">
            <w:pPr>
              <w:pStyle w:val="NormalWeb"/>
              <w:jc w:val="left"/>
              <w:rPr>
                <w:sz w:val="18"/>
                <w:szCs w:val="18"/>
              </w:rPr>
            </w:pPr>
            <w:r w:rsidRPr="00834CDC">
              <w:rPr>
                <w:sz w:val="18"/>
                <w:szCs w:val="18"/>
              </w:rPr>
              <w:t>RR</w:t>
            </w:r>
          </w:p>
        </w:tc>
        <w:tc>
          <w:tcPr>
            <w:tcW w:w="9072" w:type="dxa"/>
            <w:hideMark/>
          </w:tcPr>
          <w:p w14:paraId="3C61A8CE" w14:textId="77777777" w:rsidR="00255AC4" w:rsidRPr="00834CDC" w:rsidRDefault="00255AC4" w:rsidP="003058F5">
            <w:pPr>
              <w:pStyle w:val="NormalWeb"/>
              <w:jc w:val="left"/>
              <w:rPr>
                <w:sz w:val="18"/>
                <w:szCs w:val="18"/>
              </w:rPr>
            </w:pPr>
            <w:r w:rsidRPr="00834CDC">
              <w:rPr>
                <w:sz w:val="18"/>
                <w:szCs w:val="18"/>
              </w:rPr>
              <w:t>Rate ratio</w:t>
            </w:r>
          </w:p>
        </w:tc>
      </w:tr>
      <w:tr w:rsidR="00255AC4" w:rsidRPr="00834CDC" w14:paraId="351AF325" w14:textId="77777777" w:rsidTr="00684F68">
        <w:trPr>
          <w:divId w:val="1988506822"/>
        </w:trPr>
        <w:tc>
          <w:tcPr>
            <w:tcW w:w="1418" w:type="dxa"/>
            <w:hideMark/>
          </w:tcPr>
          <w:p w14:paraId="51B9F6C2" w14:textId="77777777" w:rsidR="00255AC4" w:rsidRPr="00834CDC" w:rsidRDefault="00255AC4" w:rsidP="00B2269B">
            <w:pPr>
              <w:pStyle w:val="NormalWeb"/>
              <w:jc w:val="left"/>
              <w:rPr>
                <w:sz w:val="18"/>
                <w:szCs w:val="18"/>
              </w:rPr>
            </w:pPr>
            <w:r w:rsidRPr="00834CDC">
              <w:rPr>
                <w:sz w:val="18"/>
                <w:szCs w:val="18"/>
              </w:rPr>
              <w:t>SA</w:t>
            </w:r>
          </w:p>
        </w:tc>
        <w:tc>
          <w:tcPr>
            <w:tcW w:w="9072" w:type="dxa"/>
            <w:hideMark/>
          </w:tcPr>
          <w:p w14:paraId="663C5F25" w14:textId="77777777" w:rsidR="00255AC4" w:rsidRPr="00834CDC" w:rsidRDefault="00255AC4" w:rsidP="003058F5">
            <w:pPr>
              <w:pStyle w:val="NormalWeb"/>
              <w:jc w:val="left"/>
              <w:rPr>
                <w:sz w:val="18"/>
                <w:szCs w:val="18"/>
              </w:rPr>
            </w:pPr>
            <w:r w:rsidRPr="00834CDC">
              <w:rPr>
                <w:sz w:val="18"/>
                <w:szCs w:val="18"/>
              </w:rPr>
              <w:t>South Australia</w:t>
            </w:r>
          </w:p>
        </w:tc>
      </w:tr>
      <w:tr w:rsidR="00255AC4" w:rsidRPr="00834CDC" w14:paraId="16BD7269"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65EEB113" w14:textId="77777777" w:rsidR="00255AC4" w:rsidRPr="00834CDC" w:rsidRDefault="00255AC4" w:rsidP="00B2269B">
            <w:pPr>
              <w:pStyle w:val="NormalWeb"/>
              <w:jc w:val="left"/>
              <w:rPr>
                <w:sz w:val="18"/>
                <w:szCs w:val="18"/>
              </w:rPr>
            </w:pPr>
            <w:r w:rsidRPr="00834CDC">
              <w:rPr>
                <w:sz w:val="18"/>
                <w:szCs w:val="18"/>
              </w:rPr>
              <w:t>Tas.</w:t>
            </w:r>
          </w:p>
        </w:tc>
        <w:tc>
          <w:tcPr>
            <w:tcW w:w="9072" w:type="dxa"/>
            <w:hideMark/>
          </w:tcPr>
          <w:p w14:paraId="110C0F8E" w14:textId="77777777" w:rsidR="00255AC4" w:rsidRPr="00834CDC" w:rsidRDefault="00255AC4" w:rsidP="003058F5">
            <w:pPr>
              <w:pStyle w:val="NormalWeb"/>
              <w:jc w:val="left"/>
              <w:rPr>
                <w:sz w:val="18"/>
                <w:szCs w:val="18"/>
              </w:rPr>
            </w:pPr>
            <w:r w:rsidRPr="00834CDC">
              <w:rPr>
                <w:sz w:val="18"/>
                <w:szCs w:val="18"/>
              </w:rPr>
              <w:t>Tasmania</w:t>
            </w:r>
          </w:p>
        </w:tc>
      </w:tr>
      <w:tr w:rsidR="00255AC4" w:rsidRPr="00834CDC" w14:paraId="7C570DBF" w14:textId="77777777" w:rsidTr="00684F68">
        <w:trPr>
          <w:divId w:val="1988506822"/>
        </w:trPr>
        <w:tc>
          <w:tcPr>
            <w:tcW w:w="1418" w:type="dxa"/>
            <w:hideMark/>
          </w:tcPr>
          <w:p w14:paraId="7CDAE5FB" w14:textId="77777777" w:rsidR="00255AC4" w:rsidRPr="00834CDC" w:rsidRDefault="00255AC4" w:rsidP="00B2269B">
            <w:pPr>
              <w:pStyle w:val="NormalWeb"/>
              <w:jc w:val="left"/>
              <w:rPr>
                <w:sz w:val="18"/>
                <w:szCs w:val="18"/>
              </w:rPr>
            </w:pPr>
            <w:r w:rsidRPr="00834CDC">
              <w:rPr>
                <w:sz w:val="18"/>
                <w:szCs w:val="18"/>
              </w:rPr>
              <w:t>Vic.</w:t>
            </w:r>
          </w:p>
        </w:tc>
        <w:tc>
          <w:tcPr>
            <w:tcW w:w="9072" w:type="dxa"/>
            <w:hideMark/>
          </w:tcPr>
          <w:p w14:paraId="74B5C518" w14:textId="77777777" w:rsidR="00255AC4" w:rsidRPr="00834CDC" w:rsidRDefault="00255AC4" w:rsidP="003058F5">
            <w:pPr>
              <w:pStyle w:val="NormalWeb"/>
              <w:jc w:val="left"/>
              <w:rPr>
                <w:sz w:val="18"/>
                <w:szCs w:val="18"/>
              </w:rPr>
            </w:pPr>
            <w:r w:rsidRPr="00834CDC">
              <w:rPr>
                <w:sz w:val="18"/>
                <w:szCs w:val="18"/>
              </w:rPr>
              <w:t>Victoria</w:t>
            </w:r>
          </w:p>
        </w:tc>
      </w:tr>
      <w:tr w:rsidR="00255AC4" w:rsidRPr="00834CDC" w14:paraId="1058EABC"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32B7451C" w14:textId="77777777" w:rsidR="00255AC4" w:rsidRPr="00834CDC" w:rsidRDefault="00255AC4" w:rsidP="00B2269B">
            <w:pPr>
              <w:pStyle w:val="NormalWeb"/>
              <w:jc w:val="left"/>
              <w:rPr>
                <w:sz w:val="18"/>
                <w:szCs w:val="18"/>
              </w:rPr>
            </w:pPr>
            <w:r w:rsidRPr="00834CDC">
              <w:rPr>
                <w:sz w:val="18"/>
                <w:szCs w:val="18"/>
              </w:rPr>
              <w:t>VPD</w:t>
            </w:r>
          </w:p>
        </w:tc>
        <w:tc>
          <w:tcPr>
            <w:tcW w:w="9072" w:type="dxa"/>
            <w:hideMark/>
          </w:tcPr>
          <w:p w14:paraId="3BE30C3A" w14:textId="77777777" w:rsidR="00255AC4" w:rsidRPr="00834CDC" w:rsidRDefault="00255AC4" w:rsidP="003058F5">
            <w:pPr>
              <w:pStyle w:val="NormalWeb"/>
              <w:jc w:val="left"/>
              <w:rPr>
                <w:sz w:val="18"/>
                <w:szCs w:val="18"/>
              </w:rPr>
            </w:pPr>
            <w:r w:rsidRPr="00834CDC">
              <w:rPr>
                <w:sz w:val="18"/>
                <w:szCs w:val="18"/>
              </w:rPr>
              <w:t>Vaccine preventable disease</w:t>
            </w:r>
          </w:p>
        </w:tc>
      </w:tr>
      <w:tr w:rsidR="00255AC4" w:rsidRPr="00834CDC" w14:paraId="028EC07F" w14:textId="77777777" w:rsidTr="00684F68">
        <w:trPr>
          <w:divId w:val="1988506822"/>
        </w:trPr>
        <w:tc>
          <w:tcPr>
            <w:tcW w:w="1418" w:type="dxa"/>
            <w:hideMark/>
          </w:tcPr>
          <w:p w14:paraId="3E31E3B9" w14:textId="77777777" w:rsidR="00255AC4" w:rsidRPr="00834CDC" w:rsidRDefault="00255AC4" w:rsidP="00B2269B">
            <w:pPr>
              <w:pStyle w:val="NormalWeb"/>
              <w:jc w:val="left"/>
              <w:rPr>
                <w:sz w:val="18"/>
                <w:szCs w:val="18"/>
              </w:rPr>
            </w:pPr>
            <w:r w:rsidRPr="00834CDC">
              <w:rPr>
                <w:sz w:val="18"/>
                <w:szCs w:val="18"/>
              </w:rPr>
              <w:t>VZV</w:t>
            </w:r>
          </w:p>
        </w:tc>
        <w:tc>
          <w:tcPr>
            <w:tcW w:w="9072" w:type="dxa"/>
            <w:hideMark/>
          </w:tcPr>
          <w:p w14:paraId="1AF9F73E" w14:textId="77777777" w:rsidR="00255AC4" w:rsidRPr="00834CDC" w:rsidRDefault="00255AC4" w:rsidP="003058F5">
            <w:pPr>
              <w:pStyle w:val="NormalWeb"/>
              <w:jc w:val="left"/>
              <w:rPr>
                <w:sz w:val="18"/>
                <w:szCs w:val="18"/>
              </w:rPr>
            </w:pPr>
            <w:r w:rsidRPr="00834CDC">
              <w:rPr>
                <w:sz w:val="18"/>
                <w:szCs w:val="18"/>
              </w:rPr>
              <w:t>Varicella-zoster virus</w:t>
            </w:r>
          </w:p>
        </w:tc>
      </w:tr>
      <w:tr w:rsidR="00255AC4" w:rsidRPr="00834CDC" w14:paraId="284E43E2" w14:textId="77777777" w:rsidTr="00684F68">
        <w:trPr>
          <w:cnfStyle w:val="000000010000" w:firstRow="0" w:lastRow="0" w:firstColumn="0" w:lastColumn="0" w:oddVBand="0" w:evenVBand="0" w:oddHBand="0" w:evenHBand="1" w:firstRowFirstColumn="0" w:firstRowLastColumn="0" w:lastRowFirstColumn="0" w:lastRowLastColumn="0"/>
          <w:divId w:val="1988506822"/>
        </w:trPr>
        <w:tc>
          <w:tcPr>
            <w:tcW w:w="1418" w:type="dxa"/>
            <w:hideMark/>
          </w:tcPr>
          <w:p w14:paraId="397B79BD" w14:textId="77777777" w:rsidR="00255AC4" w:rsidRPr="00834CDC" w:rsidRDefault="00255AC4" w:rsidP="00B2269B">
            <w:pPr>
              <w:pStyle w:val="NormalWeb"/>
              <w:jc w:val="left"/>
              <w:rPr>
                <w:sz w:val="18"/>
                <w:szCs w:val="18"/>
              </w:rPr>
            </w:pPr>
            <w:r w:rsidRPr="00834CDC">
              <w:rPr>
                <w:sz w:val="18"/>
                <w:szCs w:val="18"/>
              </w:rPr>
              <w:t>WA</w:t>
            </w:r>
          </w:p>
        </w:tc>
        <w:tc>
          <w:tcPr>
            <w:tcW w:w="9072" w:type="dxa"/>
            <w:hideMark/>
          </w:tcPr>
          <w:p w14:paraId="50FA2AF1" w14:textId="77777777" w:rsidR="00255AC4" w:rsidRPr="00834CDC" w:rsidRDefault="00255AC4" w:rsidP="003058F5">
            <w:pPr>
              <w:pStyle w:val="NormalWeb"/>
              <w:jc w:val="left"/>
              <w:rPr>
                <w:sz w:val="18"/>
                <w:szCs w:val="18"/>
              </w:rPr>
            </w:pPr>
            <w:r w:rsidRPr="00834CDC">
              <w:rPr>
                <w:sz w:val="18"/>
                <w:szCs w:val="18"/>
              </w:rPr>
              <w:t>Western Australia</w:t>
            </w:r>
          </w:p>
        </w:tc>
      </w:tr>
      <w:tr w:rsidR="00255AC4" w:rsidRPr="00834CDC" w14:paraId="07B256F2" w14:textId="77777777" w:rsidTr="00684F68">
        <w:trPr>
          <w:divId w:val="1988506822"/>
        </w:trPr>
        <w:tc>
          <w:tcPr>
            <w:tcW w:w="1418" w:type="dxa"/>
            <w:hideMark/>
          </w:tcPr>
          <w:p w14:paraId="5D8EF0E5" w14:textId="77777777" w:rsidR="00255AC4" w:rsidRPr="00834CDC" w:rsidRDefault="00255AC4" w:rsidP="00B2269B">
            <w:pPr>
              <w:pStyle w:val="NormalWeb"/>
              <w:jc w:val="left"/>
              <w:rPr>
                <w:sz w:val="18"/>
                <w:szCs w:val="18"/>
              </w:rPr>
            </w:pPr>
            <w:r w:rsidRPr="00834CDC">
              <w:rPr>
                <w:sz w:val="18"/>
                <w:szCs w:val="18"/>
              </w:rPr>
              <w:t>WHO</w:t>
            </w:r>
          </w:p>
        </w:tc>
        <w:tc>
          <w:tcPr>
            <w:tcW w:w="9072" w:type="dxa"/>
            <w:hideMark/>
          </w:tcPr>
          <w:p w14:paraId="4FBC5915" w14:textId="77777777" w:rsidR="00255AC4" w:rsidRPr="00834CDC" w:rsidRDefault="00255AC4" w:rsidP="003058F5">
            <w:pPr>
              <w:pStyle w:val="NormalWeb"/>
              <w:jc w:val="left"/>
              <w:rPr>
                <w:sz w:val="18"/>
                <w:szCs w:val="18"/>
              </w:rPr>
            </w:pPr>
            <w:r w:rsidRPr="00834CDC">
              <w:rPr>
                <w:sz w:val="18"/>
                <w:szCs w:val="18"/>
              </w:rPr>
              <w:t>World Health Organization</w:t>
            </w:r>
          </w:p>
        </w:tc>
      </w:tr>
    </w:tbl>
    <w:p w14:paraId="2122DDCA" w14:textId="4464049B" w:rsidR="0033445F" w:rsidRPr="00834CDC" w:rsidRDefault="0033445F" w:rsidP="0033445F">
      <w:pPr>
        <w:pStyle w:val="Heading1"/>
        <w:divId w:val="1988506822"/>
      </w:pPr>
      <w:r w:rsidRPr="00834CDC">
        <w:t xml:space="preserve">Introduction </w:t>
      </w:r>
    </w:p>
    <w:p w14:paraId="51A35EC8" w14:textId="77777777" w:rsidR="0033445F" w:rsidRPr="00834CDC" w:rsidRDefault="0033445F" w:rsidP="0033445F">
      <w:pPr>
        <w:divId w:val="1988506822"/>
      </w:pPr>
      <w:r w:rsidRPr="00834CDC">
        <w:t xml:space="preserve">This is the fifth report on vaccine preventable diseases (VPDs) and vaccination coverage in Aboriginal and Torres Strait Islander people. The first (1999–2002) </w:t>
      </w:r>
      <w:proofErr w:type="gramStart"/>
      <w:r w:rsidRPr="00834CDC">
        <w:t>was published</w:t>
      </w:r>
      <w:proofErr w:type="gramEnd"/>
      <w:r w:rsidRPr="00834CDC">
        <w:t xml:space="preserve"> in 2004, the second (2003–2006) in 2008, the third (2006–2010) in 2013 and the fourth (2011–2015) in 2019.</w:t>
      </w:r>
      <w:r w:rsidRPr="00834CDC">
        <w:rPr>
          <w:vertAlign w:val="superscript"/>
        </w:rPr>
        <w:t>1–4</w:t>
      </w:r>
      <w:r w:rsidRPr="00834CDC">
        <w:t xml:space="preserve"> </w:t>
      </w:r>
    </w:p>
    <w:p w14:paraId="0377F4AE" w14:textId="77777777" w:rsidR="0033445F" w:rsidRPr="00834CDC" w:rsidRDefault="0033445F" w:rsidP="0033445F">
      <w:pPr>
        <w:divId w:val="1988506822"/>
      </w:pPr>
      <w:r w:rsidRPr="00834CDC">
        <w:t xml:space="preserve">Notification (from the National Notifiable Diseases Surveillance System), hospital admission (from the Australian Institute of Health and Welfare National Hospital Morbidity Database) and death (from the Australian Coordinating Registry) data </w:t>
      </w:r>
      <w:proofErr w:type="gramStart"/>
      <w:r w:rsidRPr="00834CDC">
        <w:t>are presented</w:t>
      </w:r>
      <w:proofErr w:type="gramEnd"/>
      <w:r w:rsidRPr="00834CDC">
        <w:t xml:space="preserve"> for all jurisdictions for the 2016–2019 period. Notification trends </w:t>
      </w:r>
      <w:proofErr w:type="gramStart"/>
      <w:r w:rsidRPr="00834CDC">
        <w:t>are reported</w:t>
      </w:r>
      <w:proofErr w:type="gramEnd"/>
      <w:r w:rsidRPr="00834CDC">
        <w:t xml:space="preserve"> for all </w:t>
      </w:r>
      <w:r w:rsidRPr="00834CDC">
        <w:lastRenderedPageBreak/>
        <w:t>jurisdictions for the 2010–2019 period, and hospitalisation trends are reported for six jurisdictions (all except Tasmania and the Australian Capital Territory, which did not meet AIHW reporting standards)</w:t>
      </w:r>
      <w:r w:rsidRPr="00834CDC">
        <w:rPr>
          <w:vertAlign w:val="superscript"/>
        </w:rPr>
        <w:t>5,6</w:t>
      </w:r>
      <w:r w:rsidRPr="00834CDC">
        <w:t xml:space="preserve"> for the 2010–2019 period. National vaccination coverage data </w:t>
      </w:r>
      <w:proofErr w:type="gramStart"/>
      <w:r w:rsidRPr="00834CDC">
        <w:t>were obtained</w:t>
      </w:r>
      <w:proofErr w:type="gramEnd"/>
      <w:r w:rsidRPr="00834CDC">
        <w:t xml:space="preserve"> from the Australian Immunisation Register (AIR). For all datasets, records with unknown or missing Aboriginal and Torres Strait Islander status </w:t>
      </w:r>
      <w:proofErr w:type="gramStart"/>
      <w:r w:rsidRPr="00834CDC">
        <w:t>were combined</w:t>
      </w:r>
      <w:proofErr w:type="gramEnd"/>
      <w:r w:rsidRPr="00834CDC">
        <w:t xml:space="preserve"> with those identified as non-Indigenous and reported under the category ‘other’. The term ‘non-Indigenous’ </w:t>
      </w:r>
      <w:proofErr w:type="gramStart"/>
      <w:r w:rsidRPr="00834CDC">
        <w:t>is only used</w:t>
      </w:r>
      <w:proofErr w:type="gramEnd"/>
      <w:r w:rsidRPr="00834CDC">
        <w:t xml:space="preserve"> in this report when referring to findings of other publications which specifically report data in people identified as non-Indigenous. Refer to Appendix A for more detail on data sources and methods and to Appendix B for the International Classification of Diseases codes used for hospitalisation and death data. </w:t>
      </w:r>
    </w:p>
    <w:p w14:paraId="2BF25868" w14:textId="77777777" w:rsidR="0033445F" w:rsidRPr="00834CDC" w:rsidRDefault="0033445F" w:rsidP="0033445F">
      <w:pPr>
        <w:divId w:val="1988506822"/>
      </w:pPr>
      <w:r w:rsidRPr="00834CDC">
        <w:t xml:space="preserve">This report </w:t>
      </w:r>
      <w:proofErr w:type="gramStart"/>
      <w:r w:rsidRPr="00834CDC">
        <w:t>provides</w:t>
      </w:r>
      <w:proofErr w:type="gramEnd"/>
      <w:r w:rsidRPr="00834CDC">
        <w:t xml:space="preserve"> comprehensive and detailed data on disease burden and vaccination coverage in Aboriginal and Torres Strait Islander people and other Australians, and also includes an enhanced focus on completeness of Aboriginal and Torres Strait Islander status reporting in VPD notification data. </w:t>
      </w:r>
    </w:p>
    <w:p w14:paraId="0B36532B" w14:textId="77777777" w:rsidR="0033445F" w:rsidRPr="00834CDC" w:rsidRDefault="0033445F" w:rsidP="0033445F">
      <w:pPr>
        <w:divId w:val="1988506822"/>
      </w:pPr>
      <w:r w:rsidRPr="00834CDC">
        <w:t xml:space="preserve">Diseases responsible for a substantial burden of illness in Aboriginal and Torres Strait Islander people are presented in individual chapters, and diseases that are now rare due to longstanding successful immunisation programs are presented in a </w:t>
      </w:r>
      <w:proofErr w:type="gramStart"/>
      <w:r w:rsidRPr="00834CDC">
        <w:t>combined</w:t>
      </w:r>
      <w:proofErr w:type="gramEnd"/>
      <w:r w:rsidRPr="00834CDC">
        <w:t xml:space="preserve"> chapter. Data are </w:t>
      </w:r>
      <w:proofErr w:type="gramStart"/>
      <w:r w:rsidRPr="00834CDC">
        <w:t>provided</w:t>
      </w:r>
      <w:proofErr w:type="gramEnd"/>
      <w:r w:rsidRPr="00834CDC">
        <w:t xml:space="preserve"> for all diseases and vaccines included in the National Immunisation Program (NIP) for the period of analysis. Due to differences in the sources of routinely collected data on HPV disease impact, it </w:t>
      </w:r>
      <w:proofErr w:type="gramStart"/>
      <w:r w:rsidRPr="00834CDC">
        <w:t>is reported</w:t>
      </w:r>
      <w:proofErr w:type="gramEnd"/>
      <w:r w:rsidRPr="00834CDC">
        <w:t xml:space="preserve"> in a different format. Tuberculosis </w:t>
      </w:r>
      <w:proofErr w:type="gramStart"/>
      <w:r w:rsidRPr="00834CDC">
        <w:t>is not included</w:t>
      </w:r>
      <w:proofErr w:type="gramEnd"/>
      <w:r w:rsidRPr="00834CDC">
        <w:t xml:space="preserve"> in this or other reports in this series, as control of tuberculosis in Australia is primarily underpinned by effective diagnosis and treatment, with limited use of </w:t>
      </w:r>
      <w:proofErr w:type="spellStart"/>
      <w:r w:rsidRPr="00834CDC">
        <w:t>Bacille</w:t>
      </w:r>
      <w:proofErr w:type="spellEnd"/>
      <w:r w:rsidRPr="00834CDC">
        <w:t xml:space="preserve"> Calmette-</w:t>
      </w:r>
      <w:proofErr w:type="spellStart"/>
      <w:r w:rsidRPr="00834CDC">
        <w:t>Guérin</w:t>
      </w:r>
      <w:proofErr w:type="spellEnd"/>
      <w:r w:rsidRPr="00834CDC">
        <w:t xml:space="preserve"> (BCG) vaccine. Data on tuberculosis, including in Aboriginal and Torres Strait Islander people, </w:t>
      </w:r>
      <w:proofErr w:type="gramStart"/>
      <w:r w:rsidRPr="00834CDC">
        <w:t>are published</w:t>
      </w:r>
      <w:proofErr w:type="gramEnd"/>
      <w:r w:rsidRPr="00834CDC">
        <w:t xml:space="preserve"> elsewhere.</w:t>
      </w:r>
      <w:r w:rsidRPr="00834CDC">
        <w:rPr>
          <w:vertAlign w:val="superscript"/>
        </w:rPr>
        <w:t>7</w:t>
      </w:r>
      <w:r w:rsidRPr="00834CDC">
        <w:t xml:space="preserve"> </w:t>
      </w:r>
    </w:p>
    <w:p w14:paraId="3E2153BD" w14:textId="77777777" w:rsidR="0033445F" w:rsidRPr="00834CDC" w:rsidRDefault="0033445F" w:rsidP="0033445F">
      <w:pPr>
        <w:divId w:val="1988506822"/>
      </w:pPr>
      <w:r w:rsidRPr="00834CDC">
        <w:t>An understanding of the demographics of the Aboriginal and Torres Strait Islander population is important to interpret the data in this report. As of 2016, there were an estimated 798,365 Aboriginal and Torres Strait Islander people in Australia (3.3% of the total Australian population).</w:t>
      </w:r>
      <w:r w:rsidRPr="00834CDC">
        <w:rPr>
          <w:vertAlign w:val="superscript"/>
        </w:rPr>
        <w:t>8</w:t>
      </w:r>
      <w:r w:rsidRPr="00834CDC">
        <w:t xml:space="preserve"> In 2016, 33% of the Aboriginal and Torres Strait Islander population were estimated to live in New South Wales, 28% in Queensland, 13% in Western Australia, 9% in the Northern Territory, 7% in Victoria, 5% in South Australia, 4% in Tasmania and 1% in the Australian Capital Territory. A higher proportion of Aboriginal and Torres Strait Islander people live in remote areas compared to non-Indigenous Australians – an estimated 19% and 2%, respectively, in 2016.</w:t>
      </w:r>
      <w:r w:rsidRPr="00834CDC">
        <w:rPr>
          <w:vertAlign w:val="superscript"/>
        </w:rPr>
        <w:t>8</w:t>
      </w:r>
      <w:r w:rsidRPr="00834CDC">
        <w:t xml:space="preserve"> The Aboriginal and Torres Strait Islander population has a younger age structure than the non-Indigenous population, with respective median ages of 23 years and 38 years in 2016, and a higher level of socioeconomic disadvantage across a range of indices.</w:t>
      </w:r>
      <w:r w:rsidRPr="00834CDC">
        <w:rPr>
          <w:vertAlign w:val="superscript"/>
        </w:rPr>
        <w:t>8</w:t>
      </w:r>
      <w:r w:rsidRPr="00834CDC">
        <w:t xml:space="preserve"> </w:t>
      </w:r>
    </w:p>
    <w:p w14:paraId="1F965F91" w14:textId="77777777" w:rsidR="0033445F" w:rsidRPr="00834CDC" w:rsidRDefault="0033445F" w:rsidP="0033445F">
      <w:pPr>
        <w:divId w:val="1988506822"/>
      </w:pPr>
      <w:r w:rsidRPr="00834CDC">
        <w:t xml:space="preserve">Risk factors often associated with the burden of VPDs among Aboriginal and Torres Strait Islander people, such as smoking and overcrowded housing, </w:t>
      </w:r>
      <w:proofErr w:type="gramStart"/>
      <w:r w:rsidRPr="00834CDC">
        <w:t>are mentioned</w:t>
      </w:r>
      <w:proofErr w:type="gramEnd"/>
      <w:r w:rsidRPr="00834CDC">
        <w:t xml:space="preserve"> in various places in this report. However, it is important to note that these risk factors are downstream indicators secondary to a range of inter-related historical, cultural, political, psychosocial and environmental factors.</w:t>
      </w:r>
      <w:r w:rsidRPr="00834CDC">
        <w:rPr>
          <w:vertAlign w:val="superscript"/>
        </w:rPr>
        <w:t>9–11</w:t>
      </w:r>
      <w:r w:rsidRPr="00834CDC">
        <w:t xml:space="preserve"> The authors respectfully acknowledge the history of colonisation, dispossession, inter-generational trauma and other dehumanising policies that continue to shape the lived experience of Aboriginal and Torres Strait Islander peoples today, and which contribute to the higher rates of many VPDs, compared with non-Indigenous people.</w:t>
      </w:r>
      <w:r w:rsidRPr="00834CDC">
        <w:rPr>
          <w:vertAlign w:val="superscript"/>
        </w:rPr>
        <w:t>9,11</w:t>
      </w:r>
      <w:r w:rsidRPr="00834CDC">
        <w:t xml:space="preserve"> </w:t>
      </w:r>
    </w:p>
    <w:p w14:paraId="66DCF259" w14:textId="77777777" w:rsidR="0033445F" w:rsidRPr="00834CDC" w:rsidRDefault="0033445F" w:rsidP="0033445F">
      <w:pPr>
        <w:divId w:val="1988506822"/>
      </w:pPr>
      <w:r w:rsidRPr="00834CDC">
        <w:t xml:space="preserve">The aim of this report is to present recent data from routinely collected sources, along with informed commentary, to </w:t>
      </w:r>
      <w:proofErr w:type="gramStart"/>
      <w:r w:rsidRPr="00834CDC">
        <w:t>facilitate</w:t>
      </w:r>
      <w:proofErr w:type="gramEnd"/>
      <w:r w:rsidRPr="00834CDC">
        <w:t xml:space="preserve"> culturally appropriate and effective service delivery, policy development and further research to better prevent VPDs in Aboriginal and Torres Strait Islander people. The primary audiences for this report are professionals and students in the health sector, </w:t>
      </w:r>
      <w:proofErr w:type="gramStart"/>
      <w:r w:rsidRPr="00834CDC">
        <w:t>government</w:t>
      </w:r>
      <w:proofErr w:type="gramEnd"/>
      <w:r w:rsidRPr="00834CDC">
        <w:t xml:space="preserve"> and academic institutions, but the aim is for the report to be accessible to all those with an interest in improving the health of Aboriginal and Torres Strait Islander people.</w:t>
      </w:r>
    </w:p>
    <w:p w14:paraId="454A34C5" w14:textId="77777777" w:rsidR="0033445F" w:rsidRPr="00834CDC" w:rsidRDefault="0033445F" w:rsidP="0033445F">
      <w:pPr>
        <w:pStyle w:val="Heading1"/>
        <w:divId w:val="1988506822"/>
      </w:pPr>
      <w:r w:rsidRPr="00834CDC">
        <w:lastRenderedPageBreak/>
        <w:t xml:space="preserve">1. Aboriginal and Torres Strait Islander status completeness for vaccine preventable diseases in notification data, Australia, 2016–2019 </w:t>
      </w:r>
    </w:p>
    <w:p w14:paraId="4AD74DBF" w14:textId="77777777" w:rsidR="0033445F" w:rsidRPr="00834CDC" w:rsidRDefault="0033445F" w:rsidP="0033445F">
      <w:pPr>
        <w:divId w:val="1988506822"/>
      </w:pPr>
      <w:r w:rsidRPr="00834CDC">
        <w:t>The quality of Aboriginal and Torres Strait Islander health statistics depends on the accuracy of Aboriginal and Torres Strait Islander population estimates, and on the level of completeness and accuracy of Aboriginal and Torres Strait Islander status reporting in the data set of interest. Surveillance of vaccine preventable diseases in Aboriginal and Torres Strait Islander people within this report uses three sources of routinely collected data: notification data obtained from the National Notifiable Diseases Surveillance System (NNDSS); hospitalisation data obtained from the Australian Institute of Health and Welfare (AIHW) National Hospital Morbidity Database; and mortality data provided by the Australian Coordinating Registry (ACR). Whilst the AIHW and ABS have released reports on the quality of Aboriginal and Torres Strait Islander identification in hospitalisation and mortality data, respectively, with recommendations for reporting by Aboriginal and Torres Strait Islander status,</w:t>
      </w:r>
      <w:r w:rsidRPr="00834CDC">
        <w:rPr>
          <w:vertAlign w:val="superscript"/>
        </w:rPr>
        <w:t>12,13</w:t>
      </w:r>
      <w:r w:rsidRPr="00834CDC">
        <w:t xml:space="preserve"> similar reports are not available for notification data. </w:t>
      </w:r>
    </w:p>
    <w:p w14:paraId="40CE6C9B" w14:textId="77777777" w:rsidR="0033445F" w:rsidRPr="00834CDC" w:rsidRDefault="0033445F" w:rsidP="0033445F">
      <w:pPr>
        <w:divId w:val="1988506822"/>
      </w:pPr>
      <w:r w:rsidRPr="00834CDC">
        <w:t xml:space="preserve">Accurate estimation of vaccine preventable disease notification rates by Aboriginal and Torres Strait Islander status is critical to inform health policy, </w:t>
      </w:r>
      <w:proofErr w:type="gramStart"/>
      <w:r w:rsidRPr="00834CDC">
        <w:t>program</w:t>
      </w:r>
      <w:proofErr w:type="gramEnd"/>
      <w:r w:rsidRPr="00834CDC">
        <w:t xml:space="preserve"> and service delivery for Aboriginal and Torres Strait Islander peoples, and to evaluate the effectiveness of these interventions. </w:t>
      </w:r>
    </w:p>
    <w:p w14:paraId="4A295671" w14:textId="77777777" w:rsidR="0033445F" w:rsidRPr="00834CDC" w:rsidRDefault="0033445F" w:rsidP="0033445F">
      <w:pPr>
        <w:divId w:val="1988506822"/>
      </w:pPr>
      <w:r w:rsidRPr="00834CDC">
        <w:t xml:space="preserve">This report includes an enhanced focus on completeness of Aboriginal and Torres Strait Islander status in vaccine preventable disease notification data, by disease and state/territory for the period 2016 to 2019, and on trends since the </w:t>
      </w:r>
      <w:proofErr w:type="gramStart"/>
      <w:r w:rsidRPr="00834CDC">
        <w:t>previous</w:t>
      </w:r>
      <w:proofErr w:type="gramEnd"/>
      <w:r w:rsidRPr="00834CDC">
        <w:t xml:space="preserve"> report. </w:t>
      </w:r>
    </w:p>
    <w:p w14:paraId="2AADD262" w14:textId="77777777" w:rsidR="00AC0643" w:rsidRPr="00834CDC" w:rsidRDefault="00AC0643" w:rsidP="0033445F">
      <w:pPr>
        <w:pStyle w:val="Heading2"/>
        <w:divId w:val="1988506822"/>
        <w:sectPr w:rsidR="00AC0643" w:rsidRPr="00834CDC" w:rsidSect="00A30C37">
          <w:pgSz w:w="11906" w:h="16838"/>
          <w:pgMar w:top="720" w:right="720" w:bottom="1134" w:left="720" w:header="709" w:footer="284" w:gutter="0"/>
          <w:cols w:space="708"/>
          <w:titlePg/>
          <w:docGrid w:linePitch="360"/>
        </w:sectPr>
      </w:pPr>
    </w:p>
    <w:p w14:paraId="41DB37D7" w14:textId="3F40FA32" w:rsidR="00AC0643" w:rsidRPr="00834CDC" w:rsidRDefault="00AC0643" w:rsidP="00AC0643">
      <w:pPr>
        <w:pStyle w:val="CDIFigures"/>
        <w:divId w:val="1988506822"/>
      </w:pPr>
      <w:r w:rsidRPr="00834CDC">
        <w:rPr>
          <w:rStyle w:val="Strong"/>
          <w:b/>
          <w:bCs w:val="0"/>
        </w:rPr>
        <w:lastRenderedPageBreak/>
        <w:t>Table 1: Aboriginal and Torres Strait Islander status completeness (%) in notification data for selected vaccine preventable diseases, by state/territory, Australia,</w:t>
      </w:r>
      <w:r w:rsidR="005A2085" w:rsidRPr="00834CDC">
        <w:rPr>
          <w:rStyle w:val="Strong"/>
          <w:b/>
          <w:bCs w:val="0"/>
        </w:rPr>
        <w:t> </w:t>
      </w:r>
      <w:r w:rsidRPr="00834CDC">
        <w:rPr>
          <w:rStyle w:val="Strong"/>
          <w:b/>
          <w:bCs w:val="0"/>
        </w:rPr>
        <w:t>2016–2019</w:t>
      </w:r>
      <w:r w:rsidRPr="00834CDC">
        <w:rPr>
          <w:rStyle w:val="Strong"/>
          <w:b/>
          <w:bCs w:val="0"/>
          <w:vertAlign w:val="superscript"/>
        </w:rPr>
        <w:t>a</w:t>
      </w:r>
    </w:p>
    <w:tbl>
      <w:tblPr>
        <w:tblStyle w:val="CDI-StandardTable"/>
        <w:tblW w:w="0" w:type="auto"/>
        <w:tblCellMar>
          <w:top w:w="113" w:type="dxa"/>
          <w:bottom w:w="113" w:type="dxa"/>
        </w:tblCellMar>
        <w:tblLook w:val="04A0" w:firstRow="1" w:lastRow="0" w:firstColumn="1" w:lastColumn="0" w:noHBand="0" w:noVBand="1"/>
        <w:tblDescription w:val="Table 1 shows Aboriginal and Torres Strait Islander status completeness as a percentage in notification data for selected vaccine preventable diseases, by state/territory, Australia, 2016-2019."/>
      </w:tblPr>
      <w:tblGrid>
        <w:gridCol w:w="3344"/>
        <w:gridCol w:w="3020"/>
        <w:gridCol w:w="948"/>
        <w:gridCol w:w="948"/>
        <w:gridCol w:w="948"/>
        <w:gridCol w:w="948"/>
        <w:gridCol w:w="948"/>
        <w:gridCol w:w="948"/>
        <w:gridCol w:w="948"/>
        <w:gridCol w:w="948"/>
        <w:gridCol w:w="948"/>
      </w:tblGrid>
      <w:tr w:rsidR="00AC0643" w:rsidRPr="00834CDC" w14:paraId="5450C910" w14:textId="77777777" w:rsidTr="00AC0643">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val="restart"/>
            <w:hideMark/>
          </w:tcPr>
          <w:p w14:paraId="11FA05D4" w14:textId="77777777" w:rsidR="00AC0643" w:rsidRPr="00834CDC" w:rsidRDefault="00AC0643" w:rsidP="00AC0643">
            <w:pPr>
              <w:pStyle w:val="NormalWeb"/>
              <w:jc w:val="left"/>
              <w:rPr>
                <w:sz w:val="18"/>
                <w:szCs w:val="18"/>
              </w:rPr>
            </w:pPr>
            <w:r w:rsidRPr="00834CDC">
              <w:rPr>
                <w:sz w:val="18"/>
                <w:szCs w:val="18"/>
              </w:rPr>
              <w:t>Vaccine preventable disease</w:t>
            </w:r>
          </w:p>
        </w:tc>
        <w:tc>
          <w:tcPr>
            <w:tcW w:w="3020" w:type="dxa"/>
            <w:vMerge w:val="restart"/>
            <w:hideMark/>
          </w:tcPr>
          <w:p w14:paraId="3FBE5DDF" w14:textId="6ECF38CC" w:rsidR="00AC0643" w:rsidRPr="00834CDC" w:rsidRDefault="00AC0643" w:rsidP="003058F5">
            <w:pPr>
              <w:pStyle w:val="NormalWeb"/>
              <w:rPr>
                <w:sz w:val="18"/>
                <w:szCs w:val="18"/>
              </w:rPr>
            </w:pPr>
            <w:r w:rsidRPr="00834CDC">
              <w:rPr>
                <w:sz w:val="18"/>
                <w:szCs w:val="18"/>
              </w:rPr>
              <w:t>Notifications</w:t>
            </w:r>
            <w:r w:rsidR="009A1127" w:rsidRPr="00834CDC">
              <w:rPr>
                <w:sz w:val="18"/>
                <w:szCs w:val="18"/>
              </w:rPr>
              <w:t xml:space="preserve"> </w:t>
            </w:r>
            <w:r w:rsidRPr="00834CDC">
              <w:rPr>
                <w:sz w:val="18"/>
                <w:szCs w:val="18"/>
                <w:vertAlign w:val="superscript"/>
              </w:rPr>
              <w:t>a</w:t>
            </w:r>
          </w:p>
        </w:tc>
        <w:tc>
          <w:tcPr>
            <w:tcW w:w="8532" w:type="dxa"/>
            <w:gridSpan w:val="9"/>
            <w:hideMark/>
          </w:tcPr>
          <w:p w14:paraId="05241546" w14:textId="3C930262" w:rsidR="00AC0643" w:rsidRPr="00834CDC" w:rsidRDefault="00AC0643" w:rsidP="003058F5">
            <w:pPr>
              <w:pStyle w:val="NormalWeb"/>
              <w:rPr>
                <w:sz w:val="18"/>
                <w:szCs w:val="18"/>
              </w:rPr>
            </w:pPr>
            <w:r w:rsidRPr="00834CDC">
              <w:rPr>
                <w:sz w:val="18"/>
                <w:szCs w:val="18"/>
              </w:rPr>
              <w:t>Aboriginal and Torres Strait Islander status completeness (%)</w:t>
            </w:r>
            <w:r w:rsidR="009A1127" w:rsidRPr="00834CDC">
              <w:rPr>
                <w:sz w:val="18"/>
                <w:szCs w:val="18"/>
              </w:rPr>
              <w:t xml:space="preserve"> </w:t>
            </w:r>
            <w:proofErr w:type="spellStart"/>
            <w:proofErr w:type="gramStart"/>
            <w:r w:rsidRPr="00834CDC">
              <w:rPr>
                <w:sz w:val="18"/>
                <w:szCs w:val="18"/>
                <w:vertAlign w:val="superscript"/>
              </w:rPr>
              <w:t>b,c</w:t>
            </w:r>
            <w:proofErr w:type="spellEnd"/>
            <w:proofErr w:type="gramEnd"/>
          </w:p>
        </w:tc>
      </w:tr>
      <w:tr w:rsidR="00113922" w:rsidRPr="00834CDC" w14:paraId="61460701" w14:textId="77777777" w:rsidTr="00113922">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tcBorders>
              <w:bottom w:val="single" w:sz="2" w:space="0" w:color="808080" w:themeColor="background1" w:themeShade="80"/>
            </w:tcBorders>
            <w:hideMark/>
          </w:tcPr>
          <w:p w14:paraId="3A3E5237" w14:textId="77777777" w:rsidR="00AC0643" w:rsidRPr="00834CDC" w:rsidRDefault="00AC0643" w:rsidP="00AC0643">
            <w:pPr>
              <w:jc w:val="left"/>
              <w:rPr>
                <w:sz w:val="18"/>
                <w:szCs w:val="18"/>
              </w:rPr>
            </w:pPr>
          </w:p>
        </w:tc>
        <w:tc>
          <w:tcPr>
            <w:tcW w:w="3020" w:type="dxa"/>
            <w:vMerge/>
            <w:tcBorders>
              <w:bottom w:val="single" w:sz="2" w:space="0" w:color="808080" w:themeColor="background1" w:themeShade="80"/>
            </w:tcBorders>
            <w:hideMark/>
          </w:tcPr>
          <w:p w14:paraId="03E4D4F0" w14:textId="77777777" w:rsidR="00AC0643" w:rsidRPr="00834CDC" w:rsidRDefault="00AC0643" w:rsidP="003058F5">
            <w:pPr>
              <w:rPr>
                <w:sz w:val="18"/>
                <w:szCs w:val="18"/>
              </w:rPr>
            </w:pPr>
          </w:p>
        </w:tc>
        <w:tc>
          <w:tcPr>
            <w:tcW w:w="948" w:type="dxa"/>
            <w:tcBorders>
              <w:bottom w:val="single" w:sz="2" w:space="0" w:color="808080" w:themeColor="background1" w:themeShade="80"/>
            </w:tcBorders>
            <w:hideMark/>
          </w:tcPr>
          <w:p w14:paraId="7CC99D34" w14:textId="77777777" w:rsidR="00AC0643" w:rsidRPr="00834CDC" w:rsidRDefault="00AC0643" w:rsidP="003058F5">
            <w:pPr>
              <w:pStyle w:val="NormalWeb"/>
              <w:rPr>
                <w:sz w:val="18"/>
                <w:szCs w:val="18"/>
              </w:rPr>
            </w:pPr>
            <w:r w:rsidRPr="00834CDC">
              <w:rPr>
                <w:sz w:val="18"/>
                <w:szCs w:val="18"/>
              </w:rPr>
              <w:t>ACT</w:t>
            </w:r>
          </w:p>
        </w:tc>
        <w:tc>
          <w:tcPr>
            <w:tcW w:w="948" w:type="dxa"/>
            <w:tcBorders>
              <w:bottom w:val="single" w:sz="2" w:space="0" w:color="808080" w:themeColor="background1" w:themeShade="80"/>
            </w:tcBorders>
            <w:hideMark/>
          </w:tcPr>
          <w:p w14:paraId="5DA0BF90" w14:textId="77777777" w:rsidR="00AC0643" w:rsidRPr="00834CDC" w:rsidRDefault="00AC0643" w:rsidP="003058F5">
            <w:pPr>
              <w:pStyle w:val="NormalWeb"/>
              <w:rPr>
                <w:sz w:val="18"/>
                <w:szCs w:val="18"/>
              </w:rPr>
            </w:pPr>
            <w:r w:rsidRPr="00834CDC">
              <w:rPr>
                <w:sz w:val="18"/>
                <w:szCs w:val="18"/>
              </w:rPr>
              <w:t>NSW</w:t>
            </w:r>
          </w:p>
        </w:tc>
        <w:tc>
          <w:tcPr>
            <w:tcW w:w="948" w:type="dxa"/>
            <w:tcBorders>
              <w:bottom w:val="single" w:sz="2" w:space="0" w:color="808080" w:themeColor="background1" w:themeShade="80"/>
            </w:tcBorders>
            <w:hideMark/>
          </w:tcPr>
          <w:p w14:paraId="7AE1D1E6" w14:textId="77777777" w:rsidR="00AC0643" w:rsidRPr="00834CDC" w:rsidRDefault="00AC0643" w:rsidP="003058F5">
            <w:pPr>
              <w:pStyle w:val="NormalWeb"/>
              <w:rPr>
                <w:sz w:val="18"/>
                <w:szCs w:val="18"/>
              </w:rPr>
            </w:pPr>
            <w:r w:rsidRPr="00834CDC">
              <w:rPr>
                <w:sz w:val="18"/>
                <w:szCs w:val="18"/>
              </w:rPr>
              <w:t>NT</w:t>
            </w:r>
          </w:p>
        </w:tc>
        <w:tc>
          <w:tcPr>
            <w:tcW w:w="948" w:type="dxa"/>
            <w:tcBorders>
              <w:bottom w:val="single" w:sz="2" w:space="0" w:color="808080" w:themeColor="background1" w:themeShade="80"/>
            </w:tcBorders>
            <w:hideMark/>
          </w:tcPr>
          <w:p w14:paraId="443E558C" w14:textId="77777777" w:rsidR="00AC0643" w:rsidRPr="00834CDC" w:rsidRDefault="00AC0643" w:rsidP="003058F5">
            <w:pPr>
              <w:pStyle w:val="NormalWeb"/>
              <w:rPr>
                <w:sz w:val="18"/>
                <w:szCs w:val="18"/>
              </w:rPr>
            </w:pPr>
            <w:r w:rsidRPr="00834CDC">
              <w:rPr>
                <w:sz w:val="18"/>
                <w:szCs w:val="18"/>
              </w:rPr>
              <w:t>Qld</w:t>
            </w:r>
          </w:p>
        </w:tc>
        <w:tc>
          <w:tcPr>
            <w:tcW w:w="948" w:type="dxa"/>
            <w:tcBorders>
              <w:bottom w:val="single" w:sz="2" w:space="0" w:color="808080" w:themeColor="background1" w:themeShade="80"/>
            </w:tcBorders>
            <w:hideMark/>
          </w:tcPr>
          <w:p w14:paraId="2664B267" w14:textId="77777777" w:rsidR="00AC0643" w:rsidRPr="00834CDC" w:rsidRDefault="00AC0643" w:rsidP="003058F5">
            <w:pPr>
              <w:pStyle w:val="NormalWeb"/>
              <w:rPr>
                <w:sz w:val="18"/>
                <w:szCs w:val="18"/>
              </w:rPr>
            </w:pPr>
            <w:r w:rsidRPr="00834CDC">
              <w:rPr>
                <w:sz w:val="18"/>
                <w:szCs w:val="18"/>
              </w:rPr>
              <w:t>SA</w:t>
            </w:r>
          </w:p>
        </w:tc>
        <w:tc>
          <w:tcPr>
            <w:tcW w:w="948" w:type="dxa"/>
            <w:tcBorders>
              <w:bottom w:val="single" w:sz="2" w:space="0" w:color="808080" w:themeColor="background1" w:themeShade="80"/>
            </w:tcBorders>
            <w:hideMark/>
          </w:tcPr>
          <w:p w14:paraId="001CEB65" w14:textId="77777777" w:rsidR="00AC0643" w:rsidRPr="00834CDC" w:rsidRDefault="00AC0643" w:rsidP="003058F5">
            <w:pPr>
              <w:pStyle w:val="NormalWeb"/>
              <w:rPr>
                <w:sz w:val="18"/>
                <w:szCs w:val="18"/>
              </w:rPr>
            </w:pPr>
            <w:r w:rsidRPr="00834CDC">
              <w:rPr>
                <w:sz w:val="18"/>
                <w:szCs w:val="18"/>
              </w:rPr>
              <w:t>Tas.</w:t>
            </w:r>
          </w:p>
        </w:tc>
        <w:tc>
          <w:tcPr>
            <w:tcW w:w="948" w:type="dxa"/>
            <w:tcBorders>
              <w:bottom w:val="single" w:sz="2" w:space="0" w:color="808080" w:themeColor="background1" w:themeShade="80"/>
            </w:tcBorders>
            <w:hideMark/>
          </w:tcPr>
          <w:p w14:paraId="707F2A3A" w14:textId="77777777" w:rsidR="00AC0643" w:rsidRPr="00834CDC" w:rsidRDefault="00AC0643" w:rsidP="003058F5">
            <w:pPr>
              <w:pStyle w:val="NormalWeb"/>
              <w:rPr>
                <w:sz w:val="18"/>
                <w:szCs w:val="18"/>
              </w:rPr>
            </w:pPr>
            <w:r w:rsidRPr="00834CDC">
              <w:rPr>
                <w:sz w:val="18"/>
                <w:szCs w:val="18"/>
              </w:rPr>
              <w:t>Vic.</w:t>
            </w:r>
          </w:p>
        </w:tc>
        <w:tc>
          <w:tcPr>
            <w:tcW w:w="948" w:type="dxa"/>
            <w:tcBorders>
              <w:bottom w:val="single" w:sz="2" w:space="0" w:color="808080" w:themeColor="background1" w:themeShade="80"/>
            </w:tcBorders>
            <w:hideMark/>
          </w:tcPr>
          <w:p w14:paraId="5983D72D" w14:textId="77777777" w:rsidR="00AC0643" w:rsidRPr="00834CDC" w:rsidRDefault="00AC0643" w:rsidP="003058F5">
            <w:pPr>
              <w:pStyle w:val="NormalWeb"/>
              <w:rPr>
                <w:sz w:val="18"/>
                <w:szCs w:val="18"/>
              </w:rPr>
            </w:pPr>
            <w:r w:rsidRPr="00834CDC">
              <w:rPr>
                <w:sz w:val="18"/>
                <w:szCs w:val="18"/>
              </w:rPr>
              <w:t>WA</w:t>
            </w:r>
          </w:p>
        </w:tc>
        <w:tc>
          <w:tcPr>
            <w:tcW w:w="948" w:type="dxa"/>
            <w:tcBorders>
              <w:bottom w:val="single" w:sz="2" w:space="0" w:color="808080" w:themeColor="background1" w:themeShade="80"/>
            </w:tcBorders>
            <w:hideMark/>
          </w:tcPr>
          <w:p w14:paraId="31E2B4FC" w14:textId="77777777" w:rsidR="00AC0643" w:rsidRPr="00834CDC" w:rsidRDefault="00AC0643" w:rsidP="003058F5">
            <w:pPr>
              <w:pStyle w:val="NormalWeb"/>
              <w:rPr>
                <w:sz w:val="18"/>
                <w:szCs w:val="18"/>
              </w:rPr>
            </w:pPr>
            <w:r w:rsidRPr="00834CDC">
              <w:rPr>
                <w:sz w:val="18"/>
                <w:szCs w:val="18"/>
              </w:rPr>
              <w:t>Australia</w:t>
            </w:r>
          </w:p>
        </w:tc>
      </w:tr>
      <w:tr w:rsidR="00AC0643" w:rsidRPr="00834CDC" w14:paraId="4E3562E6" w14:textId="77777777" w:rsidTr="00113922">
        <w:trPr>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6879AF0" w14:textId="77777777" w:rsidR="00AC0643" w:rsidRPr="00834CDC" w:rsidRDefault="00AC0643" w:rsidP="00AC0643">
            <w:pPr>
              <w:pStyle w:val="NormalWeb"/>
              <w:jc w:val="left"/>
              <w:rPr>
                <w:sz w:val="18"/>
                <w:szCs w:val="18"/>
              </w:rPr>
            </w:pPr>
            <w:r w:rsidRPr="00834CDC">
              <w:rPr>
                <w:sz w:val="18"/>
                <w:szCs w:val="18"/>
              </w:rPr>
              <w:t>Diphtheria</w:t>
            </w:r>
          </w:p>
        </w:tc>
        <w:tc>
          <w:tcPr>
            <w:tcW w:w="30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B4FC068" w14:textId="77777777" w:rsidR="00AC0643" w:rsidRPr="00834CDC" w:rsidRDefault="00AC0643" w:rsidP="003058F5">
            <w:pPr>
              <w:pStyle w:val="NormalWeb"/>
              <w:rPr>
                <w:sz w:val="18"/>
                <w:szCs w:val="18"/>
              </w:rPr>
            </w:pPr>
            <w:r w:rsidRPr="00834CDC">
              <w:rPr>
                <w:sz w:val="18"/>
                <w:szCs w:val="18"/>
              </w:rPr>
              <w:t>34</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9519BE" w14:textId="77777777" w:rsidR="00AC0643" w:rsidRPr="00834CDC" w:rsidRDefault="00AC0643" w:rsidP="003058F5">
            <w:pPr>
              <w:pStyle w:val="NormalWeb"/>
              <w:rPr>
                <w:sz w:val="18"/>
                <w:szCs w:val="18"/>
              </w:rPr>
            </w:pPr>
            <w:r w:rsidRPr="00834CDC">
              <w:rPr>
                <w:sz w:val="18"/>
                <w:szCs w:val="18"/>
              </w:rPr>
              <w:t>NC</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C095E32"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E6F8BA4"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4CE680"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93380C2"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7DF7E86" w14:textId="77777777" w:rsidR="00AC0643" w:rsidRPr="00834CDC" w:rsidRDefault="00AC0643" w:rsidP="003058F5">
            <w:pPr>
              <w:pStyle w:val="NormalWeb"/>
              <w:rPr>
                <w:sz w:val="18"/>
                <w:szCs w:val="18"/>
              </w:rPr>
            </w:pPr>
            <w:r w:rsidRPr="00834CDC">
              <w:rPr>
                <w:sz w:val="18"/>
                <w:szCs w:val="18"/>
              </w:rPr>
              <w:t>NC</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405B1D2"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983A8A5"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AE9963C" w14:textId="77777777" w:rsidR="00AC0643" w:rsidRPr="00834CDC" w:rsidRDefault="00AC0643" w:rsidP="003058F5">
            <w:pPr>
              <w:pStyle w:val="NormalWeb"/>
              <w:rPr>
                <w:sz w:val="18"/>
                <w:szCs w:val="18"/>
              </w:rPr>
            </w:pPr>
            <w:r w:rsidRPr="00834CDC">
              <w:rPr>
                <w:sz w:val="18"/>
                <w:szCs w:val="18"/>
              </w:rPr>
              <w:t>94.1</w:t>
            </w:r>
          </w:p>
        </w:tc>
      </w:tr>
      <w:tr w:rsidR="00113922" w:rsidRPr="00834CDC" w14:paraId="2FDC9F74" w14:textId="77777777" w:rsidTr="00113922">
        <w:trPr>
          <w:cnfStyle w:val="000000010000" w:firstRow="0" w:lastRow="0" w:firstColumn="0" w:lastColumn="0" w:oddVBand="0" w:evenVBand="0" w:oddHBand="0" w:evenHBand="1" w:firstRowFirstColumn="0" w:firstRowLastColumn="0" w:lastRowFirstColumn="0" w:lastRowLastColumn="0"/>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1FE8FE" w14:textId="77777777" w:rsidR="00AC0643" w:rsidRPr="00834CDC" w:rsidRDefault="00AC0643" w:rsidP="00AC0643">
            <w:pPr>
              <w:pStyle w:val="NormalWeb"/>
              <w:jc w:val="left"/>
              <w:rPr>
                <w:sz w:val="18"/>
                <w:szCs w:val="18"/>
              </w:rPr>
            </w:pPr>
            <w:r w:rsidRPr="00D24B47">
              <w:rPr>
                <w:i/>
                <w:iCs/>
                <w:sz w:val="18"/>
                <w:szCs w:val="18"/>
              </w:rPr>
              <w:t>Haemophilus influenzae</w:t>
            </w:r>
            <w:r w:rsidRPr="00834CDC">
              <w:rPr>
                <w:sz w:val="18"/>
                <w:szCs w:val="18"/>
              </w:rPr>
              <w:t xml:space="preserve"> type b (Hib) disease</w:t>
            </w:r>
          </w:p>
        </w:tc>
        <w:tc>
          <w:tcPr>
            <w:tcW w:w="30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03A5780" w14:textId="77777777" w:rsidR="00AC0643" w:rsidRPr="00834CDC" w:rsidRDefault="00AC0643" w:rsidP="003058F5">
            <w:pPr>
              <w:pStyle w:val="NormalWeb"/>
              <w:rPr>
                <w:sz w:val="18"/>
                <w:szCs w:val="18"/>
              </w:rPr>
            </w:pPr>
            <w:r w:rsidRPr="00834CDC">
              <w:rPr>
                <w:sz w:val="18"/>
                <w:szCs w:val="18"/>
              </w:rPr>
              <w:t>73</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93BB3D4" w14:textId="77777777" w:rsidR="00AC0643" w:rsidRPr="00834CDC" w:rsidRDefault="00AC0643" w:rsidP="003058F5">
            <w:pPr>
              <w:pStyle w:val="NormalWeb"/>
              <w:rPr>
                <w:sz w:val="18"/>
                <w:szCs w:val="18"/>
              </w:rPr>
            </w:pPr>
            <w:r w:rsidRPr="00834CDC">
              <w:rPr>
                <w:sz w:val="18"/>
                <w:szCs w:val="18"/>
              </w:rPr>
              <w:t>NC</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26E75E6"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ADE6FF"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483BACD"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A20F2F"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2D4735" w14:textId="77777777" w:rsidR="00AC0643" w:rsidRPr="00834CDC" w:rsidRDefault="00AC0643" w:rsidP="003058F5">
            <w:pPr>
              <w:pStyle w:val="NormalWeb"/>
              <w:rPr>
                <w:sz w:val="18"/>
                <w:szCs w:val="18"/>
              </w:rPr>
            </w:pPr>
            <w:r w:rsidRPr="00834CDC">
              <w:rPr>
                <w:sz w:val="18"/>
                <w:szCs w:val="18"/>
              </w:rPr>
              <w:t>NC</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4117A85"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9617FC"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222E5F5" w14:textId="77777777" w:rsidR="00AC0643" w:rsidRPr="00834CDC" w:rsidRDefault="00AC0643" w:rsidP="003058F5">
            <w:pPr>
              <w:pStyle w:val="NormalWeb"/>
              <w:rPr>
                <w:sz w:val="18"/>
                <w:szCs w:val="18"/>
              </w:rPr>
            </w:pPr>
            <w:r w:rsidRPr="00834CDC">
              <w:rPr>
                <w:sz w:val="18"/>
                <w:szCs w:val="18"/>
              </w:rPr>
              <w:t>100</w:t>
            </w:r>
          </w:p>
        </w:tc>
      </w:tr>
      <w:tr w:rsidR="00AC0643" w:rsidRPr="00834CDC" w14:paraId="036D5374" w14:textId="77777777" w:rsidTr="00113922">
        <w:trPr>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DDDE880" w14:textId="77777777" w:rsidR="00AC0643" w:rsidRPr="00834CDC" w:rsidRDefault="00AC0643" w:rsidP="00AC0643">
            <w:pPr>
              <w:pStyle w:val="NormalWeb"/>
              <w:jc w:val="left"/>
              <w:rPr>
                <w:sz w:val="18"/>
                <w:szCs w:val="18"/>
              </w:rPr>
            </w:pPr>
            <w:r w:rsidRPr="00834CDC">
              <w:rPr>
                <w:sz w:val="18"/>
                <w:szCs w:val="18"/>
              </w:rPr>
              <w:t>Hepatitis A</w:t>
            </w:r>
          </w:p>
        </w:tc>
        <w:tc>
          <w:tcPr>
            <w:tcW w:w="30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52D5BA8" w14:textId="77777777" w:rsidR="00AC0643" w:rsidRPr="00834CDC" w:rsidRDefault="00AC0643" w:rsidP="003058F5">
            <w:pPr>
              <w:pStyle w:val="NormalWeb"/>
              <w:rPr>
                <w:sz w:val="18"/>
                <w:szCs w:val="18"/>
              </w:rPr>
            </w:pPr>
            <w:r w:rsidRPr="00834CDC">
              <w:rPr>
                <w:sz w:val="18"/>
                <w:szCs w:val="18"/>
              </w:rPr>
              <w:t>1,042</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21F7C0"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A2A51AD"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48C13EC" w14:textId="77777777" w:rsidR="00AC0643" w:rsidRPr="00834CDC" w:rsidRDefault="00AC0643" w:rsidP="003058F5">
            <w:pPr>
              <w:pStyle w:val="NormalWeb"/>
              <w:rPr>
                <w:sz w:val="18"/>
                <w:szCs w:val="18"/>
              </w:rPr>
            </w:pPr>
            <w:r w:rsidRPr="00834CDC">
              <w:rPr>
                <w:sz w:val="18"/>
                <w:szCs w:val="18"/>
              </w:rPr>
              <w:t>70 –&lt;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E4EF71"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5C2B06B"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8F6E811"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3319CEF" w14:textId="77777777" w:rsidR="00AC0643" w:rsidRPr="00834CDC" w:rsidRDefault="00AC0643" w:rsidP="003058F5">
            <w:pPr>
              <w:pStyle w:val="NormalWeb"/>
              <w:rPr>
                <w:sz w:val="18"/>
                <w:szCs w:val="18"/>
              </w:rPr>
            </w:pPr>
            <w:r w:rsidRPr="00834CDC">
              <w:rPr>
                <w:sz w:val="18"/>
                <w:szCs w:val="18"/>
              </w:rPr>
              <w:t>70 –&lt;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15E3E9D"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794D2F1" w14:textId="77777777" w:rsidR="00AC0643" w:rsidRPr="00834CDC" w:rsidRDefault="00AC0643" w:rsidP="003058F5">
            <w:pPr>
              <w:pStyle w:val="NormalWeb"/>
              <w:rPr>
                <w:sz w:val="18"/>
                <w:szCs w:val="18"/>
              </w:rPr>
            </w:pPr>
            <w:r w:rsidRPr="00834CDC">
              <w:rPr>
                <w:sz w:val="18"/>
                <w:szCs w:val="18"/>
              </w:rPr>
              <w:t>92.7</w:t>
            </w:r>
          </w:p>
        </w:tc>
      </w:tr>
      <w:tr w:rsidR="00113922" w:rsidRPr="00834CDC" w14:paraId="36D9491F" w14:textId="77777777" w:rsidTr="00113922">
        <w:trPr>
          <w:cnfStyle w:val="000000010000" w:firstRow="0" w:lastRow="0" w:firstColumn="0" w:lastColumn="0" w:oddVBand="0" w:evenVBand="0" w:oddHBand="0" w:evenHBand="1" w:firstRowFirstColumn="0" w:firstRowLastColumn="0" w:lastRowFirstColumn="0" w:lastRowLastColumn="0"/>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4272BD6" w14:textId="77777777" w:rsidR="00AC0643" w:rsidRPr="00834CDC" w:rsidRDefault="00AC0643" w:rsidP="00AC0643">
            <w:pPr>
              <w:pStyle w:val="NormalWeb"/>
              <w:jc w:val="left"/>
              <w:rPr>
                <w:sz w:val="18"/>
                <w:szCs w:val="18"/>
              </w:rPr>
            </w:pPr>
            <w:r w:rsidRPr="00834CDC">
              <w:rPr>
                <w:sz w:val="18"/>
                <w:szCs w:val="18"/>
              </w:rPr>
              <w:t>Hepatitis B</w:t>
            </w:r>
          </w:p>
        </w:tc>
        <w:tc>
          <w:tcPr>
            <w:tcW w:w="30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DC9680A" w14:textId="77777777" w:rsidR="00AC0643" w:rsidRPr="00834CDC" w:rsidRDefault="00AC0643" w:rsidP="003058F5">
            <w:pPr>
              <w:pStyle w:val="NormalWeb"/>
              <w:rPr>
                <w:sz w:val="18"/>
                <w:szCs w:val="18"/>
              </w:rPr>
            </w:pPr>
            <w:r w:rsidRPr="00834CDC">
              <w:rPr>
                <w:sz w:val="18"/>
                <w:szCs w:val="18"/>
              </w:rPr>
              <w:t>612</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A9236B"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C0AD44"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3C3EB09"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E1C903C"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D63114"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259998" w14:textId="77777777" w:rsidR="00AC0643" w:rsidRPr="00834CDC" w:rsidRDefault="00AC0643" w:rsidP="003058F5">
            <w:pPr>
              <w:pStyle w:val="NormalWeb"/>
              <w:rPr>
                <w:sz w:val="18"/>
                <w:szCs w:val="18"/>
              </w:rPr>
            </w:pPr>
            <w:r w:rsidRPr="00834CDC">
              <w:rPr>
                <w:sz w:val="18"/>
                <w:szCs w:val="18"/>
              </w:rPr>
              <w:t>70 –&lt;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9822115"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3BD355"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2274045" w14:textId="77777777" w:rsidR="00AC0643" w:rsidRPr="00834CDC" w:rsidRDefault="00AC0643" w:rsidP="003058F5">
            <w:pPr>
              <w:pStyle w:val="NormalWeb"/>
              <w:rPr>
                <w:sz w:val="18"/>
                <w:szCs w:val="18"/>
              </w:rPr>
            </w:pPr>
            <w:r w:rsidRPr="00834CDC">
              <w:rPr>
                <w:sz w:val="18"/>
                <w:szCs w:val="18"/>
              </w:rPr>
              <w:t>94.6</w:t>
            </w:r>
          </w:p>
        </w:tc>
      </w:tr>
      <w:tr w:rsidR="00AC0643" w:rsidRPr="00834CDC" w14:paraId="6DFD761F" w14:textId="77777777" w:rsidTr="00113922">
        <w:trPr>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8D6EAA1" w14:textId="77777777" w:rsidR="00AC0643" w:rsidRPr="00834CDC" w:rsidRDefault="00AC0643" w:rsidP="00AC0643">
            <w:pPr>
              <w:pStyle w:val="NormalWeb"/>
              <w:jc w:val="left"/>
              <w:rPr>
                <w:sz w:val="18"/>
                <w:szCs w:val="18"/>
              </w:rPr>
            </w:pPr>
            <w:r w:rsidRPr="00834CDC">
              <w:rPr>
                <w:sz w:val="18"/>
                <w:szCs w:val="18"/>
              </w:rPr>
              <w:t>Influenza</w:t>
            </w:r>
          </w:p>
        </w:tc>
        <w:tc>
          <w:tcPr>
            <w:tcW w:w="30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7F3EE16" w14:textId="77777777" w:rsidR="00AC0643" w:rsidRPr="00834CDC" w:rsidRDefault="00AC0643" w:rsidP="003058F5">
            <w:pPr>
              <w:pStyle w:val="NormalWeb"/>
              <w:rPr>
                <w:sz w:val="18"/>
                <w:szCs w:val="18"/>
              </w:rPr>
            </w:pPr>
            <w:r w:rsidRPr="00834CDC">
              <w:rPr>
                <w:sz w:val="18"/>
                <w:szCs w:val="18"/>
              </w:rPr>
              <w:t>714,488</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401CCC2" w14:textId="77777777" w:rsidR="00AC0643" w:rsidRPr="00834CDC" w:rsidRDefault="00AC0643" w:rsidP="003058F5">
            <w:pPr>
              <w:pStyle w:val="NormalWeb"/>
              <w:rPr>
                <w:sz w:val="18"/>
                <w:szCs w:val="18"/>
              </w:rPr>
            </w:pPr>
            <w:r w:rsidRPr="00834CDC">
              <w:rPr>
                <w:sz w:val="18"/>
                <w:szCs w:val="18"/>
              </w:rPr>
              <w:t>50 –&lt; 70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419179A" w14:textId="77777777" w:rsidR="00AC0643" w:rsidRPr="00834CDC" w:rsidRDefault="00AC0643" w:rsidP="003058F5">
            <w:pPr>
              <w:pStyle w:val="NormalWeb"/>
              <w:rPr>
                <w:sz w:val="18"/>
                <w:szCs w:val="18"/>
              </w:rPr>
            </w:pPr>
            <w:r w:rsidRPr="00834CDC">
              <w:rPr>
                <w:sz w:val="18"/>
                <w:szCs w:val="18"/>
              </w:rPr>
              <w:t>&lt; 20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1AB42B7"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22B432A" w14:textId="77777777" w:rsidR="00AC0643" w:rsidRPr="00834CDC" w:rsidRDefault="00AC0643" w:rsidP="003058F5">
            <w:pPr>
              <w:pStyle w:val="NormalWeb"/>
              <w:rPr>
                <w:sz w:val="18"/>
                <w:szCs w:val="18"/>
              </w:rPr>
            </w:pPr>
            <w:r w:rsidRPr="00834CDC">
              <w:rPr>
                <w:sz w:val="18"/>
                <w:szCs w:val="18"/>
              </w:rPr>
              <w:t>50 –&lt; 70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BC968C" w14:textId="77777777" w:rsidR="00AC0643" w:rsidRPr="00834CDC" w:rsidRDefault="00AC0643" w:rsidP="003058F5">
            <w:pPr>
              <w:pStyle w:val="NormalWeb"/>
              <w:rPr>
                <w:sz w:val="18"/>
                <w:szCs w:val="18"/>
              </w:rPr>
            </w:pPr>
            <w:r w:rsidRPr="00834CDC">
              <w:rPr>
                <w:sz w:val="18"/>
                <w:szCs w:val="18"/>
              </w:rPr>
              <w:t>50 –&lt; 70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E84F1A" w14:textId="77777777" w:rsidR="00AC0643" w:rsidRPr="00834CDC" w:rsidRDefault="00AC0643" w:rsidP="003058F5">
            <w:pPr>
              <w:pStyle w:val="NormalWeb"/>
              <w:rPr>
                <w:sz w:val="18"/>
                <w:szCs w:val="18"/>
              </w:rPr>
            </w:pPr>
            <w:r w:rsidRPr="00834CDC">
              <w:rPr>
                <w:sz w:val="18"/>
                <w:szCs w:val="18"/>
              </w:rPr>
              <w:t>&lt; 20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42F74E8" w14:textId="77777777" w:rsidR="00AC0643" w:rsidRPr="00834CDC" w:rsidRDefault="00AC0643" w:rsidP="003058F5">
            <w:pPr>
              <w:pStyle w:val="NormalWeb"/>
              <w:rPr>
                <w:sz w:val="18"/>
                <w:szCs w:val="18"/>
              </w:rPr>
            </w:pPr>
            <w:r w:rsidRPr="00834CDC">
              <w:rPr>
                <w:sz w:val="18"/>
                <w:szCs w:val="18"/>
              </w:rPr>
              <w:t>&lt; 20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BA4C7AB" w14:textId="77777777" w:rsidR="00AC0643" w:rsidRPr="00834CDC" w:rsidRDefault="00AC0643" w:rsidP="003058F5">
            <w:pPr>
              <w:pStyle w:val="NormalWeb"/>
              <w:rPr>
                <w:sz w:val="18"/>
                <w:szCs w:val="18"/>
              </w:rPr>
            </w:pPr>
            <w:r w:rsidRPr="00834CDC">
              <w:rPr>
                <w:sz w:val="18"/>
                <w:szCs w:val="18"/>
              </w:rPr>
              <w:t>70 –&lt;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B8CA75D" w14:textId="77777777" w:rsidR="00AC0643" w:rsidRPr="00834CDC" w:rsidRDefault="00AC0643" w:rsidP="003058F5">
            <w:pPr>
              <w:pStyle w:val="NormalWeb"/>
              <w:rPr>
                <w:sz w:val="18"/>
                <w:szCs w:val="18"/>
              </w:rPr>
            </w:pPr>
            <w:r w:rsidRPr="00834CDC">
              <w:rPr>
                <w:sz w:val="18"/>
                <w:szCs w:val="18"/>
              </w:rPr>
              <w:t>37.4</w:t>
            </w:r>
          </w:p>
        </w:tc>
      </w:tr>
      <w:tr w:rsidR="00113922" w:rsidRPr="00834CDC" w14:paraId="46E8A39C" w14:textId="77777777" w:rsidTr="00113922">
        <w:trPr>
          <w:cnfStyle w:val="000000010000" w:firstRow="0" w:lastRow="0" w:firstColumn="0" w:lastColumn="0" w:oddVBand="0" w:evenVBand="0" w:oddHBand="0" w:evenHBand="1" w:firstRowFirstColumn="0" w:firstRowLastColumn="0" w:lastRowFirstColumn="0" w:lastRowLastColumn="0"/>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FA96D36" w14:textId="77777777" w:rsidR="00AC0643" w:rsidRPr="00834CDC" w:rsidRDefault="00AC0643" w:rsidP="00AC0643">
            <w:pPr>
              <w:pStyle w:val="NormalWeb"/>
              <w:jc w:val="left"/>
              <w:rPr>
                <w:sz w:val="18"/>
                <w:szCs w:val="18"/>
              </w:rPr>
            </w:pPr>
            <w:r w:rsidRPr="00834CDC">
              <w:rPr>
                <w:sz w:val="18"/>
                <w:szCs w:val="18"/>
              </w:rPr>
              <w:t>Measles</w:t>
            </w:r>
          </w:p>
        </w:tc>
        <w:tc>
          <w:tcPr>
            <w:tcW w:w="30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1CF8477" w14:textId="77777777" w:rsidR="00AC0643" w:rsidRPr="00834CDC" w:rsidRDefault="00AC0643" w:rsidP="003058F5">
            <w:pPr>
              <w:pStyle w:val="NormalWeb"/>
              <w:rPr>
                <w:sz w:val="18"/>
                <w:szCs w:val="18"/>
              </w:rPr>
            </w:pPr>
            <w:r w:rsidRPr="00834CDC">
              <w:rPr>
                <w:sz w:val="18"/>
                <w:szCs w:val="18"/>
              </w:rPr>
              <w:t>568</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1198685"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B4A8C7C"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5FC47A9"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561DB3"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BE26CE"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DE39151"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4A9A3B"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F0BA00C"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C07EBAA" w14:textId="77777777" w:rsidR="00AC0643" w:rsidRPr="00834CDC" w:rsidRDefault="00AC0643" w:rsidP="003058F5">
            <w:pPr>
              <w:pStyle w:val="NormalWeb"/>
              <w:rPr>
                <w:sz w:val="18"/>
                <w:szCs w:val="18"/>
              </w:rPr>
            </w:pPr>
            <w:r w:rsidRPr="00834CDC">
              <w:rPr>
                <w:sz w:val="18"/>
                <w:szCs w:val="18"/>
              </w:rPr>
              <w:t>97.5</w:t>
            </w:r>
          </w:p>
        </w:tc>
      </w:tr>
      <w:tr w:rsidR="00AC0643" w:rsidRPr="00834CDC" w14:paraId="18E0AA27" w14:textId="77777777" w:rsidTr="00113922">
        <w:trPr>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5D9831E" w14:textId="77777777" w:rsidR="00AC0643" w:rsidRPr="00834CDC" w:rsidRDefault="00AC0643" w:rsidP="00AC0643">
            <w:pPr>
              <w:pStyle w:val="NormalWeb"/>
              <w:jc w:val="left"/>
              <w:rPr>
                <w:sz w:val="18"/>
                <w:szCs w:val="18"/>
              </w:rPr>
            </w:pPr>
            <w:r w:rsidRPr="00834CDC">
              <w:rPr>
                <w:sz w:val="18"/>
                <w:szCs w:val="18"/>
              </w:rPr>
              <w:t>Meningococcal disease</w:t>
            </w:r>
          </w:p>
        </w:tc>
        <w:tc>
          <w:tcPr>
            <w:tcW w:w="30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48801DE" w14:textId="77777777" w:rsidR="00AC0643" w:rsidRPr="00834CDC" w:rsidRDefault="00AC0643" w:rsidP="003058F5">
            <w:pPr>
              <w:pStyle w:val="NormalWeb"/>
              <w:rPr>
                <w:sz w:val="18"/>
                <w:szCs w:val="18"/>
              </w:rPr>
            </w:pPr>
            <w:r w:rsidRPr="00834CDC">
              <w:rPr>
                <w:sz w:val="18"/>
                <w:szCs w:val="18"/>
              </w:rPr>
              <w:t>1,120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0BC9809"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E216ACE"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0B635D"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6EFAA72"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36AB214"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F3E7ADD"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AFC42B5"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A97EC1A"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1496CD3" w14:textId="77777777" w:rsidR="00AC0643" w:rsidRPr="00834CDC" w:rsidRDefault="00AC0643" w:rsidP="003058F5">
            <w:pPr>
              <w:pStyle w:val="NormalWeb"/>
              <w:rPr>
                <w:sz w:val="18"/>
                <w:szCs w:val="18"/>
              </w:rPr>
            </w:pPr>
            <w:r w:rsidRPr="00834CDC">
              <w:rPr>
                <w:sz w:val="18"/>
                <w:szCs w:val="18"/>
              </w:rPr>
              <w:t>98.4</w:t>
            </w:r>
          </w:p>
        </w:tc>
      </w:tr>
      <w:tr w:rsidR="00113922" w:rsidRPr="00834CDC" w14:paraId="18E33DD2" w14:textId="77777777" w:rsidTr="00113922">
        <w:trPr>
          <w:cnfStyle w:val="000000010000" w:firstRow="0" w:lastRow="0" w:firstColumn="0" w:lastColumn="0" w:oddVBand="0" w:evenVBand="0" w:oddHBand="0" w:evenHBand="1" w:firstRowFirstColumn="0" w:firstRowLastColumn="0" w:lastRowFirstColumn="0" w:lastRowLastColumn="0"/>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EC694A" w14:textId="77777777" w:rsidR="00AC0643" w:rsidRPr="00834CDC" w:rsidRDefault="00AC0643" w:rsidP="00AC0643">
            <w:pPr>
              <w:pStyle w:val="NormalWeb"/>
              <w:jc w:val="left"/>
              <w:rPr>
                <w:sz w:val="18"/>
                <w:szCs w:val="18"/>
              </w:rPr>
            </w:pPr>
            <w:r w:rsidRPr="00834CDC">
              <w:rPr>
                <w:sz w:val="18"/>
                <w:szCs w:val="18"/>
              </w:rPr>
              <w:t>Mumps</w:t>
            </w:r>
          </w:p>
        </w:tc>
        <w:tc>
          <w:tcPr>
            <w:tcW w:w="30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9034E4" w14:textId="77777777" w:rsidR="00AC0643" w:rsidRPr="00834CDC" w:rsidRDefault="00AC0643" w:rsidP="003058F5">
            <w:pPr>
              <w:pStyle w:val="NormalWeb"/>
              <w:rPr>
                <w:sz w:val="18"/>
                <w:szCs w:val="18"/>
              </w:rPr>
            </w:pPr>
            <w:r w:rsidRPr="00834CDC">
              <w:rPr>
                <w:sz w:val="18"/>
                <w:szCs w:val="18"/>
              </w:rPr>
              <w:t>2,422</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49F628"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4752296" w14:textId="77777777" w:rsidR="00AC0643" w:rsidRPr="00834CDC" w:rsidRDefault="00AC0643" w:rsidP="003058F5">
            <w:pPr>
              <w:pStyle w:val="NormalWeb"/>
              <w:rPr>
                <w:sz w:val="18"/>
                <w:szCs w:val="18"/>
              </w:rPr>
            </w:pPr>
            <w:r w:rsidRPr="00834CDC">
              <w:rPr>
                <w:sz w:val="18"/>
                <w:szCs w:val="18"/>
              </w:rPr>
              <w:t>70 –&lt;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CBCCE52"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442D53"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C8BCE00"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A6AB1C9"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A33596A" w14:textId="77777777" w:rsidR="00AC0643" w:rsidRPr="00834CDC" w:rsidRDefault="00AC0643" w:rsidP="003058F5">
            <w:pPr>
              <w:pStyle w:val="NormalWeb"/>
              <w:rPr>
                <w:sz w:val="18"/>
                <w:szCs w:val="18"/>
              </w:rPr>
            </w:pPr>
            <w:r w:rsidRPr="00834CDC">
              <w:rPr>
                <w:sz w:val="18"/>
                <w:szCs w:val="18"/>
              </w:rPr>
              <w:t>70–&lt;90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EFA18D7"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B97C812" w14:textId="77777777" w:rsidR="00AC0643" w:rsidRPr="00834CDC" w:rsidRDefault="00AC0643" w:rsidP="003058F5">
            <w:pPr>
              <w:pStyle w:val="NormalWeb"/>
              <w:rPr>
                <w:sz w:val="18"/>
                <w:szCs w:val="18"/>
              </w:rPr>
            </w:pPr>
            <w:r w:rsidRPr="00834CDC">
              <w:rPr>
                <w:sz w:val="18"/>
                <w:szCs w:val="18"/>
              </w:rPr>
              <w:t>95.3</w:t>
            </w:r>
          </w:p>
        </w:tc>
      </w:tr>
      <w:tr w:rsidR="00AC0643" w:rsidRPr="00834CDC" w14:paraId="0129364A" w14:textId="77777777" w:rsidTr="00113922">
        <w:trPr>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0C76E9D" w14:textId="77777777" w:rsidR="00AC0643" w:rsidRPr="00834CDC" w:rsidRDefault="00AC0643" w:rsidP="00AC0643">
            <w:pPr>
              <w:pStyle w:val="NormalWeb"/>
              <w:jc w:val="left"/>
              <w:rPr>
                <w:sz w:val="18"/>
                <w:szCs w:val="18"/>
              </w:rPr>
            </w:pPr>
            <w:r w:rsidRPr="00834CDC">
              <w:rPr>
                <w:sz w:val="18"/>
                <w:szCs w:val="18"/>
              </w:rPr>
              <w:t>Pertussis</w:t>
            </w:r>
          </w:p>
        </w:tc>
        <w:tc>
          <w:tcPr>
            <w:tcW w:w="30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EB6842" w14:textId="77777777" w:rsidR="00AC0643" w:rsidRPr="00834CDC" w:rsidRDefault="00AC0643" w:rsidP="003058F5">
            <w:pPr>
              <w:pStyle w:val="NormalWeb"/>
              <w:rPr>
                <w:sz w:val="18"/>
                <w:szCs w:val="18"/>
              </w:rPr>
            </w:pPr>
            <w:r w:rsidRPr="00834CDC">
              <w:rPr>
                <w:sz w:val="18"/>
                <w:szCs w:val="18"/>
              </w:rPr>
              <w:t>56,963</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B0B830B"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AF1961" w14:textId="77777777" w:rsidR="00AC0643" w:rsidRPr="00834CDC" w:rsidRDefault="00AC0643" w:rsidP="003058F5">
            <w:pPr>
              <w:pStyle w:val="NormalWeb"/>
              <w:rPr>
                <w:sz w:val="18"/>
                <w:szCs w:val="18"/>
              </w:rPr>
            </w:pPr>
            <w:r w:rsidRPr="00834CDC">
              <w:rPr>
                <w:sz w:val="18"/>
                <w:szCs w:val="18"/>
              </w:rPr>
              <w:t>20 –&lt; 50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6D9D05"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B2D892E" w14:textId="77777777" w:rsidR="00AC0643" w:rsidRPr="00834CDC" w:rsidRDefault="00AC0643" w:rsidP="003058F5">
            <w:pPr>
              <w:pStyle w:val="NormalWeb"/>
              <w:rPr>
                <w:sz w:val="18"/>
                <w:szCs w:val="18"/>
              </w:rPr>
            </w:pPr>
            <w:r w:rsidRPr="00834CDC">
              <w:rPr>
                <w:sz w:val="18"/>
                <w:szCs w:val="18"/>
              </w:rPr>
              <w:t>50 –&lt; 70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CF484AD"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B92A7F5" w14:textId="77777777" w:rsidR="00AC0643" w:rsidRPr="00834CDC" w:rsidRDefault="00AC0643" w:rsidP="003058F5">
            <w:pPr>
              <w:pStyle w:val="NormalWeb"/>
              <w:rPr>
                <w:sz w:val="18"/>
                <w:szCs w:val="18"/>
              </w:rPr>
            </w:pPr>
            <w:r w:rsidRPr="00834CDC">
              <w:rPr>
                <w:sz w:val="18"/>
                <w:szCs w:val="18"/>
              </w:rPr>
              <w:t>70 –&lt;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4223F2" w14:textId="77777777" w:rsidR="00AC0643" w:rsidRPr="00834CDC" w:rsidRDefault="00AC0643" w:rsidP="003058F5">
            <w:pPr>
              <w:pStyle w:val="NormalWeb"/>
              <w:rPr>
                <w:sz w:val="18"/>
                <w:szCs w:val="18"/>
              </w:rPr>
            </w:pPr>
            <w:r w:rsidRPr="00834CDC">
              <w:rPr>
                <w:sz w:val="18"/>
                <w:szCs w:val="18"/>
              </w:rPr>
              <w:t>20 –&lt; 50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69A864"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86E0E5A" w14:textId="77777777" w:rsidR="00AC0643" w:rsidRPr="00834CDC" w:rsidRDefault="00AC0643" w:rsidP="003058F5">
            <w:pPr>
              <w:pStyle w:val="NormalWeb"/>
              <w:rPr>
                <w:sz w:val="18"/>
                <w:szCs w:val="18"/>
              </w:rPr>
            </w:pPr>
            <w:r w:rsidRPr="00834CDC">
              <w:rPr>
                <w:sz w:val="18"/>
                <w:szCs w:val="18"/>
              </w:rPr>
              <w:t>59.2</w:t>
            </w:r>
          </w:p>
        </w:tc>
      </w:tr>
      <w:tr w:rsidR="00113922" w:rsidRPr="00834CDC" w14:paraId="56361A74" w14:textId="77777777" w:rsidTr="00113922">
        <w:trPr>
          <w:cnfStyle w:val="000000010000" w:firstRow="0" w:lastRow="0" w:firstColumn="0" w:lastColumn="0" w:oddVBand="0" w:evenVBand="0" w:oddHBand="0" w:evenHBand="1" w:firstRowFirstColumn="0" w:firstRowLastColumn="0" w:lastRowFirstColumn="0" w:lastRowLastColumn="0"/>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147313" w14:textId="77777777" w:rsidR="00AC0643" w:rsidRPr="00834CDC" w:rsidRDefault="00AC0643" w:rsidP="00AC0643">
            <w:pPr>
              <w:pStyle w:val="NormalWeb"/>
              <w:jc w:val="left"/>
              <w:rPr>
                <w:sz w:val="18"/>
                <w:szCs w:val="18"/>
              </w:rPr>
            </w:pPr>
            <w:r w:rsidRPr="00834CDC">
              <w:rPr>
                <w:sz w:val="18"/>
                <w:szCs w:val="18"/>
              </w:rPr>
              <w:t>Pneumococcal disease</w:t>
            </w:r>
          </w:p>
        </w:tc>
        <w:tc>
          <w:tcPr>
            <w:tcW w:w="30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8F709B" w14:textId="77777777" w:rsidR="00AC0643" w:rsidRPr="00834CDC" w:rsidRDefault="00AC0643" w:rsidP="003058F5">
            <w:pPr>
              <w:pStyle w:val="NormalWeb"/>
              <w:rPr>
                <w:sz w:val="18"/>
                <w:szCs w:val="18"/>
              </w:rPr>
            </w:pPr>
            <w:r w:rsidRPr="00834CDC">
              <w:rPr>
                <w:sz w:val="18"/>
                <w:szCs w:val="18"/>
              </w:rPr>
              <w:t>7,782</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DF9AF9"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E492E8B" w14:textId="77777777" w:rsidR="00AC0643" w:rsidRPr="00834CDC" w:rsidRDefault="00AC0643" w:rsidP="003058F5">
            <w:pPr>
              <w:pStyle w:val="NormalWeb"/>
              <w:rPr>
                <w:sz w:val="18"/>
                <w:szCs w:val="18"/>
              </w:rPr>
            </w:pPr>
            <w:r w:rsidRPr="00834CDC">
              <w:rPr>
                <w:sz w:val="18"/>
                <w:szCs w:val="18"/>
              </w:rPr>
              <w:t>70 –&lt;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88B51D4"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3CF08DC"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893A767"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389FF33"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01006C4" w14:textId="77777777" w:rsidR="00AC0643" w:rsidRPr="00834CDC" w:rsidRDefault="00AC0643" w:rsidP="003058F5">
            <w:pPr>
              <w:pStyle w:val="NormalWeb"/>
              <w:rPr>
                <w:sz w:val="18"/>
                <w:szCs w:val="18"/>
              </w:rPr>
            </w:pPr>
            <w:r w:rsidRPr="00834CDC">
              <w:rPr>
                <w:sz w:val="18"/>
                <w:szCs w:val="18"/>
              </w:rPr>
              <w:t>70–&lt;90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1E072BC"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9E4E7E" w14:textId="77777777" w:rsidR="00AC0643" w:rsidRPr="00834CDC" w:rsidRDefault="00AC0643" w:rsidP="003058F5">
            <w:pPr>
              <w:pStyle w:val="NormalWeb"/>
              <w:rPr>
                <w:sz w:val="18"/>
                <w:szCs w:val="18"/>
              </w:rPr>
            </w:pPr>
            <w:r w:rsidRPr="00834CDC">
              <w:rPr>
                <w:sz w:val="18"/>
                <w:szCs w:val="18"/>
              </w:rPr>
              <w:t>91.7</w:t>
            </w:r>
          </w:p>
        </w:tc>
      </w:tr>
      <w:tr w:rsidR="00AC0643" w:rsidRPr="00834CDC" w14:paraId="50FB9489" w14:textId="77777777" w:rsidTr="00113922">
        <w:trPr>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A1B672" w14:textId="77777777" w:rsidR="00AC0643" w:rsidRPr="00834CDC" w:rsidRDefault="00AC0643" w:rsidP="00AC0643">
            <w:pPr>
              <w:pStyle w:val="NormalWeb"/>
              <w:jc w:val="left"/>
              <w:rPr>
                <w:sz w:val="18"/>
                <w:szCs w:val="18"/>
              </w:rPr>
            </w:pPr>
            <w:r w:rsidRPr="00834CDC">
              <w:rPr>
                <w:sz w:val="18"/>
                <w:szCs w:val="18"/>
              </w:rPr>
              <w:t>Rotavirus</w:t>
            </w:r>
          </w:p>
        </w:tc>
        <w:tc>
          <w:tcPr>
            <w:tcW w:w="30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E1193D" w14:textId="77777777" w:rsidR="00AC0643" w:rsidRPr="00834CDC" w:rsidRDefault="00AC0643" w:rsidP="003058F5">
            <w:pPr>
              <w:pStyle w:val="NormalWeb"/>
              <w:rPr>
                <w:sz w:val="18"/>
                <w:szCs w:val="18"/>
              </w:rPr>
            </w:pPr>
            <w:r w:rsidRPr="00834CDC">
              <w:rPr>
                <w:sz w:val="18"/>
                <w:szCs w:val="18"/>
              </w:rPr>
              <w:t>7,911</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89233AB"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BD5005D" w14:textId="77777777" w:rsidR="00AC0643" w:rsidRPr="00834CDC" w:rsidRDefault="00AC0643" w:rsidP="003058F5">
            <w:pPr>
              <w:pStyle w:val="NormalWeb"/>
              <w:rPr>
                <w:sz w:val="18"/>
                <w:szCs w:val="18"/>
              </w:rPr>
            </w:pPr>
            <w:r w:rsidRPr="00834CDC">
              <w:rPr>
                <w:sz w:val="18"/>
                <w:szCs w:val="18"/>
              </w:rPr>
              <w:t>20 –&lt; 50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57BB014"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51E9CE5" w14:textId="77777777" w:rsidR="00AC0643" w:rsidRPr="00834CDC" w:rsidRDefault="00AC0643" w:rsidP="003058F5">
            <w:pPr>
              <w:pStyle w:val="NormalWeb"/>
              <w:rPr>
                <w:sz w:val="18"/>
                <w:szCs w:val="18"/>
              </w:rPr>
            </w:pPr>
            <w:r w:rsidRPr="00834CDC">
              <w:rPr>
                <w:sz w:val="18"/>
                <w:szCs w:val="18"/>
              </w:rPr>
              <w:t>70 –&lt;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75EEC9" w14:textId="77777777" w:rsidR="00AC0643" w:rsidRPr="00834CDC" w:rsidRDefault="00AC0643" w:rsidP="003058F5">
            <w:pPr>
              <w:pStyle w:val="NormalWeb"/>
              <w:rPr>
                <w:sz w:val="18"/>
                <w:szCs w:val="18"/>
              </w:rPr>
            </w:pPr>
            <w:r w:rsidRPr="00834CDC">
              <w:rPr>
                <w:sz w:val="18"/>
                <w:szCs w:val="18"/>
              </w:rPr>
              <w:t>70 –&lt;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565694" w14:textId="77777777" w:rsidR="00AC0643" w:rsidRPr="00834CDC" w:rsidRDefault="00AC0643" w:rsidP="003058F5">
            <w:pPr>
              <w:pStyle w:val="NormalWeb"/>
              <w:rPr>
                <w:sz w:val="18"/>
                <w:szCs w:val="18"/>
              </w:rPr>
            </w:pPr>
            <w:r w:rsidRPr="00834CDC">
              <w:rPr>
                <w:sz w:val="18"/>
                <w:szCs w:val="18"/>
              </w:rPr>
              <w:t>20 –&lt; 50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8446980" w14:textId="77777777" w:rsidR="00AC0643" w:rsidRPr="00834CDC" w:rsidRDefault="00AC0643" w:rsidP="003058F5">
            <w:pPr>
              <w:pStyle w:val="NormalWeb"/>
              <w:rPr>
                <w:sz w:val="18"/>
                <w:szCs w:val="18"/>
              </w:rPr>
            </w:pPr>
            <w:r w:rsidRPr="00834CDC">
              <w:rPr>
                <w:sz w:val="18"/>
                <w:szCs w:val="18"/>
              </w:rPr>
              <w:t>&lt; 20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8FFF30"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3D83F2" w14:textId="77777777" w:rsidR="00AC0643" w:rsidRPr="00834CDC" w:rsidRDefault="00AC0643" w:rsidP="003058F5">
            <w:pPr>
              <w:pStyle w:val="NormalWeb"/>
              <w:rPr>
                <w:sz w:val="18"/>
                <w:szCs w:val="18"/>
              </w:rPr>
            </w:pPr>
            <w:r w:rsidRPr="00834CDC">
              <w:rPr>
                <w:sz w:val="18"/>
                <w:szCs w:val="18"/>
              </w:rPr>
              <w:t>69.7</w:t>
            </w:r>
          </w:p>
        </w:tc>
      </w:tr>
      <w:tr w:rsidR="00113922" w:rsidRPr="00834CDC" w14:paraId="17F1D32B" w14:textId="77777777" w:rsidTr="00113922">
        <w:trPr>
          <w:cnfStyle w:val="000000010000" w:firstRow="0" w:lastRow="0" w:firstColumn="0" w:lastColumn="0" w:oddVBand="0" w:evenVBand="0" w:oddHBand="0" w:evenHBand="1" w:firstRowFirstColumn="0" w:firstRowLastColumn="0" w:lastRowFirstColumn="0" w:lastRowLastColumn="0"/>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7E1965" w14:textId="77777777" w:rsidR="00AC0643" w:rsidRPr="00834CDC" w:rsidRDefault="00AC0643" w:rsidP="00AC0643">
            <w:pPr>
              <w:pStyle w:val="NormalWeb"/>
              <w:jc w:val="left"/>
              <w:rPr>
                <w:sz w:val="18"/>
                <w:szCs w:val="18"/>
              </w:rPr>
            </w:pPr>
            <w:r w:rsidRPr="00834CDC">
              <w:rPr>
                <w:sz w:val="18"/>
                <w:szCs w:val="18"/>
              </w:rPr>
              <w:t>Rubella</w:t>
            </w:r>
          </w:p>
        </w:tc>
        <w:tc>
          <w:tcPr>
            <w:tcW w:w="30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6A1186D" w14:textId="77777777" w:rsidR="00AC0643" w:rsidRPr="00834CDC" w:rsidRDefault="00AC0643" w:rsidP="003058F5">
            <w:pPr>
              <w:pStyle w:val="NormalWeb"/>
              <w:rPr>
                <w:sz w:val="18"/>
                <w:szCs w:val="18"/>
              </w:rPr>
            </w:pPr>
            <w:r w:rsidRPr="00834CDC">
              <w:rPr>
                <w:sz w:val="18"/>
                <w:szCs w:val="18"/>
              </w:rPr>
              <w:t>58</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D32D42F" w14:textId="77777777" w:rsidR="00AC0643" w:rsidRPr="00834CDC" w:rsidRDefault="00AC0643" w:rsidP="003058F5">
            <w:pPr>
              <w:pStyle w:val="NormalWeb"/>
              <w:rPr>
                <w:sz w:val="18"/>
                <w:szCs w:val="18"/>
              </w:rPr>
            </w:pPr>
            <w:r w:rsidRPr="00834CDC">
              <w:rPr>
                <w:sz w:val="18"/>
                <w:szCs w:val="18"/>
              </w:rPr>
              <w:t>NC</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02C698"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F89A5E9" w14:textId="77777777" w:rsidR="00AC0643" w:rsidRPr="00834CDC" w:rsidRDefault="00AC0643" w:rsidP="003058F5">
            <w:pPr>
              <w:pStyle w:val="NormalWeb"/>
              <w:rPr>
                <w:sz w:val="18"/>
                <w:szCs w:val="18"/>
              </w:rPr>
            </w:pPr>
            <w:r w:rsidRPr="00834CDC">
              <w:rPr>
                <w:sz w:val="18"/>
                <w:szCs w:val="18"/>
              </w:rPr>
              <w:t>NC</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AEBCAE"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0891B60" w14:textId="77777777" w:rsidR="00AC0643" w:rsidRPr="00834CDC" w:rsidRDefault="00AC0643" w:rsidP="003058F5">
            <w:pPr>
              <w:pStyle w:val="NormalWeb"/>
              <w:rPr>
                <w:sz w:val="18"/>
                <w:szCs w:val="18"/>
              </w:rPr>
            </w:pPr>
            <w:r w:rsidRPr="00834CDC">
              <w:rPr>
                <w:sz w:val="18"/>
                <w:szCs w:val="18"/>
              </w:rPr>
              <w:t>NC</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6EC2C9D"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782461" w14:textId="77777777" w:rsidR="00AC0643" w:rsidRPr="00834CDC" w:rsidRDefault="00AC0643" w:rsidP="003058F5">
            <w:pPr>
              <w:pStyle w:val="NormalWeb"/>
              <w:rPr>
                <w:sz w:val="18"/>
                <w:szCs w:val="18"/>
              </w:rPr>
            </w:pPr>
            <w:r w:rsidRPr="00834CDC">
              <w:rPr>
                <w:sz w:val="18"/>
                <w:szCs w:val="18"/>
              </w:rPr>
              <w:t>50 –&lt; 70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518708E"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A2F730" w14:textId="77777777" w:rsidR="00AC0643" w:rsidRPr="00834CDC" w:rsidRDefault="00AC0643" w:rsidP="003058F5">
            <w:pPr>
              <w:pStyle w:val="NormalWeb"/>
              <w:rPr>
                <w:sz w:val="18"/>
                <w:szCs w:val="18"/>
              </w:rPr>
            </w:pPr>
            <w:r w:rsidRPr="00834CDC">
              <w:rPr>
                <w:sz w:val="18"/>
                <w:szCs w:val="18"/>
              </w:rPr>
              <w:t>84.5</w:t>
            </w:r>
          </w:p>
        </w:tc>
      </w:tr>
      <w:tr w:rsidR="00AC0643" w:rsidRPr="00834CDC" w14:paraId="6A79A208" w14:textId="77777777" w:rsidTr="00113922">
        <w:trPr>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33ECD39" w14:textId="77777777" w:rsidR="00AC0643" w:rsidRPr="00834CDC" w:rsidRDefault="00AC0643" w:rsidP="00AC0643">
            <w:pPr>
              <w:pStyle w:val="NormalWeb"/>
              <w:jc w:val="left"/>
              <w:rPr>
                <w:sz w:val="18"/>
                <w:szCs w:val="18"/>
              </w:rPr>
            </w:pPr>
            <w:r w:rsidRPr="00834CDC">
              <w:rPr>
                <w:sz w:val="18"/>
                <w:szCs w:val="18"/>
              </w:rPr>
              <w:t>Tetanus</w:t>
            </w:r>
          </w:p>
        </w:tc>
        <w:tc>
          <w:tcPr>
            <w:tcW w:w="30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B53CAD1" w14:textId="77777777" w:rsidR="00AC0643" w:rsidRPr="00834CDC" w:rsidRDefault="00AC0643" w:rsidP="003058F5">
            <w:pPr>
              <w:pStyle w:val="NormalWeb"/>
              <w:rPr>
                <w:sz w:val="18"/>
                <w:szCs w:val="18"/>
              </w:rPr>
            </w:pPr>
            <w:r w:rsidRPr="00834CDC">
              <w:rPr>
                <w:sz w:val="18"/>
                <w:szCs w:val="18"/>
              </w:rPr>
              <w:t>17</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89875DD" w14:textId="77777777" w:rsidR="00AC0643" w:rsidRPr="00834CDC" w:rsidRDefault="00AC0643" w:rsidP="003058F5">
            <w:pPr>
              <w:pStyle w:val="NormalWeb"/>
              <w:rPr>
                <w:sz w:val="18"/>
                <w:szCs w:val="18"/>
              </w:rPr>
            </w:pPr>
            <w:r w:rsidRPr="00834CDC">
              <w:rPr>
                <w:sz w:val="18"/>
                <w:szCs w:val="18"/>
              </w:rPr>
              <w:t>NC</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BEE7320"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5C39CA6" w14:textId="77777777" w:rsidR="00AC0643" w:rsidRPr="00834CDC" w:rsidRDefault="00AC0643" w:rsidP="003058F5">
            <w:pPr>
              <w:pStyle w:val="NormalWeb"/>
              <w:rPr>
                <w:sz w:val="18"/>
                <w:szCs w:val="18"/>
              </w:rPr>
            </w:pPr>
            <w:r w:rsidRPr="00834CDC">
              <w:rPr>
                <w:sz w:val="18"/>
                <w:szCs w:val="18"/>
              </w:rPr>
              <w:t>NC</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C5D2FE5"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0348BE"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F0A9816" w14:textId="77777777" w:rsidR="00AC0643" w:rsidRPr="00834CDC" w:rsidRDefault="00AC0643" w:rsidP="003058F5">
            <w:pPr>
              <w:pStyle w:val="NormalWeb"/>
              <w:rPr>
                <w:sz w:val="18"/>
                <w:szCs w:val="18"/>
              </w:rPr>
            </w:pPr>
            <w:r w:rsidRPr="00834CDC">
              <w:rPr>
                <w:sz w:val="18"/>
                <w:szCs w:val="18"/>
              </w:rPr>
              <w:t>NC</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4794F86"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EC7EC1" w14:textId="77777777" w:rsidR="00AC0643" w:rsidRPr="00834CDC" w:rsidRDefault="00AC0643" w:rsidP="003058F5">
            <w:pPr>
              <w:pStyle w:val="NormalWeb"/>
              <w:rPr>
                <w:sz w:val="18"/>
                <w:szCs w:val="18"/>
              </w:rPr>
            </w:pPr>
            <w:r w:rsidRPr="00834CDC">
              <w:rPr>
                <w:sz w:val="18"/>
                <w:szCs w:val="18"/>
              </w:rPr>
              <w:t>≥ 90</w:t>
            </w:r>
          </w:p>
        </w:tc>
        <w:tc>
          <w:tcPr>
            <w:tcW w:w="9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C778FE" w14:textId="77777777" w:rsidR="00AC0643" w:rsidRPr="00834CDC" w:rsidRDefault="00AC0643" w:rsidP="003058F5">
            <w:pPr>
              <w:pStyle w:val="NormalWeb"/>
              <w:rPr>
                <w:sz w:val="18"/>
                <w:szCs w:val="18"/>
              </w:rPr>
            </w:pPr>
            <w:r w:rsidRPr="00834CDC">
              <w:rPr>
                <w:sz w:val="18"/>
                <w:szCs w:val="18"/>
              </w:rPr>
              <w:t>100</w:t>
            </w:r>
          </w:p>
        </w:tc>
      </w:tr>
    </w:tbl>
    <w:p w14:paraId="5749ED1D" w14:textId="77777777" w:rsidR="00AC0643" w:rsidRPr="00834CDC" w:rsidRDefault="00AC0643" w:rsidP="00AC0643">
      <w:pPr>
        <w:pStyle w:val="CDIfootnotes"/>
        <w:divId w:val="1988506822"/>
      </w:pPr>
      <w:r w:rsidRPr="00834CDC">
        <w:t>a</w:t>
      </w:r>
      <w:r w:rsidRPr="00834CDC">
        <w:tab/>
        <w:t xml:space="preserve">Notifications </w:t>
      </w:r>
      <w:proofErr w:type="gramStart"/>
      <w:r w:rsidRPr="00834CDC">
        <w:t>where</w:t>
      </w:r>
      <w:proofErr w:type="gramEnd"/>
      <w:r w:rsidRPr="00834CDC">
        <w:t xml:space="preserve"> date of diagnosis between 1 January 2016 and 31 December 2019, except for rotavirus (1 July 2018 to 31 December 2019).</w:t>
      </w:r>
    </w:p>
    <w:p w14:paraId="4A1A5411" w14:textId="77777777" w:rsidR="00AC0643" w:rsidRPr="00834CDC" w:rsidRDefault="00AC0643" w:rsidP="00AC0643">
      <w:pPr>
        <w:pStyle w:val="CDIfootnotes"/>
        <w:divId w:val="1988506822"/>
      </w:pPr>
      <w:r w:rsidRPr="00834CDC">
        <w:t>b</w:t>
      </w:r>
      <w:r w:rsidRPr="00834CDC">
        <w:tab/>
        <w:t>ACT: Australian Capital Territory; NSW: New South Wales; NT: Northern Territory; Qld: Queensland; SA: South Australia; Tas.; Tasmania; Vic.: Victoria; WA: Western Australia.</w:t>
      </w:r>
    </w:p>
    <w:p w14:paraId="6F17E48B" w14:textId="77777777" w:rsidR="00AC0643" w:rsidRPr="00834CDC" w:rsidRDefault="00AC0643" w:rsidP="00AC0643">
      <w:pPr>
        <w:pStyle w:val="CDIfootnotes"/>
        <w:divId w:val="1988506822"/>
      </w:pPr>
      <w:r w:rsidRPr="00834CDC">
        <w:t>c</w:t>
      </w:r>
      <w:r w:rsidRPr="00834CDC">
        <w:tab/>
        <w:t>NC: no cases in the reporting period.</w:t>
      </w:r>
    </w:p>
    <w:p w14:paraId="696CC726" w14:textId="77777777" w:rsidR="00AC0643" w:rsidRPr="00834CDC" w:rsidRDefault="00AC0643" w:rsidP="0033445F">
      <w:pPr>
        <w:pStyle w:val="Heading2"/>
        <w:divId w:val="1988506822"/>
        <w:sectPr w:rsidR="00AC0643" w:rsidRPr="00834CDC" w:rsidSect="00AC0643">
          <w:pgSz w:w="16838" w:h="11906" w:orient="landscape"/>
          <w:pgMar w:top="720" w:right="720" w:bottom="720" w:left="1134" w:header="709" w:footer="284" w:gutter="0"/>
          <w:cols w:space="708"/>
          <w:titlePg/>
          <w:docGrid w:linePitch="360"/>
        </w:sectPr>
      </w:pPr>
    </w:p>
    <w:p w14:paraId="63C3F0E9" w14:textId="56BFA6D9" w:rsidR="006255AB" w:rsidRPr="00834CDC" w:rsidRDefault="006255AB" w:rsidP="006255AB">
      <w:pPr>
        <w:pStyle w:val="CDIFigures"/>
        <w:divId w:val="1988506822"/>
      </w:pPr>
      <w:r w:rsidRPr="00834CDC">
        <w:rPr>
          <w:rStyle w:val="Strong"/>
          <w:b/>
          <w:bCs w:val="0"/>
        </w:rPr>
        <w:lastRenderedPageBreak/>
        <w:t xml:space="preserve">Table 2: Aboriginal and Torres Strait Islander status completeness (%) in notification data for influenza, </w:t>
      </w:r>
      <w:proofErr w:type="gramStart"/>
      <w:r w:rsidRPr="00834CDC">
        <w:rPr>
          <w:rStyle w:val="Strong"/>
          <w:b/>
          <w:bCs w:val="0"/>
        </w:rPr>
        <w:t>pertussis</w:t>
      </w:r>
      <w:proofErr w:type="gramEnd"/>
      <w:r w:rsidRPr="00834CDC">
        <w:rPr>
          <w:rStyle w:val="Strong"/>
          <w:b/>
          <w:bCs w:val="0"/>
        </w:rPr>
        <w:t xml:space="preserve"> and rotavirus, by age group, Australia, 2016–2019</w:t>
      </w:r>
      <w:r w:rsidR="00834CDC">
        <w:rPr>
          <w:rStyle w:val="Strong"/>
          <w:b/>
          <w:bCs w:val="0"/>
        </w:rPr>
        <w:t xml:space="preserve"> </w:t>
      </w:r>
      <w:r w:rsidRPr="00834CDC">
        <w:rPr>
          <w:rStyle w:val="Strong"/>
          <w:b/>
          <w:bCs w:val="0"/>
          <w:vertAlign w:val="superscript"/>
        </w:rPr>
        <w:t>a</w:t>
      </w:r>
    </w:p>
    <w:tbl>
      <w:tblPr>
        <w:tblStyle w:val="CDI-StandardTable"/>
        <w:tblW w:w="0" w:type="auto"/>
        <w:tblLook w:val="04A0" w:firstRow="1" w:lastRow="0" w:firstColumn="1" w:lastColumn="0" w:noHBand="0" w:noVBand="1"/>
        <w:tblDescription w:val="Table 2 shows Aboriginal and Torres Strait Islander status completeness as a percentage in notification data for influenza, pertussis and rotavirus, by age group, Australia, 2016-2019."/>
      </w:tblPr>
      <w:tblGrid>
        <w:gridCol w:w="4678"/>
        <w:gridCol w:w="1559"/>
        <w:gridCol w:w="993"/>
        <w:gridCol w:w="1133"/>
        <w:gridCol w:w="991"/>
        <w:gridCol w:w="1086"/>
      </w:tblGrid>
      <w:tr w:rsidR="006255AB" w:rsidRPr="00834CDC" w14:paraId="5516D8B4" w14:textId="77777777" w:rsidTr="00F957B7">
        <w:trPr>
          <w:cnfStyle w:val="100000000000" w:firstRow="1" w:lastRow="0" w:firstColumn="0" w:lastColumn="0" w:oddVBand="0" w:evenVBand="0" w:oddHBand="0" w:evenHBand="0" w:firstRowFirstColumn="0" w:firstRowLastColumn="0" w:lastRowFirstColumn="0" w:lastRowLastColumn="0"/>
          <w:divId w:val="1988506822"/>
          <w:tblHeader/>
        </w:trPr>
        <w:tc>
          <w:tcPr>
            <w:tcW w:w="4678" w:type="dxa"/>
            <w:vMerge w:val="restart"/>
            <w:vAlign w:val="top"/>
            <w:hideMark/>
          </w:tcPr>
          <w:p w14:paraId="6EFDF588" w14:textId="77777777" w:rsidR="006255AB" w:rsidRPr="00834CDC" w:rsidRDefault="006255AB" w:rsidP="00F957B7">
            <w:pPr>
              <w:pStyle w:val="NormalWeb"/>
              <w:jc w:val="left"/>
              <w:rPr>
                <w:sz w:val="18"/>
                <w:szCs w:val="18"/>
              </w:rPr>
            </w:pPr>
            <w:r w:rsidRPr="00834CDC">
              <w:rPr>
                <w:sz w:val="18"/>
                <w:szCs w:val="18"/>
              </w:rPr>
              <w:t>Vaccine preventable disease</w:t>
            </w:r>
          </w:p>
        </w:tc>
        <w:tc>
          <w:tcPr>
            <w:tcW w:w="5762" w:type="dxa"/>
            <w:gridSpan w:val="5"/>
            <w:vAlign w:val="top"/>
            <w:hideMark/>
          </w:tcPr>
          <w:p w14:paraId="1FC148E9" w14:textId="77777777" w:rsidR="006255AB" w:rsidRPr="00834CDC" w:rsidRDefault="006255AB" w:rsidP="00F957B7">
            <w:pPr>
              <w:pStyle w:val="NormalWeb"/>
              <w:rPr>
                <w:sz w:val="18"/>
                <w:szCs w:val="18"/>
              </w:rPr>
            </w:pPr>
            <w:r w:rsidRPr="00834CDC">
              <w:rPr>
                <w:sz w:val="18"/>
                <w:szCs w:val="18"/>
              </w:rPr>
              <w:t>Aboriginal and Torres Strait Islander status completeness</w:t>
            </w:r>
          </w:p>
        </w:tc>
      </w:tr>
      <w:tr w:rsidR="006255AB" w:rsidRPr="00834CDC" w14:paraId="3BE2047E" w14:textId="77777777" w:rsidTr="00F957B7">
        <w:trPr>
          <w:cnfStyle w:val="100000000000" w:firstRow="1" w:lastRow="0" w:firstColumn="0" w:lastColumn="0" w:oddVBand="0" w:evenVBand="0" w:oddHBand="0" w:evenHBand="0" w:firstRowFirstColumn="0" w:firstRowLastColumn="0" w:lastRowFirstColumn="0" w:lastRowLastColumn="0"/>
          <w:divId w:val="1988506822"/>
          <w:tblHeader/>
        </w:trPr>
        <w:tc>
          <w:tcPr>
            <w:tcW w:w="4678" w:type="dxa"/>
            <w:vMerge/>
            <w:vAlign w:val="top"/>
            <w:hideMark/>
          </w:tcPr>
          <w:p w14:paraId="688444DC" w14:textId="77777777" w:rsidR="006255AB" w:rsidRPr="00834CDC" w:rsidRDefault="006255AB" w:rsidP="00F957B7">
            <w:pPr>
              <w:jc w:val="left"/>
              <w:rPr>
                <w:sz w:val="18"/>
                <w:szCs w:val="18"/>
              </w:rPr>
            </w:pPr>
          </w:p>
        </w:tc>
        <w:tc>
          <w:tcPr>
            <w:tcW w:w="5762" w:type="dxa"/>
            <w:gridSpan w:val="5"/>
            <w:vAlign w:val="top"/>
            <w:hideMark/>
          </w:tcPr>
          <w:p w14:paraId="35529319" w14:textId="77777777" w:rsidR="006255AB" w:rsidRPr="00834CDC" w:rsidRDefault="006255AB" w:rsidP="00F957B7">
            <w:pPr>
              <w:pStyle w:val="NormalWeb"/>
              <w:rPr>
                <w:sz w:val="18"/>
                <w:szCs w:val="18"/>
              </w:rPr>
            </w:pPr>
            <w:r w:rsidRPr="00834CDC">
              <w:rPr>
                <w:sz w:val="18"/>
                <w:szCs w:val="18"/>
              </w:rPr>
              <w:t>Age group (years)</w:t>
            </w:r>
          </w:p>
        </w:tc>
      </w:tr>
      <w:tr w:rsidR="006255AB" w:rsidRPr="00834CDC" w14:paraId="26303414" w14:textId="77777777" w:rsidTr="00F957B7">
        <w:trPr>
          <w:cnfStyle w:val="100000000000" w:firstRow="1" w:lastRow="0" w:firstColumn="0" w:lastColumn="0" w:oddVBand="0" w:evenVBand="0" w:oddHBand="0" w:evenHBand="0" w:firstRowFirstColumn="0" w:firstRowLastColumn="0" w:lastRowFirstColumn="0" w:lastRowLastColumn="0"/>
          <w:divId w:val="1988506822"/>
          <w:tblHeader/>
        </w:trPr>
        <w:tc>
          <w:tcPr>
            <w:tcW w:w="4678" w:type="dxa"/>
            <w:vMerge/>
            <w:tcBorders>
              <w:bottom w:val="single" w:sz="2" w:space="0" w:color="808080" w:themeColor="background1" w:themeShade="80"/>
            </w:tcBorders>
            <w:vAlign w:val="top"/>
            <w:hideMark/>
          </w:tcPr>
          <w:p w14:paraId="68D32A84" w14:textId="77777777" w:rsidR="006255AB" w:rsidRPr="00834CDC" w:rsidRDefault="006255AB" w:rsidP="00F957B7">
            <w:pPr>
              <w:jc w:val="left"/>
              <w:rPr>
                <w:sz w:val="18"/>
                <w:szCs w:val="18"/>
              </w:rPr>
            </w:pPr>
          </w:p>
        </w:tc>
        <w:tc>
          <w:tcPr>
            <w:tcW w:w="1559" w:type="dxa"/>
            <w:tcBorders>
              <w:bottom w:val="single" w:sz="2" w:space="0" w:color="808080" w:themeColor="background1" w:themeShade="80"/>
            </w:tcBorders>
            <w:vAlign w:val="top"/>
            <w:hideMark/>
          </w:tcPr>
          <w:p w14:paraId="0812F481" w14:textId="77777777" w:rsidR="006255AB" w:rsidRPr="00834CDC" w:rsidRDefault="006255AB" w:rsidP="00F957B7">
            <w:pPr>
              <w:pStyle w:val="NormalWeb"/>
              <w:rPr>
                <w:sz w:val="18"/>
                <w:szCs w:val="18"/>
              </w:rPr>
            </w:pPr>
            <w:r w:rsidRPr="00834CDC">
              <w:rPr>
                <w:sz w:val="18"/>
                <w:szCs w:val="18"/>
              </w:rPr>
              <w:t>0–4</w:t>
            </w:r>
          </w:p>
        </w:tc>
        <w:tc>
          <w:tcPr>
            <w:tcW w:w="993" w:type="dxa"/>
            <w:tcBorders>
              <w:bottom w:val="single" w:sz="2" w:space="0" w:color="808080" w:themeColor="background1" w:themeShade="80"/>
            </w:tcBorders>
            <w:vAlign w:val="top"/>
            <w:hideMark/>
          </w:tcPr>
          <w:p w14:paraId="5A3AB794" w14:textId="77777777" w:rsidR="006255AB" w:rsidRPr="00834CDC" w:rsidRDefault="006255AB" w:rsidP="00F957B7">
            <w:pPr>
              <w:pStyle w:val="NormalWeb"/>
              <w:rPr>
                <w:sz w:val="18"/>
                <w:szCs w:val="18"/>
              </w:rPr>
            </w:pPr>
            <w:r w:rsidRPr="00834CDC">
              <w:rPr>
                <w:sz w:val="18"/>
                <w:szCs w:val="18"/>
              </w:rPr>
              <w:t>5–14</w:t>
            </w:r>
          </w:p>
        </w:tc>
        <w:tc>
          <w:tcPr>
            <w:tcW w:w="1133" w:type="dxa"/>
            <w:tcBorders>
              <w:bottom w:val="single" w:sz="2" w:space="0" w:color="808080" w:themeColor="background1" w:themeShade="80"/>
            </w:tcBorders>
            <w:vAlign w:val="top"/>
            <w:hideMark/>
          </w:tcPr>
          <w:p w14:paraId="19A183E2" w14:textId="77777777" w:rsidR="006255AB" w:rsidRPr="00834CDC" w:rsidRDefault="006255AB" w:rsidP="00F957B7">
            <w:pPr>
              <w:pStyle w:val="NormalWeb"/>
              <w:rPr>
                <w:sz w:val="18"/>
                <w:szCs w:val="18"/>
              </w:rPr>
            </w:pPr>
            <w:r w:rsidRPr="00834CDC">
              <w:rPr>
                <w:sz w:val="18"/>
                <w:szCs w:val="18"/>
              </w:rPr>
              <w:t>15–24</w:t>
            </w:r>
          </w:p>
        </w:tc>
        <w:tc>
          <w:tcPr>
            <w:tcW w:w="991" w:type="dxa"/>
            <w:tcBorders>
              <w:bottom w:val="single" w:sz="2" w:space="0" w:color="808080" w:themeColor="background1" w:themeShade="80"/>
            </w:tcBorders>
            <w:vAlign w:val="top"/>
            <w:hideMark/>
          </w:tcPr>
          <w:p w14:paraId="644D23C8" w14:textId="77777777" w:rsidR="006255AB" w:rsidRPr="00834CDC" w:rsidRDefault="006255AB" w:rsidP="00F957B7">
            <w:pPr>
              <w:pStyle w:val="NormalWeb"/>
              <w:rPr>
                <w:sz w:val="18"/>
                <w:szCs w:val="18"/>
              </w:rPr>
            </w:pPr>
            <w:r w:rsidRPr="00834CDC">
              <w:rPr>
                <w:sz w:val="18"/>
                <w:szCs w:val="18"/>
              </w:rPr>
              <w:t>25–49</w:t>
            </w:r>
          </w:p>
        </w:tc>
        <w:tc>
          <w:tcPr>
            <w:tcW w:w="1086" w:type="dxa"/>
            <w:tcBorders>
              <w:bottom w:val="single" w:sz="2" w:space="0" w:color="808080" w:themeColor="background1" w:themeShade="80"/>
            </w:tcBorders>
            <w:vAlign w:val="top"/>
            <w:hideMark/>
          </w:tcPr>
          <w:p w14:paraId="7E628FB6" w14:textId="77777777" w:rsidR="006255AB" w:rsidRPr="00834CDC" w:rsidRDefault="006255AB" w:rsidP="00F957B7">
            <w:pPr>
              <w:pStyle w:val="NormalWeb"/>
              <w:rPr>
                <w:sz w:val="18"/>
                <w:szCs w:val="18"/>
              </w:rPr>
            </w:pPr>
            <w:r w:rsidRPr="00834CDC">
              <w:rPr>
                <w:sz w:val="18"/>
                <w:szCs w:val="18"/>
              </w:rPr>
              <w:t>50+</w:t>
            </w:r>
          </w:p>
        </w:tc>
      </w:tr>
      <w:tr w:rsidR="006255AB" w:rsidRPr="00834CDC" w14:paraId="1D63868B" w14:textId="77777777" w:rsidTr="00F957B7">
        <w:trPr>
          <w:divId w:val="1988506822"/>
        </w:trPr>
        <w:tc>
          <w:tcPr>
            <w:tcW w:w="4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224A9997" w14:textId="77777777" w:rsidR="006255AB" w:rsidRPr="00834CDC" w:rsidRDefault="006255AB" w:rsidP="00F957B7">
            <w:pPr>
              <w:pStyle w:val="NormalWeb"/>
              <w:jc w:val="left"/>
              <w:rPr>
                <w:sz w:val="18"/>
                <w:szCs w:val="18"/>
              </w:rPr>
            </w:pPr>
            <w:r w:rsidRPr="00834CDC">
              <w:rPr>
                <w:sz w:val="18"/>
                <w:szCs w:val="18"/>
              </w:rPr>
              <w:t>Influenza</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22F303C8" w14:textId="77777777" w:rsidR="006255AB" w:rsidRPr="00834CDC" w:rsidRDefault="006255AB" w:rsidP="00F957B7">
            <w:pPr>
              <w:pStyle w:val="NormalWeb"/>
              <w:rPr>
                <w:sz w:val="18"/>
                <w:szCs w:val="18"/>
              </w:rPr>
            </w:pPr>
            <w:r w:rsidRPr="00834CDC">
              <w:rPr>
                <w:sz w:val="18"/>
                <w:szCs w:val="18"/>
              </w:rPr>
              <w:t>40.6%</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5FE4E5E6" w14:textId="77777777" w:rsidR="006255AB" w:rsidRPr="00834CDC" w:rsidRDefault="006255AB" w:rsidP="00F957B7">
            <w:pPr>
              <w:pStyle w:val="NormalWeb"/>
              <w:rPr>
                <w:sz w:val="18"/>
                <w:szCs w:val="18"/>
              </w:rPr>
            </w:pPr>
            <w:r w:rsidRPr="00834CDC">
              <w:rPr>
                <w:sz w:val="18"/>
                <w:szCs w:val="18"/>
              </w:rPr>
              <w:t>38.5%</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6B548504" w14:textId="77777777" w:rsidR="006255AB" w:rsidRPr="00834CDC" w:rsidRDefault="006255AB" w:rsidP="00F957B7">
            <w:pPr>
              <w:pStyle w:val="NormalWeb"/>
              <w:rPr>
                <w:sz w:val="18"/>
                <w:szCs w:val="18"/>
              </w:rPr>
            </w:pPr>
            <w:r w:rsidRPr="00834CDC">
              <w:rPr>
                <w:sz w:val="18"/>
                <w:szCs w:val="18"/>
              </w:rPr>
              <w:t>42.5%</w:t>
            </w:r>
          </w:p>
        </w:tc>
        <w:tc>
          <w:tcPr>
            <w:tcW w:w="99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247FC9D7" w14:textId="77777777" w:rsidR="006255AB" w:rsidRPr="00834CDC" w:rsidRDefault="006255AB" w:rsidP="00F957B7">
            <w:pPr>
              <w:pStyle w:val="NormalWeb"/>
              <w:rPr>
                <w:sz w:val="18"/>
                <w:szCs w:val="18"/>
              </w:rPr>
            </w:pPr>
            <w:r w:rsidRPr="00834CDC">
              <w:rPr>
                <w:sz w:val="18"/>
                <w:szCs w:val="18"/>
              </w:rPr>
              <w:t>34.2%</w:t>
            </w:r>
          </w:p>
        </w:tc>
        <w:tc>
          <w:tcPr>
            <w:tcW w:w="10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556EF96C" w14:textId="77777777" w:rsidR="006255AB" w:rsidRPr="00834CDC" w:rsidRDefault="006255AB" w:rsidP="00F957B7">
            <w:pPr>
              <w:pStyle w:val="NormalWeb"/>
              <w:rPr>
                <w:sz w:val="18"/>
                <w:szCs w:val="18"/>
              </w:rPr>
            </w:pPr>
            <w:r w:rsidRPr="00834CDC">
              <w:rPr>
                <w:sz w:val="18"/>
                <w:szCs w:val="18"/>
              </w:rPr>
              <w:t>36.7%</w:t>
            </w:r>
          </w:p>
        </w:tc>
      </w:tr>
      <w:tr w:rsidR="006255AB" w:rsidRPr="00834CDC" w14:paraId="30B9067B" w14:textId="77777777" w:rsidTr="00F957B7">
        <w:trPr>
          <w:cnfStyle w:val="000000010000" w:firstRow="0" w:lastRow="0" w:firstColumn="0" w:lastColumn="0" w:oddVBand="0" w:evenVBand="0" w:oddHBand="0" w:evenHBand="1" w:firstRowFirstColumn="0" w:firstRowLastColumn="0" w:lastRowFirstColumn="0" w:lastRowLastColumn="0"/>
          <w:divId w:val="1988506822"/>
        </w:trPr>
        <w:tc>
          <w:tcPr>
            <w:tcW w:w="4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0E2D41F7" w14:textId="77777777" w:rsidR="006255AB" w:rsidRPr="00834CDC" w:rsidRDefault="006255AB" w:rsidP="00F957B7">
            <w:pPr>
              <w:pStyle w:val="NormalWeb"/>
              <w:jc w:val="left"/>
              <w:rPr>
                <w:sz w:val="18"/>
                <w:szCs w:val="18"/>
              </w:rPr>
            </w:pPr>
            <w:r w:rsidRPr="00834CDC">
              <w:rPr>
                <w:sz w:val="18"/>
                <w:szCs w:val="18"/>
              </w:rPr>
              <w:t>Pertussis</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79484E6F" w14:textId="77777777" w:rsidR="006255AB" w:rsidRPr="00834CDC" w:rsidRDefault="006255AB" w:rsidP="00F957B7">
            <w:pPr>
              <w:pStyle w:val="NormalWeb"/>
              <w:rPr>
                <w:sz w:val="18"/>
                <w:szCs w:val="18"/>
              </w:rPr>
            </w:pPr>
            <w:r w:rsidRPr="00834CDC">
              <w:rPr>
                <w:sz w:val="18"/>
                <w:szCs w:val="18"/>
              </w:rPr>
              <w:t>92.6%</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65F5F0E2" w14:textId="77777777" w:rsidR="006255AB" w:rsidRPr="00834CDC" w:rsidRDefault="006255AB" w:rsidP="00F957B7">
            <w:pPr>
              <w:pStyle w:val="NormalWeb"/>
              <w:rPr>
                <w:sz w:val="18"/>
                <w:szCs w:val="18"/>
              </w:rPr>
            </w:pPr>
            <w:r w:rsidRPr="00834CDC">
              <w:rPr>
                <w:sz w:val="18"/>
                <w:szCs w:val="18"/>
              </w:rPr>
              <w:t>58.7%</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2726F1FC" w14:textId="77777777" w:rsidR="006255AB" w:rsidRPr="00834CDC" w:rsidRDefault="006255AB" w:rsidP="00F957B7">
            <w:pPr>
              <w:pStyle w:val="NormalWeb"/>
              <w:rPr>
                <w:sz w:val="18"/>
                <w:szCs w:val="18"/>
              </w:rPr>
            </w:pPr>
            <w:r w:rsidRPr="00834CDC">
              <w:rPr>
                <w:sz w:val="18"/>
                <w:szCs w:val="18"/>
              </w:rPr>
              <w:t>52.6%</w:t>
            </w:r>
          </w:p>
        </w:tc>
        <w:tc>
          <w:tcPr>
            <w:tcW w:w="99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1C1E08E5" w14:textId="77777777" w:rsidR="006255AB" w:rsidRPr="00834CDC" w:rsidRDefault="006255AB" w:rsidP="00F957B7">
            <w:pPr>
              <w:pStyle w:val="NormalWeb"/>
              <w:rPr>
                <w:sz w:val="18"/>
                <w:szCs w:val="18"/>
              </w:rPr>
            </w:pPr>
            <w:r w:rsidRPr="00834CDC">
              <w:rPr>
                <w:sz w:val="18"/>
                <w:szCs w:val="18"/>
              </w:rPr>
              <w:t>48.8%</w:t>
            </w:r>
          </w:p>
        </w:tc>
        <w:tc>
          <w:tcPr>
            <w:tcW w:w="10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47480372" w14:textId="77777777" w:rsidR="006255AB" w:rsidRPr="00834CDC" w:rsidRDefault="006255AB" w:rsidP="00F957B7">
            <w:pPr>
              <w:pStyle w:val="NormalWeb"/>
              <w:rPr>
                <w:sz w:val="18"/>
                <w:szCs w:val="18"/>
              </w:rPr>
            </w:pPr>
            <w:r w:rsidRPr="00834CDC">
              <w:rPr>
                <w:sz w:val="18"/>
                <w:szCs w:val="18"/>
              </w:rPr>
              <w:t>50.8%</w:t>
            </w:r>
          </w:p>
        </w:tc>
      </w:tr>
      <w:tr w:rsidR="006255AB" w:rsidRPr="00834CDC" w14:paraId="600CD686" w14:textId="77777777" w:rsidTr="00F957B7">
        <w:trPr>
          <w:divId w:val="1988506822"/>
        </w:trPr>
        <w:tc>
          <w:tcPr>
            <w:tcW w:w="4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453A5CE6" w14:textId="77777777" w:rsidR="006255AB" w:rsidRPr="00834CDC" w:rsidRDefault="006255AB" w:rsidP="00F957B7">
            <w:pPr>
              <w:pStyle w:val="NormalWeb"/>
              <w:jc w:val="left"/>
              <w:rPr>
                <w:sz w:val="18"/>
                <w:szCs w:val="18"/>
              </w:rPr>
            </w:pPr>
            <w:r w:rsidRPr="00834CDC">
              <w:rPr>
                <w:sz w:val="18"/>
                <w:szCs w:val="18"/>
              </w:rPr>
              <w:t>Rotavirus</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6B0AB094" w14:textId="77777777" w:rsidR="006255AB" w:rsidRPr="00834CDC" w:rsidRDefault="006255AB" w:rsidP="00F957B7">
            <w:pPr>
              <w:pStyle w:val="NormalWeb"/>
              <w:rPr>
                <w:sz w:val="18"/>
                <w:szCs w:val="18"/>
              </w:rPr>
            </w:pPr>
            <w:r w:rsidRPr="00834CDC">
              <w:rPr>
                <w:sz w:val="18"/>
                <w:szCs w:val="18"/>
              </w:rPr>
              <w:t>79.2%</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1425137B" w14:textId="77777777" w:rsidR="006255AB" w:rsidRPr="00834CDC" w:rsidRDefault="006255AB" w:rsidP="00F957B7">
            <w:pPr>
              <w:pStyle w:val="NormalWeb"/>
              <w:rPr>
                <w:sz w:val="18"/>
                <w:szCs w:val="18"/>
              </w:rPr>
            </w:pPr>
            <w:r w:rsidRPr="00834CDC">
              <w:rPr>
                <w:sz w:val="18"/>
                <w:szCs w:val="18"/>
              </w:rPr>
              <w:t>70.5%</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6D6916F2" w14:textId="77777777" w:rsidR="006255AB" w:rsidRPr="00834CDC" w:rsidRDefault="006255AB" w:rsidP="00F957B7">
            <w:pPr>
              <w:pStyle w:val="NormalWeb"/>
              <w:rPr>
                <w:sz w:val="18"/>
                <w:szCs w:val="18"/>
              </w:rPr>
            </w:pPr>
            <w:r w:rsidRPr="00834CDC">
              <w:rPr>
                <w:sz w:val="18"/>
                <w:szCs w:val="18"/>
              </w:rPr>
              <w:t>58.5%</w:t>
            </w:r>
          </w:p>
        </w:tc>
        <w:tc>
          <w:tcPr>
            <w:tcW w:w="99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73A223C5" w14:textId="77777777" w:rsidR="006255AB" w:rsidRPr="00834CDC" w:rsidRDefault="006255AB" w:rsidP="00F957B7">
            <w:pPr>
              <w:pStyle w:val="NormalWeb"/>
              <w:rPr>
                <w:sz w:val="18"/>
                <w:szCs w:val="18"/>
              </w:rPr>
            </w:pPr>
            <w:r w:rsidRPr="00834CDC">
              <w:rPr>
                <w:sz w:val="18"/>
                <w:szCs w:val="18"/>
              </w:rPr>
              <w:t>54.2%</w:t>
            </w:r>
          </w:p>
        </w:tc>
        <w:tc>
          <w:tcPr>
            <w:tcW w:w="10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2E431F19" w14:textId="77777777" w:rsidR="006255AB" w:rsidRPr="00834CDC" w:rsidRDefault="006255AB" w:rsidP="00F957B7">
            <w:pPr>
              <w:pStyle w:val="NormalWeb"/>
              <w:rPr>
                <w:sz w:val="18"/>
                <w:szCs w:val="18"/>
              </w:rPr>
            </w:pPr>
            <w:r w:rsidRPr="00834CDC">
              <w:rPr>
                <w:sz w:val="18"/>
                <w:szCs w:val="18"/>
              </w:rPr>
              <w:t>62.3%</w:t>
            </w:r>
          </w:p>
        </w:tc>
      </w:tr>
    </w:tbl>
    <w:p w14:paraId="3D3187C7" w14:textId="3BA801CC" w:rsidR="00B17483" w:rsidRPr="00834CDC" w:rsidRDefault="006255AB" w:rsidP="006255AB">
      <w:pPr>
        <w:pStyle w:val="CDIfootnotes"/>
        <w:divId w:val="1988506822"/>
      </w:pPr>
      <w:r w:rsidRPr="00834CDC">
        <w:t>a</w:t>
      </w:r>
      <w:r w:rsidRPr="00834CDC">
        <w:tab/>
        <w:t xml:space="preserve">Notifications </w:t>
      </w:r>
      <w:proofErr w:type="gramStart"/>
      <w:r w:rsidRPr="00834CDC">
        <w:t>where</w:t>
      </w:r>
      <w:proofErr w:type="gramEnd"/>
      <w:r w:rsidRPr="00834CDC">
        <w:t xml:space="preserve"> date of diagnosis between 1 January 2016 and 31 December 2019, except for rotavirus (1 July 2018 to 31 December 2019).</w:t>
      </w:r>
    </w:p>
    <w:p w14:paraId="2EE6089D" w14:textId="079ADAC4" w:rsidR="0033445F" w:rsidRPr="00834CDC" w:rsidRDefault="0033445F" w:rsidP="0033445F">
      <w:pPr>
        <w:pStyle w:val="Heading2"/>
        <w:divId w:val="1988506822"/>
      </w:pPr>
      <w:r w:rsidRPr="00834CDC">
        <w:t xml:space="preserve">Methods used for assessment of Aboriginal and Torres Strait Islander </w:t>
      </w:r>
      <w:r w:rsidR="00D24B47">
        <w:t>s</w:t>
      </w:r>
      <w:r w:rsidRPr="00834CDC">
        <w:t>tatus</w:t>
      </w:r>
      <w:r w:rsidR="00B17483" w:rsidRPr="00834CDC">
        <w:t> </w:t>
      </w:r>
      <w:r w:rsidRPr="00834CDC">
        <w:t xml:space="preserve">completeness </w:t>
      </w:r>
    </w:p>
    <w:p w14:paraId="49E54786" w14:textId="77777777" w:rsidR="0033445F" w:rsidRPr="00834CDC" w:rsidRDefault="0033445F" w:rsidP="0033445F">
      <w:pPr>
        <w:divId w:val="1988506822"/>
      </w:pPr>
      <w:r w:rsidRPr="00834CDC">
        <w:t xml:space="preserve">All notified cases of diphtheria, </w:t>
      </w:r>
      <w:r w:rsidRPr="00834CDC">
        <w:rPr>
          <w:rStyle w:val="Emphasis"/>
          <w:b w:val="0"/>
          <w:bCs w:val="0"/>
        </w:rPr>
        <w:t>Haemophilus influenzae</w:t>
      </w:r>
      <w:r w:rsidRPr="00834CDC">
        <w:t xml:space="preserve"> type b (Hib) disease, hepatitis A, hepatitis B (newly acquired infection within last 2 years), laboratory confirmed influenza, measles, meningococcal disease, mumps, pertussis, pneumococcal disease, rubella and tetanus, with a diagnosis date between 1 January 2016 and 31 December 2019, and notified rotavirus cases with a diagnosis date between 1 July 2018 and 31 December 2019 (nationally notifiable from 1 July 2018) were extracted from NDDSS on 1 February 2021. Aboriginal and Torres Strait Islander status completeness was not assessed for human papillomavirus (HPV) infection/disease (as not notifiable to NNDSS but reported through cervical screening systems),</w:t>
      </w:r>
      <w:r w:rsidRPr="00834CDC">
        <w:rPr>
          <w:vertAlign w:val="superscript"/>
        </w:rPr>
        <w:t>14</w:t>
      </w:r>
      <w:r w:rsidRPr="00834CDC">
        <w:t xml:space="preserve"> for varicella-zoster virus (due to the high proportion of notifications that are coded as non-specific for varicella or zoster), or for poliomyelitis (no notifications reported between 2016 and 2019).The NNDSS dataset extracted for the previous report,</w:t>
      </w:r>
      <w:r w:rsidRPr="00834CDC">
        <w:rPr>
          <w:vertAlign w:val="superscript"/>
        </w:rPr>
        <w:t>1</w:t>
      </w:r>
      <w:r w:rsidRPr="00834CDC">
        <w:t xml:space="preserve"> i.e. notified cases of the same conditions (excepting rotavirus) with a diagnosis date between 1 January 2011 and 31 December 2015, was used to assess trends in completeness. </w:t>
      </w:r>
    </w:p>
    <w:p w14:paraId="7BF5CD5F" w14:textId="77777777" w:rsidR="0033445F" w:rsidRPr="00834CDC" w:rsidRDefault="0033445F" w:rsidP="0033445F">
      <w:pPr>
        <w:divId w:val="1988506822"/>
      </w:pPr>
      <w:r w:rsidRPr="00834CDC">
        <w:t xml:space="preserve">Variables extracted from NNDSS </w:t>
      </w:r>
      <w:proofErr w:type="gramStart"/>
      <w:r w:rsidRPr="00834CDC">
        <w:t>were:</w:t>
      </w:r>
      <w:proofErr w:type="gramEnd"/>
      <w:r w:rsidRPr="00834CDC">
        <w:t xml:space="preserve"> notification ID, disease code, diagnosis date, age at onset, state/territory and Indigenous status (‘Indigenous’ [Aboriginal, Torres Strait Islander, or Aboriginal and Torres Strait Islander], ‘not Indigenous’ and ‘unknown’ [not stated, blank or missing]). Aboriginal and Torres Strait Islander status </w:t>
      </w:r>
      <w:proofErr w:type="gramStart"/>
      <w:r w:rsidRPr="00834CDC">
        <w:t>is classified</w:t>
      </w:r>
      <w:proofErr w:type="gramEnd"/>
      <w:r w:rsidRPr="00834CDC">
        <w:t xml:space="preserve"> in this report as ‘Aboriginal and Torres Strait Islander’ (individuals recorded as Indigenous in NNDSS) and ‘other’ (individuals recorded as ‘not Indigenous’ or ‘unknown’). </w:t>
      </w:r>
    </w:p>
    <w:p w14:paraId="1FD4B2B8" w14:textId="77777777" w:rsidR="0033445F" w:rsidRPr="00834CDC" w:rsidRDefault="0033445F" w:rsidP="0033445F">
      <w:pPr>
        <w:divId w:val="1988506822"/>
      </w:pPr>
      <w:r w:rsidRPr="00834CDC">
        <w:t xml:space="preserve">Completeness </w:t>
      </w:r>
      <w:proofErr w:type="gramStart"/>
      <w:r w:rsidRPr="00834CDC">
        <w:t>was calculated</w:t>
      </w:r>
      <w:proofErr w:type="gramEnd"/>
      <w:r w:rsidRPr="00834CDC">
        <w:t xml:space="preserve"> by dividing the number of notifications with a known Aboriginal and Torres Strait Islander status (‘Indigenous’ and ‘not Indigenous’) by the total number of notifications. Completeness </w:t>
      </w:r>
      <w:proofErr w:type="gramStart"/>
      <w:r w:rsidRPr="00834CDC">
        <w:t>is presented</w:t>
      </w:r>
      <w:proofErr w:type="gramEnd"/>
      <w:r w:rsidRPr="00834CDC">
        <w:t xml:space="preserve"> for each disease by state/territory, categorised as &lt; 20%; 20 to &lt; 50%; 50 to &lt; 70%; 70 to &lt; 90%; or 90 to 100%, and by age group for diseases with overall completeness less than 70%. </w:t>
      </w:r>
    </w:p>
    <w:p w14:paraId="3DD90467" w14:textId="77777777" w:rsidR="0033445F" w:rsidRPr="00834CDC" w:rsidRDefault="0033445F" w:rsidP="0033445F">
      <w:pPr>
        <w:pStyle w:val="Heading2"/>
        <w:divId w:val="1988506822"/>
      </w:pPr>
      <w:r w:rsidRPr="00834CDC">
        <w:t xml:space="preserve">Results of Aboriginal and Torres Strait Islander status completeness assessment </w:t>
      </w:r>
    </w:p>
    <w:p w14:paraId="498AA8CD" w14:textId="77777777" w:rsidR="0033445F" w:rsidRPr="00834CDC" w:rsidRDefault="0033445F" w:rsidP="0033445F">
      <w:pPr>
        <w:pStyle w:val="Heading3"/>
        <w:divId w:val="1988506822"/>
      </w:pPr>
      <w:r w:rsidRPr="00834CDC">
        <w:t xml:space="preserve">Completeness in 2016 to 2019 period </w:t>
      </w:r>
    </w:p>
    <w:p w14:paraId="677AA1F4" w14:textId="77777777" w:rsidR="0033445F" w:rsidRPr="00834CDC" w:rsidRDefault="0033445F" w:rsidP="0033445F">
      <w:pPr>
        <w:divId w:val="1988506822"/>
      </w:pPr>
      <w:r w:rsidRPr="00834CDC">
        <w:t xml:space="preserve">In the 2016 to 2019 period, Aboriginal and Torres Strait Islander status completeness was over 90% at the national level for notifications of diphtheria (94.1%), Hib disease (100%), hepatitis A (92.7%), newly acquired hepatitis B (94.6%), measles (97.5%), meningococcal disease (98.4%), mumps (95.3%), pneumococcal disease (91.7%) and tetanus (100%) (Table 1). At a jurisdictional level, completeness for hepatitis A, hepatitis B, mumps and pneumococcal disease notifications was over 90% in </w:t>
      </w:r>
      <w:proofErr w:type="gramStart"/>
      <w:r w:rsidRPr="00834CDC">
        <w:t>the majority of</w:t>
      </w:r>
      <w:proofErr w:type="gramEnd"/>
      <w:r w:rsidRPr="00834CDC">
        <w:t xml:space="preserve"> states and territories, and between 70% and 90% in one or two jurisdictions. Completeness for rubella was 84.5% at the national level, and over 90% in four of the five states with notifications over the study period (New South Wales, Queensland, </w:t>
      </w:r>
      <w:proofErr w:type="gramStart"/>
      <w:r w:rsidRPr="00834CDC">
        <w:t>Tasmania</w:t>
      </w:r>
      <w:proofErr w:type="gramEnd"/>
      <w:r w:rsidRPr="00834CDC">
        <w:t xml:space="preserve"> and Western Australia) and between 50% and 70% in Victoria (which had 16 notifications over the period). </w:t>
      </w:r>
    </w:p>
    <w:p w14:paraId="66A3F38B" w14:textId="77777777" w:rsidR="0033445F" w:rsidRPr="00834CDC" w:rsidRDefault="0033445F" w:rsidP="0033445F">
      <w:pPr>
        <w:divId w:val="1988506822"/>
      </w:pPr>
      <w:r w:rsidRPr="00834CDC">
        <w:lastRenderedPageBreak/>
        <w:t xml:space="preserve">Aboriginal and Torres Strait Islander status completeness was less than 70% at the national level for laboratory-confirmed influenza (37.4%), pertussis (59.2%) and rotavirus (69.7%) notifications, with substantial variability across states and territories. Completeness was over 90% for rotavirus notifications in the Australian Capital Territory, the Northern Territory and Western Australia; for pertussis notifications in the Australian Capital Territory, the Northern Territory, South </w:t>
      </w:r>
      <w:proofErr w:type="gramStart"/>
      <w:r w:rsidRPr="00834CDC">
        <w:t>Australia</w:t>
      </w:r>
      <w:proofErr w:type="gramEnd"/>
      <w:r w:rsidRPr="00834CDC">
        <w:t xml:space="preserve"> and Western Australia; but for influenza notifications in the Northern Territory only. </w:t>
      </w:r>
    </w:p>
    <w:p w14:paraId="3AC2F689" w14:textId="77777777" w:rsidR="0033445F" w:rsidRPr="00834CDC" w:rsidRDefault="0033445F" w:rsidP="0033445F">
      <w:pPr>
        <w:divId w:val="1988506822"/>
      </w:pPr>
      <w:r w:rsidRPr="00834CDC">
        <w:t>For influenza notifications, Aboriginal and Torres Strait Islander status completeness was less than 50% across all age groups at the national level, ranging from 34.2% for 25–</w:t>
      </w:r>
      <w:proofErr w:type="gramStart"/>
      <w:r w:rsidRPr="00834CDC">
        <w:t xml:space="preserve">49 year </w:t>
      </w:r>
      <w:proofErr w:type="spellStart"/>
      <w:r w:rsidRPr="00834CDC">
        <w:t>olds</w:t>
      </w:r>
      <w:proofErr w:type="spellEnd"/>
      <w:proofErr w:type="gramEnd"/>
      <w:r w:rsidRPr="00834CDC">
        <w:t xml:space="preserve"> to 42.5% among 15–24 year </w:t>
      </w:r>
      <w:proofErr w:type="spellStart"/>
      <w:r w:rsidRPr="00834CDC">
        <w:t>olds</w:t>
      </w:r>
      <w:proofErr w:type="spellEnd"/>
      <w:r w:rsidRPr="00834CDC">
        <w:t xml:space="preserve"> (Table 2). For pertussis notifications, completeness at the national level among children aged less than 5 years was 92.6% (over 70% in all states and territories) and between 49% and 59% for other age groups. For rotavirus notifications, completeness at the national level among children aged less than 5 years was 79.2% (over 70% in all states and territories except Victoria and New South Wales) and between 54% and 71% in older age groups. </w:t>
      </w:r>
    </w:p>
    <w:p w14:paraId="6478B3D8" w14:textId="77777777" w:rsidR="0033445F" w:rsidRPr="00834CDC" w:rsidRDefault="0033445F" w:rsidP="0033445F">
      <w:pPr>
        <w:pStyle w:val="Heading2"/>
        <w:divId w:val="1988506822"/>
      </w:pPr>
      <w:r w:rsidRPr="00834CDC">
        <w:t xml:space="preserve">Trends in completeness </w:t>
      </w:r>
    </w:p>
    <w:p w14:paraId="059849A7" w14:textId="77777777" w:rsidR="0033445F" w:rsidRPr="00834CDC" w:rsidRDefault="0033445F" w:rsidP="0033445F">
      <w:pPr>
        <w:divId w:val="1988506822"/>
      </w:pPr>
      <w:r w:rsidRPr="00834CDC">
        <w:t xml:space="preserve">Aboriginal and Torres Strait Islander status completeness in the 2016 to 2019 period was broadly similar to the 2011 to 2015 period for Hib disease (100% vs 98.8%), hepatitis A (92.7% vs 96.3%), measles (97.5% vs 94.6%), meningococcal disease (98.4% vs 96.8%), pneumococcal disease (invasive) (91.7% vs 89.4%), hepatitis B (94.6% vs 89.0%), rubella (84.5% vs 88.1%), pertussis (59.2% vs 53.6%) and influenza (37.4% vs 40.8%). Completeness improved in the 2016 to 2019 period from the 2011 to 2015 period for mumps (95.3% vs 83.9%), diphtheria (94.1% vs 81.2%) and tetanus (100% vs 84.2%). Rotavirus was not nationally notifiable until mid-2018. </w:t>
      </w:r>
    </w:p>
    <w:p w14:paraId="3E4E3986" w14:textId="77777777" w:rsidR="0033445F" w:rsidRPr="00834CDC" w:rsidRDefault="0033445F" w:rsidP="0033445F">
      <w:pPr>
        <w:pStyle w:val="Heading2"/>
        <w:divId w:val="1988506822"/>
      </w:pPr>
      <w:r w:rsidRPr="00834CDC">
        <w:t xml:space="preserve">Inclusion of data in this report based on completeness </w:t>
      </w:r>
    </w:p>
    <w:p w14:paraId="5A01A9D0" w14:textId="77777777" w:rsidR="0033445F" w:rsidRPr="00834CDC" w:rsidRDefault="0033445F" w:rsidP="0033445F">
      <w:pPr>
        <w:divId w:val="1988506822"/>
      </w:pPr>
      <w:r w:rsidRPr="00834CDC">
        <w:t xml:space="preserve">Based on the data presented above, we set 70% completeness of Aboriginal and Torres Strait Islander status as the minimum acceptable level for inclusion of notification data in this report. For diphtheria, Hib disease, hepatitis A, hepatitis B, measles, meningococcal disease, mumps, pneumococcal disease, </w:t>
      </w:r>
      <w:proofErr w:type="gramStart"/>
      <w:r w:rsidRPr="00834CDC">
        <w:t>rubella</w:t>
      </w:r>
      <w:proofErr w:type="gramEnd"/>
      <w:r w:rsidRPr="00834CDC">
        <w:t xml:space="preserve"> and tetanus, we included data from all states and territories. For influenza we included data from the Northern Territory and Western Australia only, while for pertussis we included data for children aged less than 5 years from all states and territories and for rotavirus we included data for children aged less than 5 years from the Australian Capital Territory, the Northern Territory, Queensland, South Australia, </w:t>
      </w:r>
      <w:proofErr w:type="gramStart"/>
      <w:r w:rsidRPr="00834CDC">
        <w:t>Tasmania</w:t>
      </w:r>
      <w:proofErr w:type="gramEnd"/>
      <w:r w:rsidRPr="00834CDC">
        <w:t xml:space="preserve"> and Western Australia only. </w:t>
      </w:r>
    </w:p>
    <w:p w14:paraId="0CDC6C21" w14:textId="77777777" w:rsidR="0033445F" w:rsidRPr="00834CDC" w:rsidRDefault="0033445F" w:rsidP="0033445F">
      <w:pPr>
        <w:pStyle w:val="Heading2"/>
        <w:divId w:val="1988506822"/>
      </w:pPr>
      <w:r w:rsidRPr="00834CDC">
        <w:t xml:space="preserve">Discussion of Aboriginal and Torres Strait Islander status completeness issues </w:t>
      </w:r>
    </w:p>
    <w:p w14:paraId="1779FAE5" w14:textId="7E7F7101" w:rsidR="00080067" w:rsidRPr="00834CDC" w:rsidRDefault="0033445F" w:rsidP="007E43CF">
      <w:pPr>
        <w:divId w:val="1988506822"/>
      </w:pPr>
      <w:proofErr w:type="gramStart"/>
      <w:r w:rsidRPr="00834CDC">
        <w:t>Selection</w:t>
      </w:r>
      <w:proofErr w:type="gramEnd"/>
      <w:r w:rsidRPr="00834CDC">
        <w:t xml:space="preserve"> of an acceptable level of Aboriginal and Torres Strait Islander status completeness for inclusion in reports on NNDSS data is not straightforward, with the Kirby Institute and AIHW having previously used a minimum level of 50% completeness for inclusion of state/territory data,</w:t>
      </w:r>
      <w:r w:rsidRPr="00834CDC">
        <w:rPr>
          <w:vertAlign w:val="superscript"/>
        </w:rPr>
        <w:t>15,16</w:t>
      </w:r>
      <w:r w:rsidRPr="00834CDC">
        <w:t xml:space="preserve"> lower than we use in this report. The more incomplete Aboriginal and Torres Strait Islander status is, the more likely analyses are to underestimate the incidence of Aboriginal and Torres Strait Islander peoples. However, the exclusion of states and territories with inadequate completeness of Aboriginal and Torres Strait Islander status can also introduce bias into national estimates, as true incidence may differ between included and excluded jurisdictions.</w:t>
      </w:r>
      <w:r w:rsidRPr="00834CDC">
        <w:rPr>
          <w:vertAlign w:val="superscript"/>
        </w:rPr>
        <w:t>17</w:t>
      </w:r>
      <w:r w:rsidRPr="00834CDC">
        <w:t xml:space="preserve"> A </w:t>
      </w:r>
      <w:proofErr w:type="gramStart"/>
      <w:r w:rsidRPr="00834CDC">
        <w:t>high level</w:t>
      </w:r>
      <w:proofErr w:type="gramEnd"/>
      <w:r w:rsidRPr="00834CDC">
        <w:t xml:space="preserve"> of completeness for all diseases and across all jurisdictions should therefore be the ultimate goal to optimise the accuracy and usefulness of notification</w:t>
      </w:r>
      <w:r w:rsidR="006F5F15" w:rsidRPr="00834CDC">
        <w:t> </w:t>
      </w:r>
      <w:r w:rsidRPr="00834CDC">
        <w:t xml:space="preserve">data. </w:t>
      </w:r>
    </w:p>
    <w:p w14:paraId="779EA63A" w14:textId="77777777" w:rsidR="0033445F" w:rsidRPr="00834CDC" w:rsidRDefault="0033445F" w:rsidP="0033445F">
      <w:pPr>
        <w:divId w:val="1988506822"/>
      </w:pPr>
      <w:r w:rsidRPr="00834CDC">
        <w:t>The quality and completeness of Aboriginal and Torres Strait Islander status in NNDSS data is influenced by mechanisms of reporting and follow-up which vary between diseases.</w:t>
      </w:r>
      <w:r w:rsidRPr="00834CDC">
        <w:rPr>
          <w:vertAlign w:val="superscript"/>
        </w:rPr>
        <w:t>18</w:t>
      </w:r>
      <w:r w:rsidRPr="00834CDC">
        <w:t xml:space="preserve"> Most notifications originate from pathology laboratories, and may lack Aboriginal and Torres Strait Islander status due to absence of the relevant field on pathology forms or to issues with completion and transfer of the data from referring medical practitioners.</w:t>
      </w:r>
      <w:r w:rsidRPr="00834CDC">
        <w:rPr>
          <w:vertAlign w:val="superscript"/>
        </w:rPr>
        <w:t>19</w:t>
      </w:r>
      <w:r w:rsidRPr="00834CDC">
        <w:t xml:space="preserve"> Follow-up by public health units, with the treating medical practitioner and/or the case themselves, can result in completion of information that was initially missing, including Aboriginal and Torres Strait Islander status. Completeness of Aboriginal and Torres Strait Islander status in this reporting period was over 90% at national level for diphtheria, Hib </w:t>
      </w:r>
      <w:r w:rsidRPr="00834CDC">
        <w:lastRenderedPageBreak/>
        <w:t>disease, hepatitis A, acute hepatitis B, measles, meningococcal disease, pneumococcal disease and tetanus notifications, which are usually followed up by public health units.</w:t>
      </w:r>
      <w:r w:rsidRPr="00834CDC">
        <w:rPr>
          <w:vertAlign w:val="superscript"/>
        </w:rPr>
        <w:t xml:space="preserve">20–27 </w:t>
      </w:r>
      <w:r w:rsidRPr="00834CDC">
        <w:t>However it was 70% for rotavirus, 59% for pertussis and 37% for influenza, which are all common diseases with public health unit follow-up of laboratory notifications being either very limited (rotavirus and influenza)</w:t>
      </w:r>
      <w:r w:rsidRPr="00834CDC">
        <w:rPr>
          <w:vertAlign w:val="superscript"/>
        </w:rPr>
        <w:t>28,29</w:t>
      </w:r>
      <w:r w:rsidRPr="00834CDC">
        <w:t xml:space="preserve"> or prioritised (to people who may pose a transmission risk to infants &lt; 6 months of age in the case of pertussis).</w:t>
      </w:r>
      <w:r w:rsidRPr="00834CDC">
        <w:rPr>
          <w:vertAlign w:val="superscript"/>
        </w:rPr>
        <w:t>30</w:t>
      </w:r>
      <w:r w:rsidRPr="00834CDC">
        <w:t xml:space="preserve"> The marked increase in completeness for mumps notifications, which are not routinely followed up by many public health units,</w:t>
      </w:r>
      <w:r w:rsidRPr="00834CDC">
        <w:rPr>
          <w:vertAlign w:val="superscript"/>
        </w:rPr>
        <w:t>31</w:t>
      </w:r>
      <w:r w:rsidRPr="00834CDC">
        <w:t xml:space="preserve"> could reflect increased follow-up related to the prolonged outbreaks in Aboriginal peoples in Western Australia between 2015 and 2016 and in Queensland between 2017 and 2018.</w:t>
      </w:r>
      <w:r w:rsidRPr="00834CDC">
        <w:rPr>
          <w:vertAlign w:val="superscript"/>
        </w:rPr>
        <w:t>32,33</w:t>
      </w:r>
      <w:r w:rsidRPr="00834CDC">
        <w:t xml:space="preserve"> </w:t>
      </w:r>
    </w:p>
    <w:p w14:paraId="7CFF7422" w14:textId="4A39924C" w:rsidR="0035491A" w:rsidRPr="00834CDC" w:rsidRDefault="0033445F" w:rsidP="00080067">
      <w:pPr>
        <w:divId w:val="1988506822"/>
        <w:rPr>
          <w:rFonts w:eastAsia="Times New Roman"/>
          <w:sz w:val="18"/>
        </w:rPr>
      </w:pPr>
      <w:r w:rsidRPr="00834CDC">
        <w:t>Other reasons for poor quality or incomplete Aboriginal and Torres Strait Islander status in health data include limited understanding and training of health staff in processes and importance of data collection, and assumptions made about Aboriginal and Torres Strait Islander identification based on an individual’s appearance or name.</w:t>
      </w:r>
      <w:r w:rsidRPr="00834CDC">
        <w:rPr>
          <w:vertAlign w:val="superscript"/>
        </w:rPr>
        <w:t>19,34–36</w:t>
      </w:r>
      <w:r w:rsidRPr="00834CDC">
        <w:t xml:space="preserve"> Data linkage has been used to improve the quality and completeness of Aboriginal and Torres Strait Islander identification in health data, with national best practice guidelines published in 2012.</w:t>
      </w:r>
      <w:r w:rsidRPr="00834CDC">
        <w:rPr>
          <w:vertAlign w:val="superscript"/>
        </w:rPr>
        <w:t>37,38</w:t>
      </w:r>
      <w:r w:rsidRPr="00834CDC">
        <w:t xml:space="preserve"> The high completeness of Aboriginal and Torres Strait Islander status for influenza and rotavirus notifications in the Northern Territory and Western Australia may reflect such data linkage activities. Following on from this report, we plan to undertake further analysis to explore variations in completeness of Aboriginal and Torres Strait Islander status in vaccine preventable disease notification data, including by geographic remoteness. We also intend to conduct in-depth interviews of key stakeholders to </w:t>
      </w:r>
      <w:proofErr w:type="gramStart"/>
      <w:r w:rsidRPr="00834CDC">
        <w:t>identify</w:t>
      </w:r>
      <w:proofErr w:type="gramEnd"/>
      <w:r w:rsidRPr="00834CDC">
        <w:t xml:space="preserve"> successful state and territory initiatives in this space and to disseminate examples of best practice for optimising the completeness and quality of vaccine preventable disease notification</w:t>
      </w:r>
      <w:r w:rsidR="00B629CB" w:rsidRPr="00834CDC">
        <w:t> </w:t>
      </w:r>
      <w:r w:rsidRPr="00834CDC">
        <w:t>data.</w:t>
      </w:r>
    </w:p>
    <w:p w14:paraId="1DAE3744" w14:textId="3F8AF462" w:rsidR="00080067" w:rsidRPr="00834CDC" w:rsidRDefault="00080067" w:rsidP="00080067">
      <w:pPr>
        <w:divId w:val="1988506822"/>
        <w:rPr>
          <w:rFonts w:eastAsia="Times New Roman"/>
          <w:sz w:val="18"/>
        </w:rPr>
      </w:pPr>
    </w:p>
    <w:p w14:paraId="50CE34C8" w14:textId="11CBCD0D" w:rsidR="00080067" w:rsidRPr="00834CDC" w:rsidRDefault="00080067">
      <w:pPr>
        <w:rPr>
          <w:rFonts w:eastAsia="Times New Roman"/>
          <w:sz w:val="18"/>
        </w:rPr>
      </w:pPr>
      <w:r w:rsidRPr="00834CDC">
        <w:rPr>
          <w:rFonts w:eastAsia="Times New Roman"/>
          <w:sz w:val="18"/>
        </w:rPr>
        <w:br w:type="page"/>
      </w:r>
    </w:p>
    <w:p w14:paraId="77F87C6E" w14:textId="77777777" w:rsidR="005239A1" w:rsidRPr="00834CDC" w:rsidRDefault="007D7C7A" w:rsidP="007D7C7A">
      <w:pPr>
        <w:pStyle w:val="Heading1"/>
      </w:pPr>
      <w:r w:rsidRPr="00834CDC">
        <w:lastRenderedPageBreak/>
        <w:t xml:space="preserve">2. </w:t>
      </w:r>
      <w:r w:rsidRPr="00834CDC">
        <w:rPr>
          <w:i/>
          <w:iCs/>
        </w:rPr>
        <w:t>Haemophilus influenzae</w:t>
      </w:r>
      <w:r w:rsidRPr="00834CDC">
        <w:t xml:space="preserve"> type b disease </w:t>
      </w:r>
    </w:p>
    <w:p w14:paraId="48C950AA" w14:textId="77777777" w:rsidR="005239A1" w:rsidRPr="00834CDC" w:rsidRDefault="005239A1" w:rsidP="000E374B">
      <w:pPr>
        <w:pStyle w:val="Heading2"/>
      </w:pPr>
      <w:r w:rsidRPr="00834CDC">
        <w:t xml:space="preserve">Relevant vaccine history </w:t>
      </w:r>
    </w:p>
    <w:p w14:paraId="1DFF701A" w14:textId="701E7C82" w:rsidR="005239A1" w:rsidRPr="00834CDC" w:rsidRDefault="005239A1" w:rsidP="005239A1">
      <w:pPr>
        <w:pStyle w:val="Heading2"/>
        <w:rPr>
          <w:rFonts w:eastAsia="Times New Roman"/>
          <w:color w:val="FF0000"/>
        </w:rPr>
      </w:pPr>
      <w:r w:rsidRPr="00834CDC">
        <w:rPr>
          <w:rFonts w:eastAsia="Times New Roman"/>
          <w:noProof/>
          <w:color w:val="FF0000"/>
        </w:rPr>
        <mc:AlternateContent>
          <mc:Choice Requires="wps">
            <w:drawing>
              <wp:inline distT="0" distB="0" distL="0" distR="0" wp14:anchorId="15841C8D" wp14:editId="7878308A">
                <wp:extent cx="6629400" cy="1404620"/>
                <wp:effectExtent l="0" t="0" r="0" b="0"/>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7ECDD"/>
                        </a:solidFill>
                        <a:ln w="9525">
                          <a:noFill/>
                          <a:miter lim="800000"/>
                          <a:headEnd/>
                          <a:tailEnd/>
                        </a:ln>
                      </wps:spPr>
                      <wps:txbx>
                        <w:txbxContent>
                          <w:p w14:paraId="090BD487" w14:textId="77777777" w:rsidR="005239A1" w:rsidRPr="005239A1" w:rsidRDefault="005239A1" w:rsidP="005239A1">
                            <w:pPr>
                              <w:spacing w:after="0" w:line="240" w:lineRule="auto"/>
                              <w:rPr>
                                <w:b/>
                                <w:bCs/>
                                <w:lang w:val="en-GB"/>
                              </w:rPr>
                            </w:pPr>
                            <w:r w:rsidRPr="005239A1">
                              <w:rPr>
                                <w:b/>
                                <w:bCs/>
                                <w:lang w:val="en-GB"/>
                              </w:rPr>
                              <w:t>1993</w:t>
                            </w:r>
                          </w:p>
                          <w:p w14:paraId="25E4FDE9" w14:textId="77777777" w:rsidR="005239A1" w:rsidRPr="003052B7" w:rsidRDefault="005239A1" w:rsidP="005239A1">
                            <w:pPr>
                              <w:pStyle w:val="ListParagraph"/>
                              <w:numPr>
                                <w:ilvl w:val="0"/>
                                <w:numId w:val="85"/>
                              </w:numPr>
                              <w:spacing w:after="0" w:line="240" w:lineRule="auto"/>
                              <w:rPr>
                                <w:rFonts w:eastAsia="Times New Roman"/>
                                <w:lang w:val="en-GB"/>
                              </w:rPr>
                            </w:pPr>
                            <w:r w:rsidRPr="003052B7">
                              <w:rPr>
                                <w:rFonts w:eastAsia="Times New Roman"/>
                                <w:lang w:val="en-GB"/>
                              </w:rPr>
                              <w:t>Hib vaccine recommended in childhood vaccination schedule for all children</w:t>
                            </w:r>
                          </w:p>
                          <w:p w14:paraId="5CED9654" w14:textId="77777777" w:rsidR="005239A1" w:rsidRPr="003052B7" w:rsidRDefault="005239A1" w:rsidP="005239A1">
                            <w:pPr>
                              <w:pStyle w:val="ListParagraph"/>
                              <w:numPr>
                                <w:ilvl w:val="0"/>
                                <w:numId w:val="85"/>
                              </w:numPr>
                              <w:spacing w:after="0" w:line="240" w:lineRule="auto"/>
                              <w:rPr>
                                <w:rFonts w:eastAsia="Times New Roman"/>
                                <w:lang w:val="en-GB"/>
                              </w:rPr>
                            </w:pPr>
                            <w:r w:rsidRPr="003052B7">
                              <w:rPr>
                                <w:rFonts w:eastAsia="Times New Roman"/>
                                <w:lang w:val="en-GB"/>
                              </w:rPr>
                              <w:t>PRP-OMP-containing vaccines,</w:t>
                            </w:r>
                            <w:r w:rsidRPr="00106AA6">
                              <w:rPr>
                                <w:rFonts w:eastAsia="Times New Roman"/>
                                <w:vertAlign w:val="superscript"/>
                                <w:lang w:val="en-GB"/>
                              </w:rPr>
                              <w:t>i</w:t>
                            </w:r>
                            <w:r w:rsidRPr="003052B7">
                              <w:rPr>
                                <w:rFonts w:eastAsia="Times New Roman"/>
                                <w:lang w:val="en-GB"/>
                              </w:rPr>
                              <w:t xml:space="preserve"> providing protection at an earlier age than other vaccines, used for Aboriginal and Torres Strait Islander children</w:t>
                            </w:r>
                          </w:p>
                          <w:p w14:paraId="21AD07AF" w14:textId="77777777" w:rsidR="005239A1" w:rsidRPr="005239A1" w:rsidRDefault="005239A1" w:rsidP="005239A1">
                            <w:pPr>
                              <w:spacing w:after="0" w:line="240" w:lineRule="auto"/>
                              <w:rPr>
                                <w:b/>
                                <w:bCs/>
                                <w:lang w:val="en-GB"/>
                              </w:rPr>
                            </w:pPr>
                            <w:r w:rsidRPr="005239A1">
                              <w:rPr>
                                <w:b/>
                                <w:bCs/>
                                <w:lang w:val="en-GB"/>
                              </w:rPr>
                              <w:t>2009</w:t>
                            </w:r>
                          </w:p>
                          <w:p w14:paraId="060C7F06" w14:textId="77777777" w:rsidR="005239A1" w:rsidRPr="003052B7" w:rsidRDefault="005239A1" w:rsidP="005239A1">
                            <w:pPr>
                              <w:pStyle w:val="ListParagraph"/>
                              <w:numPr>
                                <w:ilvl w:val="0"/>
                                <w:numId w:val="86"/>
                              </w:numPr>
                              <w:spacing w:after="0" w:line="240" w:lineRule="auto"/>
                              <w:rPr>
                                <w:rFonts w:eastAsia="Times New Roman"/>
                                <w:lang w:val="en-GB"/>
                              </w:rPr>
                            </w:pPr>
                            <w:r w:rsidRPr="003052B7">
                              <w:rPr>
                                <w:rFonts w:eastAsia="Times New Roman"/>
                                <w:lang w:val="en-GB"/>
                              </w:rPr>
                              <w:t>Combined DTPa-HepB-IPV-Hib (PRP-T)</w:t>
                            </w:r>
                            <w:r w:rsidRPr="000E374B">
                              <w:rPr>
                                <w:rFonts w:eastAsia="Times New Roman"/>
                                <w:vertAlign w:val="superscript"/>
                                <w:lang w:val="en-GB"/>
                              </w:rPr>
                              <w:t>ii</w:t>
                            </w:r>
                            <w:r w:rsidRPr="003052B7">
                              <w:rPr>
                                <w:rFonts w:eastAsia="Times New Roman"/>
                                <w:lang w:val="en-GB"/>
                              </w:rPr>
                              <w:t xml:space="preserve"> vaccine at 2, 4, 6 and 12 months of age used in all jurisdictions</w:t>
                            </w:r>
                          </w:p>
                          <w:p w14:paraId="2871B05E" w14:textId="77777777" w:rsidR="005239A1" w:rsidRPr="005239A1" w:rsidRDefault="005239A1" w:rsidP="005239A1">
                            <w:pPr>
                              <w:spacing w:after="0" w:line="240" w:lineRule="auto"/>
                              <w:rPr>
                                <w:b/>
                                <w:bCs/>
                                <w:lang w:val="en-GB"/>
                              </w:rPr>
                            </w:pPr>
                            <w:r w:rsidRPr="005239A1">
                              <w:rPr>
                                <w:b/>
                                <w:bCs/>
                                <w:lang w:val="en-GB"/>
                              </w:rPr>
                              <w:t>2013</w:t>
                            </w:r>
                          </w:p>
                          <w:p w14:paraId="2C87DFEA" w14:textId="77777777" w:rsidR="005239A1" w:rsidRPr="003052B7" w:rsidRDefault="005239A1" w:rsidP="005239A1">
                            <w:pPr>
                              <w:pStyle w:val="ListParagraph"/>
                              <w:numPr>
                                <w:ilvl w:val="0"/>
                                <w:numId w:val="86"/>
                              </w:numPr>
                              <w:spacing w:after="0" w:line="240" w:lineRule="auto"/>
                              <w:rPr>
                                <w:rFonts w:eastAsia="Times New Roman"/>
                                <w:lang w:val="en-GB"/>
                              </w:rPr>
                            </w:pPr>
                            <w:r w:rsidRPr="003052B7">
                              <w:rPr>
                                <w:rFonts w:eastAsia="Times New Roman"/>
                                <w:lang w:val="en-GB"/>
                              </w:rPr>
                              <w:t>Combined Hib (PRP-T) and meningococcal C vaccine funded as booster dose for infants aged 12 months</w:t>
                            </w:r>
                          </w:p>
                          <w:p w14:paraId="73A5DEB5" w14:textId="77777777" w:rsidR="005239A1" w:rsidRPr="005239A1" w:rsidRDefault="005239A1" w:rsidP="005239A1">
                            <w:pPr>
                              <w:spacing w:after="0" w:line="240" w:lineRule="auto"/>
                              <w:rPr>
                                <w:b/>
                                <w:bCs/>
                                <w:lang w:val="en-GB"/>
                              </w:rPr>
                            </w:pPr>
                            <w:r w:rsidRPr="005239A1">
                              <w:rPr>
                                <w:b/>
                                <w:bCs/>
                                <w:lang w:val="en-GB"/>
                              </w:rPr>
                              <w:t>2017</w:t>
                            </w:r>
                          </w:p>
                          <w:p w14:paraId="3D5DC9A1" w14:textId="77777777" w:rsidR="005239A1" w:rsidRPr="003052B7" w:rsidRDefault="005239A1" w:rsidP="005239A1">
                            <w:pPr>
                              <w:pStyle w:val="ListParagraph"/>
                              <w:numPr>
                                <w:ilvl w:val="0"/>
                                <w:numId w:val="86"/>
                              </w:numPr>
                              <w:spacing w:after="0" w:line="240" w:lineRule="auto"/>
                              <w:rPr>
                                <w:rFonts w:eastAsia="Times New Roman"/>
                                <w:lang w:val="en-GB"/>
                              </w:rPr>
                            </w:pPr>
                            <w:r w:rsidRPr="003052B7">
                              <w:rPr>
                                <w:rFonts w:eastAsia="Times New Roman"/>
                                <w:lang w:val="en-GB"/>
                              </w:rPr>
                              <w:t>PRP-OMP-containing vaccine ceased to be available in Australia</w:t>
                            </w:r>
                          </w:p>
                          <w:p w14:paraId="520CF357" w14:textId="77777777" w:rsidR="005239A1" w:rsidRPr="005239A1" w:rsidRDefault="005239A1" w:rsidP="005239A1">
                            <w:pPr>
                              <w:spacing w:after="0" w:line="240" w:lineRule="auto"/>
                              <w:rPr>
                                <w:b/>
                                <w:bCs/>
                                <w:lang w:val="en-GB"/>
                              </w:rPr>
                            </w:pPr>
                            <w:r w:rsidRPr="005239A1">
                              <w:rPr>
                                <w:b/>
                                <w:bCs/>
                                <w:lang w:val="en-GB"/>
                              </w:rPr>
                              <w:t>2018</w:t>
                            </w:r>
                          </w:p>
                          <w:p w14:paraId="59DCD3EA" w14:textId="26937E85" w:rsidR="005239A1" w:rsidRPr="005239A1" w:rsidRDefault="005239A1" w:rsidP="005239A1">
                            <w:pPr>
                              <w:pStyle w:val="ListParagraph"/>
                              <w:numPr>
                                <w:ilvl w:val="0"/>
                                <w:numId w:val="86"/>
                              </w:numPr>
                              <w:spacing w:after="0" w:line="240" w:lineRule="auto"/>
                              <w:rPr>
                                <w:rFonts w:eastAsia="Times New Roman"/>
                                <w:lang w:val="en-GB"/>
                              </w:rPr>
                            </w:pPr>
                            <w:r w:rsidRPr="003052B7">
                              <w:rPr>
                                <w:rFonts w:eastAsia="Times New Roman"/>
                                <w:lang w:val="en-GB"/>
                              </w:rPr>
                              <w:t>Combined Hib (PRP-T) and meningococcal C vaccine used in infants at age 12 months replaced with monovalent Hib (PRP-T) vaccine for children aged 18 months</w:t>
                            </w:r>
                          </w:p>
                        </w:txbxContent>
                      </wps:txbx>
                      <wps:bodyPr rot="0" vert="horz" wrap="square" lIns="91440" tIns="45720" rIns="91440" bIns="45720" anchor="t" anchorCtr="0">
                        <a:spAutoFit/>
                      </wps:bodyPr>
                    </wps:wsp>
                  </a:graphicData>
                </a:graphic>
              </wp:inline>
            </w:drawing>
          </mc:Choice>
          <mc:Fallback>
            <w:pict>
              <v:shapetype w14:anchorId="15841C8D" id="_x0000_t202" coordsize="21600,21600" o:spt="202" path="m,l,21600r21600,l21600,xe">
                <v:stroke joinstyle="miter"/>
                <v:path gradientshapeok="t" o:connecttype="rect"/>
              </v:shapetype>
              <v:shape id="Text Box 2" o:spid="_x0000_s1026" type="#_x0000_t202" style="width:5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" fillcolor="#f7ecdd" stroked="f">
                <v:textbox style="mso-fit-shape-to-text:t">
                  <w:txbxContent>
                    <w:p w14:paraId="090BD487" w14:textId="77777777" w:rsidR="005239A1" w:rsidRPr="005239A1" w:rsidRDefault="005239A1" w:rsidP="005239A1">
                      <w:pPr>
                        <w:spacing w:after="0" w:line="240" w:lineRule="auto"/>
                        <w:rPr>
                          <w:b/>
                          <w:bCs/>
                          <w:lang w:val="en-GB"/>
                        </w:rPr>
                      </w:pPr>
                      <w:r w:rsidRPr="005239A1">
                        <w:rPr>
                          <w:b/>
                          <w:bCs/>
                          <w:lang w:val="en-GB"/>
                        </w:rPr>
                        <w:t>1993</w:t>
                      </w:r>
                    </w:p>
                    <w:p w14:paraId="25E4FDE9" w14:textId="77777777" w:rsidR="005239A1" w:rsidRPr="003052B7" w:rsidRDefault="005239A1" w:rsidP="005239A1">
                      <w:pPr>
                        <w:pStyle w:val="ListParagraph"/>
                        <w:numPr>
                          <w:ilvl w:val="0"/>
                          <w:numId w:val="85"/>
                        </w:numPr>
                        <w:spacing w:after="0" w:line="240" w:lineRule="auto"/>
                        <w:rPr>
                          <w:rFonts w:eastAsia="Times New Roman"/>
                          <w:lang w:val="en-GB"/>
                        </w:rPr>
                      </w:pPr>
                      <w:r w:rsidRPr="003052B7">
                        <w:rPr>
                          <w:rFonts w:eastAsia="Times New Roman"/>
                          <w:lang w:val="en-GB"/>
                        </w:rPr>
                        <w:t>Hib vaccine recommended in childhood vaccination schedule for all children</w:t>
                      </w:r>
                    </w:p>
                    <w:p w14:paraId="5CED9654" w14:textId="77777777" w:rsidR="005239A1" w:rsidRPr="003052B7" w:rsidRDefault="005239A1" w:rsidP="005239A1">
                      <w:pPr>
                        <w:pStyle w:val="ListParagraph"/>
                        <w:numPr>
                          <w:ilvl w:val="0"/>
                          <w:numId w:val="85"/>
                        </w:numPr>
                        <w:spacing w:after="0" w:line="240" w:lineRule="auto"/>
                        <w:rPr>
                          <w:rFonts w:eastAsia="Times New Roman"/>
                          <w:lang w:val="en-GB"/>
                        </w:rPr>
                      </w:pPr>
                      <w:r w:rsidRPr="003052B7">
                        <w:rPr>
                          <w:rFonts w:eastAsia="Times New Roman"/>
                          <w:lang w:val="en-GB"/>
                        </w:rPr>
                        <w:t>PRP-OMP-containing vaccines,</w:t>
                      </w:r>
                      <w:r w:rsidRPr="00106AA6">
                        <w:rPr>
                          <w:rFonts w:eastAsia="Times New Roman"/>
                          <w:vertAlign w:val="superscript"/>
                          <w:lang w:val="en-GB"/>
                        </w:rPr>
                        <w:t>i</w:t>
                      </w:r>
                      <w:r w:rsidRPr="003052B7">
                        <w:rPr>
                          <w:rFonts w:eastAsia="Times New Roman"/>
                          <w:lang w:val="en-GB"/>
                        </w:rPr>
                        <w:t xml:space="preserve"> providing protection at an earlier age than other vaccines, used for Aboriginal and Torres Strait Islander children</w:t>
                      </w:r>
                    </w:p>
                    <w:p w14:paraId="21AD07AF" w14:textId="77777777" w:rsidR="005239A1" w:rsidRPr="005239A1" w:rsidRDefault="005239A1" w:rsidP="005239A1">
                      <w:pPr>
                        <w:spacing w:after="0" w:line="240" w:lineRule="auto"/>
                        <w:rPr>
                          <w:b/>
                          <w:bCs/>
                          <w:lang w:val="en-GB"/>
                        </w:rPr>
                      </w:pPr>
                      <w:r w:rsidRPr="005239A1">
                        <w:rPr>
                          <w:b/>
                          <w:bCs/>
                          <w:lang w:val="en-GB"/>
                        </w:rPr>
                        <w:t>2009</w:t>
                      </w:r>
                    </w:p>
                    <w:p w14:paraId="060C7F06" w14:textId="77777777" w:rsidR="005239A1" w:rsidRPr="003052B7" w:rsidRDefault="005239A1" w:rsidP="005239A1">
                      <w:pPr>
                        <w:pStyle w:val="ListParagraph"/>
                        <w:numPr>
                          <w:ilvl w:val="0"/>
                          <w:numId w:val="86"/>
                        </w:numPr>
                        <w:spacing w:after="0" w:line="240" w:lineRule="auto"/>
                        <w:rPr>
                          <w:rFonts w:eastAsia="Times New Roman"/>
                          <w:lang w:val="en-GB"/>
                        </w:rPr>
                      </w:pPr>
                      <w:r w:rsidRPr="003052B7">
                        <w:rPr>
                          <w:rFonts w:eastAsia="Times New Roman"/>
                          <w:lang w:val="en-GB"/>
                        </w:rPr>
                        <w:t>Combined DTPa-HepB-IPV-Hib (PRP-T)</w:t>
                      </w:r>
                      <w:r w:rsidRPr="000E374B">
                        <w:rPr>
                          <w:rFonts w:eastAsia="Times New Roman"/>
                          <w:vertAlign w:val="superscript"/>
                          <w:lang w:val="en-GB"/>
                        </w:rPr>
                        <w:t>ii</w:t>
                      </w:r>
                      <w:r w:rsidRPr="003052B7">
                        <w:rPr>
                          <w:rFonts w:eastAsia="Times New Roman"/>
                          <w:lang w:val="en-GB"/>
                        </w:rPr>
                        <w:t xml:space="preserve"> vaccine at 2, 4, 6 and 12 months of age used in all jurisdictions</w:t>
                      </w:r>
                    </w:p>
                    <w:p w14:paraId="2871B05E" w14:textId="77777777" w:rsidR="005239A1" w:rsidRPr="005239A1" w:rsidRDefault="005239A1" w:rsidP="005239A1">
                      <w:pPr>
                        <w:spacing w:after="0" w:line="240" w:lineRule="auto"/>
                        <w:rPr>
                          <w:b/>
                          <w:bCs/>
                          <w:lang w:val="en-GB"/>
                        </w:rPr>
                      </w:pPr>
                      <w:r w:rsidRPr="005239A1">
                        <w:rPr>
                          <w:b/>
                          <w:bCs/>
                          <w:lang w:val="en-GB"/>
                        </w:rPr>
                        <w:t>2013</w:t>
                      </w:r>
                    </w:p>
                    <w:p w14:paraId="2C87DFEA" w14:textId="77777777" w:rsidR="005239A1" w:rsidRPr="003052B7" w:rsidRDefault="005239A1" w:rsidP="005239A1">
                      <w:pPr>
                        <w:pStyle w:val="ListParagraph"/>
                        <w:numPr>
                          <w:ilvl w:val="0"/>
                          <w:numId w:val="86"/>
                        </w:numPr>
                        <w:spacing w:after="0" w:line="240" w:lineRule="auto"/>
                        <w:rPr>
                          <w:rFonts w:eastAsia="Times New Roman"/>
                          <w:lang w:val="en-GB"/>
                        </w:rPr>
                      </w:pPr>
                      <w:r w:rsidRPr="003052B7">
                        <w:rPr>
                          <w:rFonts w:eastAsia="Times New Roman"/>
                          <w:lang w:val="en-GB"/>
                        </w:rPr>
                        <w:t>Combined Hib (PRP-T) and meningococcal C vaccine funded as booster dose for infants aged 12 months</w:t>
                      </w:r>
                    </w:p>
                    <w:p w14:paraId="73A5DEB5" w14:textId="77777777" w:rsidR="005239A1" w:rsidRPr="005239A1" w:rsidRDefault="005239A1" w:rsidP="005239A1">
                      <w:pPr>
                        <w:spacing w:after="0" w:line="240" w:lineRule="auto"/>
                        <w:rPr>
                          <w:b/>
                          <w:bCs/>
                          <w:lang w:val="en-GB"/>
                        </w:rPr>
                      </w:pPr>
                      <w:r w:rsidRPr="005239A1">
                        <w:rPr>
                          <w:b/>
                          <w:bCs/>
                          <w:lang w:val="en-GB"/>
                        </w:rPr>
                        <w:t>2017</w:t>
                      </w:r>
                    </w:p>
                    <w:p w14:paraId="3D5DC9A1" w14:textId="77777777" w:rsidR="005239A1" w:rsidRPr="003052B7" w:rsidRDefault="005239A1" w:rsidP="005239A1">
                      <w:pPr>
                        <w:pStyle w:val="ListParagraph"/>
                        <w:numPr>
                          <w:ilvl w:val="0"/>
                          <w:numId w:val="86"/>
                        </w:numPr>
                        <w:spacing w:after="0" w:line="240" w:lineRule="auto"/>
                        <w:rPr>
                          <w:rFonts w:eastAsia="Times New Roman"/>
                          <w:lang w:val="en-GB"/>
                        </w:rPr>
                      </w:pPr>
                      <w:r w:rsidRPr="003052B7">
                        <w:rPr>
                          <w:rFonts w:eastAsia="Times New Roman"/>
                          <w:lang w:val="en-GB"/>
                        </w:rPr>
                        <w:t>PRP-OMP-containing vaccine ceased to be available in Australia</w:t>
                      </w:r>
                    </w:p>
                    <w:p w14:paraId="520CF357" w14:textId="77777777" w:rsidR="005239A1" w:rsidRPr="005239A1" w:rsidRDefault="005239A1" w:rsidP="005239A1">
                      <w:pPr>
                        <w:spacing w:after="0" w:line="240" w:lineRule="auto"/>
                        <w:rPr>
                          <w:b/>
                          <w:bCs/>
                          <w:lang w:val="en-GB"/>
                        </w:rPr>
                      </w:pPr>
                      <w:r w:rsidRPr="005239A1">
                        <w:rPr>
                          <w:b/>
                          <w:bCs/>
                          <w:lang w:val="en-GB"/>
                        </w:rPr>
                        <w:t>2018</w:t>
                      </w:r>
                    </w:p>
                    <w:p w14:paraId="59DCD3EA" w14:textId="26937E85" w:rsidR="005239A1" w:rsidRPr="005239A1" w:rsidRDefault="005239A1" w:rsidP="005239A1">
                      <w:pPr>
                        <w:pStyle w:val="ListParagraph"/>
                        <w:numPr>
                          <w:ilvl w:val="0"/>
                          <w:numId w:val="86"/>
                        </w:numPr>
                        <w:spacing w:after="0" w:line="240" w:lineRule="auto"/>
                        <w:rPr>
                          <w:rFonts w:eastAsia="Times New Roman"/>
                          <w:lang w:val="en-GB"/>
                        </w:rPr>
                      </w:pPr>
                      <w:r w:rsidRPr="003052B7">
                        <w:rPr>
                          <w:rFonts w:eastAsia="Times New Roman"/>
                          <w:lang w:val="en-GB"/>
                        </w:rPr>
                        <w:t>Combined Hib (PRP-T) and meningococcal C vaccine used in infants at age 12 months replaced with monovalent Hib (PRP-T) vaccine for children aged 18 months</w:t>
                      </w:r>
                    </w:p>
                  </w:txbxContent>
                </v:textbox>
                <w10:anchorlock/>
              </v:shape>
            </w:pict>
          </mc:Fallback>
        </mc:AlternateContent>
      </w:r>
    </w:p>
    <w:p w14:paraId="497D0D00" w14:textId="77777777" w:rsidR="00E54DEE" w:rsidRPr="00834CDC" w:rsidRDefault="00E54DEE" w:rsidP="00E54DEE">
      <w:pPr>
        <w:pStyle w:val="CDIfootnotes"/>
      </w:pPr>
      <w:proofErr w:type="spellStart"/>
      <w:r w:rsidRPr="00834CDC">
        <w:t>i</w:t>
      </w:r>
      <w:proofErr w:type="spellEnd"/>
      <w:r w:rsidRPr="00834CDC">
        <w:tab/>
        <w:t xml:space="preserve">PRP-OMP: Hib polysaccharide conjugated to the outer membrane protein of </w:t>
      </w:r>
      <w:r w:rsidRPr="00D24B47">
        <w:rPr>
          <w:i/>
          <w:iCs/>
        </w:rPr>
        <w:t>Neisseria meningitidis</w:t>
      </w:r>
      <w:r w:rsidRPr="00834CDC">
        <w:t xml:space="preserve">. </w:t>
      </w:r>
    </w:p>
    <w:p w14:paraId="06E63B49" w14:textId="27321C5D" w:rsidR="00E54DEE" w:rsidRPr="00834CDC" w:rsidRDefault="00E54DEE" w:rsidP="00E54DEE">
      <w:pPr>
        <w:pStyle w:val="CDIfootnotes"/>
        <w:rPr>
          <w:rStyle w:val="italic"/>
          <w:i w:val="0"/>
          <w:iCs w:val="0"/>
        </w:rPr>
      </w:pPr>
      <w:r w:rsidRPr="00834CDC">
        <w:t>ii</w:t>
      </w:r>
      <w:r w:rsidRPr="00834CDC">
        <w:tab/>
        <w:t>PRP-T: Hib polysaccharide conjugated to tetanus toxoid</w:t>
      </w:r>
    </w:p>
    <w:p w14:paraId="0305DFE0" w14:textId="3B89D5D9" w:rsidR="002E5820" w:rsidRPr="00834CDC" w:rsidRDefault="002E5820" w:rsidP="002E5820">
      <w:r w:rsidRPr="00834CDC">
        <w:rPr>
          <w:rStyle w:val="italic"/>
        </w:rPr>
        <w:t>Haemophilus influenzae</w:t>
      </w:r>
      <w:r w:rsidRPr="00834CDC">
        <w:t xml:space="preserve"> is a gram-negative coccobacillus which can cause infection at various body sites. Serotype b of </w:t>
      </w:r>
      <w:r w:rsidRPr="00834CDC">
        <w:rPr>
          <w:rStyle w:val="italic"/>
        </w:rPr>
        <w:t>Haemophilus influenzae</w:t>
      </w:r>
      <w:r w:rsidRPr="00834CDC">
        <w:t xml:space="preserve"> (Hib) is the leading cause of serious </w:t>
      </w:r>
      <w:r w:rsidRPr="00834CDC">
        <w:rPr>
          <w:rStyle w:val="italic"/>
        </w:rPr>
        <w:t>Haemophilus</w:t>
      </w:r>
      <w:r w:rsidRPr="00834CDC">
        <w:t xml:space="preserve"> disease, particularly in childhood.</w:t>
      </w:r>
      <w:r w:rsidRPr="00834CDC">
        <w:rPr>
          <w:rStyle w:val="superscript"/>
        </w:rPr>
        <w:t>39</w:t>
      </w:r>
      <w:r w:rsidRPr="00834CDC">
        <w:t xml:space="preserve"> Hib can cause diseases of the respiratory tract, including otitis media, </w:t>
      </w:r>
      <w:proofErr w:type="gramStart"/>
      <w:r w:rsidRPr="00834CDC">
        <w:t>sinusitis</w:t>
      </w:r>
      <w:proofErr w:type="gramEnd"/>
      <w:r w:rsidRPr="00834CDC">
        <w:t xml:space="preserve"> and bronchitis. Serious manifestations of Hib disease include meningitis, bacteraemia, epiglottitis, septic arthritis, pericarditis, osteomyelitis, soft tissue abscesses and cellulitis.</w:t>
      </w:r>
      <w:r w:rsidRPr="00834CDC">
        <w:rPr>
          <w:rStyle w:val="superscript"/>
        </w:rPr>
        <w:t>40</w:t>
      </w:r>
      <w:r w:rsidRPr="00834CDC">
        <w:t xml:space="preserve"> Before Hib vaccines became available, Hib was the most common serious bacterial infection in young children in Australia,</w:t>
      </w:r>
      <w:r w:rsidRPr="00834CDC">
        <w:rPr>
          <w:rStyle w:val="superscript"/>
        </w:rPr>
        <w:t>41</w:t>
      </w:r>
      <w:r w:rsidRPr="00834CDC">
        <w:t xml:space="preserve"> with up to 70% of bacterial meningitis in children attributable to Hib.</w:t>
      </w:r>
      <w:r w:rsidRPr="00834CDC">
        <w:rPr>
          <w:rStyle w:val="superscript"/>
        </w:rPr>
        <w:t>42</w:t>
      </w:r>
      <w:r w:rsidRPr="00834CDC">
        <w:t xml:space="preserve"> During the </w:t>
      </w:r>
      <w:proofErr w:type="spellStart"/>
      <w:r w:rsidRPr="00834CDC">
        <w:t>prevaccine</w:t>
      </w:r>
      <w:proofErr w:type="spellEnd"/>
      <w:r w:rsidRPr="00834CDC">
        <w:t xml:space="preserve"> era, Aboriginal and Torres Strait Islander children had a particularly high incidence of Hib meningitis, among the highest recorded in the world, and with a significantly younger age of onset than that for non-Indigenous children.</w:t>
      </w:r>
      <w:r w:rsidRPr="00834CDC">
        <w:rPr>
          <w:rStyle w:val="superscript"/>
        </w:rPr>
        <w:t>42</w:t>
      </w:r>
    </w:p>
    <w:p w14:paraId="136A55B7" w14:textId="77777777" w:rsidR="002E5820" w:rsidRPr="00834CDC" w:rsidRDefault="002E5820" w:rsidP="002E5820">
      <w:pPr>
        <w:pStyle w:val="Heading2"/>
      </w:pPr>
      <w:r w:rsidRPr="00834CDC">
        <w:t>Results</w:t>
      </w:r>
    </w:p>
    <w:p w14:paraId="71670FF1" w14:textId="77777777" w:rsidR="002E5820" w:rsidRPr="00834CDC" w:rsidRDefault="002E5820" w:rsidP="002E5820">
      <w:r w:rsidRPr="00834CDC">
        <w:t xml:space="preserve">Notification data for invasive Hib disease </w:t>
      </w:r>
      <w:proofErr w:type="gramStart"/>
      <w:r w:rsidRPr="00834CDC">
        <w:t>are presented</w:t>
      </w:r>
      <w:proofErr w:type="gramEnd"/>
      <w:r w:rsidRPr="00834CDC">
        <w:t xml:space="preserve"> for all jurisdictions for the 2016–2019 period. No hospitalisation or mortality data </w:t>
      </w:r>
      <w:proofErr w:type="gramStart"/>
      <w:r w:rsidRPr="00834CDC">
        <w:t>are presented</w:t>
      </w:r>
      <w:proofErr w:type="gramEnd"/>
      <w:r w:rsidRPr="00834CDC">
        <w:t xml:space="preserve"> for invasive Hib disease because the available ICD-10-AM/ICD-10 codes are not type-specific.</w:t>
      </w:r>
    </w:p>
    <w:p w14:paraId="19DB85D1" w14:textId="77777777" w:rsidR="002E5820" w:rsidRPr="00834CDC" w:rsidRDefault="002E5820" w:rsidP="002E5820">
      <w:r w:rsidRPr="00834CDC">
        <w:t xml:space="preserve">A total of </w:t>
      </w:r>
      <w:proofErr w:type="gramStart"/>
      <w:r w:rsidRPr="00834CDC">
        <w:t>73</w:t>
      </w:r>
      <w:proofErr w:type="gramEnd"/>
      <w:r w:rsidRPr="00834CDC">
        <w:t xml:space="preserve"> notifications of invasive Hib disease were recorded during this reporting period, of which 22 (30.1%) were reported in Aboriginal and Torres Strait Islander people. The highest age-specific notification rate was seen in Aboriginal and Torres Strait Islander children aged </w:t>
      </w:r>
      <w:r w:rsidRPr="00834CDC">
        <w:rPr>
          <w:rFonts w:ascii="Times New Roman" w:hAnsi="Times New Roman" w:cs="Times New Roman"/>
        </w:rPr>
        <w:t>˂</w:t>
      </w:r>
      <w:r w:rsidRPr="00834CDC">
        <w:t xml:space="preserve"> 5 years (3.7 per 100,000 population per </w:t>
      </w:r>
      <w:proofErr w:type="gramStart"/>
      <w:r w:rsidRPr="00834CDC">
        <w:t>year;</w:t>
      </w:r>
      <w:proofErr w:type="gramEnd"/>
      <w:r w:rsidRPr="00834CDC">
        <w:t xml:space="preserve"> Table 3). No cases </w:t>
      </w:r>
      <w:proofErr w:type="gramStart"/>
      <w:r w:rsidRPr="00834CDC">
        <w:t>were recorded</w:t>
      </w:r>
      <w:proofErr w:type="gramEnd"/>
      <w:r w:rsidRPr="00834CDC">
        <w:t xml:space="preserve"> in Aboriginal and Torres Strait Islander people aged 15–24 years. Aboriginal and Torres Strait Islander status was reported for </w:t>
      </w:r>
      <w:proofErr w:type="gramStart"/>
      <w:r w:rsidRPr="00834CDC">
        <w:t>all of</w:t>
      </w:r>
      <w:proofErr w:type="gramEnd"/>
      <w:r w:rsidRPr="00834CDC">
        <w:t xml:space="preserve"> the 73 notifications during the 2016–2019 period.</w:t>
      </w:r>
    </w:p>
    <w:p w14:paraId="15A960BF" w14:textId="77777777" w:rsidR="002E5820" w:rsidRPr="00834CDC" w:rsidRDefault="002E5820" w:rsidP="002E5820">
      <w:r w:rsidRPr="00834CDC">
        <w:t>The overall (all ages) notification rate ratio (RR) for Aboriginal and Torres Strait Islander people versus others was 10.9 (95% confidence interval [95% CI]: 5.9–18.3), with the age-specific notification rate ratio highest in the ≥ 50, 25–49 and 0–4 years age groups (Table 3).</w:t>
      </w:r>
    </w:p>
    <w:p w14:paraId="1DF12D3F" w14:textId="69A5D37D" w:rsidR="002E5820" w:rsidRPr="00834CDC" w:rsidRDefault="002E5820" w:rsidP="002E5820">
      <w:r w:rsidRPr="00834CDC">
        <w:t xml:space="preserve">Hib notification trends in Australia over the decade 2010–2019 </w:t>
      </w:r>
      <w:proofErr w:type="gramStart"/>
      <w:r w:rsidRPr="00834CDC">
        <w:t>are shown</w:t>
      </w:r>
      <w:proofErr w:type="gramEnd"/>
      <w:r w:rsidRPr="00834CDC">
        <w:t xml:space="preserve"> for children aged </w:t>
      </w:r>
      <w:r w:rsidRPr="00834CDC">
        <w:rPr>
          <w:rFonts w:ascii="Times New Roman" w:hAnsi="Times New Roman" w:cs="Times New Roman"/>
        </w:rPr>
        <w:t>˂</w:t>
      </w:r>
      <w:r w:rsidRPr="00834CDC">
        <w:t xml:space="preserve">15 years in Figure 1. Notification rates in Aboriginal and Torres Strait Islander children were higher in all years (range 0.4 to 2.2 per </w:t>
      </w:r>
      <w:r w:rsidRPr="00834CDC">
        <w:lastRenderedPageBreak/>
        <w:t>100,000 population) with marked fluctuation due to small numbers, while notification rates in other children remained low (0.1 to 0.2) and stable.</w:t>
      </w:r>
    </w:p>
    <w:p w14:paraId="7405E524" w14:textId="77777777" w:rsidR="002760F0" w:rsidRPr="00834CDC" w:rsidRDefault="002760F0" w:rsidP="002760F0">
      <w:pPr>
        <w:pStyle w:val="CDIFigures"/>
      </w:pPr>
      <w:r w:rsidRPr="00834CDC">
        <w:rPr>
          <w:rStyle w:val="Strong"/>
          <w:b/>
          <w:bCs w:val="0"/>
        </w:rPr>
        <w:t>Figure 1: Hib notification rates, Australia (all states and territories), 2010–</w:t>
      </w:r>
      <w:proofErr w:type="gramStart"/>
      <w:r w:rsidRPr="00834CDC">
        <w:rPr>
          <w:rStyle w:val="Strong"/>
          <w:b/>
          <w:bCs w:val="0"/>
        </w:rPr>
        <w:t>2019,</w:t>
      </w:r>
      <w:r w:rsidRPr="00834CDC">
        <w:rPr>
          <w:rStyle w:val="Strong"/>
          <w:b/>
          <w:bCs w:val="0"/>
          <w:vertAlign w:val="superscript"/>
        </w:rPr>
        <w:t>a</w:t>
      </w:r>
      <w:proofErr w:type="gramEnd"/>
      <w:r w:rsidRPr="00834CDC">
        <w:rPr>
          <w:rStyle w:val="Strong"/>
          <w:b/>
          <w:bCs w:val="0"/>
        </w:rPr>
        <w:t xml:space="preserve"> &lt; 15 years of age, by Aboriginal and Torres Strait Islander status</w:t>
      </w:r>
    </w:p>
    <w:p w14:paraId="213491C9" w14:textId="77777777" w:rsidR="002760F0" w:rsidRPr="00834CDC" w:rsidRDefault="002760F0" w:rsidP="002760F0">
      <w:pPr>
        <w:rPr>
          <w:rFonts w:eastAsia="Times New Roman"/>
        </w:rPr>
      </w:pPr>
      <w:r w:rsidRPr="00834CDC">
        <w:rPr>
          <w:rFonts w:eastAsia="Times New Roman"/>
          <w:noProof/>
        </w:rPr>
        <w:drawing>
          <wp:inline distT="0" distB="0" distL="0" distR="0" wp14:anchorId="6A4BC1D5" wp14:editId="775808E1">
            <wp:extent cx="5827594" cy="3725695"/>
            <wp:effectExtent l="0" t="0" r="1905" b="8255"/>
            <wp:docPr id="203" name="Picture 203" descr="Line graph showing notification rates for invasive Hib disease in children aged less than 15 years for the period 2010 to 2019. Rates in Aboriginal and Torres Strait Islander children were higher in every year, ranging from 0.4 to 2.2 per 100,000, with marked fluctuation, while rates in other children remained low (0.1 to 0.2) and stab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graph showing notification rates for invasive Hib disease in children aged less than 15 years for the period 2010 to 2019. Rates in Aboriginal and Torres Strait Islander children were higher in every year, ranging from 0.4 to 2.2 per 100,000, with marked fluctuation, while rates in other children remained low (0.1 to 0.2) and stable.&#10;"/>
                    <pic:cNvPicPr>
                      <a:picLocks noChangeAspect="1" noChangeArrowheads="1"/>
                    </pic:cNvPicPr>
                  </pic:nvPicPr>
                  <pic:blipFill>
                    <a:blip r:link="rId12">
                      <a:extLst>
                        <a:ext uri="{28A0092B-C50C-407E-A947-70E740481C1C}">
                          <a14:useLocalDpi xmlns:a14="http://schemas.microsoft.com/office/drawing/2010/main" val="0"/>
                        </a:ext>
                      </a:extLst>
                    </a:blip>
                    <a:stretch>
                      <a:fillRect/>
                    </a:stretch>
                  </pic:blipFill>
                  <pic:spPr bwMode="auto">
                    <a:xfrm>
                      <a:off x="0" y="0"/>
                      <a:ext cx="5836907" cy="3731649"/>
                    </a:xfrm>
                    <a:prstGeom prst="rect">
                      <a:avLst/>
                    </a:prstGeom>
                  </pic:spPr>
                </pic:pic>
              </a:graphicData>
            </a:graphic>
          </wp:inline>
        </w:drawing>
      </w:r>
    </w:p>
    <w:p w14:paraId="341F0395" w14:textId="54AD29CA" w:rsidR="00E54DEE" w:rsidRPr="00834CDC" w:rsidRDefault="002760F0" w:rsidP="002760F0">
      <w:pPr>
        <w:pStyle w:val="CDIfootnotes"/>
      </w:pPr>
      <w:r w:rsidRPr="00834CDC">
        <w:t>a</w:t>
      </w:r>
      <w:r w:rsidRPr="00834CDC">
        <w:tab/>
        <w:t>Notifications where the date of diagnosis was between 1 January 2010 and 31 December 2019.</w:t>
      </w:r>
    </w:p>
    <w:p w14:paraId="65B41E7B" w14:textId="77777777" w:rsidR="00E7005F" w:rsidRPr="00834CDC" w:rsidRDefault="00E7005F" w:rsidP="00E7005F">
      <w:pPr>
        <w:pStyle w:val="CDIFigures"/>
      </w:pPr>
      <w:r w:rsidRPr="00834CDC">
        <w:rPr>
          <w:rStyle w:val="Strong"/>
          <w:b/>
          <w:bCs w:val="0"/>
        </w:rPr>
        <w:t>Table 3: Hib notifications in Australia (all states and territories), 2016–2019, by age and Aboriginal and Torres Strait Islander status</w:t>
      </w:r>
    </w:p>
    <w:tbl>
      <w:tblPr>
        <w:tblStyle w:val="CDI-StandardTable"/>
        <w:tblW w:w="0" w:type="auto"/>
        <w:tblCellMar>
          <w:top w:w="28" w:type="dxa"/>
          <w:bottom w:w="28" w:type="dxa"/>
        </w:tblCellMar>
        <w:tblLook w:val="04A0" w:firstRow="1" w:lastRow="0" w:firstColumn="1" w:lastColumn="0" w:noHBand="0" w:noVBand="1"/>
        <w:tblDescription w:val="Table 3 shows the number and rates per 100,000 population of Haemophilus influenzae type b (Hib) notifications by age and Aboriginal and Torres Strait Islander status, Australia, 2016 to 2019. "/>
      </w:tblPr>
      <w:tblGrid>
        <w:gridCol w:w="2127"/>
        <w:gridCol w:w="3685"/>
        <w:gridCol w:w="1134"/>
        <w:gridCol w:w="851"/>
        <w:gridCol w:w="992"/>
        <w:gridCol w:w="1677"/>
      </w:tblGrid>
      <w:tr w:rsidR="00E7005F" w:rsidRPr="00834CDC" w14:paraId="4C446E35" w14:textId="77777777" w:rsidTr="00E7005F">
        <w:trPr>
          <w:cnfStyle w:val="100000000000" w:firstRow="1" w:lastRow="0" w:firstColumn="0" w:lastColumn="0" w:oddVBand="0" w:evenVBand="0" w:oddHBand="0" w:evenHBand="0" w:firstRowFirstColumn="0" w:firstRowLastColumn="0" w:lastRowFirstColumn="0" w:lastRowLastColumn="0"/>
          <w:tblHeader/>
        </w:trPr>
        <w:tc>
          <w:tcPr>
            <w:tcW w:w="2127" w:type="dxa"/>
            <w:vMerge w:val="restart"/>
            <w:hideMark/>
          </w:tcPr>
          <w:p w14:paraId="4A0243F4" w14:textId="77777777" w:rsidR="00E7005F" w:rsidRPr="00834CDC" w:rsidRDefault="00E7005F" w:rsidP="00D83B12">
            <w:pPr>
              <w:pStyle w:val="NormalWeb"/>
              <w:jc w:val="left"/>
              <w:rPr>
                <w:sz w:val="18"/>
                <w:szCs w:val="18"/>
              </w:rPr>
            </w:pPr>
            <w:r w:rsidRPr="00834CDC">
              <w:rPr>
                <w:sz w:val="18"/>
                <w:szCs w:val="18"/>
              </w:rPr>
              <w:t>Age group (years)</w:t>
            </w:r>
          </w:p>
        </w:tc>
        <w:tc>
          <w:tcPr>
            <w:tcW w:w="3685" w:type="dxa"/>
            <w:vMerge w:val="restart"/>
            <w:hideMark/>
          </w:tcPr>
          <w:p w14:paraId="53F5B75D" w14:textId="77777777" w:rsidR="00E7005F" w:rsidRPr="00834CDC" w:rsidRDefault="00E7005F" w:rsidP="00D83B12">
            <w:pPr>
              <w:pStyle w:val="NormalWeb"/>
              <w:rPr>
                <w:sz w:val="18"/>
                <w:szCs w:val="18"/>
              </w:rPr>
            </w:pPr>
            <w:r w:rsidRPr="00834CDC">
              <w:rPr>
                <w:sz w:val="18"/>
                <w:szCs w:val="18"/>
              </w:rPr>
              <w:t>Aboriginal and Torres Strait Islander status</w:t>
            </w:r>
          </w:p>
        </w:tc>
        <w:tc>
          <w:tcPr>
            <w:tcW w:w="4654" w:type="dxa"/>
            <w:gridSpan w:val="4"/>
            <w:hideMark/>
          </w:tcPr>
          <w:p w14:paraId="14884ED1" w14:textId="77777777" w:rsidR="00E7005F" w:rsidRPr="00834CDC" w:rsidRDefault="00E7005F" w:rsidP="00D83B12">
            <w:pPr>
              <w:pStyle w:val="NormalWeb"/>
              <w:rPr>
                <w:sz w:val="18"/>
                <w:szCs w:val="18"/>
              </w:rPr>
            </w:pPr>
            <w:r w:rsidRPr="00834CDC">
              <w:rPr>
                <w:sz w:val="18"/>
                <w:szCs w:val="18"/>
              </w:rPr>
              <w:t>Notifications (2016–</w:t>
            </w:r>
            <w:proofErr w:type="gramStart"/>
            <w:r w:rsidRPr="00834CDC">
              <w:rPr>
                <w:sz w:val="18"/>
                <w:szCs w:val="18"/>
              </w:rPr>
              <w:t>2019)</w:t>
            </w:r>
            <w:r w:rsidRPr="00834CDC">
              <w:rPr>
                <w:sz w:val="18"/>
                <w:szCs w:val="18"/>
                <w:vertAlign w:val="superscript"/>
              </w:rPr>
              <w:t>a</w:t>
            </w:r>
            <w:proofErr w:type="gramEnd"/>
          </w:p>
        </w:tc>
      </w:tr>
      <w:tr w:rsidR="00E7005F" w:rsidRPr="00834CDC" w14:paraId="3D0FFE10" w14:textId="77777777" w:rsidTr="00E7005F">
        <w:trPr>
          <w:cnfStyle w:val="100000000000" w:firstRow="1" w:lastRow="0" w:firstColumn="0" w:lastColumn="0" w:oddVBand="0" w:evenVBand="0" w:oddHBand="0" w:evenHBand="0" w:firstRowFirstColumn="0" w:firstRowLastColumn="0" w:lastRowFirstColumn="0" w:lastRowLastColumn="0"/>
          <w:tblHeader/>
        </w:trPr>
        <w:tc>
          <w:tcPr>
            <w:tcW w:w="2127" w:type="dxa"/>
            <w:vMerge/>
            <w:tcBorders>
              <w:bottom w:val="single" w:sz="2" w:space="0" w:color="808080" w:themeColor="background1" w:themeShade="80"/>
            </w:tcBorders>
            <w:hideMark/>
          </w:tcPr>
          <w:p w14:paraId="7844CFA0" w14:textId="77777777" w:rsidR="00E7005F" w:rsidRPr="00834CDC" w:rsidRDefault="00E7005F" w:rsidP="00D83B12">
            <w:pPr>
              <w:jc w:val="left"/>
              <w:rPr>
                <w:sz w:val="18"/>
                <w:szCs w:val="18"/>
              </w:rPr>
            </w:pPr>
          </w:p>
        </w:tc>
        <w:tc>
          <w:tcPr>
            <w:tcW w:w="3685" w:type="dxa"/>
            <w:vMerge/>
            <w:tcBorders>
              <w:bottom w:val="single" w:sz="2" w:space="0" w:color="808080" w:themeColor="background1" w:themeShade="80"/>
            </w:tcBorders>
            <w:hideMark/>
          </w:tcPr>
          <w:p w14:paraId="02DE2E4E" w14:textId="77777777" w:rsidR="00E7005F" w:rsidRPr="00834CDC" w:rsidRDefault="00E7005F" w:rsidP="00D83B12">
            <w:pPr>
              <w:rPr>
                <w:sz w:val="18"/>
                <w:szCs w:val="18"/>
              </w:rPr>
            </w:pPr>
          </w:p>
        </w:tc>
        <w:tc>
          <w:tcPr>
            <w:tcW w:w="1134" w:type="dxa"/>
            <w:tcBorders>
              <w:bottom w:val="single" w:sz="2" w:space="0" w:color="808080" w:themeColor="background1" w:themeShade="80"/>
            </w:tcBorders>
            <w:hideMark/>
          </w:tcPr>
          <w:p w14:paraId="20A31F82" w14:textId="77777777" w:rsidR="00E7005F" w:rsidRPr="00834CDC" w:rsidRDefault="00E7005F" w:rsidP="00D83B12">
            <w:pPr>
              <w:pStyle w:val="NormalWeb"/>
              <w:rPr>
                <w:sz w:val="18"/>
                <w:szCs w:val="18"/>
              </w:rPr>
            </w:pPr>
            <w:r w:rsidRPr="00834CDC">
              <w:rPr>
                <w:sz w:val="18"/>
                <w:szCs w:val="18"/>
              </w:rPr>
              <w:t>N</w:t>
            </w:r>
          </w:p>
        </w:tc>
        <w:tc>
          <w:tcPr>
            <w:tcW w:w="851" w:type="dxa"/>
            <w:tcBorders>
              <w:bottom w:val="single" w:sz="2" w:space="0" w:color="808080" w:themeColor="background1" w:themeShade="80"/>
            </w:tcBorders>
            <w:hideMark/>
          </w:tcPr>
          <w:p w14:paraId="2CFC8869" w14:textId="4B3FF607" w:rsidR="00E7005F" w:rsidRPr="00834CDC" w:rsidRDefault="00E7005F" w:rsidP="00D83B12">
            <w:pPr>
              <w:pStyle w:val="NormalWeb"/>
              <w:rPr>
                <w:sz w:val="18"/>
                <w:szCs w:val="18"/>
              </w:rPr>
            </w:pPr>
            <w:r w:rsidRPr="00834CDC">
              <w:rPr>
                <w:sz w:val="18"/>
                <w:szCs w:val="18"/>
              </w:rPr>
              <w:t>Rate</w:t>
            </w:r>
            <w:r w:rsidR="00D24B47">
              <w:rPr>
                <w:sz w:val="18"/>
                <w:szCs w:val="18"/>
              </w:rPr>
              <w:t xml:space="preserve"> </w:t>
            </w:r>
            <w:r w:rsidRPr="00834CDC">
              <w:rPr>
                <w:sz w:val="18"/>
                <w:szCs w:val="18"/>
                <w:vertAlign w:val="superscript"/>
              </w:rPr>
              <w:t>b</w:t>
            </w:r>
          </w:p>
        </w:tc>
        <w:tc>
          <w:tcPr>
            <w:tcW w:w="992" w:type="dxa"/>
            <w:tcBorders>
              <w:bottom w:val="single" w:sz="2" w:space="0" w:color="808080" w:themeColor="background1" w:themeShade="80"/>
            </w:tcBorders>
            <w:hideMark/>
          </w:tcPr>
          <w:p w14:paraId="6F09E7E1" w14:textId="77777777" w:rsidR="00E7005F" w:rsidRPr="00834CDC" w:rsidRDefault="00E7005F" w:rsidP="00D83B12">
            <w:pPr>
              <w:pStyle w:val="NormalWeb"/>
              <w:rPr>
                <w:sz w:val="18"/>
                <w:szCs w:val="18"/>
              </w:rPr>
            </w:pPr>
            <w:r w:rsidRPr="00834CDC">
              <w:rPr>
                <w:sz w:val="18"/>
                <w:szCs w:val="18"/>
              </w:rPr>
              <w:t>Rate ratio</w:t>
            </w:r>
          </w:p>
        </w:tc>
        <w:tc>
          <w:tcPr>
            <w:tcW w:w="1677" w:type="dxa"/>
            <w:tcBorders>
              <w:bottom w:val="single" w:sz="2" w:space="0" w:color="808080" w:themeColor="background1" w:themeShade="80"/>
            </w:tcBorders>
            <w:hideMark/>
          </w:tcPr>
          <w:p w14:paraId="6A11845E" w14:textId="77777777" w:rsidR="00E7005F" w:rsidRPr="00834CDC" w:rsidRDefault="00E7005F" w:rsidP="00D83B12">
            <w:pPr>
              <w:pStyle w:val="NormalWeb"/>
              <w:rPr>
                <w:sz w:val="18"/>
                <w:szCs w:val="18"/>
              </w:rPr>
            </w:pPr>
            <w:proofErr w:type="gramStart"/>
            <w:r w:rsidRPr="00834CDC">
              <w:rPr>
                <w:sz w:val="18"/>
                <w:szCs w:val="18"/>
              </w:rPr>
              <w:t>95%</w:t>
            </w:r>
            <w:proofErr w:type="gramEnd"/>
            <w:r w:rsidRPr="00834CDC">
              <w:rPr>
                <w:sz w:val="18"/>
                <w:szCs w:val="18"/>
              </w:rPr>
              <w:t xml:space="preserve"> CI for rate ratio</w:t>
            </w:r>
          </w:p>
        </w:tc>
      </w:tr>
      <w:tr w:rsidR="00E7005F" w:rsidRPr="00834CDC" w14:paraId="50680566" w14:textId="77777777" w:rsidTr="00E7005F">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928594" w14:textId="77777777" w:rsidR="00E7005F" w:rsidRPr="00834CDC" w:rsidRDefault="00E7005F" w:rsidP="00D83B12">
            <w:pPr>
              <w:pStyle w:val="NormalWeb"/>
              <w:jc w:val="left"/>
              <w:rPr>
                <w:sz w:val="18"/>
                <w:szCs w:val="18"/>
              </w:rPr>
            </w:pPr>
            <w:r w:rsidRPr="00834CDC">
              <w:rPr>
                <w:sz w:val="18"/>
                <w:szCs w:val="18"/>
              </w:rPr>
              <w:t>0–4</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1B4977" w14:textId="77777777" w:rsidR="00E7005F" w:rsidRPr="00834CDC" w:rsidRDefault="00E7005F" w:rsidP="00D83B12">
            <w:pPr>
              <w:pStyle w:val="NormalWeb"/>
              <w:rPr>
                <w:sz w:val="18"/>
                <w:szCs w:val="18"/>
              </w:rPr>
            </w:pPr>
            <w:r w:rsidRPr="00834CDC">
              <w:rPr>
                <w:sz w:val="18"/>
                <w:szCs w:val="18"/>
              </w:rPr>
              <w:t>Aboriginal and Torres Strait Islander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DE5E1B" w14:textId="77777777" w:rsidR="00E7005F" w:rsidRPr="00834CDC" w:rsidRDefault="00E7005F" w:rsidP="00D83B12">
            <w:pPr>
              <w:pStyle w:val="NormalWeb"/>
              <w:rPr>
                <w:sz w:val="18"/>
                <w:szCs w:val="18"/>
              </w:rPr>
            </w:pPr>
            <w:r w:rsidRPr="00834CDC">
              <w:rPr>
                <w:sz w:val="18"/>
                <w:szCs w:val="18"/>
              </w:rPr>
              <w:t>14</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CCFFA9" w14:textId="77777777" w:rsidR="00E7005F" w:rsidRPr="00834CDC" w:rsidRDefault="00E7005F" w:rsidP="00D83B12">
            <w:pPr>
              <w:pStyle w:val="NormalWeb"/>
              <w:rPr>
                <w:sz w:val="18"/>
                <w:szCs w:val="18"/>
              </w:rPr>
            </w:pPr>
            <w:r w:rsidRPr="00834CDC">
              <w:rPr>
                <w:sz w:val="18"/>
                <w:szCs w:val="18"/>
              </w:rPr>
              <w:t>3.71</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78C5AC" w14:textId="77777777" w:rsidR="00E7005F" w:rsidRPr="00834CDC" w:rsidRDefault="00E7005F" w:rsidP="00D83B12">
            <w:pPr>
              <w:pStyle w:val="NormalWeb"/>
              <w:rPr>
                <w:sz w:val="18"/>
                <w:szCs w:val="18"/>
              </w:rPr>
            </w:pPr>
            <w:r w:rsidRPr="00834CDC">
              <w:rPr>
                <w:sz w:val="18"/>
                <w:szCs w:val="18"/>
              </w:rPr>
              <w:t>11.5</w:t>
            </w:r>
          </w:p>
        </w:tc>
        <w:tc>
          <w:tcPr>
            <w:tcW w:w="167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4411B4" w14:textId="77777777" w:rsidR="00E7005F" w:rsidRPr="00834CDC" w:rsidRDefault="00E7005F" w:rsidP="00D83B12">
            <w:pPr>
              <w:pStyle w:val="NormalWeb"/>
              <w:rPr>
                <w:sz w:val="18"/>
                <w:szCs w:val="18"/>
              </w:rPr>
            </w:pPr>
            <w:r w:rsidRPr="00834CDC">
              <w:rPr>
                <w:sz w:val="18"/>
                <w:szCs w:val="18"/>
              </w:rPr>
              <w:t>5.4–24.3</w:t>
            </w:r>
          </w:p>
        </w:tc>
      </w:tr>
      <w:tr w:rsidR="00E7005F" w:rsidRPr="00834CDC" w14:paraId="57FD3F0D" w14:textId="77777777" w:rsidTr="00E7005F">
        <w:trPr>
          <w:cnfStyle w:val="000000010000" w:firstRow="0" w:lastRow="0" w:firstColumn="0" w:lastColumn="0" w:oddVBand="0" w:evenVBand="0" w:oddHBand="0" w:evenHBand="1" w:firstRowFirstColumn="0" w:firstRowLastColumn="0" w:lastRowFirstColumn="0" w:lastRowLastColumn="0"/>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A4002F" w14:textId="77777777" w:rsidR="00E7005F" w:rsidRPr="00834CDC" w:rsidRDefault="00E7005F" w:rsidP="00D83B12">
            <w:pPr>
              <w:jc w:val="left"/>
              <w:rPr>
                <w:sz w:val="18"/>
                <w:szCs w:val="18"/>
              </w:rPr>
            </w:pP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A7D4A7" w14:textId="77777777" w:rsidR="00E7005F" w:rsidRPr="00834CDC" w:rsidRDefault="00E7005F" w:rsidP="00D83B12">
            <w:pPr>
              <w:pStyle w:val="NormalWeb"/>
              <w:rPr>
                <w:sz w:val="18"/>
                <w:szCs w:val="18"/>
              </w:rPr>
            </w:pPr>
            <w:r w:rsidRPr="00834CDC">
              <w:rPr>
                <w:sz w:val="18"/>
                <w:szCs w:val="18"/>
              </w:rPr>
              <w:t>Other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95F2BF" w14:textId="77777777" w:rsidR="00E7005F" w:rsidRPr="00834CDC" w:rsidRDefault="00E7005F" w:rsidP="00D83B12">
            <w:pPr>
              <w:pStyle w:val="NormalWeb"/>
              <w:rPr>
                <w:sz w:val="18"/>
                <w:szCs w:val="18"/>
              </w:rPr>
            </w:pPr>
            <w:r w:rsidRPr="00834CDC">
              <w:rPr>
                <w:sz w:val="18"/>
                <w:szCs w:val="18"/>
              </w:rPr>
              <w:t>19</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8E4854" w14:textId="77777777" w:rsidR="00E7005F" w:rsidRPr="00834CDC" w:rsidRDefault="00E7005F" w:rsidP="00D83B12">
            <w:pPr>
              <w:pStyle w:val="NormalWeb"/>
              <w:rPr>
                <w:sz w:val="18"/>
                <w:szCs w:val="18"/>
              </w:rPr>
            </w:pPr>
            <w:r w:rsidRPr="00834CDC">
              <w:rPr>
                <w:sz w:val="18"/>
                <w:szCs w:val="18"/>
              </w:rPr>
              <w:t>0.32</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79882C" w14:textId="77777777" w:rsidR="00E7005F" w:rsidRPr="00834CDC" w:rsidRDefault="00E7005F" w:rsidP="00D83B12">
            <w:pPr>
              <w:rPr>
                <w:sz w:val="18"/>
                <w:szCs w:val="18"/>
              </w:rPr>
            </w:pPr>
          </w:p>
        </w:tc>
        <w:tc>
          <w:tcPr>
            <w:tcW w:w="167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69D42A" w14:textId="77777777" w:rsidR="00E7005F" w:rsidRPr="00834CDC" w:rsidRDefault="00E7005F" w:rsidP="00D83B12">
            <w:pPr>
              <w:rPr>
                <w:sz w:val="18"/>
                <w:szCs w:val="18"/>
              </w:rPr>
            </w:pPr>
          </w:p>
        </w:tc>
      </w:tr>
      <w:tr w:rsidR="00E7005F" w:rsidRPr="00834CDC" w14:paraId="27D70DCC" w14:textId="77777777" w:rsidTr="00E7005F">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68AFDD" w14:textId="77777777" w:rsidR="00E7005F" w:rsidRPr="00834CDC" w:rsidRDefault="00E7005F" w:rsidP="00D83B12">
            <w:pPr>
              <w:pStyle w:val="NormalWeb"/>
              <w:jc w:val="left"/>
              <w:rPr>
                <w:sz w:val="18"/>
                <w:szCs w:val="18"/>
              </w:rPr>
            </w:pPr>
            <w:r w:rsidRPr="00834CDC">
              <w:rPr>
                <w:sz w:val="18"/>
                <w:szCs w:val="18"/>
              </w:rPr>
              <w:t>5–14</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2F7878" w14:textId="77777777" w:rsidR="00E7005F" w:rsidRPr="00834CDC" w:rsidRDefault="00E7005F" w:rsidP="00D83B12">
            <w:pPr>
              <w:pStyle w:val="NormalWeb"/>
              <w:rPr>
                <w:sz w:val="18"/>
                <w:szCs w:val="18"/>
              </w:rPr>
            </w:pPr>
            <w:r w:rsidRPr="00834CDC">
              <w:rPr>
                <w:sz w:val="18"/>
                <w:szCs w:val="18"/>
              </w:rPr>
              <w:t>Aboriginal and Torres Strait Islander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2D5C80" w14:textId="77777777" w:rsidR="00E7005F" w:rsidRPr="00834CDC" w:rsidRDefault="00E7005F" w:rsidP="00D83B12">
            <w:pPr>
              <w:pStyle w:val="NormalWeb"/>
              <w:rPr>
                <w:sz w:val="18"/>
                <w:szCs w:val="18"/>
              </w:rPr>
            </w:pPr>
            <w:r w:rsidRPr="00834CDC">
              <w:rPr>
                <w:sz w:val="18"/>
                <w:szCs w:val="18"/>
              </w:rPr>
              <w:t>2</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426A39" w14:textId="77777777" w:rsidR="00E7005F" w:rsidRPr="00834CDC" w:rsidRDefault="00E7005F" w:rsidP="00D83B12">
            <w:pPr>
              <w:pStyle w:val="NormalWeb"/>
              <w:rPr>
                <w:sz w:val="18"/>
                <w:szCs w:val="18"/>
              </w:rPr>
            </w:pPr>
            <w:r w:rsidRPr="00834CDC">
              <w:rPr>
                <w:sz w:val="18"/>
                <w:szCs w:val="18"/>
              </w:rPr>
              <w:t>0.27</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F1F0BC" w14:textId="77777777" w:rsidR="00E7005F" w:rsidRPr="00834CDC" w:rsidRDefault="00E7005F" w:rsidP="00D83B12">
            <w:pPr>
              <w:pStyle w:val="NormalWeb"/>
              <w:rPr>
                <w:sz w:val="18"/>
                <w:szCs w:val="18"/>
              </w:rPr>
            </w:pPr>
            <w:r w:rsidRPr="00834CDC">
              <w:rPr>
                <w:sz w:val="18"/>
                <w:szCs w:val="18"/>
              </w:rPr>
              <w:t>4.0</w:t>
            </w:r>
          </w:p>
        </w:tc>
        <w:tc>
          <w:tcPr>
            <w:tcW w:w="167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AD4905" w14:textId="77777777" w:rsidR="00E7005F" w:rsidRPr="00834CDC" w:rsidRDefault="00E7005F" w:rsidP="00D83B12">
            <w:pPr>
              <w:pStyle w:val="NormalWeb"/>
              <w:rPr>
                <w:sz w:val="18"/>
                <w:szCs w:val="18"/>
              </w:rPr>
            </w:pPr>
            <w:r w:rsidRPr="00834CDC">
              <w:rPr>
                <w:sz w:val="18"/>
                <w:szCs w:val="18"/>
              </w:rPr>
              <w:t>0.4–19.9</w:t>
            </w:r>
          </w:p>
        </w:tc>
      </w:tr>
      <w:tr w:rsidR="00E7005F" w:rsidRPr="00834CDC" w14:paraId="1A0D8834" w14:textId="77777777" w:rsidTr="00E7005F">
        <w:trPr>
          <w:cnfStyle w:val="000000010000" w:firstRow="0" w:lastRow="0" w:firstColumn="0" w:lastColumn="0" w:oddVBand="0" w:evenVBand="0" w:oddHBand="0" w:evenHBand="1" w:firstRowFirstColumn="0" w:firstRowLastColumn="0" w:lastRowFirstColumn="0" w:lastRowLastColumn="0"/>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3921CE" w14:textId="77777777" w:rsidR="00E7005F" w:rsidRPr="00834CDC" w:rsidRDefault="00E7005F" w:rsidP="00D83B12">
            <w:pPr>
              <w:jc w:val="left"/>
              <w:rPr>
                <w:sz w:val="18"/>
                <w:szCs w:val="18"/>
              </w:rPr>
            </w:pP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D29562" w14:textId="77777777" w:rsidR="00E7005F" w:rsidRPr="00834CDC" w:rsidRDefault="00E7005F" w:rsidP="00D83B12">
            <w:pPr>
              <w:pStyle w:val="NormalWeb"/>
              <w:rPr>
                <w:sz w:val="18"/>
                <w:szCs w:val="18"/>
              </w:rPr>
            </w:pPr>
            <w:r w:rsidRPr="00834CDC">
              <w:rPr>
                <w:sz w:val="18"/>
                <w:szCs w:val="18"/>
              </w:rPr>
              <w:t>Other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B99742" w14:textId="77777777" w:rsidR="00E7005F" w:rsidRPr="00834CDC" w:rsidRDefault="00E7005F" w:rsidP="00D83B12">
            <w:pPr>
              <w:pStyle w:val="NormalWeb"/>
              <w:rPr>
                <w:sz w:val="18"/>
                <w:szCs w:val="18"/>
              </w:rPr>
            </w:pPr>
            <w:r w:rsidRPr="00834CDC">
              <w:rPr>
                <w:sz w:val="18"/>
                <w:szCs w:val="18"/>
              </w:rPr>
              <w:t>8</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ECB237" w14:textId="77777777" w:rsidR="00E7005F" w:rsidRPr="00834CDC" w:rsidRDefault="00E7005F" w:rsidP="00D83B12">
            <w:pPr>
              <w:pStyle w:val="NormalWeb"/>
              <w:rPr>
                <w:sz w:val="18"/>
                <w:szCs w:val="18"/>
              </w:rPr>
            </w:pPr>
            <w:r w:rsidRPr="00834CDC">
              <w:rPr>
                <w:sz w:val="18"/>
                <w:szCs w:val="18"/>
              </w:rPr>
              <w:t>0.07</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7DCFE9" w14:textId="77777777" w:rsidR="00E7005F" w:rsidRPr="00834CDC" w:rsidRDefault="00E7005F" w:rsidP="00D83B12">
            <w:pPr>
              <w:rPr>
                <w:sz w:val="18"/>
                <w:szCs w:val="18"/>
              </w:rPr>
            </w:pPr>
          </w:p>
        </w:tc>
        <w:tc>
          <w:tcPr>
            <w:tcW w:w="167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9DCEA6" w14:textId="77777777" w:rsidR="00E7005F" w:rsidRPr="00834CDC" w:rsidRDefault="00E7005F" w:rsidP="00D83B12">
            <w:pPr>
              <w:rPr>
                <w:sz w:val="18"/>
                <w:szCs w:val="18"/>
              </w:rPr>
            </w:pPr>
          </w:p>
        </w:tc>
      </w:tr>
      <w:tr w:rsidR="00E7005F" w:rsidRPr="00834CDC" w14:paraId="178AD198" w14:textId="77777777" w:rsidTr="00E7005F">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2EFAD3" w14:textId="77777777" w:rsidR="00E7005F" w:rsidRPr="00834CDC" w:rsidRDefault="00E7005F" w:rsidP="00D83B12">
            <w:pPr>
              <w:pStyle w:val="NormalWeb"/>
              <w:jc w:val="left"/>
              <w:rPr>
                <w:sz w:val="18"/>
                <w:szCs w:val="18"/>
              </w:rPr>
            </w:pPr>
            <w:r w:rsidRPr="00834CDC">
              <w:rPr>
                <w:sz w:val="18"/>
                <w:szCs w:val="18"/>
              </w:rPr>
              <w:t>15–24</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593283" w14:textId="77777777" w:rsidR="00E7005F" w:rsidRPr="00834CDC" w:rsidRDefault="00E7005F" w:rsidP="00D83B12">
            <w:pPr>
              <w:pStyle w:val="NormalWeb"/>
              <w:rPr>
                <w:sz w:val="18"/>
                <w:szCs w:val="18"/>
              </w:rPr>
            </w:pPr>
            <w:r w:rsidRPr="00834CDC">
              <w:rPr>
                <w:sz w:val="18"/>
                <w:szCs w:val="18"/>
              </w:rPr>
              <w:t>Aboriginal and Torres Strait Islander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F3BED5" w14:textId="77777777" w:rsidR="00E7005F" w:rsidRPr="00834CDC" w:rsidRDefault="00E7005F" w:rsidP="00D83B12">
            <w:pPr>
              <w:pStyle w:val="NormalWeb"/>
              <w:rPr>
                <w:sz w:val="18"/>
                <w:szCs w:val="18"/>
              </w:rPr>
            </w:pPr>
            <w:r w:rsidRPr="00834CDC">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ECB2CB" w14:textId="77777777" w:rsidR="00E7005F" w:rsidRPr="00834CDC" w:rsidRDefault="00E7005F" w:rsidP="00D83B12">
            <w:pPr>
              <w:pStyle w:val="NormalWeb"/>
              <w:rPr>
                <w:sz w:val="18"/>
                <w:szCs w:val="18"/>
              </w:rPr>
            </w:pPr>
            <w:r w:rsidRPr="00834CDC">
              <w:rPr>
                <w:sz w:val="18"/>
                <w:szCs w:val="18"/>
              </w:rPr>
              <w:t>0.00</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93DF2D" w14:textId="77777777" w:rsidR="00E7005F" w:rsidRPr="00834CDC" w:rsidRDefault="00E7005F" w:rsidP="00D83B12">
            <w:pPr>
              <w:pStyle w:val="NormalWeb"/>
              <w:rPr>
                <w:sz w:val="18"/>
                <w:szCs w:val="18"/>
              </w:rPr>
            </w:pPr>
            <w:r w:rsidRPr="00834CDC">
              <w:rPr>
                <w:sz w:val="18"/>
                <w:szCs w:val="18"/>
              </w:rPr>
              <w:t>0.0</w:t>
            </w:r>
          </w:p>
        </w:tc>
        <w:tc>
          <w:tcPr>
            <w:tcW w:w="167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E59B7D" w14:textId="77777777" w:rsidR="00E7005F" w:rsidRPr="00834CDC" w:rsidRDefault="00E7005F" w:rsidP="00D83B12">
            <w:pPr>
              <w:pStyle w:val="NormalWeb"/>
              <w:rPr>
                <w:sz w:val="18"/>
                <w:szCs w:val="18"/>
              </w:rPr>
            </w:pPr>
            <w:r w:rsidRPr="00834CDC">
              <w:rPr>
                <w:sz w:val="18"/>
                <w:szCs w:val="18"/>
              </w:rPr>
              <w:t>0.0–749.1</w:t>
            </w:r>
          </w:p>
        </w:tc>
      </w:tr>
      <w:tr w:rsidR="00E7005F" w:rsidRPr="00834CDC" w14:paraId="028854AE" w14:textId="77777777" w:rsidTr="00E7005F">
        <w:trPr>
          <w:cnfStyle w:val="000000010000" w:firstRow="0" w:lastRow="0" w:firstColumn="0" w:lastColumn="0" w:oddVBand="0" w:evenVBand="0" w:oddHBand="0" w:evenHBand="1" w:firstRowFirstColumn="0" w:firstRowLastColumn="0" w:lastRowFirstColumn="0" w:lastRowLastColumn="0"/>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977D20" w14:textId="77777777" w:rsidR="00E7005F" w:rsidRPr="00834CDC" w:rsidRDefault="00E7005F" w:rsidP="00D83B12">
            <w:pPr>
              <w:jc w:val="left"/>
              <w:rPr>
                <w:sz w:val="18"/>
                <w:szCs w:val="18"/>
              </w:rPr>
            </w:pP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A8045A" w14:textId="77777777" w:rsidR="00E7005F" w:rsidRPr="00834CDC" w:rsidRDefault="00E7005F" w:rsidP="00D83B12">
            <w:pPr>
              <w:pStyle w:val="NormalWeb"/>
              <w:rPr>
                <w:sz w:val="18"/>
                <w:szCs w:val="18"/>
              </w:rPr>
            </w:pPr>
            <w:r w:rsidRPr="00834CDC">
              <w:rPr>
                <w:sz w:val="18"/>
                <w:szCs w:val="18"/>
              </w:rPr>
              <w:t>Other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BBAE5D" w14:textId="77777777" w:rsidR="00E7005F" w:rsidRPr="00834CDC" w:rsidRDefault="00E7005F" w:rsidP="00D83B12">
            <w:pPr>
              <w:pStyle w:val="NormalWeb"/>
              <w:rPr>
                <w:sz w:val="18"/>
                <w:szCs w:val="18"/>
              </w:rPr>
            </w:pPr>
            <w:r w:rsidRPr="00834CDC">
              <w:rPr>
                <w:sz w:val="18"/>
                <w:szCs w:val="18"/>
              </w:rPr>
              <w:t>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1CEC11" w14:textId="77777777" w:rsidR="00E7005F" w:rsidRPr="00834CDC" w:rsidRDefault="00E7005F" w:rsidP="00D83B12">
            <w:pPr>
              <w:pStyle w:val="NormalWeb"/>
              <w:rPr>
                <w:sz w:val="18"/>
                <w:szCs w:val="18"/>
              </w:rPr>
            </w:pPr>
            <w:r w:rsidRPr="00834CDC">
              <w:rPr>
                <w:sz w:val="18"/>
                <w:szCs w:val="18"/>
              </w:rPr>
              <w:t>0.01</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099308E" w14:textId="77777777" w:rsidR="00E7005F" w:rsidRPr="00834CDC" w:rsidRDefault="00E7005F" w:rsidP="00D83B12">
            <w:pPr>
              <w:rPr>
                <w:sz w:val="18"/>
                <w:szCs w:val="18"/>
              </w:rPr>
            </w:pPr>
          </w:p>
        </w:tc>
        <w:tc>
          <w:tcPr>
            <w:tcW w:w="167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E86C1D" w14:textId="77777777" w:rsidR="00E7005F" w:rsidRPr="00834CDC" w:rsidRDefault="00E7005F" w:rsidP="00D83B12">
            <w:pPr>
              <w:rPr>
                <w:sz w:val="18"/>
                <w:szCs w:val="18"/>
              </w:rPr>
            </w:pPr>
          </w:p>
        </w:tc>
      </w:tr>
      <w:tr w:rsidR="00E7005F" w:rsidRPr="00834CDC" w14:paraId="1A1270F1" w14:textId="77777777" w:rsidTr="00E7005F">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2536E8" w14:textId="77777777" w:rsidR="00E7005F" w:rsidRPr="00834CDC" w:rsidRDefault="00E7005F" w:rsidP="00D83B12">
            <w:pPr>
              <w:pStyle w:val="NormalWeb"/>
              <w:jc w:val="left"/>
              <w:rPr>
                <w:sz w:val="18"/>
                <w:szCs w:val="18"/>
              </w:rPr>
            </w:pPr>
            <w:r w:rsidRPr="00834CDC">
              <w:rPr>
                <w:sz w:val="18"/>
                <w:szCs w:val="18"/>
              </w:rPr>
              <w:t>25–49</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B835C2" w14:textId="77777777" w:rsidR="00E7005F" w:rsidRPr="00834CDC" w:rsidRDefault="00E7005F" w:rsidP="00D83B12">
            <w:pPr>
              <w:pStyle w:val="NormalWeb"/>
              <w:rPr>
                <w:sz w:val="18"/>
                <w:szCs w:val="18"/>
              </w:rPr>
            </w:pPr>
            <w:r w:rsidRPr="00834CDC">
              <w:rPr>
                <w:sz w:val="18"/>
                <w:szCs w:val="18"/>
              </w:rPr>
              <w:t>Aboriginal and Torres Strait Islander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F304EF" w14:textId="77777777" w:rsidR="00E7005F" w:rsidRPr="00834CDC" w:rsidRDefault="00E7005F" w:rsidP="00D83B12">
            <w:pPr>
              <w:pStyle w:val="NormalWeb"/>
              <w:rPr>
                <w:sz w:val="18"/>
                <w:szCs w:val="18"/>
              </w:rPr>
            </w:pPr>
            <w:r w:rsidRPr="00834CDC">
              <w:rPr>
                <w:sz w:val="18"/>
                <w:szCs w:val="18"/>
              </w:rPr>
              <w:t>2</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10F3CE" w14:textId="77777777" w:rsidR="00E7005F" w:rsidRPr="00834CDC" w:rsidRDefault="00E7005F" w:rsidP="00D83B12">
            <w:pPr>
              <w:pStyle w:val="NormalWeb"/>
              <w:rPr>
                <w:sz w:val="18"/>
                <w:szCs w:val="18"/>
              </w:rPr>
            </w:pPr>
            <w:r w:rsidRPr="00834CDC">
              <w:rPr>
                <w:sz w:val="18"/>
                <w:szCs w:val="18"/>
              </w:rPr>
              <w:t>0.20</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65FB68" w14:textId="77777777" w:rsidR="00E7005F" w:rsidRPr="00834CDC" w:rsidRDefault="00E7005F" w:rsidP="00D83B12">
            <w:pPr>
              <w:pStyle w:val="NormalWeb"/>
              <w:rPr>
                <w:sz w:val="18"/>
                <w:szCs w:val="18"/>
              </w:rPr>
            </w:pPr>
            <w:r w:rsidRPr="00834CDC">
              <w:rPr>
                <w:sz w:val="18"/>
                <w:szCs w:val="18"/>
              </w:rPr>
              <w:t>13.3</w:t>
            </w:r>
          </w:p>
        </w:tc>
        <w:tc>
          <w:tcPr>
            <w:tcW w:w="167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6A88E5" w14:textId="77777777" w:rsidR="00E7005F" w:rsidRPr="00834CDC" w:rsidRDefault="00E7005F" w:rsidP="00D83B12">
            <w:pPr>
              <w:pStyle w:val="NormalWeb"/>
              <w:rPr>
                <w:sz w:val="18"/>
                <w:szCs w:val="18"/>
              </w:rPr>
            </w:pPr>
            <w:r w:rsidRPr="00834CDC">
              <w:rPr>
                <w:sz w:val="18"/>
                <w:szCs w:val="18"/>
              </w:rPr>
              <w:t>1.3–81.1</w:t>
            </w:r>
          </w:p>
        </w:tc>
      </w:tr>
      <w:tr w:rsidR="00E7005F" w:rsidRPr="00834CDC" w14:paraId="1BF95D34" w14:textId="77777777" w:rsidTr="00E7005F">
        <w:trPr>
          <w:cnfStyle w:val="000000010000" w:firstRow="0" w:lastRow="0" w:firstColumn="0" w:lastColumn="0" w:oddVBand="0" w:evenVBand="0" w:oddHBand="0" w:evenHBand="1" w:firstRowFirstColumn="0" w:firstRowLastColumn="0" w:lastRowFirstColumn="0" w:lastRowLastColumn="0"/>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83866C" w14:textId="77777777" w:rsidR="00E7005F" w:rsidRPr="00834CDC" w:rsidRDefault="00E7005F" w:rsidP="00D83B12">
            <w:pPr>
              <w:jc w:val="left"/>
              <w:rPr>
                <w:sz w:val="18"/>
                <w:szCs w:val="18"/>
              </w:rPr>
            </w:pP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C8B1E7" w14:textId="77777777" w:rsidR="00E7005F" w:rsidRPr="00834CDC" w:rsidRDefault="00E7005F" w:rsidP="00D83B12">
            <w:pPr>
              <w:pStyle w:val="NormalWeb"/>
              <w:rPr>
                <w:sz w:val="18"/>
                <w:szCs w:val="18"/>
              </w:rPr>
            </w:pPr>
            <w:r w:rsidRPr="00834CDC">
              <w:rPr>
                <w:sz w:val="18"/>
                <w:szCs w:val="18"/>
              </w:rPr>
              <w:t>Other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5DCE80" w14:textId="77777777" w:rsidR="00E7005F" w:rsidRPr="00834CDC" w:rsidRDefault="00E7005F" w:rsidP="00D83B12">
            <w:pPr>
              <w:pStyle w:val="NormalWeb"/>
              <w:rPr>
                <w:sz w:val="18"/>
                <w:szCs w:val="18"/>
              </w:rPr>
            </w:pPr>
            <w:r w:rsidRPr="00834CDC">
              <w:rPr>
                <w:sz w:val="18"/>
                <w:szCs w:val="18"/>
              </w:rPr>
              <w:t>5</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C7C756" w14:textId="77777777" w:rsidR="00E7005F" w:rsidRPr="00834CDC" w:rsidRDefault="00E7005F" w:rsidP="00D83B12">
            <w:pPr>
              <w:pStyle w:val="NormalWeb"/>
              <w:rPr>
                <w:sz w:val="18"/>
                <w:szCs w:val="18"/>
              </w:rPr>
            </w:pPr>
            <w:r w:rsidRPr="00834CDC">
              <w:rPr>
                <w:sz w:val="18"/>
                <w:szCs w:val="18"/>
              </w:rPr>
              <w:t>0.01</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3708FA" w14:textId="77777777" w:rsidR="00E7005F" w:rsidRPr="00834CDC" w:rsidRDefault="00E7005F" w:rsidP="00D83B12">
            <w:pPr>
              <w:rPr>
                <w:sz w:val="18"/>
                <w:szCs w:val="18"/>
              </w:rPr>
            </w:pPr>
          </w:p>
        </w:tc>
        <w:tc>
          <w:tcPr>
            <w:tcW w:w="167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605DC0" w14:textId="77777777" w:rsidR="00E7005F" w:rsidRPr="00834CDC" w:rsidRDefault="00E7005F" w:rsidP="00D83B12">
            <w:pPr>
              <w:rPr>
                <w:sz w:val="18"/>
                <w:szCs w:val="18"/>
              </w:rPr>
            </w:pPr>
          </w:p>
        </w:tc>
      </w:tr>
      <w:tr w:rsidR="00E7005F" w:rsidRPr="00834CDC" w14:paraId="05DDAE7C" w14:textId="77777777" w:rsidTr="00E7005F">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794E2F" w14:textId="77777777" w:rsidR="00E7005F" w:rsidRPr="00834CDC" w:rsidRDefault="00E7005F" w:rsidP="00D83B12">
            <w:pPr>
              <w:pStyle w:val="NormalWeb"/>
              <w:jc w:val="left"/>
              <w:rPr>
                <w:sz w:val="18"/>
                <w:szCs w:val="18"/>
              </w:rPr>
            </w:pPr>
            <w:r w:rsidRPr="00834CDC">
              <w:rPr>
                <w:sz w:val="18"/>
                <w:szCs w:val="18"/>
              </w:rPr>
              <w:t>≥ 50</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B9470D" w14:textId="77777777" w:rsidR="00E7005F" w:rsidRPr="00834CDC" w:rsidRDefault="00E7005F" w:rsidP="00D83B12">
            <w:pPr>
              <w:pStyle w:val="NormalWeb"/>
              <w:rPr>
                <w:sz w:val="18"/>
                <w:szCs w:val="18"/>
              </w:rPr>
            </w:pPr>
            <w:r w:rsidRPr="00834CDC">
              <w:rPr>
                <w:sz w:val="18"/>
                <w:szCs w:val="18"/>
              </w:rPr>
              <w:t>Aboriginal and Torres Strait Islander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E79FBB" w14:textId="77777777" w:rsidR="00E7005F" w:rsidRPr="00834CDC" w:rsidRDefault="00E7005F" w:rsidP="00D83B12">
            <w:pPr>
              <w:pStyle w:val="NormalWeb"/>
              <w:rPr>
                <w:sz w:val="18"/>
                <w:szCs w:val="18"/>
              </w:rPr>
            </w:pPr>
            <w:r w:rsidRPr="00834CDC">
              <w:rPr>
                <w:sz w:val="18"/>
                <w:szCs w:val="18"/>
              </w:rPr>
              <w:t>4</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E792E3" w14:textId="77777777" w:rsidR="00E7005F" w:rsidRPr="00834CDC" w:rsidRDefault="00E7005F" w:rsidP="00D83B12">
            <w:pPr>
              <w:pStyle w:val="NormalWeb"/>
              <w:rPr>
                <w:sz w:val="18"/>
                <w:szCs w:val="18"/>
              </w:rPr>
            </w:pPr>
            <w:r w:rsidRPr="00834CDC">
              <w:rPr>
                <w:sz w:val="18"/>
                <w:szCs w:val="18"/>
              </w:rPr>
              <w:t>0.75</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FAF304" w14:textId="77777777" w:rsidR="00E7005F" w:rsidRPr="00834CDC" w:rsidRDefault="00E7005F" w:rsidP="00D83B12">
            <w:pPr>
              <w:pStyle w:val="NormalWeb"/>
              <w:rPr>
                <w:sz w:val="18"/>
                <w:szCs w:val="18"/>
              </w:rPr>
            </w:pPr>
            <w:r w:rsidRPr="00834CDC">
              <w:rPr>
                <w:sz w:val="18"/>
                <w:szCs w:val="18"/>
              </w:rPr>
              <w:t>13.6</w:t>
            </w:r>
          </w:p>
        </w:tc>
        <w:tc>
          <w:tcPr>
            <w:tcW w:w="167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49D784" w14:textId="77777777" w:rsidR="00E7005F" w:rsidRPr="00834CDC" w:rsidRDefault="00E7005F" w:rsidP="00D83B12">
            <w:pPr>
              <w:pStyle w:val="NormalWeb"/>
              <w:rPr>
                <w:sz w:val="18"/>
                <w:szCs w:val="18"/>
              </w:rPr>
            </w:pPr>
            <w:r w:rsidRPr="00834CDC">
              <w:rPr>
                <w:sz w:val="18"/>
                <w:szCs w:val="18"/>
              </w:rPr>
              <w:t>3.3–41.2</w:t>
            </w:r>
          </w:p>
        </w:tc>
      </w:tr>
      <w:tr w:rsidR="00E7005F" w:rsidRPr="00834CDC" w14:paraId="2A314AE6" w14:textId="77777777" w:rsidTr="00E7005F">
        <w:trPr>
          <w:cnfStyle w:val="000000010000" w:firstRow="0" w:lastRow="0" w:firstColumn="0" w:lastColumn="0" w:oddVBand="0" w:evenVBand="0" w:oddHBand="0" w:evenHBand="1" w:firstRowFirstColumn="0" w:firstRowLastColumn="0" w:lastRowFirstColumn="0" w:lastRowLastColumn="0"/>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7B821F" w14:textId="77777777" w:rsidR="00E7005F" w:rsidRPr="00834CDC" w:rsidRDefault="00E7005F" w:rsidP="00D83B12">
            <w:pPr>
              <w:jc w:val="left"/>
              <w:rPr>
                <w:sz w:val="18"/>
                <w:szCs w:val="18"/>
              </w:rPr>
            </w:pP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3BA625" w14:textId="77777777" w:rsidR="00E7005F" w:rsidRPr="00834CDC" w:rsidRDefault="00E7005F" w:rsidP="00D83B12">
            <w:pPr>
              <w:pStyle w:val="NormalWeb"/>
              <w:rPr>
                <w:sz w:val="18"/>
                <w:szCs w:val="18"/>
              </w:rPr>
            </w:pPr>
            <w:r w:rsidRPr="00834CDC">
              <w:rPr>
                <w:sz w:val="18"/>
                <w:szCs w:val="18"/>
              </w:rPr>
              <w:t>Other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61ACD6" w14:textId="77777777" w:rsidR="00E7005F" w:rsidRPr="00834CDC" w:rsidRDefault="00E7005F" w:rsidP="00D83B12">
            <w:pPr>
              <w:pStyle w:val="NormalWeb"/>
              <w:rPr>
                <w:sz w:val="18"/>
                <w:szCs w:val="18"/>
              </w:rPr>
            </w:pPr>
            <w:r w:rsidRPr="00834CDC">
              <w:rPr>
                <w:sz w:val="18"/>
                <w:szCs w:val="18"/>
              </w:rPr>
              <w:t>18</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306DF3" w14:textId="77777777" w:rsidR="00E7005F" w:rsidRPr="00834CDC" w:rsidRDefault="00E7005F" w:rsidP="00D83B12">
            <w:pPr>
              <w:pStyle w:val="NormalWeb"/>
              <w:rPr>
                <w:sz w:val="18"/>
                <w:szCs w:val="18"/>
              </w:rPr>
            </w:pPr>
            <w:r w:rsidRPr="00834CDC">
              <w:rPr>
                <w:sz w:val="18"/>
                <w:szCs w:val="18"/>
              </w:rPr>
              <w:t>0.06</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F6E5CE" w14:textId="77777777" w:rsidR="00E7005F" w:rsidRPr="00834CDC" w:rsidRDefault="00E7005F" w:rsidP="00D83B12">
            <w:pPr>
              <w:rPr>
                <w:sz w:val="18"/>
                <w:szCs w:val="18"/>
              </w:rPr>
            </w:pPr>
          </w:p>
        </w:tc>
        <w:tc>
          <w:tcPr>
            <w:tcW w:w="167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DB0A91" w14:textId="77777777" w:rsidR="00E7005F" w:rsidRPr="00834CDC" w:rsidRDefault="00E7005F" w:rsidP="00D83B12">
            <w:pPr>
              <w:rPr>
                <w:sz w:val="18"/>
                <w:szCs w:val="18"/>
              </w:rPr>
            </w:pPr>
          </w:p>
        </w:tc>
      </w:tr>
      <w:tr w:rsidR="009A17B1" w:rsidRPr="00834CDC" w14:paraId="2188DD7A" w14:textId="77777777" w:rsidTr="009A17B1">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0131486" w14:textId="6FCE5337" w:rsidR="00E7005F" w:rsidRPr="00834CDC" w:rsidRDefault="00E7005F" w:rsidP="00D83B12">
            <w:pPr>
              <w:pStyle w:val="NormalWeb"/>
              <w:jc w:val="left"/>
              <w:rPr>
                <w:b/>
                <w:bCs/>
                <w:sz w:val="18"/>
                <w:szCs w:val="18"/>
              </w:rPr>
            </w:pPr>
            <w:r w:rsidRPr="00834CDC">
              <w:rPr>
                <w:b/>
                <w:bCs/>
                <w:sz w:val="18"/>
                <w:szCs w:val="18"/>
              </w:rPr>
              <w:t>All ages</w:t>
            </w:r>
            <w:r w:rsidR="00D24B47">
              <w:rPr>
                <w:b/>
                <w:bCs/>
                <w:sz w:val="18"/>
                <w:szCs w:val="18"/>
              </w:rPr>
              <w:t xml:space="preserve"> </w:t>
            </w:r>
            <w:r w:rsidRPr="00834CDC">
              <w:rPr>
                <w:b/>
                <w:bCs/>
                <w:sz w:val="18"/>
                <w:szCs w:val="18"/>
                <w:vertAlign w:val="superscript"/>
              </w:rPr>
              <w:t>c</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70730A5" w14:textId="77777777" w:rsidR="00E7005F" w:rsidRPr="00834CDC" w:rsidRDefault="00E7005F" w:rsidP="00D83B12">
            <w:pPr>
              <w:pStyle w:val="NormalWeb"/>
              <w:rPr>
                <w:b/>
                <w:bCs/>
                <w:sz w:val="18"/>
                <w:szCs w:val="18"/>
              </w:rPr>
            </w:pPr>
            <w:r w:rsidRPr="00834CDC">
              <w:rPr>
                <w:b/>
                <w:bCs/>
                <w:sz w:val="18"/>
                <w:szCs w:val="18"/>
              </w:rPr>
              <w:t>Aboriginal and Torres Strait Islander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9E20D39" w14:textId="77777777" w:rsidR="00E7005F" w:rsidRPr="00834CDC" w:rsidRDefault="00E7005F" w:rsidP="00D83B12">
            <w:pPr>
              <w:pStyle w:val="NormalWeb"/>
              <w:rPr>
                <w:b/>
                <w:bCs/>
                <w:sz w:val="18"/>
                <w:szCs w:val="18"/>
              </w:rPr>
            </w:pPr>
            <w:r w:rsidRPr="00834CDC">
              <w:rPr>
                <w:b/>
                <w:bCs/>
                <w:sz w:val="18"/>
                <w:szCs w:val="18"/>
              </w:rPr>
              <w:t>22</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0221108" w14:textId="77777777" w:rsidR="00E7005F" w:rsidRPr="00834CDC" w:rsidRDefault="00E7005F" w:rsidP="00D83B12">
            <w:pPr>
              <w:pStyle w:val="NormalWeb"/>
              <w:rPr>
                <w:b/>
                <w:bCs/>
                <w:sz w:val="18"/>
                <w:szCs w:val="18"/>
              </w:rPr>
            </w:pPr>
            <w:r w:rsidRPr="00834CDC">
              <w:rPr>
                <w:b/>
                <w:bCs/>
                <w:sz w:val="18"/>
                <w:szCs w:val="18"/>
              </w:rPr>
              <w:t>0.59</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5F44B22" w14:textId="77777777" w:rsidR="00E7005F" w:rsidRPr="00834CDC" w:rsidRDefault="00E7005F" w:rsidP="00D83B12">
            <w:pPr>
              <w:pStyle w:val="NormalWeb"/>
              <w:rPr>
                <w:b/>
                <w:bCs/>
                <w:sz w:val="18"/>
                <w:szCs w:val="18"/>
              </w:rPr>
            </w:pPr>
            <w:r w:rsidRPr="00834CDC">
              <w:rPr>
                <w:b/>
                <w:bCs/>
                <w:sz w:val="18"/>
                <w:szCs w:val="18"/>
              </w:rPr>
              <w:t>10.9</w:t>
            </w:r>
          </w:p>
        </w:tc>
        <w:tc>
          <w:tcPr>
            <w:tcW w:w="167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7F3080E" w14:textId="77777777" w:rsidR="00E7005F" w:rsidRPr="00834CDC" w:rsidRDefault="00E7005F" w:rsidP="00D83B12">
            <w:pPr>
              <w:pStyle w:val="NormalWeb"/>
              <w:rPr>
                <w:b/>
                <w:bCs/>
                <w:sz w:val="18"/>
                <w:szCs w:val="18"/>
              </w:rPr>
            </w:pPr>
            <w:r w:rsidRPr="00834CDC">
              <w:rPr>
                <w:b/>
                <w:bCs/>
                <w:sz w:val="18"/>
                <w:szCs w:val="18"/>
              </w:rPr>
              <w:t>5.9–18.3</w:t>
            </w:r>
          </w:p>
        </w:tc>
      </w:tr>
      <w:tr w:rsidR="009A17B1" w:rsidRPr="00834CDC" w14:paraId="394E3D3C" w14:textId="77777777" w:rsidTr="009A17B1">
        <w:trPr>
          <w:cnfStyle w:val="000000010000" w:firstRow="0" w:lastRow="0" w:firstColumn="0" w:lastColumn="0" w:oddVBand="0" w:evenVBand="0" w:oddHBand="0" w:evenHBand="1" w:firstRowFirstColumn="0" w:firstRowLastColumn="0" w:lastRowFirstColumn="0" w:lastRowLastColumn="0"/>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AA54360" w14:textId="77777777" w:rsidR="00E7005F" w:rsidRPr="00834CDC" w:rsidRDefault="00E7005F" w:rsidP="00D83B12">
            <w:pPr>
              <w:jc w:val="left"/>
              <w:rPr>
                <w:b/>
                <w:bCs/>
                <w:sz w:val="18"/>
                <w:szCs w:val="18"/>
              </w:rPr>
            </w:pP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1167A3D" w14:textId="77777777" w:rsidR="00E7005F" w:rsidRPr="00834CDC" w:rsidRDefault="00E7005F" w:rsidP="00D83B12">
            <w:pPr>
              <w:pStyle w:val="NormalWeb"/>
              <w:rPr>
                <w:b/>
                <w:bCs/>
                <w:sz w:val="18"/>
                <w:szCs w:val="18"/>
              </w:rPr>
            </w:pPr>
            <w:r w:rsidRPr="00834CDC">
              <w:rPr>
                <w:b/>
                <w:bCs/>
                <w:sz w:val="18"/>
                <w:szCs w:val="18"/>
              </w:rPr>
              <w:t>Other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65C511F" w14:textId="77777777" w:rsidR="00E7005F" w:rsidRPr="00834CDC" w:rsidRDefault="00E7005F" w:rsidP="00D83B12">
            <w:pPr>
              <w:pStyle w:val="NormalWeb"/>
              <w:rPr>
                <w:b/>
                <w:bCs/>
                <w:sz w:val="18"/>
                <w:szCs w:val="18"/>
              </w:rPr>
            </w:pPr>
            <w:r w:rsidRPr="00834CDC">
              <w:rPr>
                <w:b/>
                <w:bCs/>
                <w:sz w:val="18"/>
                <w:szCs w:val="18"/>
              </w:rPr>
              <w:t>51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EA0FFBA" w14:textId="77777777" w:rsidR="00E7005F" w:rsidRPr="00834CDC" w:rsidRDefault="00E7005F" w:rsidP="00D83B12">
            <w:pPr>
              <w:pStyle w:val="NormalWeb"/>
              <w:rPr>
                <w:b/>
                <w:bCs/>
                <w:sz w:val="18"/>
                <w:szCs w:val="18"/>
              </w:rPr>
            </w:pPr>
            <w:r w:rsidRPr="00834CDC">
              <w:rPr>
                <w:b/>
                <w:bCs/>
                <w:sz w:val="18"/>
                <w:szCs w:val="18"/>
              </w:rPr>
              <w:t>0.05</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17F913D" w14:textId="77777777" w:rsidR="00E7005F" w:rsidRPr="00834CDC" w:rsidRDefault="00E7005F" w:rsidP="00D83B12">
            <w:pPr>
              <w:rPr>
                <w:b/>
                <w:bCs/>
                <w:sz w:val="18"/>
                <w:szCs w:val="18"/>
              </w:rPr>
            </w:pPr>
          </w:p>
        </w:tc>
        <w:tc>
          <w:tcPr>
            <w:tcW w:w="167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5F37EA5" w14:textId="77777777" w:rsidR="00E7005F" w:rsidRPr="00834CDC" w:rsidRDefault="00E7005F" w:rsidP="00D83B12">
            <w:pPr>
              <w:rPr>
                <w:b/>
                <w:bCs/>
                <w:sz w:val="18"/>
                <w:szCs w:val="18"/>
              </w:rPr>
            </w:pPr>
          </w:p>
        </w:tc>
      </w:tr>
    </w:tbl>
    <w:p w14:paraId="098FFC1B" w14:textId="77777777" w:rsidR="00E7005F" w:rsidRPr="00834CDC" w:rsidRDefault="00E7005F" w:rsidP="00E7005F">
      <w:pPr>
        <w:pStyle w:val="CDIfootnotes"/>
      </w:pPr>
      <w:r w:rsidRPr="00834CDC">
        <w:t>a</w:t>
      </w:r>
      <w:r w:rsidRPr="00834CDC">
        <w:tab/>
        <w:t>Notifications where the date of diagnosis was between 1 January 2016 and 31 December 2019.</w:t>
      </w:r>
    </w:p>
    <w:p w14:paraId="73C756BF" w14:textId="77777777" w:rsidR="00E7005F" w:rsidRPr="00834CDC" w:rsidRDefault="00E7005F" w:rsidP="00E7005F">
      <w:pPr>
        <w:pStyle w:val="CDIfootnotes"/>
      </w:pPr>
      <w:r w:rsidRPr="00834CDC">
        <w:t>b</w:t>
      </w:r>
      <w:r w:rsidRPr="00834CDC">
        <w:tab/>
        <w:t>Average annual age-specific rate per 100,000 population.</w:t>
      </w:r>
    </w:p>
    <w:p w14:paraId="4157CD68" w14:textId="77777777" w:rsidR="00E7005F" w:rsidRPr="00834CDC" w:rsidRDefault="00E7005F" w:rsidP="00E7005F">
      <w:pPr>
        <w:pStyle w:val="CDIfootnotes"/>
      </w:pPr>
      <w:r w:rsidRPr="00834CDC">
        <w:t>c</w:t>
      </w:r>
      <w:r w:rsidRPr="00834CDC">
        <w:tab/>
        <w:t>Rates for all ages combined are age-standardised to the Australian Bureau of Statistics Australian population estimates for 2016.</w:t>
      </w:r>
    </w:p>
    <w:p w14:paraId="2EB6A773" w14:textId="4CBFD97B" w:rsidR="002E5820" w:rsidRPr="00834CDC" w:rsidRDefault="002E5820" w:rsidP="002E5820">
      <w:pPr>
        <w:pStyle w:val="Heading2"/>
      </w:pPr>
      <w:r w:rsidRPr="00834CDC">
        <w:lastRenderedPageBreak/>
        <w:t>Discussion</w:t>
      </w:r>
    </w:p>
    <w:p w14:paraId="3042BD9F" w14:textId="4A155612" w:rsidR="002E5820" w:rsidRPr="00834CDC" w:rsidRDefault="002E5820" w:rsidP="002E5820">
      <w:r w:rsidRPr="00834CDC">
        <w:t xml:space="preserve">Hib disease notification rates have decreased significantly since the introduction of vaccines in </w:t>
      </w:r>
      <w:proofErr w:type="gramStart"/>
      <w:r w:rsidRPr="00834CDC">
        <w:t>1993, but</w:t>
      </w:r>
      <w:proofErr w:type="gramEnd"/>
      <w:r w:rsidRPr="00834CDC">
        <w:t xml:space="preserve"> have remained relatively stable in recent years. In studies from the pre-immunisation period (1984–1993), the notification rate for Aboriginal and Torres Strait Islander children aged </w:t>
      </w:r>
      <w:r w:rsidRPr="00834CDC">
        <w:rPr>
          <w:rFonts w:ascii="Times New Roman" w:hAnsi="Times New Roman" w:cs="Times New Roman"/>
        </w:rPr>
        <w:t>˂</w:t>
      </w:r>
      <w:r w:rsidRPr="00834CDC">
        <w:t xml:space="preserve"> 5 years was as high as 500 per 100,000 per year, around tenfold higher than the reported incidence of 40–90 per 100,000 per year for non-Indigenous children.</w:t>
      </w:r>
      <w:r w:rsidRPr="00834CDC">
        <w:rPr>
          <w:rStyle w:val="superscript"/>
        </w:rPr>
        <w:t>43</w:t>
      </w:r>
      <w:r w:rsidRPr="00834CDC">
        <w:t xml:space="preserve"> In this reporting period (2016–2019), more than 20 years after the introduction of Hib vaccines, the notification rate for Aboriginal and Torres Strait Islander children in the 0–4 years age group was 3.7 per 100,000 per year, and for other children 0.3 per 100,000 per year, representing a reduction of more than 99% for both groups compared to that in the pre-immunisation period. However, while the incidence of invasive Hib disease is now </w:t>
      </w:r>
      <w:proofErr w:type="gramStart"/>
      <w:r w:rsidRPr="00834CDC">
        <w:t>very low</w:t>
      </w:r>
      <w:proofErr w:type="gramEnd"/>
      <w:r w:rsidRPr="00834CDC">
        <w:t xml:space="preserve">, rates in Aboriginal and Torres Strait Islander children aged </w:t>
      </w:r>
      <w:r w:rsidRPr="00834CDC">
        <w:rPr>
          <w:rFonts w:ascii="Times New Roman" w:hAnsi="Times New Roman" w:cs="Times New Roman"/>
        </w:rPr>
        <w:t>˂</w:t>
      </w:r>
      <w:r w:rsidRPr="00834CDC">
        <w:t xml:space="preserve"> 5 years remain around 12 times higher than those in other</w:t>
      </w:r>
      <w:r w:rsidR="002760F0" w:rsidRPr="00834CDC">
        <w:t> </w:t>
      </w:r>
      <w:r w:rsidRPr="00834CDC">
        <w:t>children.</w:t>
      </w:r>
    </w:p>
    <w:p w14:paraId="0B71443F" w14:textId="77777777" w:rsidR="002E5820" w:rsidRPr="00834CDC" w:rsidRDefault="002E5820" w:rsidP="002E5820">
      <w:r w:rsidRPr="00834CDC">
        <w:t>In 2009, global shortages of PRP-OMP vaccine necessitated a transition to the PRP-T vaccine for all Australians.</w:t>
      </w:r>
      <w:r w:rsidRPr="00834CDC">
        <w:rPr>
          <w:rStyle w:val="superscript"/>
        </w:rPr>
        <w:t>44</w:t>
      </w:r>
      <w:r w:rsidRPr="00834CDC">
        <w:t xml:space="preserve"> This included Aboriginal and Torres Strait Islander children living in jurisdictions with the highest pre-vaccine incidence of Hib disease (i.e., the Northern Territory, Queensland, South Australia, Victoria and Western Australia) where PRP-OMP vaccine had previously been used due to its ability to provide early immunogenicity from the age of two months.</w:t>
      </w:r>
      <w:r w:rsidRPr="00834CDC">
        <w:rPr>
          <w:rStyle w:val="superscript"/>
        </w:rPr>
        <w:t>45</w:t>
      </w:r>
      <w:r w:rsidRPr="00834CDC">
        <w:t xml:space="preserve"> A previous report analysing data to 2013 found no increase in Hib disease in Aboriginal and Torres Strait Islander children in the four years following the replacement of PRP-OMP vaccine by PRP-T,</w:t>
      </w:r>
      <w:r w:rsidRPr="00834CDC">
        <w:rPr>
          <w:rStyle w:val="superscript"/>
        </w:rPr>
        <w:t>46</w:t>
      </w:r>
      <w:r w:rsidRPr="00834CDC">
        <w:t xml:space="preserve"> with data until the end of 2015 corroborating this finding</w:t>
      </w:r>
      <w:r w:rsidRPr="00834CDC">
        <w:rPr>
          <w:rStyle w:val="superscript"/>
        </w:rPr>
        <w:t>1</w:t>
      </w:r>
      <w:r w:rsidRPr="00834CDC">
        <w:t xml:space="preserve"> and data in this reporting period (until the end of 2019) remaining largely unchanged.</w:t>
      </w:r>
    </w:p>
    <w:p w14:paraId="1353E34E" w14:textId="77777777" w:rsidR="002E5820" w:rsidRPr="00834CDC" w:rsidRDefault="002E5820" w:rsidP="002E5820">
      <w:r w:rsidRPr="00834CDC">
        <w:t>Data from Indigenous populations worldwide have similarly shown both dramatic decreases in invasive Hib disease and a residual incidence which remains substantially higher than that in corresponding non-Indigenous populations.</w:t>
      </w:r>
      <w:r w:rsidRPr="00834CDC">
        <w:rPr>
          <w:rStyle w:val="superscript"/>
        </w:rPr>
        <w:t>47</w:t>
      </w:r>
      <w:r w:rsidRPr="00834CDC">
        <w:t xml:space="preserve"> Social and environmental factors that contribute to this situation include household crowding, high smoking rates and lack of access to culturally appropriate health services, all of which are secondary to a long history of colonisation, dispossession and disadvantage common to Indigenous populations in developed countries.</w:t>
      </w:r>
      <w:r w:rsidRPr="00834CDC">
        <w:rPr>
          <w:rStyle w:val="superscript"/>
        </w:rPr>
        <w:t>48</w:t>
      </w:r>
      <w:r w:rsidRPr="00834CDC">
        <w:t xml:space="preserve"> Studies have shown that Hib nasopharyngeal carriage continues in Aboriginal and Torres Strait Islander children despite high vaccination coverage.</w:t>
      </w:r>
      <w:r w:rsidRPr="00834CDC">
        <w:rPr>
          <w:rStyle w:val="superscript"/>
        </w:rPr>
        <w:t>48</w:t>
      </w:r>
      <w:r w:rsidRPr="00834CDC">
        <w:t xml:space="preserve"> It has also been suggested that some Indigenous populations have an increased susceptibility to Hib disease as well as poor immune responses to vaccination.</w:t>
      </w:r>
      <w:r w:rsidRPr="00834CDC">
        <w:rPr>
          <w:rStyle w:val="superscript"/>
        </w:rPr>
        <w:t>48</w:t>
      </w:r>
      <w:r w:rsidRPr="00834CDC">
        <w:t xml:space="preserve"> Genetic factors have been implicated in some settings,</w:t>
      </w:r>
      <w:r w:rsidRPr="00834CDC">
        <w:rPr>
          <w:rStyle w:val="superscript"/>
        </w:rPr>
        <w:t>47</w:t>
      </w:r>
      <w:r w:rsidRPr="00834CDC">
        <w:t xml:space="preserve"> but a study comparing remote dwelling Aboriginal and Torres Strait Islander children with urban dwelling non-Indigenous children found lower immune responses to PRP-OMP vaccine only after the first year of life, consistent with environmental rather than genetic factors.</w:t>
      </w:r>
      <w:r w:rsidRPr="00834CDC">
        <w:rPr>
          <w:rStyle w:val="superscript"/>
        </w:rPr>
        <w:t>49</w:t>
      </w:r>
    </w:p>
    <w:p w14:paraId="4A46192A" w14:textId="1443E694" w:rsidR="002E5820" w:rsidRPr="00834CDC" w:rsidRDefault="002E5820" w:rsidP="0052123B">
      <w:r w:rsidRPr="00834CDC">
        <w:t xml:space="preserve">Hib vaccination coverage among Aboriginal and Torres Strait Islander children in 2019 was slightly lower than in other children at 12 months (93.1% versus 95.0%) but higher when measured at 24 months (94.6% versus 94.1%) and 60 months (98.9% versus 96.4%; refer to Vaccination Coverage section). Addressing logistical and accessibility issues that affect timeliness of vaccination is particularly important in relation to Hib, as the median age of disease onset continues to be significantly lower in Aboriginal and Torres Strait Islander people in the post-vaccine era (14 months versus </w:t>
      </w:r>
      <w:r w:rsidRPr="00834CDC">
        <w:rPr>
          <w:rStyle w:val="nobreak"/>
        </w:rPr>
        <w:t>14 years</w:t>
      </w:r>
      <w:r w:rsidRPr="00834CDC">
        <w:t>).</w:t>
      </w:r>
      <w:r w:rsidRPr="00834CDC">
        <w:rPr>
          <w:rStyle w:val="superscript"/>
        </w:rPr>
        <w:t>50</w:t>
      </w:r>
    </w:p>
    <w:p w14:paraId="0F5481A9" w14:textId="77777777" w:rsidR="006436D8" w:rsidRPr="00834CDC" w:rsidRDefault="006436D8" w:rsidP="006436D8">
      <w:pPr>
        <w:pStyle w:val="CDIfootnotes"/>
      </w:pPr>
    </w:p>
    <w:p w14:paraId="352D8F07" w14:textId="376741CF" w:rsidR="008D5A87" w:rsidRPr="00834CDC" w:rsidRDefault="008D5A87" w:rsidP="006436D8">
      <w:pPr>
        <w:pStyle w:val="CDIfootnotes"/>
      </w:pPr>
      <w:r w:rsidRPr="00834CDC">
        <w:br w:type="page"/>
      </w:r>
    </w:p>
    <w:p w14:paraId="1BDA1FA8" w14:textId="77777777" w:rsidR="004D312F" w:rsidRPr="00834CDC" w:rsidRDefault="004D312F" w:rsidP="004D312F">
      <w:pPr>
        <w:pStyle w:val="Heading1"/>
      </w:pPr>
      <w:r w:rsidRPr="00834CDC">
        <w:lastRenderedPageBreak/>
        <w:t xml:space="preserve">3. Hepatitis A </w:t>
      </w:r>
    </w:p>
    <w:p w14:paraId="070991A6" w14:textId="77777777" w:rsidR="004D312F" w:rsidRPr="00834CDC" w:rsidRDefault="004D312F" w:rsidP="004D312F">
      <w:pPr>
        <w:pStyle w:val="Heading2"/>
      </w:pPr>
      <w:r w:rsidRPr="00834CDC">
        <w:t xml:space="preserve">Relevant vaccine history </w:t>
      </w:r>
    </w:p>
    <w:p w14:paraId="3F1A6B09" w14:textId="77777777" w:rsidR="004D312F" w:rsidRPr="00834CDC" w:rsidRDefault="004D312F" w:rsidP="004D312F">
      <w:pPr>
        <w:pStyle w:val="Heading2"/>
      </w:pPr>
      <w:r w:rsidRPr="00834CDC">
        <w:rPr>
          <w:noProof/>
        </w:rPr>
        <mc:AlternateContent>
          <mc:Choice Requires="wps">
            <w:drawing>
              <wp:inline distT="0" distB="0" distL="0" distR="0" wp14:anchorId="758F3390" wp14:editId="21DE3CFB">
                <wp:extent cx="6629400" cy="1404620"/>
                <wp:effectExtent l="0" t="0" r="0" b="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7ECDD"/>
                        </a:solidFill>
                        <a:ln w="9525">
                          <a:noFill/>
                          <a:miter lim="800000"/>
                          <a:headEnd/>
                          <a:tailEnd/>
                        </a:ln>
                      </wps:spPr>
                      <wps:txbx>
                        <w:txbxContent>
                          <w:p w14:paraId="684F3066" w14:textId="27F45D1D" w:rsidR="004D312F" w:rsidRPr="004D312F" w:rsidRDefault="004D312F" w:rsidP="004D312F">
                            <w:pPr>
                              <w:pStyle w:val="NormalWeb"/>
                              <w:spacing w:before="0" w:beforeAutospacing="0" w:after="0" w:afterAutospacing="0" w:line="240" w:lineRule="auto"/>
                              <w:rPr>
                                <w:b/>
                                <w:bCs/>
                                <w:lang w:val="en-GB"/>
                              </w:rPr>
                            </w:pPr>
                            <w:r w:rsidRPr="004D312F">
                              <w:rPr>
                                <w:b/>
                                <w:bCs/>
                                <w:lang w:val="en-GB"/>
                              </w:rPr>
                              <w:t>1994</w:t>
                            </w:r>
                          </w:p>
                          <w:p w14:paraId="4100B76C" w14:textId="77777777" w:rsidR="004D312F" w:rsidRDefault="004D312F" w:rsidP="004D312F">
                            <w:pPr>
                              <w:numPr>
                                <w:ilvl w:val="0"/>
                                <w:numId w:val="87"/>
                              </w:numPr>
                              <w:spacing w:after="0" w:line="240" w:lineRule="auto"/>
                              <w:rPr>
                                <w:rFonts w:eastAsia="Times New Roman"/>
                                <w:lang w:val="en-GB"/>
                              </w:rPr>
                            </w:pPr>
                            <w:r>
                              <w:rPr>
                                <w:rFonts w:eastAsia="Times New Roman"/>
                                <w:lang w:val="en-GB"/>
                              </w:rPr>
                              <w:t>First hepatitis A vaccine registered for use in adults</w:t>
                            </w:r>
                          </w:p>
                          <w:p w14:paraId="53897DDA" w14:textId="77777777" w:rsidR="004D312F" w:rsidRPr="004D312F" w:rsidRDefault="004D312F" w:rsidP="004D312F">
                            <w:pPr>
                              <w:pStyle w:val="NormalWeb"/>
                              <w:spacing w:before="0" w:beforeAutospacing="0" w:after="0" w:afterAutospacing="0" w:line="240" w:lineRule="auto"/>
                              <w:rPr>
                                <w:b/>
                                <w:bCs/>
                                <w:lang w:val="en-GB"/>
                              </w:rPr>
                            </w:pPr>
                            <w:r w:rsidRPr="004D312F">
                              <w:rPr>
                                <w:b/>
                                <w:bCs/>
                                <w:lang w:val="en-GB"/>
                              </w:rPr>
                              <w:t>1999</w:t>
                            </w:r>
                          </w:p>
                          <w:p w14:paraId="5CAE094F" w14:textId="77777777" w:rsidR="004D312F" w:rsidRDefault="004D312F" w:rsidP="004D312F">
                            <w:pPr>
                              <w:numPr>
                                <w:ilvl w:val="0"/>
                                <w:numId w:val="88"/>
                              </w:numPr>
                              <w:spacing w:after="0" w:line="240" w:lineRule="auto"/>
                              <w:rPr>
                                <w:rFonts w:eastAsia="Times New Roman"/>
                                <w:lang w:val="en-GB"/>
                              </w:rPr>
                            </w:pPr>
                            <w:r>
                              <w:rPr>
                                <w:rFonts w:eastAsia="Times New Roman"/>
                                <w:lang w:val="en-GB"/>
                              </w:rPr>
                              <w:t>Funded hepatitis A vaccine commenced for Aboriginal and Torres Strait Islander children 18 months to 6 years of age living in North Queensland</w:t>
                            </w:r>
                          </w:p>
                          <w:p w14:paraId="1BA7F1DF" w14:textId="77777777" w:rsidR="004D312F" w:rsidRPr="004D312F" w:rsidRDefault="004D312F" w:rsidP="004D312F">
                            <w:pPr>
                              <w:pStyle w:val="NormalWeb"/>
                              <w:spacing w:before="0" w:beforeAutospacing="0" w:after="0" w:afterAutospacing="0" w:line="240" w:lineRule="auto"/>
                              <w:rPr>
                                <w:b/>
                                <w:bCs/>
                                <w:lang w:val="en-GB"/>
                              </w:rPr>
                            </w:pPr>
                            <w:r w:rsidRPr="004D312F">
                              <w:rPr>
                                <w:b/>
                                <w:bCs/>
                                <w:lang w:val="en-GB"/>
                              </w:rPr>
                              <w:t>2000</w:t>
                            </w:r>
                          </w:p>
                          <w:p w14:paraId="14F6A725" w14:textId="77777777" w:rsidR="004D312F" w:rsidRDefault="004D312F" w:rsidP="004D312F">
                            <w:pPr>
                              <w:numPr>
                                <w:ilvl w:val="0"/>
                                <w:numId w:val="89"/>
                              </w:numPr>
                              <w:spacing w:after="0" w:line="240" w:lineRule="auto"/>
                              <w:rPr>
                                <w:rFonts w:eastAsia="Times New Roman"/>
                                <w:lang w:val="en-GB"/>
                              </w:rPr>
                            </w:pPr>
                            <w:r>
                              <w:rPr>
                                <w:rFonts w:eastAsia="Times New Roman"/>
                                <w:lang w:val="en-GB"/>
                              </w:rPr>
                              <w:t>List of at-risk individuals for whom hepatitis A vaccination is recommended expanded to include visitors to remote Aboriginal and Torres Strait Islander communities</w:t>
                            </w:r>
                          </w:p>
                          <w:p w14:paraId="5576F395" w14:textId="77777777" w:rsidR="004D312F" w:rsidRPr="004D312F" w:rsidRDefault="004D312F" w:rsidP="004D312F">
                            <w:pPr>
                              <w:pStyle w:val="NormalWeb"/>
                              <w:spacing w:before="0" w:beforeAutospacing="0" w:after="0" w:afterAutospacing="0" w:line="240" w:lineRule="auto"/>
                              <w:rPr>
                                <w:b/>
                                <w:bCs/>
                                <w:lang w:val="en-GB"/>
                              </w:rPr>
                            </w:pPr>
                            <w:r w:rsidRPr="004D312F">
                              <w:rPr>
                                <w:b/>
                                <w:bCs/>
                                <w:lang w:val="en-GB"/>
                              </w:rPr>
                              <w:t>2005</w:t>
                            </w:r>
                          </w:p>
                          <w:p w14:paraId="4F6B7D5C" w14:textId="77777777" w:rsidR="004D312F" w:rsidRDefault="004D312F" w:rsidP="004D312F">
                            <w:pPr>
                              <w:numPr>
                                <w:ilvl w:val="0"/>
                                <w:numId w:val="90"/>
                              </w:numPr>
                              <w:spacing w:after="0" w:line="240" w:lineRule="auto"/>
                              <w:rPr>
                                <w:rFonts w:eastAsia="Times New Roman"/>
                                <w:lang w:val="en-GB"/>
                              </w:rPr>
                            </w:pPr>
                            <w:r>
                              <w:rPr>
                                <w:rFonts w:eastAsia="Times New Roman"/>
                                <w:lang w:val="en-GB"/>
                              </w:rPr>
                              <w:t>Hepatitis A vaccination (2 doses) recommended and funded for Aboriginal and Torres Strait Islander children 12 and 18 months of age residing in the Northern Territory and Western Australia, and 18 and 24 months of age for children residing in Queensland and South Australia</w:t>
                            </w:r>
                          </w:p>
                          <w:p w14:paraId="69B51147" w14:textId="77777777" w:rsidR="004D312F" w:rsidRPr="004D312F" w:rsidRDefault="004D312F" w:rsidP="004D312F">
                            <w:pPr>
                              <w:pStyle w:val="NormalWeb"/>
                              <w:spacing w:before="0" w:beforeAutospacing="0" w:after="0" w:afterAutospacing="0" w:line="240" w:lineRule="auto"/>
                              <w:rPr>
                                <w:b/>
                                <w:bCs/>
                                <w:lang w:val="en-GB"/>
                              </w:rPr>
                            </w:pPr>
                            <w:r w:rsidRPr="004D312F">
                              <w:rPr>
                                <w:b/>
                                <w:bCs/>
                                <w:lang w:val="en-GB"/>
                              </w:rPr>
                              <w:t>2013</w:t>
                            </w:r>
                          </w:p>
                          <w:p w14:paraId="6264CF58" w14:textId="77777777" w:rsidR="004D312F" w:rsidRDefault="004D312F" w:rsidP="004D312F">
                            <w:pPr>
                              <w:numPr>
                                <w:ilvl w:val="0"/>
                                <w:numId w:val="91"/>
                              </w:numPr>
                              <w:spacing w:after="0" w:line="240" w:lineRule="auto"/>
                              <w:rPr>
                                <w:rFonts w:eastAsia="Times New Roman"/>
                                <w:lang w:val="en-GB"/>
                              </w:rPr>
                            </w:pPr>
                            <w:r>
                              <w:rPr>
                                <w:rFonts w:eastAsia="Times New Roman"/>
                                <w:lang w:val="en-GB"/>
                              </w:rPr>
                              <w:t>Hepatitis A vaccination (2 doses) scheduled ages for Aboriginal and Torres Strait Islander children in Queensland and South Australia lowered to 12 and 18 months</w:t>
                            </w:r>
                          </w:p>
                          <w:p w14:paraId="50735B27" w14:textId="77777777" w:rsidR="004D312F" w:rsidRPr="004D312F" w:rsidRDefault="004D312F" w:rsidP="004D312F">
                            <w:pPr>
                              <w:pStyle w:val="NormalWeb"/>
                              <w:spacing w:before="0" w:beforeAutospacing="0" w:after="0" w:afterAutospacing="0" w:line="240" w:lineRule="auto"/>
                              <w:rPr>
                                <w:b/>
                                <w:bCs/>
                                <w:lang w:val="en-GB"/>
                              </w:rPr>
                            </w:pPr>
                            <w:r w:rsidRPr="004D312F">
                              <w:rPr>
                                <w:b/>
                                <w:bCs/>
                                <w:lang w:val="en-GB"/>
                              </w:rPr>
                              <w:t>2018</w:t>
                            </w:r>
                          </w:p>
                          <w:p w14:paraId="6C968A35" w14:textId="16146033" w:rsidR="004D312F" w:rsidRPr="004D312F" w:rsidRDefault="004D312F" w:rsidP="004D312F">
                            <w:pPr>
                              <w:numPr>
                                <w:ilvl w:val="0"/>
                                <w:numId w:val="92"/>
                              </w:numPr>
                              <w:spacing w:after="0" w:line="240" w:lineRule="auto"/>
                              <w:rPr>
                                <w:rFonts w:eastAsia="Times New Roman"/>
                                <w:lang w:val="en-GB"/>
                              </w:rPr>
                            </w:pPr>
                            <w:r>
                              <w:rPr>
                                <w:rFonts w:eastAsia="Times New Roman"/>
                                <w:lang w:val="en-GB"/>
                              </w:rPr>
                              <w:t>Hepatitis A vaccination funded for men who have sex with men in Victoria and Tasmania, and also in Victoria for individuals who have injected drugs in the past 12 months.</w:t>
                            </w:r>
                          </w:p>
                        </w:txbxContent>
                      </wps:txbx>
                      <wps:bodyPr rot="0" vert="horz" wrap="square" lIns="91440" tIns="45720" rIns="91440" bIns="45720" anchor="t" anchorCtr="0">
                        <a:spAutoFit/>
                      </wps:bodyPr>
                    </wps:wsp>
                  </a:graphicData>
                </a:graphic>
              </wp:inline>
            </w:drawing>
          </mc:Choice>
          <mc:Fallback>
            <w:pict>
              <v:shape w14:anchorId="758F3390" id="_x0000_s1027" type="#_x0000_t202" style="width:5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" fillcolor="#f7ecdd" stroked="f">
                <v:textbox style="mso-fit-shape-to-text:t">
                  <w:txbxContent>
                    <w:p w14:paraId="684F3066" w14:textId="27F45D1D" w:rsidR="004D312F" w:rsidRPr="004D312F" w:rsidRDefault="004D312F" w:rsidP="004D312F">
                      <w:pPr>
                        <w:pStyle w:val="NormalWeb"/>
                        <w:spacing w:before="0" w:beforeAutospacing="0" w:after="0" w:afterAutospacing="0" w:line="240" w:lineRule="auto"/>
                        <w:rPr>
                          <w:b/>
                          <w:bCs/>
                          <w:lang w:val="en-GB"/>
                        </w:rPr>
                      </w:pPr>
                      <w:r w:rsidRPr="004D312F">
                        <w:rPr>
                          <w:b/>
                          <w:bCs/>
                          <w:lang w:val="en-GB"/>
                        </w:rPr>
                        <w:t>1994</w:t>
                      </w:r>
                    </w:p>
                    <w:p w14:paraId="4100B76C" w14:textId="77777777" w:rsidR="004D312F" w:rsidRDefault="004D312F" w:rsidP="004D312F">
                      <w:pPr>
                        <w:numPr>
                          <w:ilvl w:val="0"/>
                          <w:numId w:val="87"/>
                        </w:numPr>
                        <w:spacing w:after="0" w:line="240" w:lineRule="auto"/>
                        <w:rPr>
                          <w:rFonts w:eastAsia="Times New Roman"/>
                          <w:lang w:val="en-GB"/>
                        </w:rPr>
                      </w:pPr>
                      <w:r>
                        <w:rPr>
                          <w:rFonts w:eastAsia="Times New Roman"/>
                          <w:lang w:val="en-GB"/>
                        </w:rPr>
                        <w:t>First hepatitis A vaccine registered for use in adults</w:t>
                      </w:r>
                    </w:p>
                    <w:p w14:paraId="53897DDA" w14:textId="77777777" w:rsidR="004D312F" w:rsidRPr="004D312F" w:rsidRDefault="004D312F" w:rsidP="004D312F">
                      <w:pPr>
                        <w:pStyle w:val="NormalWeb"/>
                        <w:spacing w:before="0" w:beforeAutospacing="0" w:after="0" w:afterAutospacing="0" w:line="240" w:lineRule="auto"/>
                        <w:rPr>
                          <w:b/>
                          <w:bCs/>
                          <w:lang w:val="en-GB"/>
                        </w:rPr>
                      </w:pPr>
                      <w:r w:rsidRPr="004D312F">
                        <w:rPr>
                          <w:b/>
                          <w:bCs/>
                          <w:lang w:val="en-GB"/>
                        </w:rPr>
                        <w:t>1999</w:t>
                      </w:r>
                    </w:p>
                    <w:p w14:paraId="5CAE094F" w14:textId="77777777" w:rsidR="004D312F" w:rsidRDefault="004D312F" w:rsidP="004D312F">
                      <w:pPr>
                        <w:numPr>
                          <w:ilvl w:val="0"/>
                          <w:numId w:val="88"/>
                        </w:numPr>
                        <w:spacing w:after="0" w:line="240" w:lineRule="auto"/>
                        <w:rPr>
                          <w:rFonts w:eastAsia="Times New Roman"/>
                          <w:lang w:val="en-GB"/>
                        </w:rPr>
                      </w:pPr>
                      <w:r>
                        <w:rPr>
                          <w:rFonts w:eastAsia="Times New Roman"/>
                          <w:lang w:val="en-GB"/>
                        </w:rPr>
                        <w:t>Funded hepatitis A vaccine commenced for Aboriginal and Torres Strait Islander children 18 months to 6 years of age living in North Queensland</w:t>
                      </w:r>
                    </w:p>
                    <w:p w14:paraId="1BA7F1DF" w14:textId="77777777" w:rsidR="004D312F" w:rsidRPr="004D312F" w:rsidRDefault="004D312F" w:rsidP="004D312F">
                      <w:pPr>
                        <w:pStyle w:val="NormalWeb"/>
                        <w:spacing w:before="0" w:beforeAutospacing="0" w:after="0" w:afterAutospacing="0" w:line="240" w:lineRule="auto"/>
                        <w:rPr>
                          <w:b/>
                          <w:bCs/>
                          <w:lang w:val="en-GB"/>
                        </w:rPr>
                      </w:pPr>
                      <w:r w:rsidRPr="004D312F">
                        <w:rPr>
                          <w:b/>
                          <w:bCs/>
                          <w:lang w:val="en-GB"/>
                        </w:rPr>
                        <w:t>2000</w:t>
                      </w:r>
                    </w:p>
                    <w:p w14:paraId="14F6A725" w14:textId="77777777" w:rsidR="004D312F" w:rsidRDefault="004D312F" w:rsidP="004D312F">
                      <w:pPr>
                        <w:numPr>
                          <w:ilvl w:val="0"/>
                          <w:numId w:val="89"/>
                        </w:numPr>
                        <w:spacing w:after="0" w:line="240" w:lineRule="auto"/>
                        <w:rPr>
                          <w:rFonts w:eastAsia="Times New Roman"/>
                          <w:lang w:val="en-GB"/>
                        </w:rPr>
                      </w:pPr>
                      <w:r>
                        <w:rPr>
                          <w:rFonts w:eastAsia="Times New Roman"/>
                          <w:lang w:val="en-GB"/>
                        </w:rPr>
                        <w:t>List of at-risk individuals for whom hepatitis A vaccination is recommended expanded to include visitors to remote Aboriginal and Torres Strait Islander communities</w:t>
                      </w:r>
                    </w:p>
                    <w:p w14:paraId="5576F395" w14:textId="77777777" w:rsidR="004D312F" w:rsidRPr="004D312F" w:rsidRDefault="004D312F" w:rsidP="004D312F">
                      <w:pPr>
                        <w:pStyle w:val="NormalWeb"/>
                        <w:spacing w:before="0" w:beforeAutospacing="0" w:after="0" w:afterAutospacing="0" w:line="240" w:lineRule="auto"/>
                        <w:rPr>
                          <w:b/>
                          <w:bCs/>
                          <w:lang w:val="en-GB"/>
                        </w:rPr>
                      </w:pPr>
                      <w:r w:rsidRPr="004D312F">
                        <w:rPr>
                          <w:b/>
                          <w:bCs/>
                          <w:lang w:val="en-GB"/>
                        </w:rPr>
                        <w:t>2005</w:t>
                      </w:r>
                    </w:p>
                    <w:p w14:paraId="4F6B7D5C" w14:textId="77777777" w:rsidR="004D312F" w:rsidRDefault="004D312F" w:rsidP="004D312F">
                      <w:pPr>
                        <w:numPr>
                          <w:ilvl w:val="0"/>
                          <w:numId w:val="90"/>
                        </w:numPr>
                        <w:spacing w:after="0" w:line="240" w:lineRule="auto"/>
                        <w:rPr>
                          <w:rFonts w:eastAsia="Times New Roman"/>
                          <w:lang w:val="en-GB"/>
                        </w:rPr>
                      </w:pPr>
                      <w:r>
                        <w:rPr>
                          <w:rFonts w:eastAsia="Times New Roman"/>
                          <w:lang w:val="en-GB"/>
                        </w:rPr>
                        <w:t>Hepatitis A vaccination (2 doses) recommended and funded for Aboriginal and Torres Strait Islander children 12 and 18 months of age residing in the Northern Territory and Western Australia, and 18 and 24 months of age for children residing in Queensland and South Australia</w:t>
                      </w:r>
                    </w:p>
                    <w:p w14:paraId="69B51147" w14:textId="77777777" w:rsidR="004D312F" w:rsidRPr="004D312F" w:rsidRDefault="004D312F" w:rsidP="004D312F">
                      <w:pPr>
                        <w:pStyle w:val="NormalWeb"/>
                        <w:spacing w:before="0" w:beforeAutospacing="0" w:after="0" w:afterAutospacing="0" w:line="240" w:lineRule="auto"/>
                        <w:rPr>
                          <w:b/>
                          <w:bCs/>
                          <w:lang w:val="en-GB"/>
                        </w:rPr>
                      </w:pPr>
                      <w:r w:rsidRPr="004D312F">
                        <w:rPr>
                          <w:b/>
                          <w:bCs/>
                          <w:lang w:val="en-GB"/>
                        </w:rPr>
                        <w:t>2013</w:t>
                      </w:r>
                    </w:p>
                    <w:p w14:paraId="6264CF58" w14:textId="77777777" w:rsidR="004D312F" w:rsidRDefault="004D312F" w:rsidP="004D312F">
                      <w:pPr>
                        <w:numPr>
                          <w:ilvl w:val="0"/>
                          <w:numId w:val="91"/>
                        </w:numPr>
                        <w:spacing w:after="0" w:line="240" w:lineRule="auto"/>
                        <w:rPr>
                          <w:rFonts w:eastAsia="Times New Roman"/>
                          <w:lang w:val="en-GB"/>
                        </w:rPr>
                      </w:pPr>
                      <w:r>
                        <w:rPr>
                          <w:rFonts w:eastAsia="Times New Roman"/>
                          <w:lang w:val="en-GB"/>
                        </w:rPr>
                        <w:t>Hepatitis A vaccination (2 doses) scheduled ages for Aboriginal and Torres Strait Islander children in Queensland and South Australia lowered to 12 and 18 months</w:t>
                      </w:r>
                    </w:p>
                    <w:p w14:paraId="50735B27" w14:textId="77777777" w:rsidR="004D312F" w:rsidRPr="004D312F" w:rsidRDefault="004D312F" w:rsidP="004D312F">
                      <w:pPr>
                        <w:pStyle w:val="NormalWeb"/>
                        <w:spacing w:before="0" w:beforeAutospacing="0" w:after="0" w:afterAutospacing="0" w:line="240" w:lineRule="auto"/>
                        <w:rPr>
                          <w:b/>
                          <w:bCs/>
                          <w:lang w:val="en-GB"/>
                        </w:rPr>
                      </w:pPr>
                      <w:r w:rsidRPr="004D312F">
                        <w:rPr>
                          <w:b/>
                          <w:bCs/>
                          <w:lang w:val="en-GB"/>
                        </w:rPr>
                        <w:t>2018</w:t>
                      </w:r>
                    </w:p>
                    <w:p w14:paraId="6C968A35" w14:textId="16146033" w:rsidR="004D312F" w:rsidRPr="004D312F" w:rsidRDefault="004D312F" w:rsidP="004D312F">
                      <w:pPr>
                        <w:numPr>
                          <w:ilvl w:val="0"/>
                          <w:numId w:val="92"/>
                        </w:numPr>
                        <w:spacing w:after="0" w:line="240" w:lineRule="auto"/>
                        <w:rPr>
                          <w:rFonts w:eastAsia="Times New Roman"/>
                          <w:lang w:val="en-GB"/>
                        </w:rPr>
                      </w:pPr>
                      <w:r>
                        <w:rPr>
                          <w:rFonts w:eastAsia="Times New Roman"/>
                          <w:lang w:val="en-GB"/>
                        </w:rPr>
                        <w:t>Hepatitis A vaccination funded for men who have sex with men in Victoria and Tasmania, and also in Victoria for individuals who have injected drugs in the past 12 months.</w:t>
                      </w:r>
                    </w:p>
                  </w:txbxContent>
                </v:textbox>
                <w10:anchorlock/>
              </v:shape>
            </w:pict>
          </mc:Fallback>
        </mc:AlternateContent>
      </w:r>
    </w:p>
    <w:p w14:paraId="0C1E0E0B" w14:textId="77777777" w:rsidR="00B6502F" w:rsidRPr="00834CDC" w:rsidRDefault="00B6502F" w:rsidP="009A17B1"/>
    <w:p w14:paraId="3D9B6E7B" w14:textId="7390912B" w:rsidR="009A17B1" w:rsidRPr="00834CDC" w:rsidRDefault="009A17B1" w:rsidP="009A17B1">
      <w:r w:rsidRPr="00834CDC">
        <w:t xml:space="preserve">Hepatitis A is an acute infection of the liver caused by the hepatitis A virus (HAV), a picornavirus. HAV transmission occurs via the faecal-oral route, either by direct contact with an infectious person, or by ingestion of contaminated food or water. Symptoms of hepatitis A are </w:t>
      </w:r>
      <w:proofErr w:type="gramStart"/>
      <w:r w:rsidRPr="00834CDC">
        <w:t>similar to</w:t>
      </w:r>
      <w:proofErr w:type="gramEnd"/>
      <w:r w:rsidRPr="00834CDC">
        <w:t xml:space="preserve"> those of other forms of viral hepatitis and include fatigue, malaise, abdominal pain, nausea and vomiting. Typical clinical features of hepatitis A include jaundice, dark </w:t>
      </w:r>
      <w:proofErr w:type="gramStart"/>
      <w:r w:rsidRPr="00834CDC">
        <w:t>urine</w:t>
      </w:r>
      <w:proofErr w:type="gramEnd"/>
      <w:r w:rsidRPr="00834CDC">
        <w:t xml:space="preserve"> and pale-coloured stools.</w:t>
      </w:r>
      <w:r w:rsidRPr="00834CDC">
        <w:rPr>
          <w:rStyle w:val="superscript"/>
        </w:rPr>
        <w:t>51</w:t>
      </w:r>
      <w:r w:rsidRPr="00834CDC">
        <w:t xml:space="preserve"> The likelihood of symptomatic hepatitis A infection increases with age. Infants and children infected with hepatitis A virus usually have mild or no symptoms, while the majority of adults will experience symptoms.</w:t>
      </w:r>
      <w:r w:rsidRPr="00834CDC">
        <w:rPr>
          <w:rStyle w:val="superscript"/>
        </w:rPr>
        <w:t>51</w:t>
      </w:r>
      <w:r w:rsidRPr="00834CDC">
        <w:t xml:space="preserve"> The greatest burden of hepatitis A is in lower- and middle-income countries.</w:t>
      </w:r>
      <w:r w:rsidRPr="00834CDC">
        <w:rPr>
          <w:rStyle w:val="superscript"/>
        </w:rPr>
        <w:t>52,53</w:t>
      </w:r>
      <w:r w:rsidRPr="00834CDC">
        <w:t xml:space="preserve"> In recent years, most cases of hepatitis A in Australia have been associated with travel to endemic countries, foodborne outbreaks and among men who have sex with men.</w:t>
      </w:r>
      <w:r w:rsidRPr="00834CDC">
        <w:rPr>
          <w:rStyle w:val="superscript"/>
        </w:rPr>
        <w:t>54–58</w:t>
      </w:r>
    </w:p>
    <w:p w14:paraId="0EEA456B" w14:textId="77777777" w:rsidR="009A17B1" w:rsidRPr="00834CDC" w:rsidRDefault="009A17B1" w:rsidP="009A17B1">
      <w:pPr>
        <w:pStyle w:val="Heading2"/>
      </w:pPr>
      <w:r w:rsidRPr="00834CDC">
        <w:t>Results</w:t>
      </w:r>
    </w:p>
    <w:p w14:paraId="4C75E074" w14:textId="77777777" w:rsidR="009A17B1" w:rsidRPr="00834CDC" w:rsidRDefault="009A17B1" w:rsidP="009A17B1">
      <w:r w:rsidRPr="00834CDC">
        <w:t xml:space="preserve">Hepatitis A notification data by age and Aboriginal and Torres Strait Islander status for all states and territories for the 2016–2019 period </w:t>
      </w:r>
      <w:proofErr w:type="gramStart"/>
      <w:r w:rsidRPr="00834CDC">
        <w:t>are</w:t>
      </w:r>
      <w:proofErr w:type="gramEnd"/>
      <w:r w:rsidRPr="00834CDC">
        <w:t xml:space="preserve"> shown in Table 4. A total of 1,042 notifications was recorded during this period, including </w:t>
      </w:r>
      <w:proofErr w:type="gramStart"/>
      <w:r w:rsidRPr="00834CDC">
        <w:t>16</w:t>
      </w:r>
      <w:proofErr w:type="gramEnd"/>
      <w:r w:rsidRPr="00834CDC">
        <w:t xml:space="preserve"> notifications (1.5%) reported in Aboriginal and Torres Strait Islander people. There were no notifications in Aboriginal and Torres Strait Islander children aged 0–4 years.</w:t>
      </w:r>
    </w:p>
    <w:p w14:paraId="6130A006" w14:textId="77777777" w:rsidR="009A17B1" w:rsidRPr="00834CDC" w:rsidRDefault="009A17B1" w:rsidP="009A17B1">
      <w:r w:rsidRPr="00834CDC">
        <w:t>Notification rates in Aboriginal and Torres Strait Islander people were lower than those in other people across all age groups. However, the difference was only statistically significant for age groups &lt; 5 years and for all ages combined (Aboriginal and Torres Strait Islander to other notification rate ratios 0.0 [95% CI: 0.0–0.8] and 0.4 [95% CI: 0.2–0.7], respectively). The highest age-specific notification rate in Aboriginal and Torres Strait Islander people was 0.7 per 100,000 population per year in the 25–49 years age group, while the highest rate in other people was 1.5 per 100,000 population per year in the 15–24 years age group.</w:t>
      </w:r>
    </w:p>
    <w:p w14:paraId="2177F6E0" w14:textId="66EFA9B0" w:rsidR="009A17B1" w:rsidRPr="00834CDC" w:rsidRDefault="009A17B1" w:rsidP="009A17B1">
      <w:r w:rsidRPr="00834CDC">
        <w:t xml:space="preserve">Trends in hepatitis A notification rates in Australia for the period 2010 to 2019 </w:t>
      </w:r>
      <w:proofErr w:type="gramStart"/>
      <w:r w:rsidRPr="00834CDC">
        <w:t>are shown</w:t>
      </w:r>
      <w:proofErr w:type="gramEnd"/>
      <w:r w:rsidRPr="00834CDC">
        <w:t xml:space="preserve"> in Figure 2. Notification rates were consistently lower in Aboriginal and Torres Strait Islander than in other people over the 10-year period. </w:t>
      </w:r>
      <w:r w:rsidRPr="00834CDC">
        <w:lastRenderedPageBreak/>
        <w:t>Notification rates peaked in 2018 for both Aboriginal and Torres Strait Islander and other people (1.2 and 1.7 per 100,000 population, respectively).</w:t>
      </w:r>
    </w:p>
    <w:p w14:paraId="28AAD219" w14:textId="77777777" w:rsidR="00B6502F" w:rsidRPr="00834CDC" w:rsidRDefault="00B6502F" w:rsidP="00B6502F">
      <w:pPr>
        <w:pStyle w:val="CDIFigures"/>
      </w:pPr>
      <w:r w:rsidRPr="00834CDC">
        <w:rPr>
          <w:rStyle w:val="Strong"/>
          <w:b/>
          <w:bCs w:val="0"/>
        </w:rPr>
        <w:t>Table 4: Hepatitis A notifications, Australia (all states and territories), 2016–2019, by age and Aboriginal and Torres Strait Islander status</w:t>
      </w:r>
    </w:p>
    <w:tbl>
      <w:tblPr>
        <w:tblStyle w:val="CDI-StandardTable"/>
        <w:tblW w:w="0" w:type="auto"/>
        <w:tblCellMar>
          <w:top w:w="28" w:type="dxa"/>
          <w:bottom w:w="28" w:type="dxa"/>
        </w:tblCellMar>
        <w:tblLook w:val="04A0" w:firstRow="1" w:lastRow="0" w:firstColumn="1" w:lastColumn="0" w:noHBand="0" w:noVBand="1"/>
        <w:tblDescription w:val="Table 4 shows the number and rates per 100,000 population of hepatitis A notifications by age and Aboriginal and Torres Strait Islander status, Australia, 2016 to 2019."/>
      </w:tblPr>
      <w:tblGrid>
        <w:gridCol w:w="1430"/>
        <w:gridCol w:w="4949"/>
        <w:gridCol w:w="567"/>
        <w:gridCol w:w="851"/>
        <w:gridCol w:w="992"/>
        <w:gridCol w:w="1677"/>
      </w:tblGrid>
      <w:tr w:rsidR="00B6502F" w:rsidRPr="00834CDC" w14:paraId="5BA4FED1" w14:textId="77777777" w:rsidTr="004156A7">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3C4AD2E3" w14:textId="77777777" w:rsidR="00B6502F" w:rsidRPr="00834CDC" w:rsidRDefault="00B6502F" w:rsidP="00D83B12">
            <w:pPr>
              <w:pStyle w:val="NormalWeb"/>
              <w:rPr>
                <w:sz w:val="18"/>
                <w:szCs w:val="18"/>
              </w:rPr>
            </w:pPr>
            <w:r w:rsidRPr="00834CDC">
              <w:rPr>
                <w:sz w:val="18"/>
                <w:szCs w:val="18"/>
              </w:rPr>
              <w:t>Age group (years)</w:t>
            </w:r>
          </w:p>
        </w:tc>
        <w:tc>
          <w:tcPr>
            <w:tcW w:w="4949" w:type="dxa"/>
            <w:vMerge w:val="restart"/>
            <w:hideMark/>
          </w:tcPr>
          <w:p w14:paraId="1D892516" w14:textId="77777777" w:rsidR="00B6502F" w:rsidRPr="00834CDC" w:rsidRDefault="00B6502F" w:rsidP="00D83B12">
            <w:pPr>
              <w:pStyle w:val="NormalWeb"/>
              <w:rPr>
                <w:sz w:val="18"/>
                <w:szCs w:val="18"/>
              </w:rPr>
            </w:pPr>
            <w:r w:rsidRPr="00834CDC">
              <w:rPr>
                <w:sz w:val="18"/>
                <w:szCs w:val="18"/>
              </w:rPr>
              <w:t>Aboriginal and Torres Strait Islander status</w:t>
            </w:r>
          </w:p>
        </w:tc>
        <w:tc>
          <w:tcPr>
            <w:tcW w:w="4087" w:type="dxa"/>
            <w:gridSpan w:val="4"/>
            <w:hideMark/>
          </w:tcPr>
          <w:p w14:paraId="31606F92" w14:textId="77777777" w:rsidR="00B6502F" w:rsidRPr="00834CDC" w:rsidRDefault="00B6502F" w:rsidP="00D83B12">
            <w:pPr>
              <w:pStyle w:val="NormalWeb"/>
              <w:rPr>
                <w:sz w:val="18"/>
                <w:szCs w:val="18"/>
              </w:rPr>
            </w:pPr>
            <w:r w:rsidRPr="00834CDC">
              <w:rPr>
                <w:sz w:val="18"/>
                <w:szCs w:val="18"/>
              </w:rPr>
              <w:t xml:space="preserve">Notifications </w:t>
            </w:r>
            <w:r w:rsidRPr="00834CDC">
              <w:rPr>
                <w:sz w:val="18"/>
                <w:szCs w:val="18"/>
                <w:vertAlign w:val="superscript"/>
              </w:rPr>
              <w:t>a</w:t>
            </w:r>
            <w:r w:rsidRPr="00834CDC">
              <w:rPr>
                <w:sz w:val="18"/>
                <w:szCs w:val="18"/>
              </w:rPr>
              <w:t xml:space="preserve"> (2016–2019)</w:t>
            </w:r>
          </w:p>
        </w:tc>
      </w:tr>
      <w:tr w:rsidR="00B6502F" w:rsidRPr="00834CDC" w14:paraId="3483ADF9" w14:textId="77777777" w:rsidTr="004156A7">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63D07C67" w14:textId="77777777" w:rsidR="00B6502F" w:rsidRPr="00834CDC" w:rsidRDefault="00B6502F" w:rsidP="00D83B12">
            <w:pPr>
              <w:rPr>
                <w:sz w:val="18"/>
                <w:szCs w:val="18"/>
              </w:rPr>
            </w:pPr>
          </w:p>
        </w:tc>
        <w:tc>
          <w:tcPr>
            <w:tcW w:w="4949" w:type="dxa"/>
            <w:vMerge/>
            <w:hideMark/>
          </w:tcPr>
          <w:p w14:paraId="50416B83" w14:textId="77777777" w:rsidR="00B6502F" w:rsidRPr="00834CDC" w:rsidRDefault="00B6502F" w:rsidP="00D83B12">
            <w:pPr>
              <w:rPr>
                <w:sz w:val="18"/>
                <w:szCs w:val="18"/>
              </w:rPr>
            </w:pPr>
          </w:p>
        </w:tc>
        <w:tc>
          <w:tcPr>
            <w:tcW w:w="567" w:type="dxa"/>
            <w:hideMark/>
          </w:tcPr>
          <w:p w14:paraId="78C6503C" w14:textId="77777777" w:rsidR="00B6502F" w:rsidRPr="00834CDC" w:rsidRDefault="00B6502F" w:rsidP="00D83B12">
            <w:pPr>
              <w:pStyle w:val="NormalWeb"/>
              <w:rPr>
                <w:sz w:val="18"/>
                <w:szCs w:val="18"/>
              </w:rPr>
            </w:pPr>
            <w:r w:rsidRPr="00834CDC">
              <w:rPr>
                <w:sz w:val="18"/>
                <w:szCs w:val="18"/>
              </w:rPr>
              <w:t>N</w:t>
            </w:r>
          </w:p>
        </w:tc>
        <w:tc>
          <w:tcPr>
            <w:tcW w:w="851" w:type="dxa"/>
            <w:hideMark/>
          </w:tcPr>
          <w:p w14:paraId="6B011138" w14:textId="77777777" w:rsidR="00B6502F" w:rsidRPr="00834CDC" w:rsidRDefault="00B6502F" w:rsidP="00D83B12">
            <w:pPr>
              <w:pStyle w:val="NormalWeb"/>
              <w:rPr>
                <w:sz w:val="18"/>
                <w:szCs w:val="18"/>
              </w:rPr>
            </w:pPr>
            <w:r w:rsidRPr="00834CDC">
              <w:rPr>
                <w:sz w:val="18"/>
                <w:szCs w:val="18"/>
              </w:rPr>
              <w:t xml:space="preserve">Rate </w:t>
            </w:r>
            <w:r w:rsidRPr="00834CDC">
              <w:rPr>
                <w:sz w:val="18"/>
                <w:szCs w:val="18"/>
                <w:vertAlign w:val="superscript"/>
              </w:rPr>
              <w:t>b</w:t>
            </w:r>
          </w:p>
        </w:tc>
        <w:tc>
          <w:tcPr>
            <w:tcW w:w="992" w:type="dxa"/>
            <w:hideMark/>
          </w:tcPr>
          <w:p w14:paraId="22FE8243" w14:textId="77777777" w:rsidR="00B6502F" w:rsidRPr="00834CDC" w:rsidRDefault="00B6502F" w:rsidP="00D83B12">
            <w:pPr>
              <w:pStyle w:val="NormalWeb"/>
              <w:rPr>
                <w:sz w:val="18"/>
                <w:szCs w:val="18"/>
              </w:rPr>
            </w:pPr>
            <w:r w:rsidRPr="00834CDC">
              <w:rPr>
                <w:sz w:val="18"/>
                <w:szCs w:val="18"/>
              </w:rPr>
              <w:t>Rate ratio</w:t>
            </w:r>
          </w:p>
        </w:tc>
        <w:tc>
          <w:tcPr>
            <w:tcW w:w="1677" w:type="dxa"/>
            <w:hideMark/>
          </w:tcPr>
          <w:p w14:paraId="18D813FE" w14:textId="77777777" w:rsidR="00B6502F" w:rsidRPr="00834CDC" w:rsidRDefault="00B6502F" w:rsidP="00D83B12">
            <w:pPr>
              <w:pStyle w:val="NormalWeb"/>
              <w:rPr>
                <w:sz w:val="18"/>
                <w:szCs w:val="18"/>
              </w:rPr>
            </w:pPr>
            <w:proofErr w:type="gramStart"/>
            <w:r w:rsidRPr="00834CDC">
              <w:rPr>
                <w:sz w:val="18"/>
                <w:szCs w:val="18"/>
              </w:rPr>
              <w:t>95%</w:t>
            </w:r>
            <w:proofErr w:type="gramEnd"/>
            <w:r w:rsidRPr="00834CDC">
              <w:rPr>
                <w:sz w:val="18"/>
                <w:szCs w:val="18"/>
              </w:rPr>
              <w:t xml:space="preserve"> CI for rate ratio</w:t>
            </w:r>
          </w:p>
        </w:tc>
      </w:tr>
      <w:tr w:rsidR="004156A7" w:rsidRPr="00834CDC" w14:paraId="095CCB0E" w14:textId="77777777" w:rsidTr="004156A7">
        <w:tc>
          <w:tcPr>
            <w:tcW w:w="0" w:type="auto"/>
            <w:vMerge w:val="restart"/>
            <w:shd w:val="clear" w:color="auto" w:fill="auto"/>
            <w:hideMark/>
          </w:tcPr>
          <w:p w14:paraId="3AB5F3DD" w14:textId="77777777" w:rsidR="00B6502F" w:rsidRPr="00834CDC" w:rsidRDefault="00B6502F" w:rsidP="00D83B12">
            <w:pPr>
              <w:pStyle w:val="NormalWeb"/>
              <w:rPr>
                <w:sz w:val="18"/>
                <w:szCs w:val="18"/>
              </w:rPr>
            </w:pPr>
            <w:r w:rsidRPr="00834CDC">
              <w:rPr>
                <w:sz w:val="18"/>
                <w:szCs w:val="18"/>
              </w:rPr>
              <w:t>0–4</w:t>
            </w:r>
          </w:p>
        </w:tc>
        <w:tc>
          <w:tcPr>
            <w:tcW w:w="4949" w:type="dxa"/>
            <w:shd w:val="clear" w:color="auto" w:fill="auto"/>
            <w:hideMark/>
          </w:tcPr>
          <w:p w14:paraId="715926EB" w14:textId="77777777" w:rsidR="00B6502F" w:rsidRPr="00834CDC" w:rsidRDefault="00B6502F" w:rsidP="00D83B12">
            <w:pPr>
              <w:pStyle w:val="NormalWeb"/>
              <w:rPr>
                <w:sz w:val="18"/>
                <w:szCs w:val="18"/>
              </w:rPr>
            </w:pPr>
            <w:r w:rsidRPr="00834CDC">
              <w:rPr>
                <w:sz w:val="18"/>
                <w:szCs w:val="18"/>
              </w:rPr>
              <w:t>Aboriginal and Torres Strait Islander</w:t>
            </w:r>
          </w:p>
        </w:tc>
        <w:tc>
          <w:tcPr>
            <w:tcW w:w="567" w:type="dxa"/>
            <w:shd w:val="clear" w:color="auto" w:fill="auto"/>
            <w:hideMark/>
          </w:tcPr>
          <w:p w14:paraId="04370A13" w14:textId="77777777" w:rsidR="00B6502F" w:rsidRPr="00834CDC" w:rsidRDefault="00B6502F" w:rsidP="00D83B12">
            <w:pPr>
              <w:pStyle w:val="NormalWeb"/>
              <w:rPr>
                <w:sz w:val="18"/>
                <w:szCs w:val="18"/>
              </w:rPr>
            </w:pPr>
            <w:r w:rsidRPr="00834CDC">
              <w:rPr>
                <w:sz w:val="18"/>
                <w:szCs w:val="18"/>
              </w:rPr>
              <w:t>0</w:t>
            </w:r>
          </w:p>
        </w:tc>
        <w:tc>
          <w:tcPr>
            <w:tcW w:w="851" w:type="dxa"/>
            <w:shd w:val="clear" w:color="auto" w:fill="auto"/>
            <w:hideMark/>
          </w:tcPr>
          <w:p w14:paraId="4E8A2264" w14:textId="77777777" w:rsidR="00B6502F" w:rsidRPr="00834CDC" w:rsidRDefault="00B6502F" w:rsidP="00D83B12">
            <w:pPr>
              <w:pStyle w:val="NormalWeb"/>
              <w:rPr>
                <w:sz w:val="18"/>
                <w:szCs w:val="18"/>
              </w:rPr>
            </w:pPr>
            <w:r w:rsidRPr="00834CDC">
              <w:rPr>
                <w:sz w:val="18"/>
                <w:szCs w:val="18"/>
              </w:rPr>
              <w:t>0.00</w:t>
            </w:r>
          </w:p>
        </w:tc>
        <w:tc>
          <w:tcPr>
            <w:tcW w:w="992" w:type="dxa"/>
            <w:vMerge w:val="restart"/>
            <w:shd w:val="clear" w:color="auto" w:fill="auto"/>
            <w:hideMark/>
          </w:tcPr>
          <w:p w14:paraId="2456259B" w14:textId="77777777" w:rsidR="00B6502F" w:rsidRPr="00834CDC" w:rsidRDefault="00B6502F" w:rsidP="00D83B12">
            <w:pPr>
              <w:pStyle w:val="NormalWeb"/>
              <w:rPr>
                <w:sz w:val="18"/>
                <w:szCs w:val="18"/>
              </w:rPr>
            </w:pPr>
            <w:r w:rsidRPr="00834CDC">
              <w:rPr>
                <w:sz w:val="18"/>
                <w:szCs w:val="18"/>
              </w:rPr>
              <w:t>0.0</w:t>
            </w:r>
          </w:p>
        </w:tc>
        <w:tc>
          <w:tcPr>
            <w:tcW w:w="1677" w:type="dxa"/>
            <w:vMerge w:val="restart"/>
            <w:shd w:val="clear" w:color="auto" w:fill="auto"/>
            <w:hideMark/>
          </w:tcPr>
          <w:p w14:paraId="17ED6588" w14:textId="77777777" w:rsidR="00B6502F" w:rsidRPr="00834CDC" w:rsidRDefault="00B6502F" w:rsidP="00D83B12">
            <w:pPr>
              <w:pStyle w:val="NormalWeb"/>
              <w:rPr>
                <w:sz w:val="18"/>
                <w:szCs w:val="18"/>
              </w:rPr>
            </w:pPr>
            <w:r w:rsidRPr="00834CDC">
              <w:rPr>
                <w:sz w:val="18"/>
                <w:szCs w:val="18"/>
              </w:rPr>
              <w:t>0.0–0.8</w:t>
            </w:r>
          </w:p>
        </w:tc>
      </w:tr>
      <w:tr w:rsidR="00B6502F" w:rsidRPr="00834CDC" w14:paraId="212312D8" w14:textId="77777777" w:rsidTr="004156A7">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47E697DA" w14:textId="77777777" w:rsidR="00B6502F" w:rsidRPr="00834CDC" w:rsidRDefault="00B6502F" w:rsidP="00D83B12">
            <w:pPr>
              <w:rPr>
                <w:sz w:val="18"/>
                <w:szCs w:val="18"/>
              </w:rPr>
            </w:pPr>
          </w:p>
        </w:tc>
        <w:tc>
          <w:tcPr>
            <w:tcW w:w="4949" w:type="dxa"/>
            <w:shd w:val="clear" w:color="auto" w:fill="auto"/>
            <w:hideMark/>
          </w:tcPr>
          <w:p w14:paraId="745C4FC6" w14:textId="77777777" w:rsidR="00B6502F" w:rsidRPr="00834CDC" w:rsidRDefault="00B6502F" w:rsidP="00D83B12">
            <w:pPr>
              <w:pStyle w:val="NormalWeb"/>
              <w:rPr>
                <w:sz w:val="18"/>
                <w:szCs w:val="18"/>
              </w:rPr>
            </w:pPr>
            <w:r w:rsidRPr="00834CDC">
              <w:rPr>
                <w:sz w:val="18"/>
                <w:szCs w:val="18"/>
              </w:rPr>
              <w:t>Other</w:t>
            </w:r>
          </w:p>
        </w:tc>
        <w:tc>
          <w:tcPr>
            <w:tcW w:w="567" w:type="dxa"/>
            <w:shd w:val="clear" w:color="auto" w:fill="auto"/>
            <w:hideMark/>
          </w:tcPr>
          <w:p w14:paraId="146D4702" w14:textId="77777777" w:rsidR="00B6502F" w:rsidRPr="00834CDC" w:rsidRDefault="00B6502F" w:rsidP="00D83B12">
            <w:pPr>
              <w:pStyle w:val="NormalWeb"/>
              <w:rPr>
                <w:sz w:val="18"/>
                <w:szCs w:val="18"/>
              </w:rPr>
            </w:pPr>
            <w:r w:rsidRPr="00834CDC">
              <w:rPr>
                <w:sz w:val="18"/>
                <w:szCs w:val="18"/>
              </w:rPr>
              <w:t>70</w:t>
            </w:r>
          </w:p>
        </w:tc>
        <w:tc>
          <w:tcPr>
            <w:tcW w:w="851" w:type="dxa"/>
            <w:shd w:val="clear" w:color="auto" w:fill="auto"/>
            <w:hideMark/>
          </w:tcPr>
          <w:p w14:paraId="3F49D6BE" w14:textId="77777777" w:rsidR="00B6502F" w:rsidRPr="00834CDC" w:rsidRDefault="00B6502F" w:rsidP="00D83B12">
            <w:pPr>
              <w:pStyle w:val="NormalWeb"/>
              <w:rPr>
                <w:sz w:val="18"/>
                <w:szCs w:val="18"/>
              </w:rPr>
            </w:pPr>
            <w:r w:rsidRPr="00834CDC">
              <w:rPr>
                <w:sz w:val="18"/>
                <w:szCs w:val="18"/>
              </w:rPr>
              <w:t>1.18</w:t>
            </w:r>
          </w:p>
        </w:tc>
        <w:tc>
          <w:tcPr>
            <w:tcW w:w="992" w:type="dxa"/>
            <w:vMerge/>
            <w:shd w:val="clear" w:color="auto" w:fill="auto"/>
            <w:hideMark/>
          </w:tcPr>
          <w:p w14:paraId="0EC007A6" w14:textId="77777777" w:rsidR="00B6502F" w:rsidRPr="00834CDC" w:rsidRDefault="00B6502F" w:rsidP="00D83B12">
            <w:pPr>
              <w:rPr>
                <w:sz w:val="18"/>
                <w:szCs w:val="18"/>
              </w:rPr>
            </w:pPr>
          </w:p>
        </w:tc>
        <w:tc>
          <w:tcPr>
            <w:tcW w:w="1677" w:type="dxa"/>
            <w:vMerge/>
            <w:shd w:val="clear" w:color="auto" w:fill="auto"/>
            <w:hideMark/>
          </w:tcPr>
          <w:p w14:paraId="77F22FDC" w14:textId="77777777" w:rsidR="00B6502F" w:rsidRPr="00834CDC" w:rsidRDefault="00B6502F" w:rsidP="00D83B12">
            <w:pPr>
              <w:rPr>
                <w:sz w:val="18"/>
                <w:szCs w:val="18"/>
              </w:rPr>
            </w:pPr>
          </w:p>
        </w:tc>
      </w:tr>
      <w:tr w:rsidR="004156A7" w:rsidRPr="00834CDC" w14:paraId="3BB9EA4A" w14:textId="77777777" w:rsidTr="004156A7">
        <w:tc>
          <w:tcPr>
            <w:tcW w:w="0" w:type="auto"/>
            <w:vMerge w:val="restart"/>
            <w:shd w:val="clear" w:color="auto" w:fill="auto"/>
            <w:hideMark/>
          </w:tcPr>
          <w:p w14:paraId="5996AF20" w14:textId="77777777" w:rsidR="00B6502F" w:rsidRPr="00834CDC" w:rsidRDefault="00B6502F" w:rsidP="00D83B12">
            <w:pPr>
              <w:pStyle w:val="NormalWeb"/>
              <w:rPr>
                <w:sz w:val="18"/>
                <w:szCs w:val="18"/>
              </w:rPr>
            </w:pPr>
            <w:r w:rsidRPr="00834CDC">
              <w:rPr>
                <w:sz w:val="18"/>
                <w:szCs w:val="18"/>
              </w:rPr>
              <w:t>5–14</w:t>
            </w:r>
          </w:p>
        </w:tc>
        <w:tc>
          <w:tcPr>
            <w:tcW w:w="4949" w:type="dxa"/>
            <w:shd w:val="clear" w:color="auto" w:fill="auto"/>
            <w:hideMark/>
          </w:tcPr>
          <w:p w14:paraId="04C9437B" w14:textId="77777777" w:rsidR="00B6502F" w:rsidRPr="00834CDC" w:rsidRDefault="00B6502F" w:rsidP="00D83B12">
            <w:pPr>
              <w:pStyle w:val="NormalWeb"/>
              <w:rPr>
                <w:sz w:val="18"/>
                <w:szCs w:val="18"/>
              </w:rPr>
            </w:pPr>
            <w:r w:rsidRPr="00834CDC">
              <w:rPr>
                <w:sz w:val="18"/>
                <w:szCs w:val="18"/>
              </w:rPr>
              <w:t>Aboriginal and Torres Strait Islander</w:t>
            </w:r>
          </w:p>
        </w:tc>
        <w:tc>
          <w:tcPr>
            <w:tcW w:w="567" w:type="dxa"/>
            <w:shd w:val="clear" w:color="auto" w:fill="auto"/>
            <w:hideMark/>
          </w:tcPr>
          <w:p w14:paraId="382E8BE4" w14:textId="77777777" w:rsidR="00B6502F" w:rsidRPr="00834CDC" w:rsidRDefault="00B6502F" w:rsidP="00D83B12">
            <w:pPr>
              <w:pStyle w:val="NormalWeb"/>
              <w:rPr>
                <w:sz w:val="18"/>
                <w:szCs w:val="18"/>
              </w:rPr>
            </w:pPr>
            <w:r w:rsidRPr="00834CDC">
              <w:rPr>
                <w:sz w:val="18"/>
                <w:szCs w:val="18"/>
              </w:rPr>
              <w:t>4</w:t>
            </w:r>
          </w:p>
        </w:tc>
        <w:tc>
          <w:tcPr>
            <w:tcW w:w="851" w:type="dxa"/>
            <w:shd w:val="clear" w:color="auto" w:fill="auto"/>
            <w:hideMark/>
          </w:tcPr>
          <w:p w14:paraId="6CB98B3C" w14:textId="77777777" w:rsidR="00B6502F" w:rsidRPr="00834CDC" w:rsidRDefault="00B6502F" w:rsidP="00D83B12">
            <w:pPr>
              <w:pStyle w:val="NormalWeb"/>
              <w:rPr>
                <w:sz w:val="18"/>
                <w:szCs w:val="18"/>
              </w:rPr>
            </w:pPr>
            <w:r w:rsidRPr="00834CDC">
              <w:rPr>
                <w:sz w:val="18"/>
                <w:szCs w:val="18"/>
              </w:rPr>
              <w:t>0.55</w:t>
            </w:r>
          </w:p>
        </w:tc>
        <w:tc>
          <w:tcPr>
            <w:tcW w:w="992" w:type="dxa"/>
            <w:vMerge w:val="restart"/>
            <w:shd w:val="clear" w:color="auto" w:fill="auto"/>
            <w:hideMark/>
          </w:tcPr>
          <w:p w14:paraId="251F5BBC" w14:textId="77777777" w:rsidR="00B6502F" w:rsidRPr="00834CDC" w:rsidRDefault="00B6502F" w:rsidP="00D83B12">
            <w:pPr>
              <w:pStyle w:val="NormalWeb"/>
              <w:rPr>
                <w:sz w:val="18"/>
                <w:szCs w:val="18"/>
              </w:rPr>
            </w:pPr>
            <w:r w:rsidRPr="00834CDC">
              <w:rPr>
                <w:sz w:val="18"/>
                <w:szCs w:val="18"/>
              </w:rPr>
              <w:t>0.5</w:t>
            </w:r>
          </w:p>
        </w:tc>
        <w:tc>
          <w:tcPr>
            <w:tcW w:w="1677" w:type="dxa"/>
            <w:vMerge w:val="restart"/>
            <w:shd w:val="clear" w:color="auto" w:fill="auto"/>
            <w:hideMark/>
          </w:tcPr>
          <w:p w14:paraId="3F0EF42B" w14:textId="77777777" w:rsidR="00B6502F" w:rsidRPr="00834CDC" w:rsidRDefault="00B6502F" w:rsidP="00D83B12">
            <w:pPr>
              <w:pStyle w:val="NormalWeb"/>
              <w:rPr>
                <w:sz w:val="18"/>
                <w:szCs w:val="18"/>
              </w:rPr>
            </w:pPr>
            <w:r w:rsidRPr="00834CDC">
              <w:rPr>
                <w:sz w:val="18"/>
                <w:szCs w:val="18"/>
              </w:rPr>
              <w:t>0.1–1.2</w:t>
            </w:r>
          </w:p>
        </w:tc>
      </w:tr>
      <w:tr w:rsidR="00B6502F" w:rsidRPr="00834CDC" w14:paraId="06DCA065" w14:textId="77777777" w:rsidTr="004156A7">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665DFC76" w14:textId="77777777" w:rsidR="00B6502F" w:rsidRPr="00834CDC" w:rsidRDefault="00B6502F" w:rsidP="00D83B12">
            <w:pPr>
              <w:rPr>
                <w:sz w:val="18"/>
                <w:szCs w:val="18"/>
              </w:rPr>
            </w:pPr>
          </w:p>
        </w:tc>
        <w:tc>
          <w:tcPr>
            <w:tcW w:w="4949" w:type="dxa"/>
            <w:shd w:val="clear" w:color="auto" w:fill="auto"/>
            <w:hideMark/>
          </w:tcPr>
          <w:p w14:paraId="3EAB2411" w14:textId="77777777" w:rsidR="00B6502F" w:rsidRPr="00834CDC" w:rsidRDefault="00B6502F" w:rsidP="00D83B12">
            <w:pPr>
              <w:pStyle w:val="NormalWeb"/>
              <w:rPr>
                <w:sz w:val="18"/>
                <w:szCs w:val="18"/>
              </w:rPr>
            </w:pPr>
            <w:r w:rsidRPr="00834CDC">
              <w:rPr>
                <w:sz w:val="18"/>
                <w:szCs w:val="18"/>
              </w:rPr>
              <w:t>Other</w:t>
            </w:r>
          </w:p>
        </w:tc>
        <w:tc>
          <w:tcPr>
            <w:tcW w:w="567" w:type="dxa"/>
            <w:shd w:val="clear" w:color="auto" w:fill="auto"/>
            <w:hideMark/>
          </w:tcPr>
          <w:p w14:paraId="46937AEA" w14:textId="77777777" w:rsidR="00B6502F" w:rsidRPr="00834CDC" w:rsidRDefault="00B6502F" w:rsidP="00D83B12">
            <w:pPr>
              <w:pStyle w:val="NormalWeb"/>
              <w:rPr>
                <w:sz w:val="18"/>
                <w:szCs w:val="18"/>
              </w:rPr>
            </w:pPr>
            <w:r w:rsidRPr="00834CDC">
              <w:rPr>
                <w:sz w:val="18"/>
                <w:szCs w:val="18"/>
              </w:rPr>
              <w:t>141</w:t>
            </w:r>
          </w:p>
        </w:tc>
        <w:tc>
          <w:tcPr>
            <w:tcW w:w="851" w:type="dxa"/>
            <w:shd w:val="clear" w:color="auto" w:fill="auto"/>
            <w:hideMark/>
          </w:tcPr>
          <w:p w14:paraId="22DF3B93" w14:textId="77777777" w:rsidR="00B6502F" w:rsidRPr="00834CDC" w:rsidRDefault="00B6502F" w:rsidP="00D83B12">
            <w:pPr>
              <w:pStyle w:val="NormalWeb"/>
              <w:rPr>
                <w:sz w:val="18"/>
                <w:szCs w:val="18"/>
              </w:rPr>
            </w:pPr>
            <w:r w:rsidRPr="00834CDC">
              <w:rPr>
                <w:sz w:val="18"/>
                <w:szCs w:val="18"/>
              </w:rPr>
              <w:t>1.21</w:t>
            </w:r>
          </w:p>
        </w:tc>
        <w:tc>
          <w:tcPr>
            <w:tcW w:w="992" w:type="dxa"/>
            <w:vMerge/>
            <w:shd w:val="clear" w:color="auto" w:fill="auto"/>
            <w:hideMark/>
          </w:tcPr>
          <w:p w14:paraId="68FD44B3" w14:textId="77777777" w:rsidR="00B6502F" w:rsidRPr="00834CDC" w:rsidRDefault="00B6502F" w:rsidP="00D83B12">
            <w:pPr>
              <w:rPr>
                <w:sz w:val="18"/>
                <w:szCs w:val="18"/>
              </w:rPr>
            </w:pPr>
          </w:p>
        </w:tc>
        <w:tc>
          <w:tcPr>
            <w:tcW w:w="1677" w:type="dxa"/>
            <w:vMerge/>
            <w:shd w:val="clear" w:color="auto" w:fill="auto"/>
            <w:hideMark/>
          </w:tcPr>
          <w:p w14:paraId="5741801C" w14:textId="77777777" w:rsidR="00B6502F" w:rsidRPr="00834CDC" w:rsidRDefault="00B6502F" w:rsidP="00D83B12">
            <w:pPr>
              <w:rPr>
                <w:sz w:val="18"/>
                <w:szCs w:val="18"/>
              </w:rPr>
            </w:pPr>
          </w:p>
        </w:tc>
      </w:tr>
      <w:tr w:rsidR="004156A7" w:rsidRPr="00834CDC" w14:paraId="366451BD" w14:textId="77777777" w:rsidTr="004156A7">
        <w:tc>
          <w:tcPr>
            <w:tcW w:w="0" w:type="auto"/>
            <w:vMerge w:val="restart"/>
            <w:shd w:val="clear" w:color="auto" w:fill="auto"/>
            <w:hideMark/>
          </w:tcPr>
          <w:p w14:paraId="5901FD95" w14:textId="77777777" w:rsidR="00B6502F" w:rsidRPr="00834CDC" w:rsidRDefault="00B6502F" w:rsidP="00D83B12">
            <w:pPr>
              <w:pStyle w:val="NormalWeb"/>
              <w:rPr>
                <w:sz w:val="18"/>
                <w:szCs w:val="18"/>
              </w:rPr>
            </w:pPr>
            <w:r w:rsidRPr="00834CDC">
              <w:rPr>
                <w:sz w:val="18"/>
                <w:szCs w:val="18"/>
              </w:rPr>
              <w:t>15–24</w:t>
            </w:r>
          </w:p>
        </w:tc>
        <w:tc>
          <w:tcPr>
            <w:tcW w:w="4949" w:type="dxa"/>
            <w:shd w:val="clear" w:color="auto" w:fill="auto"/>
            <w:hideMark/>
          </w:tcPr>
          <w:p w14:paraId="3C6A347D" w14:textId="77777777" w:rsidR="00B6502F" w:rsidRPr="00834CDC" w:rsidRDefault="00B6502F" w:rsidP="00D83B12">
            <w:pPr>
              <w:pStyle w:val="NormalWeb"/>
              <w:rPr>
                <w:sz w:val="18"/>
                <w:szCs w:val="18"/>
              </w:rPr>
            </w:pPr>
            <w:r w:rsidRPr="00834CDC">
              <w:rPr>
                <w:sz w:val="18"/>
                <w:szCs w:val="18"/>
              </w:rPr>
              <w:t>Aboriginal and Torres Strait Islander</w:t>
            </w:r>
          </w:p>
        </w:tc>
        <w:tc>
          <w:tcPr>
            <w:tcW w:w="567" w:type="dxa"/>
            <w:shd w:val="clear" w:color="auto" w:fill="auto"/>
            <w:hideMark/>
          </w:tcPr>
          <w:p w14:paraId="516C86CF" w14:textId="77777777" w:rsidR="00B6502F" w:rsidRPr="00834CDC" w:rsidRDefault="00B6502F" w:rsidP="00D83B12">
            <w:pPr>
              <w:pStyle w:val="NormalWeb"/>
              <w:rPr>
                <w:sz w:val="18"/>
                <w:szCs w:val="18"/>
              </w:rPr>
            </w:pPr>
            <w:r w:rsidRPr="00834CDC">
              <w:rPr>
                <w:sz w:val="18"/>
                <w:szCs w:val="18"/>
              </w:rPr>
              <w:t>4</w:t>
            </w:r>
          </w:p>
        </w:tc>
        <w:tc>
          <w:tcPr>
            <w:tcW w:w="851" w:type="dxa"/>
            <w:shd w:val="clear" w:color="auto" w:fill="auto"/>
            <w:hideMark/>
          </w:tcPr>
          <w:p w14:paraId="4B7CA683" w14:textId="77777777" w:rsidR="00B6502F" w:rsidRPr="00834CDC" w:rsidRDefault="00B6502F" w:rsidP="00D83B12">
            <w:pPr>
              <w:pStyle w:val="NormalWeb"/>
              <w:rPr>
                <w:sz w:val="18"/>
                <w:szCs w:val="18"/>
              </w:rPr>
            </w:pPr>
            <w:r w:rsidRPr="00834CDC">
              <w:rPr>
                <w:sz w:val="18"/>
                <w:szCs w:val="18"/>
              </w:rPr>
              <w:t>0.63</w:t>
            </w:r>
          </w:p>
        </w:tc>
        <w:tc>
          <w:tcPr>
            <w:tcW w:w="992" w:type="dxa"/>
            <w:vMerge w:val="restart"/>
            <w:shd w:val="clear" w:color="auto" w:fill="auto"/>
            <w:hideMark/>
          </w:tcPr>
          <w:p w14:paraId="080CDE56" w14:textId="77777777" w:rsidR="00B6502F" w:rsidRPr="00834CDC" w:rsidRDefault="00B6502F" w:rsidP="00D83B12">
            <w:pPr>
              <w:pStyle w:val="NormalWeb"/>
              <w:rPr>
                <w:sz w:val="18"/>
                <w:szCs w:val="18"/>
              </w:rPr>
            </w:pPr>
            <w:r w:rsidRPr="00834CDC">
              <w:rPr>
                <w:sz w:val="18"/>
                <w:szCs w:val="18"/>
              </w:rPr>
              <w:t>0.4</w:t>
            </w:r>
          </w:p>
        </w:tc>
        <w:tc>
          <w:tcPr>
            <w:tcW w:w="1677" w:type="dxa"/>
            <w:vMerge w:val="restart"/>
            <w:shd w:val="clear" w:color="auto" w:fill="auto"/>
            <w:hideMark/>
          </w:tcPr>
          <w:p w14:paraId="70BA4E8C" w14:textId="77777777" w:rsidR="00B6502F" w:rsidRPr="00834CDC" w:rsidRDefault="00B6502F" w:rsidP="00D83B12">
            <w:pPr>
              <w:pStyle w:val="NormalWeb"/>
              <w:rPr>
                <w:sz w:val="18"/>
                <w:szCs w:val="18"/>
              </w:rPr>
            </w:pPr>
            <w:r w:rsidRPr="00834CDC">
              <w:rPr>
                <w:sz w:val="18"/>
                <w:szCs w:val="18"/>
              </w:rPr>
              <w:t>0.1–1.1</w:t>
            </w:r>
          </w:p>
        </w:tc>
      </w:tr>
      <w:tr w:rsidR="00B6502F" w:rsidRPr="00834CDC" w14:paraId="00BBD808" w14:textId="77777777" w:rsidTr="004156A7">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41A08352" w14:textId="77777777" w:rsidR="00B6502F" w:rsidRPr="00834CDC" w:rsidRDefault="00B6502F" w:rsidP="00D83B12">
            <w:pPr>
              <w:rPr>
                <w:sz w:val="18"/>
                <w:szCs w:val="18"/>
              </w:rPr>
            </w:pPr>
          </w:p>
        </w:tc>
        <w:tc>
          <w:tcPr>
            <w:tcW w:w="4949" w:type="dxa"/>
            <w:shd w:val="clear" w:color="auto" w:fill="auto"/>
            <w:hideMark/>
          </w:tcPr>
          <w:p w14:paraId="45DABB74" w14:textId="77777777" w:rsidR="00B6502F" w:rsidRPr="00834CDC" w:rsidRDefault="00B6502F" w:rsidP="00D83B12">
            <w:pPr>
              <w:pStyle w:val="NormalWeb"/>
              <w:rPr>
                <w:sz w:val="18"/>
                <w:szCs w:val="18"/>
              </w:rPr>
            </w:pPr>
            <w:r w:rsidRPr="00834CDC">
              <w:rPr>
                <w:sz w:val="18"/>
                <w:szCs w:val="18"/>
              </w:rPr>
              <w:t>Other</w:t>
            </w:r>
          </w:p>
        </w:tc>
        <w:tc>
          <w:tcPr>
            <w:tcW w:w="567" w:type="dxa"/>
            <w:shd w:val="clear" w:color="auto" w:fill="auto"/>
            <w:hideMark/>
          </w:tcPr>
          <w:p w14:paraId="735622BC" w14:textId="77777777" w:rsidR="00B6502F" w:rsidRPr="00834CDC" w:rsidRDefault="00B6502F" w:rsidP="00D83B12">
            <w:pPr>
              <w:pStyle w:val="NormalWeb"/>
              <w:rPr>
                <w:sz w:val="18"/>
                <w:szCs w:val="18"/>
              </w:rPr>
            </w:pPr>
            <w:r w:rsidRPr="00834CDC">
              <w:rPr>
                <w:sz w:val="18"/>
                <w:szCs w:val="18"/>
              </w:rPr>
              <w:t>184</w:t>
            </w:r>
          </w:p>
        </w:tc>
        <w:tc>
          <w:tcPr>
            <w:tcW w:w="851" w:type="dxa"/>
            <w:shd w:val="clear" w:color="auto" w:fill="auto"/>
            <w:hideMark/>
          </w:tcPr>
          <w:p w14:paraId="4A7F7F15" w14:textId="77777777" w:rsidR="00B6502F" w:rsidRPr="00834CDC" w:rsidRDefault="00B6502F" w:rsidP="00D83B12">
            <w:pPr>
              <w:pStyle w:val="NormalWeb"/>
              <w:rPr>
                <w:sz w:val="18"/>
                <w:szCs w:val="18"/>
              </w:rPr>
            </w:pPr>
            <w:r w:rsidRPr="00834CDC">
              <w:rPr>
                <w:sz w:val="18"/>
                <w:szCs w:val="18"/>
              </w:rPr>
              <w:t>1.50</w:t>
            </w:r>
          </w:p>
        </w:tc>
        <w:tc>
          <w:tcPr>
            <w:tcW w:w="992" w:type="dxa"/>
            <w:vMerge/>
            <w:shd w:val="clear" w:color="auto" w:fill="auto"/>
            <w:hideMark/>
          </w:tcPr>
          <w:p w14:paraId="183B1AFA" w14:textId="77777777" w:rsidR="00B6502F" w:rsidRPr="00834CDC" w:rsidRDefault="00B6502F" w:rsidP="00D83B12">
            <w:pPr>
              <w:rPr>
                <w:sz w:val="18"/>
                <w:szCs w:val="18"/>
              </w:rPr>
            </w:pPr>
          </w:p>
        </w:tc>
        <w:tc>
          <w:tcPr>
            <w:tcW w:w="1677" w:type="dxa"/>
            <w:vMerge/>
            <w:shd w:val="clear" w:color="auto" w:fill="auto"/>
            <w:hideMark/>
          </w:tcPr>
          <w:p w14:paraId="2E86B433" w14:textId="77777777" w:rsidR="00B6502F" w:rsidRPr="00834CDC" w:rsidRDefault="00B6502F" w:rsidP="00D83B12">
            <w:pPr>
              <w:rPr>
                <w:sz w:val="18"/>
                <w:szCs w:val="18"/>
              </w:rPr>
            </w:pPr>
          </w:p>
        </w:tc>
      </w:tr>
      <w:tr w:rsidR="004156A7" w:rsidRPr="00834CDC" w14:paraId="20E24130" w14:textId="77777777" w:rsidTr="004156A7">
        <w:tc>
          <w:tcPr>
            <w:tcW w:w="0" w:type="auto"/>
            <w:vMerge w:val="restart"/>
            <w:shd w:val="clear" w:color="auto" w:fill="auto"/>
            <w:hideMark/>
          </w:tcPr>
          <w:p w14:paraId="415B53AB" w14:textId="77777777" w:rsidR="00B6502F" w:rsidRPr="00834CDC" w:rsidRDefault="00B6502F" w:rsidP="00D83B12">
            <w:pPr>
              <w:pStyle w:val="NormalWeb"/>
              <w:rPr>
                <w:sz w:val="18"/>
                <w:szCs w:val="18"/>
              </w:rPr>
            </w:pPr>
            <w:r w:rsidRPr="00834CDC">
              <w:rPr>
                <w:sz w:val="18"/>
                <w:szCs w:val="18"/>
              </w:rPr>
              <w:t>25–49</w:t>
            </w:r>
          </w:p>
        </w:tc>
        <w:tc>
          <w:tcPr>
            <w:tcW w:w="4949" w:type="dxa"/>
            <w:shd w:val="clear" w:color="auto" w:fill="auto"/>
            <w:hideMark/>
          </w:tcPr>
          <w:p w14:paraId="67A599C4" w14:textId="77777777" w:rsidR="00B6502F" w:rsidRPr="00834CDC" w:rsidRDefault="00B6502F" w:rsidP="00D83B12">
            <w:pPr>
              <w:pStyle w:val="NormalWeb"/>
              <w:rPr>
                <w:sz w:val="18"/>
                <w:szCs w:val="18"/>
              </w:rPr>
            </w:pPr>
            <w:r w:rsidRPr="00834CDC">
              <w:rPr>
                <w:sz w:val="18"/>
                <w:szCs w:val="18"/>
              </w:rPr>
              <w:t>Aboriginal and Torres Strait Islander</w:t>
            </w:r>
          </w:p>
        </w:tc>
        <w:tc>
          <w:tcPr>
            <w:tcW w:w="567" w:type="dxa"/>
            <w:shd w:val="clear" w:color="auto" w:fill="auto"/>
            <w:hideMark/>
          </w:tcPr>
          <w:p w14:paraId="5708E6EB" w14:textId="77777777" w:rsidR="00B6502F" w:rsidRPr="00834CDC" w:rsidRDefault="00B6502F" w:rsidP="00D83B12">
            <w:pPr>
              <w:pStyle w:val="NormalWeb"/>
              <w:rPr>
                <w:sz w:val="18"/>
                <w:szCs w:val="18"/>
              </w:rPr>
            </w:pPr>
            <w:r w:rsidRPr="00834CDC">
              <w:rPr>
                <w:sz w:val="18"/>
                <w:szCs w:val="18"/>
              </w:rPr>
              <w:t>7</w:t>
            </w:r>
          </w:p>
        </w:tc>
        <w:tc>
          <w:tcPr>
            <w:tcW w:w="851" w:type="dxa"/>
            <w:shd w:val="clear" w:color="auto" w:fill="auto"/>
            <w:hideMark/>
          </w:tcPr>
          <w:p w14:paraId="0B8FA2BC" w14:textId="77777777" w:rsidR="00B6502F" w:rsidRPr="00834CDC" w:rsidRDefault="00B6502F" w:rsidP="00D83B12">
            <w:pPr>
              <w:pStyle w:val="NormalWeb"/>
              <w:rPr>
                <w:sz w:val="18"/>
                <w:szCs w:val="18"/>
              </w:rPr>
            </w:pPr>
            <w:r w:rsidRPr="00834CDC">
              <w:rPr>
                <w:sz w:val="18"/>
                <w:szCs w:val="18"/>
              </w:rPr>
              <w:t>0.69</w:t>
            </w:r>
          </w:p>
        </w:tc>
        <w:tc>
          <w:tcPr>
            <w:tcW w:w="992" w:type="dxa"/>
            <w:vMerge w:val="restart"/>
            <w:shd w:val="clear" w:color="auto" w:fill="auto"/>
            <w:hideMark/>
          </w:tcPr>
          <w:p w14:paraId="2062C637" w14:textId="77777777" w:rsidR="00B6502F" w:rsidRPr="00834CDC" w:rsidRDefault="00B6502F" w:rsidP="00D83B12">
            <w:pPr>
              <w:pStyle w:val="NormalWeb"/>
              <w:rPr>
                <w:sz w:val="18"/>
                <w:szCs w:val="18"/>
              </w:rPr>
            </w:pPr>
            <w:r w:rsidRPr="00834CDC">
              <w:rPr>
                <w:sz w:val="18"/>
                <w:szCs w:val="18"/>
              </w:rPr>
              <w:t>0.5</w:t>
            </w:r>
          </w:p>
        </w:tc>
        <w:tc>
          <w:tcPr>
            <w:tcW w:w="1677" w:type="dxa"/>
            <w:vMerge w:val="restart"/>
            <w:shd w:val="clear" w:color="auto" w:fill="auto"/>
            <w:hideMark/>
          </w:tcPr>
          <w:p w14:paraId="085ADD23" w14:textId="77777777" w:rsidR="00B6502F" w:rsidRPr="00834CDC" w:rsidRDefault="00B6502F" w:rsidP="00D83B12">
            <w:pPr>
              <w:pStyle w:val="NormalWeb"/>
              <w:rPr>
                <w:sz w:val="18"/>
                <w:szCs w:val="18"/>
              </w:rPr>
            </w:pPr>
            <w:r w:rsidRPr="00834CDC">
              <w:rPr>
                <w:sz w:val="18"/>
                <w:szCs w:val="18"/>
              </w:rPr>
              <w:t>0.2–1.0</w:t>
            </w:r>
          </w:p>
        </w:tc>
      </w:tr>
      <w:tr w:rsidR="00B6502F" w:rsidRPr="00834CDC" w14:paraId="43293146" w14:textId="77777777" w:rsidTr="004156A7">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22EB8E21" w14:textId="77777777" w:rsidR="00B6502F" w:rsidRPr="00834CDC" w:rsidRDefault="00B6502F" w:rsidP="00D83B12">
            <w:pPr>
              <w:rPr>
                <w:sz w:val="18"/>
                <w:szCs w:val="18"/>
              </w:rPr>
            </w:pPr>
          </w:p>
        </w:tc>
        <w:tc>
          <w:tcPr>
            <w:tcW w:w="4949" w:type="dxa"/>
            <w:shd w:val="clear" w:color="auto" w:fill="auto"/>
            <w:hideMark/>
          </w:tcPr>
          <w:p w14:paraId="41B84A9A" w14:textId="77777777" w:rsidR="00B6502F" w:rsidRPr="00834CDC" w:rsidRDefault="00B6502F" w:rsidP="00D83B12">
            <w:pPr>
              <w:pStyle w:val="NormalWeb"/>
              <w:rPr>
                <w:sz w:val="18"/>
                <w:szCs w:val="18"/>
              </w:rPr>
            </w:pPr>
            <w:r w:rsidRPr="00834CDC">
              <w:rPr>
                <w:sz w:val="18"/>
                <w:szCs w:val="18"/>
              </w:rPr>
              <w:t>Other</w:t>
            </w:r>
          </w:p>
        </w:tc>
        <w:tc>
          <w:tcPr>
            <w:tcW w:w="567" w:type="dxa"/>
            <w:shd w:val="clear" w:color="auto" w:fill="auto"/>
            <w:hideMark/>
          </w:tcPr>
          <w:p w14:paraId="5612BBC7" w14:textId="77777777" w:rsidR="00B6502F" w:rsidRPr="00834CDC" w:rsidRDefault="00B6502F" w:rsidP="00D83B12">
            <w:pPr>
              <w:pStyle w:val="NormalWeb"/>
              <w:rPr>
                <w:sz w:val="18"/>
                <w:szCs w:val="18"/>
              </w:rPr>
            </w:pPr>
            <w:r w:rsidRPr="00834CDC">
              <w:rPr>
                <w:sz w:val="18"/>
                <w:szCs w:val="18"/>
              </w:rPr>
              <w:t>477</w:t>
            </w:r>
          </w:p>
        </w:tc>
        <w:tc>
          <w:tcPr>
            <w:tcW w:w="851" w:type="dxa"/>
            <w:shd w:val="clear" w:color="auto" w:fill="auto"/>
            <w:hideMark/>
          </w:tcPr>
          <w:p w14:paraId="27BAA639" w14:textId="77777777" w:rsidR="00B6502F" w:rsidRPr="00834CDC" w:rsidRDefault="00B6502F" w:rsidP="00D83B12">
            <w:pPr>
              <w:pStyle w:val="NormalWeb"/>
              <w:rPr>
                <w:sz w:val="18"/>
                <w:szCs w:val="18"/>
              </w:rPr>
            </w:pPr>
            <w:r w:rsidRPr="00834CDC">
              <w:rPr>
                <w:sz w:val="18"/>
                <w:szCs w:val="18"/>
              </w:rPr>
              <w:t>1.42</w:t>
            </w:r>
          </w:p>
        </w:tc>
        <w:tc>
          <w:tcPr>
            <w:tcW w:w="992" w:type="dxa"/>
            <w:vMerge/>
            <w:shd w:val="clear" w:color="auto" w:fill="auto"/>
            <w:hideMark/>
          </w:tcPr>
          <w:p w14:paraId="3E87A5E2" w14:textId="77777777" w:rsidR="00B6502F" w:rsidRPr="00834CDC" w:rsidRDefault="00B6502F" w:rsidP="00D83B12">
            <w:pPr>
              <w:rPr>
                <w:sz w:val="18"/>
                <w:szCs w:val="18"/>
              </w:rPr>
            </w:pPr>
          </w:p>
        </w:tc>
        <w:tc>
          <w:tcPr>
            <w:tcW w:w="1677" w:type="dxa"/>
            <w:vMerge/>
            <w:shd w:val="clear" w:color="auto" w:fill="auto"/>
            <w:hideMark/>
          </w:tcPr>
          <w:p w14:paraId="74F3AC62" w14:textId="77777777" w:rsidR="00B6502F" w:rsidRPr="00834CDC" w:rsidRDefault="00B6502F" w:rsidP="00D83B12">
            <w:pPr>
              <w:rPr>
                <w:sz w:val="18"/>
                <w:szCs w:val="18"/>
              </w:rPr>
            </w:pPr>
          </w:p>
        </w:tc>
      </w:tr>
      <w:tr w:rsidR="004156A7" w:rsidRPr="00834CDC" w14:paraId="5D4DA6D7" w14:textId="77777777" w:rsidTr="004156A7">
        <w:tc>
          <w:tcPr>
            <w:tcW w:w="0" w:type="auto"/>
            <w:vMerge w:val="restart"/>
            <w:shd w:val="clear" w:color="auto" w:fill="auto"/>
            <w:hideMark/>
          </w:tcPr>
          <w:p w14:paraId="1E542612" w14:textId="77777777" w:rsidR="00B6502F" w:rsidRPr="00834CDC" w:rsidRDefault="00B6502F" w:rsidP="00D83B12">
            <w:pPr>
              <w:pStyle w:val="NormalWeb"/>
              <w:rPr>
                <w:sz w:val="18"/>
                <w:szCs w:val="18"/>
              </w:rPr>
            </w:pPr>
            <w:r w:rsidRPr="00834CDC">
              <w:rPr>
                <w:sz w:val="18"/>
                <w:szCs w:val="18"/>
              </w:rPr>
              <w:t>50+</w:t>
            </w:r>
          </w:p>
        </w:tc>
        <w:tc>
          <w:tcPr>
            <w:tcW w:w="4949" w:type="dxa"/>
            <w:shd w:val="clear" w:color="auto" w:fill="auto"/>
            <w:hideMark/>
          </w:tcPr>
          <w:p w14:paraId="1D4539A3" w14:textId="77777777" w:rsidR="00B6502F" w:rsidRPr="00834CDC" w:rsidRDefault="00B6502F" w:rsidP="00D83B12">
            <w:pPr>
              <w:pStyle w:val="NormalWeb"/>
              <w:rPr>
                <w:sz w:val="18"/>
                <w:szCs w:val="18"/>
              </w:rPr>
            </w:pPr>
            <w:r w:rsidRPr="00834CDC">
              <w:rPr>
                <w:sz w:val="18"/>
                <w:szCs w:val="18"/>
              </w:rPr>
              <w:t>Aboriginal and Torres Strait Islander</w:t>
            </w:r>
          </w:p>
        </w:tc>
        <w:tc>
          <w:tcPr>
            <w:tcW w:w="567" w:type="dxa"/>
            <w:shd w:val="clear" w:color="auto" w:fill="auto"/>
            <w:hideMark/>
          </w:tcPr>
          <w:p w14:paraId="03C0E56E" w14:textId="77777777" w:rsidR="00B6502F" w:rsidRPr="00834CDC" w:rsidRDefault="00B6502F" w:rsidP="00D83B12">
            <w:pPr>
              <w:pStyle w:val="NormalWeb"/>
              <w:rPr>
                <w:sz w:val="18"/>
                <w:szCs w:val="18"/>
              </w:rPr>
            </w:pPr>
            <w:r w:rsidRPr="00834CDC">
              <w:rPr>
                <w:sz w:val="18"/>
                <w:szCs w:val="18"/>
              </w:rPr>
              <w:t>1</w:t>
            </w:r>
          </w:p>
        </w:tc>
        <w:tc>
          <w:tcPr>
            <w:tcW w:w="851" w:type="dxa"/>
            <w:shd w:val="clear" w:color="auto" w:fill="auto"/>
            <w:hideMark/>
          </w:tcPr>
          <w:p w14:paraId="1A2E5DD1" w14:textId="77777777" w:rsidR="00B6502F" w:rsidRPr="00834CDC" w:rsidRDefault="00B6502F" w:rsidP="00D83B12">
            <w:pPr>
              <w:pStyle w:val="NormalWeb"/>
              <w:rPr>
                <w:sz w:val="18"/>
                <w:szCs w:val="18"/>
              </w:rPr>
            </w:pPr>
            <w:r w:rsidRPr="00834CDC">
              <w:rPr>
                <w:sz w:val="18"/>
                <w:szCs w:val="18"/>
              </w:rPr>
              <w:t>0.19</w:t>
            </w:r>
          </w:p>
        </w:tc>
        <w:tc>
          <w:tcPr>
            <w:tcW w:w="992" w:type="dxa"/>
            <w:vMerge w:val="restart"/>
            <w:shd w:val="clear" w:color="auto" w:fill="auto"/>
            <w:hideMark/>
          </w:tcPr>
          <w:p w14:paraId="7FD1DEE2" w14:textId="77777777" w:rsidR="00B6502F" w:rsidRPr="00834CDC" w:rsidRDefault="00B6502F" w:rsidP="00D83B12">
            <w:pPr>
              <w:pStyle w:val="NormalWeb"/>
              <w:rPr>
                <w:sz w:val="18"/>
                <w:szCs w:val="18"/>
              </w:rPr>
            </w:pPr>
            <w:r w:rsidRPr="00834CDC">
              <w:rPr>
                <w:sz w:val="18"/>
                <w:szCs w:val="18"/>
              </w:rPr>
              <w:t>0.4</w:t>
            </w:r>
          </w:p>
        </w:tc>
        <w:tc>
          <w:tcPr>
            <w:tcW w:w="1677" w:type="dxa"/>
            <w:vMerge w:val="restart"/>
            <w:shd w:val="clear" w:color="auto" w:fill="auto"/>
            <w:hideMark/>
          </w:tcPr>
          <w:p w14:paraId="31607AA4" w14:textId="77777777" w:rsidR="00B6502F" w:rsidRPr="00834CDC" w:rsidRDefault="00B6502F" w:rsidP="00D83B12">
            <w:pPr>
              <w:pStyle w:val="NormalWeb"/>
              <w:rPr>
                <w:sz w:val="18"/>
                <w:szCs w:val="18"/>
              </w:rPr>
            </w:pPr>
            <w:r w:rsidRPr="00834CDC">
              <w:rPr>
                <w:sz w:val="18"/>
                <w:szCs w:val="18"/>
              </w:rPr>
              <w:t>0.0–2.2</w:t>
            </w:r>
          </w:p>
        </w:tc>
      </w:tr>
      <w:tr w:rsidR="00B6502F" w:rsidRPr="00834CDC" w14:paraId="1A13C14C" w14:textId="77777777" w:rsidTr="004156A7">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070667F7" w14:textId="77777777" w:rsidR="00B6502F" w:rsidRPr="00834CDC" w:rsidRDefault="00B6502F" w:rsidP="00D83B12">
            <w:pPr>
              <w:rPr>
                <w:sz w:val="18"/>
                <w:szCs w:val="18"/>
              </w:rPr>
            </w:pPr>
          </w:p>
        </w:tc>
        <w:tc>
          <w:tcPr>
            <w:tcW w:w="4949" w:type="dxa"/>
            <w:shd w:val="clear" w:color="auto" w:fill="auto"/>
            <w:hideMark/>
          </w:tcPr>
          <w:p w14:paraId="1BCF2AC0" w14:textId="77777777" w:rsidR="00B6502F" w:rsidRPr="00834CDC" w:rsidRDefault="00B6502F" w:rsidP="00D83B12">
            <w:pPr>
              <w:pStyle w:val="NormalWeb"/>
              <w:rPr>
                <w:sz w:val="18"/>
                <w:szCs w:val="18"/>
              </w:rPr>
            </w:pPr>
            <w:r w:rsidRPr="00834CDC">
              <w:rPr>
                <w:sz w:val="18"/>
                <w:szCs w:val="18"/>
              </w:rPr>
              <w:t>Other</w:t>
            </w:r>
          </w:p>
        </w:tc>
        <w:tc>
          <w:tcPr>
            <w:tcW w:w="567" w:type="dxa"/>
            <w:shd w:val="clear" w:color="auto" w:fill="auto"/>
            <w:hideMark/>
          </w:tcPr>
          <w:p w14:paraId="75A7CE2E" w14:textId="77777777" w:rsidR="00B6502F" w:rsidRPr="00834CDC" w:rsidRDefault="00B6502F" w:rsidP="00D83B12">
            <w:pPr>
              <w:pStyle w:val="NormalWeb"/>
              <w:rPr>
                <w:sz w:val="18"/>
                <w:szCs w:val="18"/>
              </w:rPr>
            </w:pPr>
            <w:r w:rsidRPr="00834CDC">
              <w:rPr>
                <w:sz w:val="18"/>
                <w:szCs w:val="18"/>
              </w:rPr>
              <w:t>154</w:t>
            </w:r>
          </w:p>
        </w:tc>
        <w:tc>
          <w:tcPr>
            <w:tcW w:w="851" w:type="dxa"/>
            <w:shd w:val="clear" w:color="auto" w:fill="auto"/>
            <w:hideMark/>
          </w:tcPr>
          <w:p w14:paraId="419DB106" w14:textId="77777777" w:rsidR="00B6502F" w:rsidRPr="00834CDC" w:rsidRDefault="00B6502F" w:rsidP="00D83B12">
            <w:pPr>
              <w:pStyle w:val="NormalWeb"/>
              <w:rPr>
                <w:sz w:val="18"/>
                <w:szCs w:val="18"/>
              </w:rPr>
            </w:pPr>
            <w:r w:rsidRPr="00834CDC">
              <w:rPr>
                <w:sz w:val="18"/>
                <w:szCs w:val="18"/>
              </w:rPr>
              <w:t>0.47</w:t>
            </w:r>
          </w:p>
        </w:tc>
        <w:tc>
          <w:tcPr>
            <w:tcW w:w="992" w:type="dxa"/>
            <w:vMerge/>
            <w:shd w:val="clear" w:color="auto" w:fill="auto"/>
            <w:hideMark/>
          </w:tcPr>
          <w:p w14:paraId="599D05D3" w14:textId="77777777" w:rsidR="00B6502F" w:rsidRPr="00834CDC" w:rsidRDefault="00B6502F" w:rsidP="00D83B12">
            <w:pPr>
              <w:rPr>
                <w:sz w:val="18"/>
                <w:szCs w:val="18"/>
              </w:rPr>
            </w:pPr>
          </w:p>
        </w:tc>
        <w:tc>
          <w:tcPr>
            <w:tcW w:w="1677" w:type="dxa"/>
            <w:vMerge/>
            <w:shd w:val="clear" w:color="auto" w:fill="auto"/>
            <w:hideMark/>
          </w:tcPr>
          <w:p w14:paraId="77F556E7" w14:textId="77777777" w:rsidR="00B6502F" w:rsidRPr="00834CDC" w:rsidRDefault="00B6502F" w:rsidP="00D83B12">
            <w:pPr>
              <w:rPr>
                <w:sz w:val="18"/>
                <w:szCs w:val="18"/>
              </w:rPr>
            </w:pPr>
          </w:p>
        </w:tc>
      </w:tr>
      <w:tr w:rsidR="00B6502F" w:rsidRPr="00834CDC" w14:paraId="1CABE8E2" w14:textId="77777777" w:rsidTr="004156A7">
        <w:tc>
          <w:tcPr>
            <w:tcW w:w="0" w:type="auto"/>
            <w:vMerge w:val="restart"/>
            <w:shd w:val="clear" w:color="auto" w:fill="F7ECDD"/>
            <w:hideMark/>
          </w:tcPr>
          <w:p w14:paraId="02EB5150" w14:textId="77777777" w:rsidR="00B6502F" w:rsidRPr="00834CDC" w:rsidRDefault="00B6502F" w:rsidP="00D83B12">
            <w:pPr>
              <w:pStyle w:val="NormalWeb"/>
              <w:rPr>
                <w:b/>
                <w:bCs/>
                <w:sz w:val="18"/>
                <w:szCs w:val="18"/>
              </w:rPr>
            </w:pPr>
            <w:r w:rsidRPr="00834CDC">
              <w:rPr>
                <w:b/>
                <w:bCs/>
                <w:sz w:val="18"/>
                <w:szCs w:val="18"/>
              </w:rPr>
              <w:t xml:space="preserve">All ages </w:t>
            </w:r>
            <w:r w:rsidRPr="00834CDC">
              <w:rPr>
                <w:b/>
                <w:bCs/>
                <w:sz w:val="18"/>
                <w:szCs w:val="18"/>
                <w:vertAlign w:val="superscript"/>
              </w:rPr>
              <w:t>c</w:t>
            </w:r>
          </w:p>
        </w:tc>
        <w:tc>
          <w:tcPr>
            <w:tcW w:w="4949" w:type="dxa"/>
            <w:shd w:val="clear" w:color="auto" w:fill="F7ECDD"/>
            <w:hideMark/>
          </w:tcPr>
          <w:p w14:paraId="189B0F3B" w14:textId="77777777" w:rsidR="00B6502F" w:rsidRPr="00834CDC" w:rsidRDefault="00B6502F" w:rsidP="00D83B12">
            <w:pPr>
              <w:pStyle w:val="NormalWeb"/>
              <w:rPr>
                <w:b/>
                <w:bCs/>
                <w:sz w:val="18"/>
                <w:szCs w:val="18"/>
              </w:rPr>
            </w:pPr>
            <w:r w:rsidRPr="00834CDC">
              <w:rPr>
                <w:b/>
                <w:bCs/>
                <w:sz w:val="18"/>
                <w:szCs w:val="18"/>
              </w:rPr>
              <w:t>Aboriginal and Torres Strait Islander</w:t>
            </w:r>
          </w:p>
        </w:tc>
        <w:tc>
          <w:tcPr>
            <w:tcW w:w="567" w:type="dxa"/>
            <w:shd w:val="clear" w:color="auto" w:fill="F7ECDD"/>
            <w:hideMark/>
          </w:tcPr>
          <w:p w14:paraId="0FA40183" w14:textId="77777777" w:rsidR="00B6502F" w:rsidRPr="00834CDC" w:rsidRDefault="00B6502F" w:rsidP="00D83B12">
            <w:pPr>
              <w:pStyle w:val="NormalWeb"/>
              <w:rPr>
                <w:b/>
                <w:bCs/>
                <w:sz w:val="18"/>
                <w:szCs w:val="18"/>
              </w:rPr>
            </w:pPr>
            <w:r w:rsidRPr="00834CDC">
              <w:rPr>
                <w:b/>
                <w:bCs/>
                <w:sz w:val="18"/>
                <w:szCs w:val="18"/>
              </w:rPr>
              <w:t>16</w:t>
            </w:r>
          </w:p>
        </w:tc>
        <w:tc>
          <w:tcPr>
            <w:tcW w:w="851" w:type="dxa"/>
            <w:shd w:val="clear" w:color="auto" w:fill="F7ECDD"/>
            <w:hideMark/>
          </w:tcPr>
          <w:p w14:paraId="21DAB61D" w14:textId="77777777" w:rsidR="00B6502F" w:rsidRPr="00834CDC" w:rsidRDefault="00B6502F" w:rsidP="00D83B12">
            <w:pPr>
              <w:pStyle w:val="NormalWeb"/>
              <w:rPr>
                <w:b/>
                <w:bCs/>
                <w:sz w:val="18"/>
                <w:szCs w:val="18"/>
              </w:rPr>
            </w:pPr>
            <w:r w:rsidRPr="00834CDC">
              <w:rPr>
                <w:b/>
                <w:bCs/>
                <w:sz w:val="18"/>
                <w:szCs w:val="18"/>
              </w:rPr>
              <w:t>0.45</w:t>
            </w:r>
          </w:p>
        </w:tc>
        <w:tc>
          <w:tcPr>
            <w:tcW w:w="992" w:type="dxa"/>
            <w:vMerge w:val="restart"/>
            <w:shd w:val="clear" w:color="auto" w:fill="F7ECDD"/>
            <w:hideMark/>
          </w:tcPr>
          <w:p w14:paraId="5E8940DD" w14:textId="77777777" w:rsidR="00B6502F" w:rsidRPr="00834CDC" w:rsidRDefault="00B6502F" w:rsidP="00D83B12">
            <w:pPr>
              <w:pStyle w:val="NormalWeb"/>
              <w:rPr>
                <w:b/>
                <w:bCs/>
                <w:sz w:val="18"/>
                <w:szCs w:val="18"/>
              </w:rPr>
            </w:pPr>
            <w:r w:rsidRPr="00834CDC">
              <w:rPr>
                <w:b/>
                <w:bCs/>
                <w:sz w:val="18"/>
                <w:szCs w:val="18"/>
              </w:rPr>
              <w:t>0.4</w:t>
            </w:r>
          </w:p>
        </w:tc>
        <w:tc>
          <w:tcPr>
            <w:tcW w:w="1677" w:type="dxa"/>
            <w:vMerge w:val="restart"/>
            <w:shd w:val="clear" w:color="auto" w:fill="F7ECDD"/>
            <w:hideMark/>
          </w:tcPr>
          <w:p w14:paraId="528A3F51" w14:textId="77777777" w:rsidR="00B6502F" w:rsidRPr="00834CDC" w:rsidRDefault="00B6502F" w:rsidP="00D83B12">
            <w:pPr>
              <w:pStyle w:val="NormalWeb"/>
              <w:rPr>
                <w:b/>
                <w:bCs/>
                <w:sz w:val="18"/>
                <w:szCs w:val="18"/>
              </w:rPr>
            </w:pPr>
            <w:r w:rsidRPr="00834CDC">
              <w:rPr>
                <w:b/>
                <w:bCs/>
                <w:sz w:val="18"/>
                <w:szCs w:val="18"/>
              </w:rPr>
              <w:t>0.2–0.7</w:t>
            </w:r>
          </w:p>
        </w:tc>
      </w:tr>
      <w:tr w:rsidR="00B6502F" w:rsidRPr="00834CDC" w14:paraId="7F958D57" w14:textId="77777777" w:rsidTr="004156A7">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0A11F382" w14:textId="77777777" w:rsidR="00B6502F" w:rsidRPr="00834CDC" w:rsidRDefault="00B6502F" w:rsidP="00D83B12">
            <w:pPr>
              <w:rPr>
                <w:sz w:val="18"/>
                <w:szCs w:val="18"/>
              </w:rPr>
            </w:pPr>
          </w:p>
        </w:tc>
        <w:tc>
          <w:tcPr>
            <w:tcW w:w="4949" w:type="dxa"/>
            <w:shd w:val="clear" w:color="auto" w:fill="F7ECDD"/>
            <w:hideMark/>
          </w:tcPr>
          <w:p w14:paraId="6DB767B0" w14:textId="77777777" w:rsidR="00B6502F" w:rsidRPr="00834CDC" w:rsidRDefault="00B6502F" w:rsidP="00D83B12">
            <w:pPr>
              <w:pStyle w:val="NormalWeb"/>
              <w:rPr>
                <w:b/>
                <w:bCs/>
                <w:sz w:val="18"/>
                <w:szCs w:val="18"/>
              </w:rPr>
            </w:pPr>
            <w:r w:rsidRPr="00834CDC">
              <w:rPr>
                <w:b/>
                <w:bCs/>
                <w:sz w:val="18"/>
                <w:szCs w:val="18"/>
              </w:rPr>
              <w:t>Other</w:t>
            </w:r>
          </w:p>
        </w:tc>
        <w:tc>
          <w:tcPr>
            <w:tcW w:w="567" w:type="dxa"/>
            <w:shd w:val="clear" w:color="auto" w:fill="F7ECDD"/>
            <w:hideMark/>
          </w:tcPr>
          <w:p w14:paraId="3011C43F" w14:textId="77777777" w:rsidR="00B6502F" w:rsidRPr="00834CDC" w:rsidRDefault="00B6502F" w:rsidP="00D83B12">
            <w:pPr>
              <w:pStyle w:val="NormalWeb"/>
              <w:rPr>
                <w:b/>
                <w:bCs/>
                <w:sz w:val="18"/>
                <w:szCs w:val="18"/>
              </w:rPr>
            </w:pPr>
            <w:r w:rsidRPr="00834CDC">
              <w:rPr>
                <w:b/>
                <w:bCs/>
                <w:sz w:val="18"/>
                <w:szCs w:val="18"/>
              </w:rPr>
              <w:t>1,026</w:t>
            </w:r>
          </w:p>
        </w:tc>
        <w:tc>
          <w:tcPr>
            <w:tcW w:w="851" w:type="dxa"/>
            <w:shd w:val="clear" w:color="auto" w:fill="F7ECDD"/>
            <w:hideMark/>
          </w:tcPr>
          <w:p w14:paraId="34A281B9" w14:textId="77777777" w:rsidR="00B6502F" w:rsidRPr="00834CDC" w:rsidRDefault="00B6502F" w:rsidP="00D83B12">
            <w:pPr>
              <w:pStyle w:val="NormalWeb"/>
              <w:rPr>
                <w:b/>
                <w:bCs/>
                <w:sz w:val="18"/>
                <w:szCs w:val="18"/>
              </w:rPr>
            </w:pPr>
            <w:r w:rsidRPr="00834CDC">
              <w:rPr>
                <w:b/>
                <w:bCs/>
                <w:sz w:val="18"/>
                <w:szCs w:val="18"/>
              </w:rPr>
              <w:t>1.08</w:t>
            </w:r>
          </w:p>
        </w:tc>
        <w:tc>
          <w:tcPr>
            <w:tcW w:w="992" w:type="dxa"/>
            <w:vMerge/>
            <w:shd w:val="clear" w:color="auto" w:fill="F7ECDD"/>
            <w:hideMark/>
          </w:tcPr>
          <w:p w14:paraId="59577211" w14:textId="77777777" w:rsidR="00B6502F" w:rsidRPr="00834CDC" w:rsidRDefault="00B6502F" w:rsidP="00D83B12">
            <w:pPr>
              <w:rPr>
                <w:b/>
                <w:bCs/>
                <w:sz w:val="18"/>
                <w:szCs w:val="18"/>
              </w:rPr>
            </w:pPr>
          </w:p>
        </w:tc>
        <w:tc>
          <w:tcPr>
            <w:tcW w:w="1677" w:type="dxa"/>
            <w:vMerge/>
            <w:shd w:val="clear" w:color="auto" w:fill="F7ECDD"/>
            <w:hideMark/>
          </w:tcPr>
          <w:p w14:paraId="0ABFEA8B" w14:textId="77777777" w:rsidR="00B6502F" w:rsidRPr="00834CDC" w:rsidRDefault="00B6502F" w:rsidP="00D83B12">
            <w:pPr>
              <w:rPr>
                <w:b/>
                <w:bCs/>
                <w:sz w:val="18"/>
                <w:szCs w:val="18"/>
              </w:rPr>
            </w:pPr>
          </w:p>
        </w:tc>
      </w:tr>
    </w:tbl>
    <w:p w14:paraId="275C4150" w14:textId="77777777" w:rsidR="00B6502F" w:rsidRPr="00834CDC" w:rsidRDefault="00B6502F" w:rsidP="00B6502F">
      <w:pPr>
        <w:pStyle w:val="CDIfootnotes"/>
      </w:pPr>
      <w:r w:rsidRPr="00834CDC">
        <w:t>a</w:t>
      </w:r>
      <w:r w:rsidRPr="00834CDC">
        <w:tab/>
        <w:t>Notifications where the date of diagnosis was between 1 January 2016 and 31 December 2019.</w:t>
      </w:r>
    </w:p>
    <w:p w14:paraId="19425389" w14:textId="77777777" w:rsidR="00B6502F" w:rsidRPr="00834CDC" w:rsidRDefault="00B6502F" w:rsidP="00B6502F">
      <w:pPr>
        <w:pStyle w:val="CDIfootnotes"/>
      </w:pPr>
      <w:r w:rsidRPr="00834CDC">
        <w:t>b</w:t>
      </w:r>
      <w:r w:rsidRPr="00834CDC">
        <w:tab/>
        <w:t>Average annual age-specific rate per 100,000 population.</w:t>
      </w:r>
    </w:p>
    <w:p w14:paraId="208B6E76" w14:textId="77777777" w:rsidR="00B6502F" w:rsidRPr="00834CDC" w:rsidRDefault="00B6502F" w:rsidP="00B6502F">
      <w:pPr>
        <w:pStyle w:val="CDIfootnotes"/>
      </w:pPr>
      <w:r w:rsidRPr="00834CDC">
        <w:t>c</w:t>
      </w:r>
      <w:r w:rsidRPr="00834CDC">
        <w:tab/>
        <w:t>Rates for all ages combined are age-standardised in standard population following the ABS Australian population estimates for 2016.</w:t>
      </w:r>
    </w:p>
    <w:p w14:paraId="027F2E89" w14:textId="4122AAAE" w:rsidR="00B6502F" w:rsidRPr="00834CDC" w:rsidRDefault="00B6502F" w:rsidP="00B6502F">
      <w:pPr>
        <w:pStyle w:val="CDIFigures"/>
      </w:pPr>
      <w:r w:rsidRPr="00834CDC">
        <w:rPr>
          <w:rStyle w:val="Strong"/>
          <w:b/>
          <w:bCs w:val="0"/>
        </w:rPr>
        <w:t>Figure 2: Hepatitis A notification rates, Australia (all states and territories), 2010–</w:t>
      </w:r>
      <w:proofErr w:type="gramStart"/>
      <w:r w:rsidRPr="00834CDC">
        <w:rPr>
          <w:rStyle w:val="Strong"/>
          <w:b/>
          <w:bCs w:val="0"/>
        </w:rPr>
        <w:t>2019,</w:t>
      </w:r>
      <w:r w:rsidRPr="00834CDC">
        <w:rPr>
          <w:rStyle w:val="Strong"/>
          <w:b/>
          <w:bCs w:val="0"/>
          <w:vertAlign w:val="superscript"/>
        </w:rPr>
        <w:t>a</w:t>
      </w:r>
      <w:proofErr w:type="gramEnd"/>
      <w:r w:rsidRPr="00834CDC">
        <w:rPr>
          <w:rStyle w:val="Strong"/>
          <w:b/>
          <w:bCs w:val="0"/>
        </w:rPr>
        <w:t xml:space="preserve"> by Aboriginal and Torres Strait Islander status</w:t>
      </w:r>
    </w:p>
    <w:p w14:paraId="6428E1F5" w14:textId="77777777" w:rsidR="00B6502F" w:rsidRPr="00834CDC" w:rsidRDefault="00B6502F" w:rsidP="004156A7">
      <w:pPr>
        <w:pStyle w:val="NormalWeb"/>
        <w:spacing w:before="0" w:beforeAutospacing="0" w:after="0" w:afterAutospacing="0" w:line="240" w:lineRule="auto"/>
        <w:jc w:val="center"/>
      </w:pPr>
      <w:r w:rsidRPr="00834CDC">
        <w:rPr>
          <w:noProof/>
        </w:rPr>
        <w:drawing>
          <wp:inline distT="0" distB="0" distL="0" distR="0" wp14:anchorId="0CFA2FA6" wp14:editId="5C17035B">
            <wp:extent cx="5902657" cy="3850837"/>
            <wp:effectExtent l="0" t="0" r="3175" b="0"/>
            <wp:docPr id="35" name="Picture 35" descr="Line graph showing notification rates for hepatitis A for the period 2010 to 2019. Rates were lower in Aboriginal and Torres Strait Islander people than in other people, in every year. In 2019, the rate was 0.1 per 100,000 population for Aboriginal and Torres Strait Islander people and 1.0 per 100,000 population for other Australian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ph showing notification rates for hepatitis A for the period 2010 to 2019. Rates were lower in Aboriginal and Torres Strait Islander people than in other people, in every year. In 2019, the rate was 0.1 per 100,000 population for Aboriginal and Torres Strait Islander people and 1.0 per 100,000 population for other Australians.  &#10;"/>
                    <pic:cNvPicPr>
                      <a:picLocks noChangeAspect="1" noChangeArrowheads="1"/>
                    </pic:cNvPicPr>
                  </pic:nvPicPr>
                  <pic:blipFill>
                    <a:blip r:link="rId13">
                      <a:extLst>
                        <a:ext uri="{28A0092B-C50C-407E-A947-70E740481C1C}">
                          <a14:useLocalDpi xmlns:a14="http://schemas.microsoft.com/office/drawing/2010/main" val="0"/>
                        </a:ext>
                      </a:extLst>
                    </a:blip>
                    <a:stretch>
                      <a:fillRect/>
                    </a:stretch>
                  </pic:blipFill>
                  <pic:spPr bwMode="auto">
                    <a:xfrm>
                      <a:off x="0" y="0"/>
                      <a:ext cx="5906664" cy="3853451"/>
                    </a:xfrm>
                    <a:prstGeom prst="rect">
                      <a:avLst/>
                    </a:prstGeom>
                  </pic:spPr>
                </pic:pic>
              </a:graphicData>
            </a:graphic>
          </wp:inline>
        </w:drawing>
      </w:r>
    </w:p>
    <w:p w14:paraId="0F7169F2" w14:textId="77777777" w:rsidR="00B6502F" w:rsidRPr="00834CDC" w:rsidRDefault="00B6502F" w:rsidP="00B6502F">
      <w:pPr>
        <w:pStyle w:val="CDIfootnotes"/>
      </w:pPr>
      <w:r w:rsidRPr="00834CDC">
        <w:t>a</w:t>
      </w:r>
      <w:r w:rsidRPr="00834CDC">
        <w:tab/>
        <w:t>Notifications where the date of diagnosis was between 1 January 2010 and 31 December 2019.</w:t>
      </w:r>
    </w:p>
    <w:p w14:paraId="1246AA0C" w14:textId="77777777" w:rsidR="009A17B1" w:rsidRPr="00834CDC" w:rsidRDefault="009A17B1" w:rsidP="009A17B1">
      <w:r w:rsidRPr="00834CDC">
        <w:lastRenderedPageBreak/>
        <w:t xml:space="preserve">Hospitalisation data for all jurisdictions for the 2016–2019 period </w:t>
      </w:r>
      <w:proofErr w:type="gramStart"/>
      <w:r w:rsidRPr="00834CDC">
        <w:t>are</w:t>
      </w:r>
      <w:proofErr w:type="gramEnd"/>
      <w:r w:rsidRPr="00834CDC">
        <w:t xml:space="preserve"> shown in Table 5. Of the total 1,335 hospitalisations recorded, 46 (3.4%) </w:t>
      </w:r>
      <w:proofErr w:type="gramStart"/>
      <w:r w:rsidRPr="00834CDC">
        <w:t>were reported</w:t>
      </w:r>
      <w:proofErr w:type="gramEnd"/>
      <w:r w:rsidRPr="00834CDC">
        <w:t xml:space="preserve"> in Aboriginal and Torres Strait Islander people. Hospitalisation rates were higher in Aboriginal and Torres Strait Islander people than in other Australians in all age groups ≥ 5 years. However, the difference in rates was not statistically significant in any age group or for all ages combined. Trends in hospitalisation rates </w:t>
      </w:r>
      <w:proofErr w:type="gramStart"/>
      <w:r w:rsidRPr="00834CDC">
        <w:t>are presented</w:t>
      </w:r>
      <w:proofErr w:type="gramEnd"/>
      <w:r w:rsidRPr="00834CDC">
        <w:t xml:space="preserve"> for six states and territories (excluding the Australian Capital Territory and Tasmania) for the 2010–2019 period (Figure 3). Rates were higher over the 2015–2019 period than in the 2010–2014 period, for both Aboriginal and Torres Strait Islander people and other Australians.</w:t>
      </w:r>
    </w:p>
    <w:p w14:paraId="3BF64A74" w14:textId="19ACD882" w:rsidR="009A17B1" w:rsidRPr="00834CDC" w:rsidRDefault="009A17B1" w:rsidP="009A17B1">
      <w:r w:rsidRPr="00834CDC">
        <w:t xml:space="preserve">There were </w:t>
      </w:r>
      <w:proofErr w:type="gramStart"/>
      <w:r w:rsidRPr="00834CDC">
        <w:t>11</w:t>
      </w:r>
      <w:proofErr w:type="gramEnd"/>
      <w:r w:rsidRPr="00834CDC">
        <w:t xml:space="preserve"> deaths reported with hepatitis A recorded as the underlying or associated cause of death for the 2016–2019 period in Australia. Of these deaths, 1–5</w:t>
      </w:r>
      <w:r w:rsidRPr="00834CDC">
        <w:rPr>
          <w:rStyle w:val="superscript"/>
        </w:rPr>
        <w:t>i</w:t>
      </w:r>
      <w:r w:rsidRPr="00834CDC">
        <w:t xml:space="preserve"> </w:t>
      </w:r>
      <w:proofErr w:type="gramStart"/>
      <w:r w:rsidRPr="00834CDC">
        <w:t>were reported</w:t>
      </w:r>
      <w:proofErr w:type="gramEnd"/>
      <w:r w:rsidRPr="00834CDC">
        <w:t xml:space="preserve"> as having occurred in people identified as Aboriginal or Torres Strait Islander.</w:t>
      </w:r>
    </w:p>
    <w:p w14:paraId="77BA77D4" w14:textId="77777777" w:rsidR="00975853" w:rsidRPr="00834CDC" w:rsidRDefault="00975853" w:rsidP="00975853">
      <w:pPr>
        <w:pStyle w:val="NormalWeb"/>
        <w:spacing w:after="40" w:afterAutospacing="0" w:line="240" w:lineRule="auto"/>
      </w:pPr>
      <w:r w:rsidRPr="00834CDC">
        <w:rPr>
          <w:rStyle w:val="Strong"/>
        </w:rPr>
        <w:t>Table 5: Hepatitis A hospitalisations, Australia (all states and territories), 2016–2019, by age and Aboriginal and Torres Strait Islander status</w:t>
      </w:r>
    </w:p>
    <w:tbl>
      <w:tblPr>
        <w:tblStyle w:val="CDI-StandardTable"/>
        <w:tblW w:w="0" w:type="auto"/>
        <w:tblCellMar>
          <w:top w:w="28" w:type="dxa"/>
          <w:bottom w:w="28" w:type="dxa"/>
        </w:tblCellMar>
        <w:tblLook w:val="04A0" w:firstRow="1" w:lastRow="0" w:firstColumn="1" w:lastColumn="0" w:noHBand="0" w:noVBand="1"/>
        <w:tblDescription w:val="Table 5 shows the number and rates per 100,000 population of hepatitis A hospitalisations by age and Aboriginal and Torres Strait Islander status, Australia, 2016 to 2019.&#10;"/>
      </w:tblPr>
      <w:tblGrid>
        <w:gridCol w:w="1985"/>
        <w:gridCol w:w="3570"/>
        <w:gridCol w:w="1417"/>
        <w:gridCol w:w="851"/>
        <w:gridCol w:w="992"/>
        <w:gridCol w:w="1651"/>
      </w:tblGrid>
      <w:tr w:rsidR="00975853" w:rsidRPr="00834CDC" w14:paraId="65520BD1" w14:textId="77777777" w:rsidTr="00D83B12">
        <w:trPr>
          <w:cnfStyle w:val="100000000000" w:firstRow="1" w:lastRow="0" w:firstColumn="0" w:lastColumn="0" w:oddVBand="0" w:evenVBand="0" w:oddHBand="0" w:evenHBand="0" w:firstRowFirstColumn="0" w:firstRowLastColumn="0" w:lastRowFirstColumn="0" w:lastRowLastColumn="0"/>
          <w:tblHeader/>
        </w:trPr>
        <w:tc>
          <w:tcPr>
            <w:tcW w:w="1985" w:type="dxa"/>
            <w:vMerge w:val="restart"/>
            <w:hideMark/>
          </w:tcPr>
          <w:p w14:paraId="4793F654" w14:textId="77777777" w:rsidR="00975853" w:rsidRPr="00834CDC" w:rsidRDefault="00975853" w:rsidP="00D83B12">
            <w:pPr>
              <w:pStyle w:val="NormalWeb"/>
              <w:spacing w:before="0" w:beforeAutospacing="0" w:after="0" w:afterAutospacing="0"/>
              <w:rPr>
                <w:sz w:val="18"/>
                <w:szCs w:val="18"/>
              </w:rPr>
            </w:pPr>
            <w:r w:rsidRPr="00834CDC">
              <w:rPr>
                <w:sz w:val="18"/>
                <w:szCs w:val="18"/>
              </w:rPr>
              <w:t>Age group (years)</w:t>
            </w:r>
          </w:p>
        </w:tc>
        <w:tc>
          <w:tcPr>
            <w:tcW w:w="3570" w:type="dxa"/>
            <w:vMerge w:val="restart"/>
            <w:hideMark/>
          </w:tcPr>
          <w:p w14:paraId="125DC72A" w14:textId="77777777" w:rsidR="00975853" w:rsidRPr="00834CDC" w:rsidRDefault="00975853" w:rsidP="00D83B12">
            <w:pPr>
              <w:pStyle w:val="NormalWeb"/>
              <w:spacing w:before="0" w:beforeAutospacing="0" w:after="0" w:afterAutospacing="0"/>
              <w:rPr>
                <w:sz w:val="18"/>
                <w:szCs w:val="18"/>
              </w:rPr>
            </w:pPr>
            <w:r w:rsidRPr="00834CDC">
              <w:rPr>
                <w:sz w:val="18"/>
                <w:szCs w:val="18"/>
              </w:rPr>
              <w:t>Aboriginal and Torres Strait Islander status</w:t>
            </w:r>
          </w:p>
        </w:tc>
        <w:tc>
          <w:tcPr>
            <w:tcW w:w="4911" w:type="dxa"/>
            <w:gridSpan w:val="4"/>
            <w:hideMark/>
          </w:tcPr>
          <w:p w14:paraId="32AE5726" w14:textId="595B5BAA" w:rsidR="00975853" w:rsidRPr="00834CDC" w:rsidRDefault="00975853" w:rsidP="00D83B12">
            <w:pPr>
              <w:pStyle w:val="NormalWeb"/>
              <w:spacing w:before="0" w:beforeAutospacing="0" w:after="0" w:afterAutospacing="0"/>
              <w:rPr>
                <w:sz w:val="18"/>
                <w:szCs w:val="18"/>
              </w:rPr>
            </w:pPr>
            <w:r w:rsidRPr="00834CDC">
              <w:rPr>
                <w:sz w:val="18"/>
                <w:szCs w:val="18"/>
              </w:rPr>
              <w:t>Hospitalisations</w:t>
            </w:r>
            <w:r w:rsidR="00D24B47">
              <w:rPr>
                <w:sz w:val="18"/>
                <w:szCs w:val="18"/>
              </w:rPr>
              <w:t xml:space="preserve"> </w:t>
            </w:r>
            <w:r w:rsidRPr="00834CDC">
              <w:rPr>
                <w:sz w:val="18"/>
                <w:szCs w:val="18"/>
                <w:vertAlign w:val="superscript"/>
              </w:rPr>
              <w:t>a</w:t>
            </w:r>
            <w:r w:rsidRPr="00834CDC">
              <w:rPr>
                <w:sz w:val="18"/>
                <w:szCs w:val="18"/>
              </w:rPr>
              <w:t xml:space="preserve"> (2016–2019)</w:t>
            </w:r>
          </w:p>
        </w:tc>
      </w:tr>
      <w:tr w:rsidR="00975853" w:rsidRPr="00834CDC" w14:paraId="3974DB5D" w14:textId="77777777" w:rsidTr="00D83B12">
        <w:trPr>
          <w:cnfStyle w:val="100000000000" w:firstRow="1" w:lastRow="0" w:firstColumn="0" w:lastColumn="0" w:oddVBand="0" w:evenVBand="0" w:oddHBand="0" w:evenHBand="0" w:firstRowFirstColumn="0" w:firstRowLastColumn="0" w:lastRowFirstColumn="0" w:lastRowLastColumn="0"/>
          <w:tblHeader/>
        </w:trPr>
        <w:tc>
          <w:tcPr>
            <w:tcW w:w="1985" w:type="dxa"/>
            <w:vMerge/>
            <w:tcBorders>
              <w:bottom w:val="single" w:sz="2" w:space="0" w:color="808080" w:themeColor="background1" w:themeShade="80"/>
            </w:tcBorders>
            <w:hideMark/>
          </w:tcPr>
          <w:p w14:paraId="179C47EA" w14:textId="77777777" w:rsidR="00975853" w:rsidRPr="00834CDC" w:rsidRDefault="00975853" w:rsidP="00D83B12">
            <w:pPr>
              <w:rPr>
                <w:sz w:val="18"/>
                <w:szCs w:val="18"/>
              </w:rPr>
            </w:pPr>
          </w:p>
        </w:tc>
        <w:tc>
          <w:tcPr>
            <w:tcW w:w="3570" w:type="dxa"/>
            <w:vMerge/>
            <w:tcBorders>
              <w:bottom w:val="single" w:sz="2" w:space="0" w:color="808080" w:themeColor="background1" w:themeShade="80"/>
            </w:tcBorders>
            <w:hideMark/>
          </w:tcPr>
          <w:p w14:paraId="617FA091" w14:textId="77777777" w:rsidR="00975853" w:rsidRPr="00834CDC" w:rsidRDefault="00975853" w:rsidP="00D83B12">
            <w:pPr>
              <w:rPr>
                <w:sz w:val="18"/>
                <w:szCs w:val="18"/>
              </w:rPr>
            </w:pPr>
          </w:p>
        </w:tc>
        <w:tc>
          <w:tcPr>
            <w:tcW w:w="1417" w:type="dxa"/>
            <w:tcBorders>
              <w:bottom w:val="single" w:sz="2" w:space="0" w:color="808080" w:themeColor="background1" w:themeShade="80"/>
            </w:tcBorders>
            <w:hideMark/>
          </w:tcPr>
          <w:p w14:paraId="783FBC3B" w14:textId="77777777" w:rsidR="00975853" w:rsidRPr="00834CDC" w:rsidRDefault="00975853" w:rsidP="00D83B12">
            <w:pPr>
              <w:pStyle w:val="NormalWeb"/>
              <w:spacing w:before="0" w:beforeAutospacing="0" w:after="0" w:afterAutospacing="0"/>
              <w:rPr>
                <w:sz w:val="18"/>
                <w:szCs w:val="18"/>
              </w:rPr>
            </w:pPr>
            <w:r w:rsidRPr="00834CDC">
              <w:rPr>
                <w:sz w:val="18"/>
                <w:szCs w:val="18"/>
              </w:rPr>
              <w:t>N</w:t>
            </w:r>
          </w:p>
        </w:tc>
        <w:tc>
          <w:tcPr>
            <w:tcW w:w="851" w:type="dxa"/>
            <w:tcBorders>
              <w:bottom w:val="single" w:sz="2" w:space="0" w:color="808080" w:themeColor="background1" w:themeShade="80"/>
            </w:tcBorders>
            <w:hideMark/>
          </w:tcPr>
          <w:p w14:paraId="4025104E" w14:textId="77777777" w:rsidR="00975853" w:rsidRPr="00834CDC" w:rsidRDefault="00975853" w:rsidP="00D83B12">
            <w:pPr>
              <w:pStyle w:val="NormalWeb"/>
              <w:spacing w:before="0" w:beforeAutospacing="0" w:after="0" w:afterAutospacing="0"/>
              <w:rPr>
                <w:sz w:val="18"/>
                <w:szCs w:val="18"/>
              </w:rPr>
            </w:pPr>
            <w:r w:rsidRPr="00834CDC">
              <w:rPr>
                <w:sz w:val="18"/>
                <w:szCs w:val="18"/>
              </w:rPr>
              <w:t xml:space="preserve">Rate </w:t>
            </w:r>
            <w:r w:rsidRPr="00834CDC">
              <w:rPr>
                <w:sz w:val="18"/>
                <w:szCs w:val="18"/>
                <w:vertAlign w:val="superscript"/>
              </w:rPr>
              <w:t>b</w:t>
            </w:r>
          </w:p>
        </w:tc>
        <w:tc>
          <w:tcPr>
            <w:tcW w:w="992" w:type="dxa"/>
            <w:tcBorders>
              <w:bottom w:val="single" w:sz="2" w:space="0" w:color="808080" w:themeColor="background1" w:themeShade="80"/>
            </w:tcBorders>
            <w:hideMark/>
          </w:tcPr>
          <w:p w14:paraId="68EF5753" w14:textId="77777777" w:rsidR="00975853" w:rsidRPr="00834CDC" w:rsidRDefault="00975853" w:rsidP="00D83B12">
            <w:pPr>
              <w:pStyle w:val="NormalWeb"/>
              <w:spacing w:before="0" w:beforeAutospacing="0" w:after="0" w:afterAutospacing="0"/>
              <w:rPr>
                <w:sz w:val="18"/>
                <w:szCs w:val="18"/>
              </w:rPr>
            </w:pPr>
            <w:r w:rsidRPr="00834CDC">
              <w:rPr>
                <w:sz w:val="18"/>
                <w:szCs w:val="18"/>
              </w:rPr>
              <w:t>Rate ratio</w:t>
            </w:r>
          </w:p>
        </w:tc>
        <w:tc>
          <w:tcPr>
            <w:tcW w:w="1651" w:type="dxa"/>
            <w:tcBorders>
              <w:bottom w:val="single" w:sz="2" w:space="0" w:color="808080" w:themeColor="background1" w:themeShade="80"/>
            </w:tcBorders>
            <w:hideMark/>
          </w:tcPr>
          <w:p w14:paraId="40F606EF" w14:textId="77777777" w:rsidR="00975853" w:rsidRPr="00834CDC" w:rsidRDefault="00975853" w:rsidP="00D83B12">
            <w:pPr>
              <w:pStyle w:val="NormalWeb"/>
              <w:spacing w:before="0" w:beforeAutospacing="0" w:after="0" w:afterAutospacing="0"/>
              <w:rPr>
                <w:sz w:val="18"/>
                <w:szCs w:val="18"/>
              </w:rPr>
            </w:pPr>
            <w:r w:rsidRPr="00834CDC">
              <w:rPr>
                <w:sz w:val="18"/>
                <w:szCs w:val="18"/>
              </w:rPr>
              <w:t>95%CI for Rate Ratio</w:t>
            </w:r>
          </w:p>
        </w:tc>
      </w:tr>
      <w:tr w:rsidR="00975853" w:rsidRPr="00834CDC" w14:paraId="3C96BAA9" w14:textId="77777777" w:rsidTr="00D83B12">
        <w:tc>
          <w:tcPr>
            <w:tcW w:w="198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103EC6" w14:textId="77777777" w:rsidR="00975853" w:rsidRPr="00834CDC" w:rsidRDefault="00975853" w:rsidP="00D83B12">
            <w:pPr>
              <w:pStyle w:val="NormalWeb"/>
              <w:spacing w:before="0" w:beforeAutospacing="0" w:after="0" w:afterAutospacing="0"/>
              <w:rPr>
                <w:sz w:val="18"/>
                <w:szCs w:val="18"/>
              </w:rPr>
            </w:pPr>
            <w:r w:rsidRPr="00834CDC">
              <w:rPr>
                <w:sz w:val="18"/>
                <w:szCs w:val="18"/>
              </w:rPr>
              <w:t>0–4</w:t>
            </w:r>
          </w:p>
        </w:tc>
        <w:tc>
          <w:tcPr>
            <w:tcW w:w="35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45106A" w14:textId="77777777" w:rsidR="00975853" w:rsidRPr="00834CDC" w:rsidRDefault="00975853" w:rsidP="00D83B12">
            <w:pPr>
              <w:pStyle w:val="NormalWeb"/>
              <w:spacing w:before="0" w:beforeAutospacing="0" w:after="0" w:afterAutospacing="0"/>
              <w:rPr>
                <w:sz w:val="18"/>
                <w:szCs w:val="18"/>
              </w:rPr>
            </w:pPr>
            <w:r w:rsidRPr="00834CDC">
              <w:rPr>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938E38" w14:textId="77777777" w:rsidR="00975853" w:rsidRPr="00834CDC" w:rsidRDefault="00975853" w:rsidP="00D83B12">
            <w:pPr>
              <w:pStyle w:val="NormalWeb"/>
              <w:spacing w:before="0" w:beforeAutospacing="0" w:after="0" w:afterAutospacing="0"/>
              <w:rPr>
                <w:sz w:val="18"/>
                <w:szCs w:val="18"/>
              </w:rPr>
            </w:pPr>
            <w:r w:rsidRPr="00834CDC">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C3E0C5" w14:textId="77777777" w:rsidR="00975853" w:rsidRPr="00834CDC" w:rsidRDefault="00975853" w:rsidP="00D83B12">
            <w:pPr>
              <w:pStyle w:val="NormalWeb"/>
              <w:spacing w:before="0" w:beforeAutospacing="0" w:after="0" w:afterAutospacing="0"/>
              <w:rPr>
                <w:sz w:val="18"/>
                <w:szCs w:val="18"/>
              </w:rPr>
            </w:pPr>
            <w:r w:rsidRPr="00834CDC">
              <w:rPr>
                <w:sz w:val="18"/>
                <w:szCs w:val="18"/>
              </w:rPr>
              <w:t>0.00</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92CB04" w14:textId="77777777" w:rsidR="00975853" w:rsidRPr="00834CDC" w:rsidRDefault="00975853" w:rsidP="00D83B12">
            <w:pPr>
              <w:pStyle w:val="NormalWeb"/>
              <w:spacing w:before="0" w:beforeAutospacing="0" w:after="0" w:afterAutospacing="0"/>
              <w:rPr>
                <w:sz w:val="18"/>
                <w:szCs w:val="18"/>
              </w:rPr>
            </w:pPr>
            <w:r w:rsidRPr="00834CDC">
              <w:rPr>
                <w:sz w:val="18"/>
                <w:szCs w:val="18"/>
              </w:rPr>
              <w:t>0.0</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835669" w14:textId="77777777" w:rsidR="00975853" w:rsidRPr="00834CDC" w:rsidRDefault="00975853" w:rsidP="00D83B12">
            <w:pPr>
              <w:pStyle w:val="NormalWeb"/>
              <w:spacing w:before="0" w:beforeAutospacing="0" w:after="0" w:afterAutospacing="0"/>
              <w:rPr>
                <w:sz w:val="18"/>
                <w:szCs w:val="18"/>
              </w:rPr>
            </w:pPr>
            <w:r w:rsidRPr="00834CDC">
              <w:rPr>
                <w:sz w:val="18"/>
                <w:szCs w:val="18"/>
              </w:rPr>
              <w:t>0.0–4.1</w:t>
            </w:r>
          </w:p>
        </w:tc>
      </w:tr>
      <w:tr w:rsidR="00975853" w:rsidRPr="00834CDC" w14:paraId="23A8DC71" w14:textId="77777777" w:rsidTr="00D83B12">
        <w:trPr>
          <w:cnfStyle w:val="000000010000" w:firstRow="0" w:lastRow="0" w:firstColumn="0" w:lastColumn="0" w:oddVBand="0" w:evenVBand="0" w:oddHBand="0" w:evenHBand="1" w:firstRowFirstColumn="0" w:firstRowLastColumn="0" w:lastRowFirstColumn="0" w:lastRowLastColumn="0"/>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83A7ED" w14:textId="77777777" w:rsidR="00975853" w:rsidRPr="00834CDC" w:rsidRDefault="00975853" w:rsidP="00D83B12">
            <w:pPr>
              <w:rPr>
                <w:sz w:val="18"/>
                <w:szCs w:val="18"/>
              </w:rPr>
            </w:pPr>
          </w:p>
        </w:tc>
        <w:tc>
          <w:tcPr>
            <w:tcW w:w="35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CE3AB1" w14:textId="77777777" w:rsidR="00975853" w:rsidRPr="00834CDC" w:rsidRDefault="00975853" w:rsidP="00D83B12">
            <w:pPr>
              <w:pStyle w:val="NormalWeb"/>
              <w:spacing w:before="0" w:beforeAutospacing="0" w:after="0" w:afterAutospacing="0"/>
              <w:rPr>
                <w:sz w:val="18"/>
                <w:szCs w:val="18"/>
              </w:rPr>
            </w:pPr>
            <w:r w:rsidRPr="00834CDC">
              <w:rPr>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AE5B11" w14:textId="77777777" w:rsidR="00975853" w:rsidRPr="00834CDC" w:rsidRDefault="00975853" w:rsidP="00D83B12">
            <w:pPr>
              <w:pStyle w:val="NormalWeb"/>
              <w:spacing w:before="0" w:beforeAutospacing="0" w:after="0" w:afterAutospacing="0"/>
              <w:rPr>
                <w:sz w:val="18"/>
                <w:szCs w:val="18"/>
              </w:rPr>
            </w:pPr>
            <w:r w:rsidRPr="00834CDC">
              <w:rPr>
                <w:sz w:val="18"/>
                <w:szCs w:val="18"/>
              </w:rPr>
              <w:t>16</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E84896" w14:textId="77777777" w:rsidR="00975853" w:rsidRPr="00834CDC" w:rsidRDefault="00975853" w:rsidP="00D83B12">
            <w:pPr>
              <w:pStyle w:val="NormalWeb"/>
              <w:spacing w:before="0" w:beforeAutospacing="0" w:after="0" w:afterAutospacing="0"/>
              <w:rPr>
                <w:sz w:val="18"/>
                <w:szCs w:val="18"/>
              </w:rPr>
            </w:pPr>
            <w:r w:rsidRPr="00834CDC">
              <w:rPr>
                <w:sz w:val="18"/>
                <w:szCs w:val="18"/>
              </w:rPr>
              <w:t>0.31</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3558D1" w14:textId="77777777" w:rsidR="00975853" w:rsidRPr="00834CDC" w:rsidRDefault="00975853" w:rsidP="00D83B12">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9D17DB" w14:textId="77777777" w:rsidR="00975853" w:rsidRPr="00834CDC" w:rsidRDefault="00975853" w:rsidP="00D83B12">
            <w:pPr>
              <w:rPr>
                <w:sz w:val="18"/>
                <w:szCs w:val="18"/>
              </w:rPr>
            </w:pPr>
          </w:p>
        </w:tc>
      </w:tr>
      <w:tr w:rsidR="00975853" w:rsidRPr="00834CDC" w14:paraId="34C352BA" w14:textId="77777777" w:rsidTr="00D83B12">
        <w:tc>
          <w:tcPr>
            <w:tcW w:w="198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01D9127" w14:textId="77777777" w:rsidR="00975853" w:rsidRPr="00834CDC" w:rsidRDefault="00975853" w:rsidP="00D83B12">
            <w:pPr>
              <w:pStyle w:val="NormalWeb"/>
              <w:spacing w:before="0" w:beforeAutospacing="0" w:after="0" w:afterAutospacing="0"/>
              <w:rPr>
                <w:sz w:val="18"/>
                <w:szCs w:val="18"/>
              </w:rPr>
            </w:pPr>
            <w:r w:rsidRPr="00834CDC">
              <w:rPr>
                <w:sz w:val="18"/>
                <w:szCs w:val="18"/>
              </w:rPr>
              <w:t>5–14</w:t>
            </w:r>
          </w:p>
        </w:tc>
        <w:tc>
          <w:tcPr>
            <w:tcW w:w="35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563E31" w14:textId="77777777" w:rsidR="00975853" w:rsidRPr="00834CDC" w:rsidRDefault="00975853" w:rsidP="00D83B12">
            <w:pPr>
              <w:pStyle w:val="NormalWeb"/>
              <w:spacing w:before="0" w:beforeAutospacing="0" w:after="0" w:afterAutospacing="0"/>
              <w:rPr>
                <w:sz w:val="18"/>
                <w:szCs w:val="18"/>
              </w:rPr>
            </w:pPr>
            <w:r w:rsidRPr="00834CDC">
              <w:rPr>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9C9A0A" w14:textId="77777777" w:rsidR="00975853" w:rsidRPr="00834CDC" w:rsidRDefault="00975853" w:rsidP="00D83B12">
            <w:pPr>
              <w:pStyle w:val="NormalWeb"/>
              <w:spacing w:before="0" w:beforeAutospacing="0" w:after="0" w:afterAutospacing="0"/>
              <w:rPr>
                <w:sz w:val="18"/>
                <w:szCs w:val="18"/>
              </w:rPr>
            </w:pPr>
            <w:r w:rsidRPr="00834CDC">
              <w:rPr>
                <w:sz w:val="18"/>
                <w:szCs w:val="18"/>
              </w:rPr>
              <w:t>5</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CE7355" w14:textId="77777777" w:rsidR="00975853" w:rsidRPr="00834CDC" w:rsidRDefault="00975853" w:rsidP="00D83B12">
            <w:pPr>
              <w:pStyle w:val="NormalWeb"/>
              <w:spacing w:before="0" w:beforeAutospacing="0" w:after="0" w:afterAutospacing="0"/>
              <w:rPr>
                <w:sz w:val="18"/>
                <w:szCs w:val="18"/>
              </w:rPr>
            </w:pPr>
            <w:r w:rsidRPr="00834CDC">
              <w:rPr>
                <w:sz w:val="18"/>
                <w:szCs w:val="18"/>
              </w:rPr>
              <w:t>0.78</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2B6DE7" w14:textId="77777777" w:rsidR="00975853" w:rsidRPr="00834CDC" w:rsidRDefault="00975853" w:rsidP="00D83B12">
            <w:pPr>
              <w:pStyle w:val="NormalWeb"/>
              <w:spacing w:before="0" w:beforeAutospacing="0" w:after="0" w:afterAutospacing="0"/>
              <w:rPr>
                <w:sz w:val="18"/>
                <w:szCs w:val="18"/>
              </w:rPr>
            </w:pPr>
            <w:r w:rsidRPr="00834CDC">
              <w:rPr>
                <w:sz w:val="18"/>
                <w:szCs w:val="18"/>
              </w:rPr>
              <w:t>1.5</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241194" w14:textId="77777777" w:rsidR="00975853" w:rsidRPr="00834CDC" w:rsidRDefault="00975853" w:rsidP="00D83B12">
            <w:pPr>
              <w:pStyle w:val="NormalWeb"/>
              <w:spacing w:before="0" w:beforeAutospacing="0" w:after="0" w:afterAutospacing="0"/>
              <w:rPr>
                <w:sz w:val="18"/>
                <w:szCs w:val="18"/>
              </w:rPr>
            </w:pPr>
            <w:r w:rsidRPr="00834CDC">
              <w:rPr>
                <w:sz w:val="18"/>
                <w:szCs w:val="18"/>
              </w:rPr>
              <w:t>0.5–3.8</w:t>
            </w:r>
          </w:p>
        </w:tc>
      </w:tr>
      <w:tr w:rsidR="00975853" w:rsidRPr="00834CDC" w14:paraId="6A4CDE35" w14:textId="77777777" w:rsidTr="00D83B12">
        <w:trPr>
          <w:cnfStyle w:val="000000010000" w:firstRow="0" w:lastRow="0" w:firstColumn="0" w:lastColumn="0" w:oddVBand="0" w:evenVBand="0" w:oddHBand="0" w:evenHBand="1" w:firstRowFirstColumn="0" w:firstRowLastColumn="0" w:lastRowFirstColumn="0" w:lastRowLastColumn="0"/>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497BFE" w14:textId="77777777" w:rsidR="00975853" w:rsidRPr="00834CDC" w:rsidRDefault="00975853" w:rsidP="00D83B12">
            <w:pPr>
              <w:rPr>
                <w:sz w:val="18"/>
                <w:szCs w:val="18"/>
              </w:rPr>
            </w:pPr>
          </w:p>
        </w:tc>
        <w:tc>
          <w:tcPr>
            <w:tcW w:w="35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26919E" w14:textId="77777777" w:rsidR="00975853" w:rsidRPr="00834CDC" w:rsidRDefault="00975853" w:rsidP="00D83B12">
            <w:pPr>
              <w:pStyle w:val="NormalWeb"/>
              <w:spacing w:before="0" w:beforeAutospacing="0" w:after="0" w:afterAutospacing="0"/>
              <w:rPr>
                <w:sz w:val="18"/>
                <w:szCs w:val="18"/>
              </w:rPr>
            </w:pPr>
            <w:r w:rsidRPr="00834CDC">
              <w:rPr>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AD4C24" w14:textId="77777777" w:rsidR="00975853" w:rsidRPr="00834CDC" w:rsidRDefault="00975853" w:rsidP="00D83B12">
            <w:pPr>
              <w:pStyle w:val="NormalWeb"/>
              <w:spacing w:before="0" w:beforeAutospacing="0" w:after="0" w:afterAutospacing="0"/>
              <w:rPr>
                <w:sz w:val="18"/>
                <w:szCs w:val="18"/>
              </w:rPr>
            </w:pPr>
            <w:r w:rsidRPr="00834CDC">
              <w:rPr>
                <w:sz w:val="18"/>
                <w:szCs w:val="18"/>
              </w:rPr>
              <w:t>52</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4ED095" w14:textId="77777777" w:rsidR="00975853" w:rsidRPr="00834CDC" w:rsidRDefault="00975853" w:rsidP="00D83B12">
            <w:pPr>
              <w:pStyle w:val="NormalWeb"/>
              <w:spacing w:before="0" w:beforeAutospacing="0" w:after="0" w:afterAutospacing="0"/>
              <w:rPr>
                <w:sz w:val="18"/>
                <w:szCs w:val="18"/>
              </w:rPr>
            </w:pPr>
            <w:r w:rsidRPr="00834CDC">
              <w:rPr>
                <w:sz w:val="18"/>
                <w:szCs w:val="18"/>
              </w:rPr>
              <w:t>0.51</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A48CE3" w14:textId="77777777" w:rsidR="00975853" w:rsidRPr="00834CDC" w:rsidRDefault="00975853" w:rsidP="00D83B12">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BDD97A" w14:textId="77777777" w:rsidR="00975853" w:rsidRPr="00834CDC" w:rsidRDefault="00975853" w:rsidP="00D83B12">
            <w:pPr>
              <w:rPr>
                <w:sz w:val="18"/>
                <w:szCs w:val="18"/>
              </w:rPr>
            </w:pPr>
          </w:p>
        </w:tc>
      </w:tr>
      <w:tr w:rsidR="00975853" w:rsidRPr="00834CDC" w14:paraId="54A22B60" w14:textId="77777777" w:rsidTr="00D83B12">
        <w:tc>
          <w:tcPr>
            <w:tcW w:w="198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F57CA2" w14:textId="77777777" w:rsidR="00975853" w:rsidRPr="00834CDC" w:rsidRDefault="00975853" w:rsidP="00D83B12">
            <w:pPr>
              <w:pStyle w:val="NormalWeb"/>
              <w:spacing w:before="0" w:beforeAutospacing="0" w:after="0" w:afterAutospacing="0"/>
              <w:rPr>
                <w:sz w:val="18"/>
                <w:szCs w:val="18"/>
              </w:rPr>
            </w:pPr>
            <w:r w:rsidRPr="00834CDC">
              <w:rPr>
                <w:sz w:val="18"/>
                <w:szCs w:val="18"/>
              </w:rPr>
              <w:t>15–24</w:t>
            </w:r>
          </w:p>
        </w:tc>
        <w:tc>
          <w:tcPr>
            <w:tcW w:w="35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BB2379" w14:textId="77777777" w:rsidR="00975853" w:rsidRPr="00834CDC" w:rsidRDefault="00975853" w:rsidP="00D83B12">
            <w:pPr>
              <w:pStyle w:val="NormalWeb"/>
              <w:spacing w:before="0" w:beforeAutospacing="0" w:after="0" w:afterAutospacing="0"/>
              <w:rPr>
                <w:sz w:val="18"/>
                <w:szCs w:val="18"/>
              </w:rPr>
            </w:pPr>
            <w:r w:rsidRPr="00834CDC">
              <w:rPr>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4CC3E1" w14:textId="77777777" w:rsidR="00975853" w:rsidRPr="00834CDC" w:rsidRDefault="00975853" w:rsidP="00D83B12">
            <w:pPr>
              <w:pStyle w:val="NormalWeb"/>
              <w:spacing w:before="0" w:beforeAutospacing="0" w:after="0" w:afterAutospacing="0"/>
              <w:rPr>
                <w:sz w:val="18"/>
                <w:szCs w:val="18"/>
              </w:rPr>
            </w:pPr>
            <w:r w:rsidRPr="00834CDC">
              <w:rPr>
                <w:sz w:val="18"/>
                <w:szCs w:val="18"/>
              </w:rPr>
              <w:t>7</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03704C" w14:textId="77777777" w:rsidR="00975853" w:rsidRPr="00834CDC" w:rsidRDefault="00975853" w:rsidP="00D83B12">
            <w:pPr>
              <w:pStyle w:val="NormalWeb"/>
              <w:spacing w:before="0" w:beforeAutospacing="0" w:after="0" w:afterAutospacing="0"/>
              <w:rPr>
                <w:sz w:val="18"/>
                <w:szCs w:val="18"/>
              </w:rPr>
            </w:pPr>
            <w:r w:rsidRPr="00834CDC">
              <w:rPr>
                <w:sz w:val="18"/>
                <w:szCs w:val="18"/>
              </w:rPr>
              <w:t>1.26</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F7DA1F" w14:textId="77777777" w:rsidR="00975853" w:rsidRPr="00834CDC" w:rsidRDefault="00975853" w:rsidP="00D83B12">
            <w:pPr>
              <w:pStyle w:val="NormalWeb"/>
              <w:spacing w:before="0" w:beforeAutospacing="0" w:after="0" w:afterAutospacing="0"/>
              <w:rPr>
                <w:sz w:val="18"/>
                <w:szCs w:val="18"/>
              </w:rPr>
            </w:pPr>
            <w:r w:rsidRPr="00834CDC">
              <w:rPr>
                <w:sz w:val="18"/>
                <w:szCs w:val="18"/>
              </w:rPr>
              <w:t>1.1</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7787D2" w14:textId="77777777" w:rsidR="00975853" w:rsidRPr="00834CDC" w:rsidRDefault="00975853" w:rsidP="00D83B12">
            <w:pPr>
              <w:pStyle w:val="NormalWeb"/>
              <w:spacing w:before="0" w:beforeAutospacing="0" w:after="0" w:afterAutospacing="0"/>
              <w:rPr>
                <w:sz w:val="18"/>
                <w:szCs w:val="18"/>
              </w:rPr>
            </w:pPr>
            <w:r w:rsidRPr="00834CDC">
              <w:rPr>
                <w:sz w:val="18"/>
                <w:szCs w:val="18"/>
              </w:rPr>
              <w:t>0.4–2.4</w:t>
            </w:r>
          </w:p>
        </w:tc>
      </w:tr>
      <w:tr w:rsidR="00975853" w:rsidRPr="00834CDC" w14:paraId="1577528B" w14:textId="77777777" w:rsidTr="00D83B12">
        <w:trPr>
          <w:cnfStyle w:val="000000010000" w:firstRow="0" w:lastRow="0" w:firstColumn="0" w:lastColumn="0" w:oddVBand="0" w:evenVBand="0" w:oddHBand="0" w:evenHBand="1" w:firstRowFirstColumn="0" w:firstRowLastColumn="0" w:lastRowFirstColumn="0" w:lastRowLastColumn="0"/>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66E288" w14:textId="77777777" w:rsidR="00975853" w:rsidRPr="00834CDC" w:rsidRDefault="00975853" w:rsidP="00D83B12">
            <w:pPr>
              <w:rPr>
                <w:sz w:val="18"/>
                <w:szCs w:val="18"/>
              </w:rPr>
            </w:pPr>
          </w:p>
        </w:tc>
        <w:tc>
          <w:tcPr>
            <w:tcW w:w="35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0D6162" w14:textId="77777777" w:rsidR="00975853" w:rsidRPr="00834CDC" w:rsidRDefault="00975853" w:rsidP="00D83B12">
            <w:pPr>
              <w:pStyle w:val="NormalWeb"/>
              <w:spacing w:before="0" w:beforeAutospacing="0" w:after="0" w:afterAutospacing="0"/>
              <w:rPr>
                <w:sz w:val="18"/>
                <w:szCs w:val="18"/>
              </w:rPr>
            </w:pPr>
            <w:r w:rsidRPr="00834CDC">
              <w:rPr>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5DCEB0" w14:textId="77777777" w:rsidR="00975853" w:rsidRPr="00834CDC" w:rsidRDefault="00975853" w:rsidP="00D83B12">
            <w:pPr>
              <w:pStyle w:val="NormalWeb"/>
              <w:spacing w:before="0" w:beforeAutospacing="0" w:after="0" w:afterAutospacing="0"/>
              <w:rPr>
                <w:sz w:val="18"/>
                <w:szCs w:val="18"/>
              </w:rPr>
            </w:pPr>
            <w:r w:rsidRPr="00834CDC">
              <w:rPr>
                <w:sz w:val="18"/>
                <w:szCs w:val="18"/>
              </w:rPr>
              <w:t>119</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CEE080" w14:textId="77777777" w:rsidR="00975853" w:rsidRPr="00834CDC" w:rsidRDefault="00975853" w:rsidP="00D83B12">
            <w:pPr>
              <w:pStyle w:val="NormalWeb"/>
              <w:spacing w:before="0" w:beforeAutospacing="0" w:after="0" w:afterAutospacing="0"/>
              <w:rPr>
                <w:sz w:val="18"/>
                <w:szCs w:val="18"/>
              </w:rPr>
            </w:pPr>
            <w:r w:rsidRPr="00834CDC">
              <w:rPr>
                <w:sz w:val="18"/>
                <w:szCs w:val="18"/>
              </w:rPr>
              <w:t>1.11</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874892" w14:textId="77777777" w:rsidR="00975853" w:rsidRPr="00834CDC" w:rsidRDefault="00975853" w:rsidP="00D83B12">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F7DA1C" w14:textId="77777777" w:rsidR="00975853" w:rsidRPr="00834CDC" w:rsidRDefault="00975853" w:rsidP="00D83B12">
            <w:pPr>
              <w:rPr>
                <w:sz w:val="18"/>
                <w:szCs w:val="18"/>
              </w:rPr>
            </w:pPr>
          </w:p>
        </w:tc>
      </w:tr>
      <w:tr w:rsidR="00975853" w:rsidRPr="00834CDC" w14:paraId="3C224595" w14:textId="77777777" w:rsidTr="00D83B12">
        <w:tc>
          <w:tcPr>
            <w:tcW w:w="198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A66754" w14:textId="77777777" w:rsidR="00975853" w:rsidRPr="00834CDC" w:rsidRDefault="00975853" w:rsidP="00D83B12">
            <w:pPr>
              <w:pStyle w:val="NormalWeb"/>
              <w:spacing w:before="0" w:beforeAutospacing="0" w:after="0" w:afterAutospacing="0"/>
              <w:rPr>
                <w:sz w:val="18"/>
                <w:szCs w:val="18"/>
              </w:rPr>
            </w:pPr>
            <w:r w:rsidRPr="00834CDC">
              <w:rPr>
                <w:sz w:val="18"/>
                <w:szCs w:val="18"/>
              </w:rPr>
              <w:t>25–49</w:t>
            </w:r>
          </w:p>
        </w:tc>
        <w:tc>
          <w:tcPr>
            <w:tcW w:w="35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D6CA46" w14:textId="77777777" w:rsidR="00975853" w:rsidRPr="00834CDC" w:rsidRDefault="00975853" w:rsidP="00D83B12">
            <w:pPr>
              <w:pStyle w:val="NormalWeb"/>
              <w:spacing w:before="0" w:beforeAutospacing="0" w:after="0" w:afterAutospacing="0"/>
              <w:rPr>
                <w:sz w:val="18"/>
                <w:szCs w:val="18"/>
              </w:rPr>
            </w:pPr>
            <w:r w:rsidRPr="00834CDC">
              <w:rPr>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1AA138" w14:textId="77777777" w:rsidR="00975853" w:rsidRPr="00834CDC" w:rsidRDefault="00975853" w:rsidP="00D83B12">
            <w:pPr>
              <w:pStyle w:val="NormalWeb"/>
              <w:spacing w:before="0" w:beforeAutospacing="0" w:after="0" w:afterAutospacing="0"/>
              <w:rPr>
                <w:sz w:val="18"/>
                <w:szCs w:val="18"/>
              </w:rPr>
            </w:pPr>
            <w:r w:rsidRPr="00834CDC">
              <w:rPr>
                <w:sz w:val="18"/>
                <w:szCs w:val="18"/>
              </w:rPr>
              <w:t>23</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A7A741" w14:textId="77777777" w:rsidR="00975853" w:rsidRPr="00834CDC" w:rsidRDefault="00975853" w:rsidP="00D83B12">
            <w:pPr>
              <w:pStyle w:val="NormalWeb"/>
              <w:spacing w:before="0" w:beforeAutospacing="0" w:after="0" w:afterAutospacing="0"/>
              <w:rPr>
                <w:sz w:val="18"/>
                <w:szCs w:val="18"/>
              </w:rPr>
            </w:pPr>
            <w:r w:rsidRPr="00834CDC">
              <w:rPr>
                <w:sz w:val="18"/>
                <w:szCs w:val="18"/>
              </w:rPr>
              <w:t>2.61</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C82E26" w14:textId="77777777" w:rsidR="00975853" w:rsidRPr="00834CDC" w:rsidRDefault="00975853" w:rsidP="00D83B12">
            <w:pPr>
              <w:pStyle w:val="NormalWeb"/>
              <w:spacing w:before="0" w:beforeAutospacing="0" w:after="0" w:afterAutospacing="0"/>
              <w:rPr>
                <w:sz w:val="18"/>
                <w:szCs w:val="18"/>
              </w:rPr>
            </w:pPr>
            <w:r w:rsidRPr="00834CDC">
              <w:rPr>
                <w:sz w:val="18"/>
                <w:szCs w:val="18"/>
              </w:rPr>
              <w:t>1.6</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9F30DB" w14:textId="77777777" w:rsidR="00975853" w:rsidRPr="00834CDC" w:rsidRDefault="00975853" w:rsidP="00D83B12">
            <w:pPr>
              <w:pStyle w:val="NormalWeb"/>
              <w:spacing w:before="0" w:beforeAutospacing="0" w:after="0" w:afterAutospacing="0"/>
              <w:rPr>
                <w:sz w:val="18"/>
                <w:szCs w:val="18"/>
              </w:rPr>
            </w:pPr>
            <w:r w:rsidRPr="00834CDC">
              <w:rPr>
                <w:sz w:val="18"/>
                <w:szCs w:val="18"/>
              </w:rPr>
              <w:t>1.0–2.5</w:t>
            </w:r>
          </w:p>
        </w:tc>
      </w:tr>
      <w:tr w:rsidR="00975853" w:rsidRPr="00834CDC" w14:paraId="61D3B2CA" w14:textId="77777777" w:rsidTr="00D83B12">
        <w:trPr>
          <w:cnfStyle w:val="000000010000" w:firstRow="0" w:lastRow="0" w:firstColumn="0" w:lastColumn="0" w:oddVBand="0" w:evenVBand="0" w:oddHBand="0" w:evenHBand="1" w:firstRowFirstColumn="0" w:firstRowLastColumn="0" w:lastRowFirstColumn="0" w:lastRowLastColumn="0"/>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D44112" w14:textId="77777777" w:rsidR="00975853" w:rsidRPr="00834CDC" w:rsidRDefault="00975853" w:rsidP="00D83B12">
            <w:pPr>
              <w:rPr>
                <w:sz w:val="18"/>
                <w:szCs w:val="18"/>
              </w:rPr>
            </w:pPr>
          </w:p>
        </w:tc>
        <w:tc>
          <w:tcPr>
            <w:tcW w:w="35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D0FE25" w14:textId="77777777" w:rsidR="00975853" w:rsidRPr="00834CDC" w:rsidRDefault="00975853" w:rsidP="00D83B12">
            <w:pPr>
              <w:pStyle w:val="NormalWeb"/>
              <w:spacing w:before="0" w:beforeAutospacing="0" w:after="0" w:afterAutospacing="0"/>
              <w:rPr>
                <w:sz w:val="18"/>
                <w:szCs w:val="18"/>
              </w:rPr>
            </w:pPr>
            <w:r w:rsidRPr="00834CDC">
              <w:rPr>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B2AA89" w14:textId="77777777" w:rsidR="00975853" w:rsidRPr="00834CDC" w:rsidRDefault="00975853" w:rsidP="00D83B12">
            <w:pPr>
              <w:pStyle w:val="NormalWeb"/>
              <w:spacing w:before="0" w:beforeAutospacing="0" w:after="0" w:afterAutospacing="0"/>
              <w:rPr>
                <w:sz w:val="18"/>
                <w:szCs w:val="18"/>
              </w:rPr>
            </w:pPr>
            <w:r w:rsidRPr="00834CDC">
              <w:rPr>
                <w:sz w:val="18"/>
                <w:szCs w:val="18"/>
              </w:rPr>
              <w:t>465</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44FC1F" w14:textId="77777777" w:rsidR="00975853" w:rsidRPr="00834CDC" w:rsidRDefault="00975853" w:rsidP="00D83B12">
            <w:pPr>
              <w:pStyle w:val="NormalWeb"/>
              <w:spacing w:before="0" w:beforeAutospacing="0" w:after="0" w:afterAutospacing="0"/>
              <w:rPr>
                <w:sz w:val="18"/>
                <w:szCs w:val="18"/>
              </w:rPr>
            </w:pPr>
            <w:r w:rsidRPr="00834CDC">
              <w:rPr>
                <w:sz w:val="18"/>
                <w:szCs w:val="18"/>
              </w:rPr>
              <w:t>1.59</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890D7F" w14:textId="77777777" w:rsidR="00975853" w:rsidRPr="00834CDC" w:rsidRDefault="00975853" w:rsidP="00D83B12">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D7B1FC" w14:textId="77777777" w:rsidR="00975853" w:rsidRPr="00834CDC" w:rsidRDefault="00975853" w:rsidP="00D83B12">
            <w:pPr>
              <w:rPr>
                <w:sz w:val="18"/>
                <w:szCs w:val="18"/>
              </w:rPr>
            </w:pPr>
          </w:p>
        </w:tc>
      </w:tr>
      <w:tr w:rsidR="00975853" w:rsidRPr="00834CDC" w14:paraId="42B7BF96" w14:textId="77777777" w:rsidTr="00D83B12">
        <w:tc>
          <w:tcPr>
            <w:tcW w:w="198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7EC99A" w14:textId="77777777" w:rsidR="00975853" w:rsidRPr="00834CDC" w:rsidRDefault="00975853" w:rsidP="00D83B12">
            <w:pPr>
              <w:pStyle w:val="NormalWeb"/>
              <w:spacing w:before="0" w:beforeAutospacing="0" w:after="0" w:afterAutospacing="0"/>
              <w:rPr>
                <w:sz w:val="18"/>
                <w:szCs w:val="18"/>
              </w:rPr>
            </w:pPr>
            <w:r w:rsidRPr="00834CDC">
              <w:rPr>
                <w:sz w:val="18"/>
                <w:szCs w:val="18"/>
              </w:rPr>
              <w:t>50+</w:t>
            </w:r>
          </w:p>
        </w:tc>
        <w:tc>
          <w:tcPr>
            <w:tcW w:w="35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08C0BB" w14:textId="77777777" w:rsidR="00975853" w:rsidRPr="00834CDC" w:rsidRDefault="00975853" w:rsidP="00D83B12">
            <w:pPr>
              <w:pStyle w:val="NormalWeb"/>
              <w:spacing w:before="0" w:beforeAutospacing="0" w:after="0" w:afterAutospacing="0"/>
              <w:rPr>
                <w:sz w:val="18"/>
                <w:szCs w:val="18"/>
              </w:rPr>
            </w:pPr>
            <w:r w:rsidRPr="00834CDC">
              <w:rPr>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D6B116" w14:textId="77777777" w:rsidR="00975853" w:rsidRPr="00834CDC" w:rsidRDefault="00975853" w:rsidP="00D83B12">
            <w:pPr>
              <w:pStyle w:val="NormalWeb"/>
              <w:spacing w:before="0" w:beforeAutospacing="0" w:after="0" w:afterAutospacing="0"/>
              <w:rPr>
                <w:sz w:val="18"/>
                <w:szCs w:val="18"/>
              </w:rPr>
            </w:pPr>
            <w:r w:rsidRPr="00834CDC">
              <w:rPr>
                <w:sz w:val="18"/>
                <w:szCs w:val="18"/>
              </w:rPr>
              <w:t>11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5442BA" w14:textId="77777777" w:rsidR="00975853" w:rsidRPr="00834CDC" w:rsidRDefault="00975853" w:rsidP="00D83B12">
            <w:pPr>
              <w:pStyle w:val="NormalWeb"/>
              <w:spacing w:before="0" w:beforeAutospacing="0" w:after="0" w:afterAutospacing="0"/>
              <w:rPr>
                <w:sz w:val="18"/>
                <w:szCs w:val="18"/>
              </w:rPr>
            </w:pPr>
            <w:r w:rsidRPr="00834CDC">
              <w:rPr>
                <w:sz w:val="18"/>
                <w:szCs w:val="18"/>
              </w:rPr>
              <w:t>2.39</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90BA14" w14:textId="77777777" w:rsidR="00975853" w:rsidRPr="00834CDC" w:rsidRDefault="00975853" w:rsidP="00D83B12">
            <w:pPr>
              <w:pStyle w:val="NormalWeb"/>
              <w:spacing w:before="0" w:beforeAutospacing="0" w:after="0" w:afterAutospacing="0"/>
              <w:rPr>
                <w:sz w:val="18"/>
                <w:szCs w:val="18"/>
              </w:rPr>
            </w:pPr>
            <w:r w:rsidRPr="00834CDC">
              <w:rPr>
                <w:sz w:val="18"/>
                <w:szCs w:val="18"/>
              </w:rPr>
              <w:t>1.1</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3F694E" w14:textId="77777777" w:rsidR="00975853" w:rsidRPr="00834CDC" w:rsidRDefault="00975853" w:rsidP="00D83B12">
            <w:pPr>
              <w:pStyle w:val="NormalWeb"/>
              <w:spacing w:before="0" w:beforeAutospacing="0" w:after="0" w:afterAutospacing="0"/>
              <w:rPr>
                <w:sz w:val="18"/>
                <w:szCs w:val="18"/>
              </w:rPr>
            </w:pPr>
            <w:r w:rsidRPr="00834CDC">
              <w:rPr>
                <w:sz w:val="18"/>
                <w:szCs w:val="18"/>
              </w:rPr>
              <w:t>0.5–1.9</w:t>
            </w:r>
          </w:p>
        </w:tc>
      </w:tr>
      <w:tr w:rsidR="00975853" w:rsidRPr="00834CDC" w14:paraId="60863130" w14:textId="77777777" w:rsidTr="00D83B12">
        <w:trPr>
          <w:cnfStyle w:val="000000010000" w:firstRow="0" w:lastRow="0" w:firstColumn="0" w:lastColumn="0" w:oddVBand="0" w:evenVBand="0" w:oddHBand="0" w:evenHBand="1" w:firstRowFirstColumn="0" w:firstRowLastColumn="0" w:lastRowFirstColumn="0" w:lastRowLastColumn="0"/>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3DA6B3" w14:textId="77777777" w:rsidR="00975853" w:rsidRPr="00834CDC" w:rsidRDefault="00975853" w:rsidP="00D83B12">
            <w:pPr>
              <w:rPr>
                <w:sz w:val="18"/>
                <w:szCs w:val="18"/>
              </w:rPr>
            </w:pPr>
          </w:p>
        </w:tc>
        <w:tc>
          <w:tcPr>
            <w:tcW w:w="35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30E643" w14:textId="77777777" w:rsidR="00975853" w:rsidRPr="00834CDC" w:rsidRDefault="00975853" w:rsidP="00D83B12">
            <w:pPr>
              <w:pStyle w:val="NormalWeb"/>
              <w:spacing w:before="0" w:beforeAutospacing="0" w:after="0" w:afterAutospacing="0"/>
              <w:rPr>
                <w:sz w:val="18"/>
                <w:szCs w:val="18"/>
              </w:rPr>
            </w:pPr>
            <w:r w:rsidRPr="00834CDC">
              <w:rPr>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FE6BE2" w14:textId="77777777" w:rsidR="00975853" w:rsidRPr="00834CDC" w:rsidRDefault="00975853" w:rsidP="00D83B12">
            <w:pPr>
              <w:pStyle w:val="NormalWeb"/>
              <w:spacing w:before="0" w:beforeAutospacing="0" w:after="0" w:afterAutospacing="0"/>
              <w:rPr>
                <w:sz w:val="18"/>
                <w:szCs w:val="18"/>
              </w:rPr>
            </w:pPr>
            <w:r w:rsidRPr="00834CDC">
              <w:rPr>
                <w:sz w:val="18"/>
                <w:szCs w:val="18"/>
              </w:rPr>
              <w:t>637</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7DAB3F" w14:textId="77777777" w:rsidR="00975853" w:rsidRPr="00834CDC" w:rsidRDefault="00975853" w:rsidP="00D83B12">
            <w:pPr>
              <w:pStyle w:val="NormalWeb"/>
              <w:spacing w:before="0" w:beforeAutospacing="0" w:after="0" w:afterAutospacing="0"/>
              <w:rPr>
                <w:sz w:val="18"/>
                <w:szCs w:val="18"/>
              </w:rPr>
            </w:pPr>
            <w:r w:rsidRPr="00834CDC">
              <w:rPr>
                <w:sz w:val="18"/>
                <w:szCs w:val="18"/>
              </w:rPr>
              <w:t>2.25</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1F6A53" w14:textId="77777777" w:rsidR="00975853" w:rsidRPr="00834CDC" w:rsidRDefault="00975853" w:rsidP="00D83B12">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3ED536" w14:textId="77777777" w:rsidR="00975853" w:rsidRPr="00834CDC" w:rsidRDefault="00975853" w:rsidP="00D83B12">
            <w:pPr>
              <w:rPr>
                <w:sz w:val="18"/>
                <w:szCs w:val="18"/>
              </w:rPr>
            </w:pPr>
          </w:p>
        </w:tc>
      </w:tr>
      <w:tr w:rsidR="00975853" w:rsidRPr="00834CDC" w14:paraId="00BCE1E4" w14:textId="77777777" w:rsidTr="00D83B12">
        <w:tc>
          <w:tcPr>
            <w:tcW w:w="198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719DD99" w14:textId="77777777" w:rsidR="00975853" w:rsidRPr="00834CDC" w:rsidRDefault="00975853" w:rsidP="00D83B12">
            <w:pPr>
              <w:pStyle w:val="NormalWeb"/>
              <w:spacing w:before="0" w:beforeAutospacing="0" w:after="0" w:afterAutospacing="0"/>
              <w:rPr>
                <w:b/>
                <w:bCs/>
                <w:sz w:val="18"/>
                <w:szCs w:val="18"/>
              </w:rPr>
            </w:pPr>
            <w:r w:rsidRPr="00834CDC">
              <w:rPr>
                <w:b/>
                <w:bCs/>
                <w:sz w:val="18"/>
                <w:szCs w:val="18"/>
              </w:rPr>
              <w:t xml:space="preserve">All ages </w:t>
            </w:r>
            <w:r w:rsidRPr="00834CDC">
              <w:rPr>
                <w:b/>
                <w:bCs/>
                <w:sz w:val="18"/>
                <w:szCs w:val="18"/>
                <w:vertAlign w:val="superscript"/>
              </w:rPr>
              <w:t>c</w:t>
            </w:r>
          </w:p>
        </w:tc>
        <w:tc>
          <w:tcPr>
            <w:tcW w:w="35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6570448" w14:textId="77777777" w:rsidR="00975853" w:rsidRPr="00834CDC" w:rsidRDefault="00975853" w:rsidP="00D83B12">
            <w:pPr>
              <w:pStyle w:val="NormalWeb"/>
              <w:spacing w:before="0" w:beforeAutospacing="0" w:after="0" w:afterAutospacing="0"/>
              <w:rPr>
                <w:b/>
                <w:bCs/>
                <w:sz w:val="18"/>
                <w:szCs w:val="18"/>
              </w:rPr>
            </w:pPr>
            <w:r w:rsidRPr="00834CDC">
              <w:rPr>
                <w:b/>
                <w:bCs/>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34C25DB" w14:textId="77777777" w:rsidR="00975853" w:rsidRPr="00834CDC" w:rsidRDefault="00975853" w:rsidP="00D83B12">
            <w:pPr>
              <w:pStyle w:val="NormalWeb"/>
              <w:spacing w:before="0" w:beforeAutospacing="0" w:after="0" w:afterAutospacing="0"/>
              <w:rPr>
                <w:b/>
                <w:bCs/>
                <w:sz w:val="18"/>
                <w:szCs w:val="18"/>
              </w:rPr>
            </w:pPr>
            <w:r w:rsidRPr="00834CDC">
              <w:rPr>
                <w:b/>
                <w:bCs/>
                <w:sz w:val="18"/>
                <w:szCs w:val="18"/>
              </w:rPr>
              <w:t>46</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B552B61" w14:textId="77777777" w:rsidR="00975853" w:rsidRPr="00834CDC" w:rsidRDefault="00975853" w:rsidP="00D83B12">
            <w:pPr>
              <w:pStyle w:val="NormalWeb"/>
              <w:spacing w:before="0" w:beforeAutospacing="0" w:after="0" w:afterAutospacing="0"/>
              <w:rPr>
                <w:b/>
                <w:bCs/>
                <w:sz w:val="18"/>
                <w:szCs w:val="18"/>
              </w:rPr>
            </w:pPr>
            <w:r w:rsidRPr="00834CDC">
              <w:rPr>
                <w:b/>
                <w:bCs/>
                <w:sz w:val="18"/>
                <w:szCs w:val="18"/>
              </w:rPr>
              <w:t>1.96</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D6E2CDD" w14:textId="77777777" w:rsidR="00975853" w:rsidRPr="00834CDC" w:rsidRDefault="00975853" w:rsidP="00D83B12">
            <w:pPr>
              <w:pStyle w:val="NormalWeb"/>
              <w:spacing w:before="0" w:beforeAutospacing="0" w:after="0" w:afterAutospacing="0"/>
              <w:rPr>
                <w:b/>
                <w:bCs/>
                <w:sz w:val="18"/>
                <w:szCs w:val="18"/>
              </w:rPr>
            </w:pPr>
            <w:r w:rsidRPr="00834CDC">
              <w:rPr>
                <w:b/>
                <w:bCs/>
                <w:sz w:val="18"/>
                <w:szCs w:val="18"/>
              </w:rPr>
              <w:t>1.3</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6BBE13E" w14:textId="77777777" w:rsidR="00975853" w:rsidRPr="00834CDC" w:rsidRDefault="00975853" w:rsidP="00D83B12">
            <w:pPr>
              <w:pStyle w:val="NormalWeb"/>
              <w:spacing w:before="0" w:beforeAutospacing="0" w:after="0" w:afterAutospacing="0"/>
              <w:rPr>
                <w:b/>
                <w:bCs/>
                <w:sz w:val="18"/>
                <w:szCs w:val="18"/>
              </w:rPr>
            </w:pPr>
            <w:r w:rsidRPr="00834CDC">
              <w:rPr>
                <w:b/>
                <w:bCs/>
                <w:sz w:val="18"/>
                <w:szCs w:val="18"/>
              </w:rPr>
              <w:t>0.9–1.6</w:t>
            </w:r>
          </w:p>
        </w:tc>
      </w:tr>
      <w:tr w:rsidR="00975853" w:rsidRPr="00834CDC" w14:paraId="4A0E8EC5" w14:textId="77777777" w:rsidTr="00D83B12">
        <w:trPr>
          <w:cnfStyle w:val="000000010000" w:firstRow="0" w:lastRow="0" w:firstColumn="0" w:lastColumn="0" w:oddVBand="0" w:evenVBand="0" w:oddHBand="0" w:evenHBand="1" w:firstRowFirstColumn="0" w:firstRowLastColumn="0" w:lastRowFirstColumn="0" w:lastRowLastColumn="0"/>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9329D8D" w14:textId="77777777" w:rsidR="00975853" w:rsidRPr="00834CDC" w:rsidRDefault="00975853" w:rsidP="00D83B12">
            <w:pPr>
              <w:rPr>
                <w:b/>
                <w:bCs/>
                <w:sz w:val="18"/>
                <w:szCs w:val="18"/>
              </w:rPr>
            </w:pPr>
          </w:p>
        </w:tc>
        <w:tc>
          <w:tcPr>
            <w:tcW w:w="35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5D30D21" w14:textId="77777777" w:rsidR="00975853" w:rsidRPr="00834CDC" w:rsidRDefault="00975853" w:rsidP="00D83B12">
            <w:pPr>
              <w:pStyle w:val="NormalWeb"/>
              <w:spacing w:before="0" w:beforeAutospacing="0" w:after="0" w:afterAutospacing="0"/>
              <w:rPr>
                <w:b/>
                <w:bCs/>
                <w:sz w:val="18"/>
                <w:szCs w:val="18"/>
              </w:rPr>
            </w:pPr>
            <w:r w:rsidRPr="00834CDC">
              <w:rPr>
                <w:b/>
                <w:bCs/>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CAB874D" w14:textId="77777777" w:rsidR="00975853" w:rsidRPr="00834CDC" w:rsidRDefault="00975853" w:rsidP="00D83B12">
            <w:pPr>
              <w:pStyle w:val="NormalWeb"/>
              <w:spacing w:before="0" w:beforeAutospacing="0" w:after="0" w:afterAutospacing="0"/>
              <w:rPr>
                <w:b/>
                <w:bCs/>
                <w:sz w:val="18"/>
                <w:szCs w:val="18"/>
              </w:rPr>
            </w:pPr>
            <w:r w:rsidRPr="00834CDC">
              <w:rPr>
                <w:b/>
                <w:bCs/>
                <w:sz w:val="18"/>
                <w:szCs w:val="18"/>
              </w:rPr>
              <w:t>1,289</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B72666B" w14:textId="77777777" w:rsidR="00975853" w:rsidRPr="00834CDC" w:rsidRDefault="00975853" w:rsidP="00D83B12">
            <w:pPr>
              <w:pStyle w:val="NormalWeb"/>
              <w:spacing w:before="0" w:beforeAutospacing="0" w:after="0" w:afterAutospacing="0"/>
              <w:rPr>
                <w:b/>
                <w:bCs/>
                <w:sz w:val="18"/>
                <w:szCs w:val="18"/>
              </w:rPr>
            </w:pPr>
            <w:r w:rsidRPr="00834CDC">
              <w:rPr>
                <w:b/>
                <w:bCs/>
                <w:sz w:val="18"/>
                <w:szCs w:val="18"/>
              </w:rPr>
              <w:t>1.53</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ED001B7" w14:textId="77777777" w:rsidR="00975853" w:rsidRPr="00834CDC" w:rsidRDefault="00975853" w:rsidP="00D83B12">
            <w:pPr>
              <w:rPr>
                <w:b/>
                <w:bCs/>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CDECA95" w14:textId="77777777" w:rsidR="00975853" w:rsidRPr="00834CDC" w:rsidRDefault="00975853" w:rsidP="00D83B12">
            <w:pPr>
              <w:rPr>
                <w:b/>
                <w:bCs/>
                <w:sz w:val="18"/>
                <w:szCs w:val="18"/>
              </w:rPr>
            </w:pPr>
          </w:p>
        </w:tc>
      </w:tr>
    </w:tbl>
    <w:p w14:paraId="2B87F0D6" w14:textId="77777777" w:rsidR="00975853" w:rsidRPr="00834CDC" w:rsidRDefault="00975853" w:rsidP="00975853">
      <w:pPr>
        <w:pStyle w:val="CDIfootnotes"/>
      </w:pPr>
      <w:r w:rsidRPr="00834CDC">
        <w:t>a</w:t>
      </w:r>
      <w:r w:rsidRPr="00834CDC">
        <w:tab/>
      </w:r>
      <w:proofErr w:type="gramStart"/>
      <w:r w:rsidRPr="00834CDC">
        <w:t>Hospital admissions</w:t>
      </w:r>
      <w:proofErr w:type="gramEnd"/>
      <w:r w:rsidRPr="00834CDC">
        <w:t xml:space="preserve"> where hepatitis A is listed as the principal or other additional diagnosis and where the date of admission was between 1 January 2016 and 30 June 2019. 2019 hospitalisation data were annualised.</w:t>
      </w:r>
    </w:p>
    <w:p w14:paraId="192F1058" w14:textId="77777777" w:rsidR="00975853" w:rsidRPr="00834CDC" w:rsidRDefault="00975853" w:rsidP="00975853">
      <w:pPr>
        <w:pStyle w:val="CDIfootnotes"/>
      </w:pPr>
      <w:r w:rsidRPr="00834CDC">
        <w:t>b</w:t>
      </w:r>
      <w:r w:rsidRPr="00834CDC">
        <w:tab/>
        <w:t>Average annual age-specific rate per 100,000 population.</w:t>
      </w:r>
    </w:p>
    <w:p w14:paraId="3D92C833" w14:textId="77777777" w:rsidR="00975853" w:rsidRPr="00834CDC" w:rsidRDefault="00975853" w:rsidP="00975853">
      <w:pPr>
        <w:pStyle w:val="CDIfootnotes"/>
      </w:pPr>
      <w:r w:rsidRPr="00834CDC">
        <w:t>c</w:t>
      </w:r>
      <w:r w:rsidRPr="00834CDC">
        <w:tab/>
        <w:t>Rates for all ages combined are age-standardised to the ABS Australian population estimates for 2016.</w:t>
      </w:r>
    </w:p>
    <w:p w14:paraId="16FABF82" w14:textId="76C494FD" w:rsidR="00B6502F" w:rsidRPr="00834CDC" w:rsidRDefault="00B6502F" w:rsidP="009A17B1"/>
    <w:p w14:paraId="6E94B5FA" w14:textId="5A1632A0" w:rsidR="00975853" w:rsidRPr="00834CDC" w:rsidRDefault="00975853" w:rsidP="009A17B1"/>
    <w:p w14:paraId="20A1193D" w14:textId="5F520F53" w:rsidR="00975853" w:rsidRPr="00834CDC" w:rsidRDefault="00975853" w:rsidP="009A17B1"/>
    <w:p w14:paraId="6A22DF02" w14:textId="56D2333B" w:rsidR="00975853" w:rsidRPr="00834CDC" w:rsidRDefault="00975853" w:rsidP="009A17B1"/>
    <w:p w14:paraId="70B8BD96" w14:textId="77777777" w:rsidR="00975853" w:rsidRPr="00834CDC" w:rsidRDefault="00975853" w:rsidP="009A17B1"/>
    <w:p w14:paraId="670B3E02" w14:textId="5F4F5850" w:rsidR="00B6502F" w:rsidRDefault="00B6502F" w:rsidP="009A17B1"/>
    <w:p w14:paraId="742C8C5C" w14:textId="77777777" w:rsidR="00815350" w:rsidRPr="00834CDC" w:rsidRDefault="00815350" w:rsidP="009A17B1"/>
    <w:p w14:paraId="411802F3" w14:textId="77777777" w:rsidR="00B6502F" w:rsidRPr="00834CDC" w:rsidRDefault="00B6502F" w:rsidP="009A17B1">
      <w:pPr>
        <w:rPr>
          <w:rFonts w:ascii="MyriadConceptRoman-Regular" w:hAnsi="MyriadConceptRoman-Regular" w:cs="MyriadConceptRoman-Regular"/>
          <w:sz w:val="17"/>
          <w:szCs w:val="17"/>
        </w:rPr>
      </w:pPr>
    </w:p>
    <w:p w14:paraId="7E736566" w14:textId="35C4DA6A" w:rsidR="00B6502F" w:rsidRPr="00834CDC" w:rsidRDefault="00B6502F" w:rsidP="00B6502F">
      <w:pPr>
        <w:pStyle w:val="CDIfootnotes"/>
        <w:pBdr>
          <w:top w:val="single" w:sz="2" w:space="1" w:color="808080" w:themeColor="background1" w:themeShade="80"/>
        </w:pBdr>
      </w:pPr>
      <w:proofErr w:type="spellStart"/>
      <w:r w:rsidRPr="00834CDC">
        <w:t>i</w:t>
      </w:r>
      <w:proofErr w:type="spellEnd"/>
      <w:r w:rsidRPr="00834CDC">
        <w:tab/>
      </w:r>
      <w:proofErr w:type="gramStart"/>
      <w:r w:rsidRPr="00834CDC">
        <w:t>To</w:t>
      </w:r>
      <w:proofErr w:type="gramEnd"/>
      <w:r w:rsidRPr="00834CDC">
        <w:t xml:space="preserve"> comply with the Australian Coordinating Registry’s data release condition that death counts &lt;6 be suppressed in published reports, counts between 1 and 5 are reported as a range. </w:t>
      </w:r>
      <w:r w:rsidRPr="00834CDC">
        <w:br w:type="page"/>
      </w:r>
    </w:p>
    <w:p w14:paraId="6BA443D1" w14:textId="77777777" w:rsidR="00B6502F" w:rsidRPr="00834CDC" w:rsidRDefault="00B6502F" w:rsidP="00B6502F">
      <w:pPr>
        <w:pStyle w:val="CDIFigures"/>
      </w:pPr>
      <w:r w:rsidRPr="00834CDC">
        <w:rPr>
          <w:rStyle w:val="Strong"/>
          <w:b/>
          <w:bCs w:val="0"/>
        </w:rPr>
        <w:lastRenderedPageBreak/>
        <w:t xml:space="preserve">Figure 3: Hepatitis A hospitalisation </w:t>
      </w:r>
      <w:proofErr w:type="spellStart"/>
      <w:proofErr w:type="gramStart"/>
      <w:r w:rsidRPr="00834CDC">
        <w:rPr>
          <w:rStyle w:val="Strong"/>
          <w:b/>
          <w:bCs w:val="0"/>
        </w:rPr>
        <w:t>rates,</w:t>
      </w:r>
      <w:r w:rsidRPr="00834CDC">
        <w:rPr>
          <w:rStyle w:val="Strong"/>
          <w:b/>
          <w:bCs w:val="0"/>
          <w:vertAlign w:val="superscript"/>
        </w:rPr>
        <w:t>a</w:t>
      </w:r>
      <w:proofErr w:type="spellEnd"/>
      <w:proofErr w:type="gramEnd"/>
      <w:r w:rsidRPr="00834CDC">
        <w:rPr>
          <w:rStyle w:val="Strong"/>
          <w:b/>
          <w:bCs w:val="0"/>
        </w:rPr>
        <w:t xml:space="preserve"> Australia (selected states and territories),</w:t>
      </w:r>
      <w:r w:rsidRPr="00834CDC">
        <w:rPr>
          <w:rStyle w:val="Strong"/>
          <w:b/>
          <w:bCs w:val="0"/>
          <w:vertAlign w:val="superscript"/>
        </w:rPr>
        <w:t>b</w:t>
      </w:r>
      <w:r w:rsidRPr="00834CDC">
        <w:rPr>
          <w:rStyle w:val="Strong"/>
          <w:b/>
          <w:bCs w:val="0"/>
        </w:rPr>
        <w:t xml:space="preserve"> 2016–2019,</w:t>
      </w:r>
      <w:r w:rsidRPr="00834CDC">
        <w:rPr>
          <w:rStyle w:val="Strong"/>
          <w:b/>
          <w:bCs w:val="0"/>
          <w:vertAlign w:val="superscript"/>
        </w:rPr>
        <w:t>c</w:t>
      </w:r>
      <w:r w:rsidRPr="00834CDC">
        <w:rPr>
          <w:rStyle w:val="Strong"/>
          <w:b/>
          <w:bCs w:val="0"/>
        </w:rPr>
        <w:t xml:space="preserve"> by Aboriginal and Torres Strait Islander status</w:t>
      </w:r>
    </w:p>
    <w:p w14:paraId="17CA9460" w14:textId="77777777" w:rsidR="00B6502F" w:rsidRPr="00834CDC" w:rsidRDefault="00B6502F" w:rsidP="00975853">
      <w:pPr>
        <w:pStyle w:val="NormalWeb"/>
        <w:jc w:val="center"/>
      </w:pPr>
      <w:r w:rsidRPr="00834CDC">
        <w:rPr>
          <w:noProof/>
        </w:rPr>
        <w:drawing>
          <wp:inline distT="0" distB="0" distL="0" distR="0" wp14:anchorId="3E0440D5" wp14:editId="0DF87F83">
            <wp:extent cx="6007760" cy="3896360"/>
            <wp:effectExtent l="0" t="0" r="0" b="8890"/>
            <wp:docPr id="36" name="Picture 36" descr="Line graph that shows hospitalisation rates for hepatitis A for the period 2010 to 2019. There was a general increasing trend in both Aboriginal and Torres Strait Islander and other people between 2012 and 2019. In 2019, the rate was 1.7 per 100,000 population for Aboriginal and Torres Strait Islander people and 1.4 per 100,000 population in other peopl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e graph that shows hospitalisation rates for hepatitis A for the period 2010 to 2019. There was a general increasing trend in both Aboriginal and Torres Strait Islander and other people between 2012 and 2019. In 2019, the rate was 1.7 per 100,000 population for Aboriginal and Torres Strait Islander people and 1.4 per 100,000 population in other people. &#10;"/>
                    <pic:cNvPicPr>
                      <a:picLocks noChangeAspect="1" noChangeArrowheads="1"/>
                    </pic:cNvPicPr>
                  </pic:nvPicPr>
                  <pic:blipFill>
                    <a:blip r:link="rId14">
                      <a:extLst>
                        <a:ext uri="{28A0092B-C50C-407E-A947-70E740481C1C}">
                          <a14:useLocalDpi xmlns:a14="http://schemas.microsoft.com/office/drawing/2010/main" val="0"/>
                        </a:ext>
                      </a:extLst>
                    </a:blip>
                    <a:stretch>
                      <a:fillRect/>
                    </a:stretch>
                  </pic:blipFill>
                  <pic:spPr bwMode="auto">
                    <a:xfrm>
                      <a:off x="0" y="0"/>
                      <a:ext cx="6127908" cy="3974283"/>
                    </a:xfrm>
                    <a:prstGeom prst="rect">
                      <a:avLst/>
                    </a:prstGeom>
                  </pic:spPr>
                </pic:pic>
              </a:graphicData>
            </a:graphic>
          </wp:inline>
        </w:drawing>
      </w:r>
    </w:p>
    <w:p w14:paraId="51AAECA2" w14:textId="77777777" w:rsidR="00B6502F" w:rsidRPr="00834CDC" w:rsidRDefault="00B6502F" w:rsidP="00B6502F">
      <w:pPr>
        <w:pStyle w:val="CDIfootnotes"/>
      </w:pPr>
      <w:r w:rsidRPr="00834CDC">
        <w:t>a</w:t>
      </w:r>
      <w:r w:rsidRPr="00834CDC">
        <w:tab/>
        <w:t xml:space="preserve">Hospital admission where hepatitis A is listed as the principal or other </w:t>
      </w:r>
      <w:proofErr w:type="gramStart"/>
      <w:r w:rsidRPr="00834CDC">
        <w:t>additional</w:t>
      </w:r>
      <w:proofErr w:type="gramEnd"/>
      <w:r w:rsidRPr="00834CDC">
        <w:t xml:space="preserve"> diagnosis.</w:t>
      </w:r>
    </w:p>
    <w:p w14:paraId="2544E0D0" w14:textId="77777777" w:rsidR="00B6502F" w:rsidRPr="00834CDC" w:rsidRDefault="00B6502F" w:rsidP="00B6502F">
      <w:pPr>
        <w:pStyle w:val="CDIfootnotes"/>
      </w:pPr>
      <w:r w:rsidRPr="00834CDC">
        <w:t>b</w:t>
      </w:r>
      <w:r w:rsidRPr="00834CDC">
        <w:tab/>
        <w:t xml:space="preserve">Jurisdictions with satisfactory data quality 2010–2019 (refer to Appendix A): Northern Territory, Queensland, New South Wales, Victoria, South </w:t>
      </w:r>
      <w:proofErr w:type="gramStart"/>
      <w:r w:rsidRPr="00834CDC">
        <w:t>Australia</w:t>
      </w:r>
      <w:proofErr w:type="gramEnd"/>
      <w:r w:rsidRPr="00834CDC">
        <w:t xml:space="preserve"> and Western Australia.</w:t>
      </w:r>
    </w:p>
    <w:p w14:paraId="4A7AFF63" w14:textId="46DAE51C" w:rsidR="00B6502F" w:rsidRPr="00834CDC" w:rsidRDefault="00B6502F" w:rsidP="00ED05A2">
      <w:pPr>
        <w:pStyle w:val="CDIfootnotes"/>
        <w:spacing w:after="0" w:afterAutospacing="0"/>
      </w:pPr>
      <w:r w:rsidRPr="00834CDC">
        <w:t>c</w:t>
      </w:r>
      <w:r w:rsidRPr="00834CDC">
        <w:tab/>
        <w:t>Hospital admissions where the date of admission was between 1 January 2010 and 30 June 2019. 2019 hospitalisation data was annualised.</w:t>
      </w:r>
    </w:p>
    <w:p w14:paraId="7293118A" w14:textId="5EF72609" w:rsidR="009A17B1" w:rsidRPr="00834CDC" w:rsidRDefault="009A17B1" w:rsidP="009A17B1">
      <w:pPr>
        <w:pStyle w:val="Heading1"/>
      </w:pPr>
      <w:r w:rsidRPr="00834CDC">
        <w:t>Discussion</w:t>
      </w:r>
    </w:p>
    <w:p w14:paraId="0F14CD54" w14:textId="77777777" w:rsidR="009A17B1" w:rsidRPr="00834CDC" w:rsidRDefault="009A17B1" w:rsidP="009A17B1">
      <w:proofErr w:type="gramStart"/>
      <w:r w:rsidRPr="00834CDC">
        <w:t>Similar to</w:t>
      </w:r>
      <w:proofErr w:type="gramEnd"/>
      <w:r w:rsidRPr="00834CDC">
        <w:t xml:space="preserve"> the 2011–2015 period,</w:t>
      </w:r>
      <w:r w:rsidRPr="00834CDC">
        <w:rPr>
          <w:rStyle w:val="superscript"/>
        </w:rPr>
        <w:t>1</w:t>
      </w:r>
      <w:r w:rsidRPr="00834CDC">
        <w:t xml:space="preserve"> the hepatitis A notification rate for all ages combined in Aboriginal and Torres Strait Islander people was less than half that in other people over the 2016–2019 period, with no hepatitis A notifications or hospitalisations reported in Aboriginal and Torres Strait Islander children aged </w:t>
      </w:r>
      <w:r w:rsidRPr="00834CDC">
        <w:rPr>
          <w:rFonts w:ascii="Times New Roman" w:hAnsi="Times New Roman" w:cs="Times New Roman"/>
        </w:rPr>
        <w:t>˂</w:t>
      </w:r>
      <w:r w:rsidRPr="00834CDC">
        <w:t xml:space="preserve"> 5 years.</w:t>
      </w:r>
    </w:p>
    <w:p w14:paraId="2C15BC19" w14:textId="77777777" w:rsidR="009A17B1" w:rsidRPr="00834CDC" w:rsidRDefault="009A17B1" w:rsidP="009A17B1">
      <w:r w:rsidRPr="00834CDC">
        <w:t>A peak in hepatitis A notifications was observed in 2018, in both Aboriginal and Torres Strait Islander people and other people, likely contributed to by a multi-jurisdictional foodborne outbreak due to imported pomegranate arils.</w:t>
      </w:r>
      <w:r w:rsidRPr="00834CDC">
        <w:rPr>
          <w:rStyle w:val="superscript"/>
        </w:rPr>
        <w:t>54,55</w:t>
      </w:r>
      <w:r w:rsidRPr="00834CDC">
        <w:t xml:space="preserve"> In addition, hepatitis A outbreaks among men who have sex with men (MSM)—and to a lesser extent among people who inject drugs, homeless people and adult prisoners—were also reported in 2017 and 2018.</w:t>
      </w:r>
      <w:r w:rsidRPr="00834CDC">
        <w:rPr>
          <w:rStyle w:val="superscript"/>
        </w:rPr>
        <w:t>56,59</w:t>
      </w:r>
      <w:r w:rsidRPr="00834CDC">
        <w:t xml:space="preserve"> As a response to these outbreaks, state-funded hepatitis A vaccination programs targeting MSM and people who inject drugs ran from mid-2018 to November 2020 in Victoria, and until June 2020 in Tasmania.</w:t>
      </w:r>
      <w:r w:rsidRPr="00834CDC">
        <w:rPr>
          <w:rStyle w:val="superscript"/>
        </w:rPr>
        <w:t>60,61</w:t>
      </w:r>
    </w:p>
    <w:p w14:paraId="58DDE7D8" w14:textId="77777777" w:rsidR="009A17B1" w:rsidRPr="00834CDC" w:rsidRDefault="009A17B1" w:rsidP="009A17B1">
      <w:r w:rsidRPr="00834CDC">
        <w:t xml:space="preserve">Prior to 2005, the rate of hepatitis A infection was higher among Aboriginal and Torres Strait Islander people, particularly in Western Australia, South Australia, </w:t>
      </w:r>
      <w:proofErr w:type="gramStart"/>
      <w:r w:rsidRPr="00834CDC">
        <w:t>Queensland</w:t>
      </w:r>
      <w:proofErr w:type="gramEnd"/>
      <w:r w:rsidRPr="00834CDC">
        <w:t xml:space="preserve"> and the Northern Territory.</w:t>
      </w:r>
      <w:r w:rsidRPr="00834CDC">
        <w:rPr>
          <w:rStyle w:val="superscript"/>
        </w:rPr>
        <w:t>3</w:t>
      </w:r>
      <w:r w:rsidRPr="00834CDC">
        <w:t xml:space="preserve"> In response, a national hepatitis A immunisation program targeted at Aboriginal and Torres Strait Islander children was introduced in 2005 in these four jurisdictions. This targeted immunisation program was successful in decreasing hepatitis A notifications in Aboriginal and Torres Strait Islander people, despite relatively modest vaccine coverage, and also appeared to </w:t>
      </w:r>
      <w:r w:rsidRPr="00834CDC">
        <w:lastRenderedPageBreak/>
        <w:t>provide substantial herd protection to older children and adults, both Aboriginal and Torres Strait Islander and other.</w:t>
      </w:r>
      <w:r w:rsidRPr="00834CDC">
        <w:rPr>
          <w:rStyle w:val="superscript"/>
        </w:rPr>
        <w:t>62</w:t>
      </w:r>
      <w:r w:rsidRPr="00834CDC">
        <w:t xml:space="preserve"> Hepatitis A notification rates have remained consistently lower in Aboriginal and Torres Strait Islander people than in other Australians since 2007. Hepatitis A hospitalisation rates for both Aboriginal and Torres Strait Islander and other people </w:t>
      </w:r>
      <w:proofErr w:type="gramStart"/>
      <w:r w:rsidRPr="00834CDC">
        <w:t>remain</w:t>
      </w:r>
      <w:proofErr w:type="gramEnd"/>
      <w:r w:rsidRPr="00834CDC">
        <w:t xml:space="preserve"> generally low, consistent with low numbers of notified cases. However, the rate of hospitalisation among cases is high: during the multi-jurisdictional foodborne outbreak in Australia in 2018, 83% of hepatitis A cases were hospitalised.</w:t>
      </w:r>
      <w:r w:rsidRPr="00834CDC">
        <w:rPr>
          <w:rStyle w:val="superscript"/>
        </w:rPr>
        <w:t>54</w:t>
      </w:r>
    </w:p>
    <w:p w14:paraId="16FB0603" w14:textId="77777777" w:rsidR="009A17B1" w:rsidRPr="00834CDC" w:rsidRDefault="009A17B1" w:rsidP="009A17B1">
      <w:pPr>
        <w:rPr>
          <w:rStyle w:val="Strong"/>
          <w:b w:val="0"/>
          <w:bCs w:val="0"/>
        </w:rPr>
      </w:pPr>
      <w:r w:rsidRPr="00834CDC">
        <w:t>Targeted hepatitis A immunisation of high-risk groups in countries with low incidence is recommended by the World Health Organization</w:t>
      </w:r>
      <w:r w:rsidRPr="00834CDC">
        <w:rPr>
          <w:rStyle w:val="superscript"/>
        </w:rPr>
        <w:t>52</w:t>
      </w:r>
      <w:r w:rsidRPr="00834CDC">
        <w:t xml:space="preserve"> and has been </w:t>
      </w:r>
      <w:proofErr w:type="gramStart"/>
      <w:r w:rsidRPr="00834CDC">
        <w:t>largely effective</w:t>
      </w:r>
      <w:proofErr w:type="gramEnd"/>
      <w:r w:rsidRPr="00834CDC">
        <w:t xml:space="preserve"> in Australia to date. As well as Aboriginal and Torres Strait Islander children in the four states and territories listed above, Australia recommends hepatitis A vaccine for people with an increased risk of acquiring hepatitis A, including people travelling to countries with endemic hepatitis A, men who have sex with men, and people who inject drugs.</w:t>
      </w:r>
      <w:r w:rsidRPr="00834CDC">
        <w:rPr>
          <w:rStyle w:val="superscript"/>
        </w:rPr>
        <w:t>63</w:t>
      </w:r>
      <w:r w:rsidRPr="00834CDC">
        <w:t xml:space="preserve"> However, vaccination uptake among these populations is generally suboptimal.</w:t>
      </w:r>
      <w:r w:rsidRPr="00834CDC">
        <w:rPr>
          <w:rStyle w:val="superscript"/>
        </w:rPr>
        <w:t>64,65</w:t>
      </w:r>
      <w:r w:rsidRPr="00834CDC">
        <w:t xml:space="preserve"> Continued surveillance of hepatitis A remains important to inform future strategies for prevention of hepatitis A in Australia.</w:t>
      </w:r>
      <w:r w:rsidRPr="00834CDC">
        <w:rPr>
          <w:rStyle w:val="Strong"/>
          <w:b w:val="0"/>
          <w:bCs w:val="0"/>
        </w:rPr>
        <w:t xml:space="preserve"> </w:t>
      </w:r>
    </w:p>
    <w:p w14:paraId="018D9792" w14:textId="413C3DC4" w:rsidR="000B5082" w:rsidRPr="00834CDC" w:rsidRDefault="000B5082" w:rsidP="004D312F">
      <w:pPr>
        <w:pStyle w:val="Heading2"/>
        <w:rPr>
          <w:sz w:val="32"/>
          <w:szCs w:val="28"/>
        </w:rPr>
      </w:pPr>
      <w:r w:rsidRPr="00834CDC">
        <w:br w:type="page"/>
      </w:r>
    </w:p>
    <w:p w14:paraId="192B2476" w14:textId="01A6123B" w:rsidR="0033445F" w:rsidRPr="00834CDC" w:rsidRDefault="0033445F" w:rsidP="0033445F">
      <w:pPr>
        <w:pStyle w:val="Heading1"/>
        <w:divId w:val="1988506822"/>
      </w:pPr>
      <w:r w:rsidRPr="00834CDC">
        <w:lastRenderedPageBreak/>
        <w:t xml:space="preserve">4. Hepatitis B </w:t>
      </w:r>
    </w:p>
    <w:p w14:paraId="5B16022D" w14:textId="386816F2" w:rsidR="00A96BE6" w:rsidRPr="00834CDC" w:rsidRDefault="00A96BE6" w:rsidP="00A96BE6">
      <w:pPr>
        <w:pStyle w:val="Heading2"/>
        <w:divId w:val="1988506822"/>
      </w:pPr>
      <w:r w:rsidRPr="00834CDC">
        <w:t>Relevant vaccine history</w:t>
      </w:r>
    </w:p>
    <w:p w14:paraId="0C450521" w14:textId="77777777" w:rsidR="00A96BE6" w:rsidRPr="00834CDC" w:rsidRDefault="00A96BE6" w:rsidP="00A96BE6">
      <w:pPr>
        <w:divId w:val="1988506822"/>
      </w:pPr>
    </w:p>
    <w:p w14:paraId="611C6823" w14:textId="08836C64" w:rsidR="00A96BE6" w:rsidRPr="00834CDC" w:rsidRDefault="00A96BE6" w:rsidP="00A96BE6">
      <w:pPr>
        <w:divId w:val="1988506822"/>
      </w:pPr>
      <w:r w:rsidRPr="00834CDC">
        <w:rPr>
          <w:noProof/>
        </w:rPr>
        <mc:AlternateContent>
          <mc:Choice Requires="wps">
            <w:drawing>
              <wp:inline distT="0" distB="0" distL="0" distR="0" wp14:anchorId="34E1F16D" wp14:editId="7711E83D">
                <wp:extent cx="6625424" cy="1404620"/>
                <wp:effectExtent l="0" t="0" r="444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1404620"/>
                        </a:xfrm>
                        <a:prstGeom prst="rect">
                          <a:avLst/>
                        </a:prstGeom>
                        <a:solidFill>
                          <a:srgbClr val="F7ECDD"/>
                        </a:solidFill>
                        <a:ln w="9525">
                          <a:noFill/>
                          <a:miter lim="800000"/>
                          <a:headEnd/>
                          <a:tailEnd/>
                        </a:ln>
                      </wps:spPr>
                      <wps:txbx>
                        <w:txbxContent>
                          <w:p w14:paraId="01A75E28" w14:textId="77777777" w:rsidR="00A96BE6" w:rsidRPr="00BE2BFA" w:rsidRDefault="00A96BE6" w:rsidP="007655C4">
                            <w:pPr>
                              <w:spacing w:after="0" w:line="240" w:lineRule="auto"/>
                              <w:rPr>
                                <w:b/>
                                <w:bCs/>
                                <w:lang w:val="en-GB"/>
                              </w:rPr>
                            </w:pPr>
                            <w:r w:rsidRPr="00BE2BFA">
                              <w:rPr>
                                <w:b/>
                                <w:bCs/>
                                <w:lang w:val="en-GB"/>
                              </w:rPr>
                              <w:t>1980s</w:t>
                            </w:r>
                          </w:p>
                          <w:p w14:paraId="0CD3DE28" w14:textId="77777777" w:rsidR="00A96BE6" w:rsidRPr="00A96BE6" w:rsidRDefault="00A96BE6" w:rsidP="007655C4">
                            <w:pPr>
                              <w:pStyle w:val="ListParagraph"/>
                              <w:numPr>
                                <w:ilvl w:val="0"/>
                                <w:numId w:val="8"/>
                              </w:numPr>
                              <w:spacing w:after="0" w:line="240" w:lineRule="auto"/>
                              <w:rPr>
                                <w:rFonts w:eastAsia="Times New Roman"/>
                                <w:lang w:val="en-GB"/>
                              </w:rPr>
                            </w:pPr>
                            <w:r w:rsidRPr="00A96BE6">
                              <w:rPr>
                                <w:rFonts w:eastAsia="Times New Roman"/>
                                <w:lang w:val="en-GB"/>
                              </w:rPr>
                              <w:t>Hepatitis B vaccination funded for high-risk infants, including Aboriginal and Torres Strait Islander infants, in some jurisdictions then nationally from 1988</w:t>
                            </w:r>
                          </w:p>
                          <w:p w14:paraId="36FE4BCC" w14:textId="77777777" w:rsidR="00A96BE6" w:rsidRPr="00A96BE6" w:rsidRDefault="00A96BE6" w:rsidP="007655C4">
                            <w:pPr>
                              <w:pStyle w:val="ListParagraph"/>
                              <w:numPr>
                                <w:ilvl w:val="0"/>
                                <w:numId w:val="8"/>
                              </w:numPr>
                              <w:spacing w:after="0" w:line="240" w:lineRule="auto"/>
                              <w:rPr>
                                <w:rFonts w:eastAsia="Times New Roman"/>
                                <w:lang w:val="en-GB"/>
                              </w:rPr>
                            </w:pPr>
                            <w:r w:rsidRPr="00A96BE6">
                              <w:rPr>
                                <w:rFonts w:eastAsia="Times New Roman"/>
                                <w:lang w:val="en-GB"/>
                              </w:rPr>
                              <w:t>Hepatitis B vaccination recommended for at-risk adults, including all susceptible Aboriginal and Torres Strait Islander adults</w:t>
                            </w:r>
                          </w:p>
                          <w:p w14:paraId="54AE96FB" w14:textId="77777777" w:rsidR="00A96BE6" w:rsidRPr="00BE2BFA" w:rsidRDefault="00A96BE6" w:rsidP="007655C4">
                            <w:pPr>
                              <w:spacing w:after="0" w:line="240" w:lineRule="auto"/>
                              <w:rPr>
                                <w:b/>
                                <w:bCs/>
                                <w:lang w:val="en-GB"/>
                              </w:rPr>
                            </w:pPr>
                            <w:r w:rsidRPr="00BE2BFA">
                              <w:rPr>
                                <w:b/>
                                <w:bCs/>
                                <w:lang w:val="en-GB"/>
                              </w:rPr>
                              <w:t>1990</w:t>
                            </w:r>
                          </w:p>
                          <w:p w14:paraId="48E2F074" w14:textId="77777777" w:rsidR="00A96BE6" w:rsidRPr="00A96BE6" w:rsidRDefault="00A96BE6" w:rsidP="007655C4">
                            <w:pPr>
                              <w:pStyle w:val="ListParagraph"/>
                              <w:numPr>
                                <w:ilvl w:val="0"/>
                                <w:numId w:val="9"/>
                              </w:numPr>
                              <w:spacing w:after="0" w:line="240" w:lineRule="auto"/>
                              <w:rPr>
                                <w:rFonts w:eastAsia="Times New Roman"/>
                                <w:lang w:val="en-GB"/>
                              </w:rPr>
                            </w:pPr>
                            <w:r w:rsidRPr="00A96BE6">
                              <w:rPr>
                                <w:rFonts w:eastAsia="Times New Roman"/>
                                <w:lang w:val="en-GB"/>
                              </w:rPr>
                              <w:t>Neonatal hepatitis B vaccination funded for all infants in the Northern Territory (three-dose schedule: birth, 1 month and 6 months)</w:t>
                            </w:r>
                          </w:p>
                          <w:p w14:paraId="452F60BE" w14:textId="77777777" w:rsidR="00A96BE6" w:rsidRPr="00BE2BFA" w:rsidRDefault="00A96BE6" w:rsidP="007655C4">
                            <w:pPr>
                              <w:spacing w:after="0" w:line="240" w:lineRule="auto"/>
                              <w:rPr>
                                <w:b/>
                                <w:bCs/>
                                <w:lang w:val="en-GB"/>
                              </w:rPr>
                            </w:pPr>
                            <w:r w:rsidRPr="00BE2BFA">
                              <w:rPr>
                                <w:b/>
                                <w:bCs/>
                                <w:lang w:val="en-GB"/>
                              </w:rPr>
                              <w:t>1997–2013</w:t>
                            </w:r>
                          </w:p>
                          <w:p w14:paraId="459F2141" w14:textId="77777777" w:rsidR="00A96BE6" w:rsidRPr="00A96BE6" w:rsidRDefault="00A96BE6" w:rsidP="007655C4">
                            <w:pPr>
                              <w:pStyle w:val="ListParagraph"/>
                              <w:numPr>
                                <w:ilvl w:val="0"/>
                                <w:numId w:val="9"/>
                              </w:numPr>
                              <w:spacing w:after="0" w:line="240" w:lineRule="auto"/>
                              <w:rPr>
                                <w:rFonts w:eastAsia="Times New Roman"/>
                                <w:lang w:val="en-GB"/>
                              </w:rPr>
                            </w:pPr>
                            <w:r w:rsidRPr="00A96BE6">
                              <w:rPr>
                                <w:rFonts w:eastAsia="Times New Roman"/>
                                <w:lang w:val="en-GB"/>
                              </w:rPr>
                              <w:t>Hepatitis B vaccination recommended and funded for all adolescents aged 11–12 years (initially three-dose schedule using the paediatric formulation; changed to two-dose of adult formulation at various times since 2001 in different jurisdictions)</w:t>
                            </w:r>
                          </w:p>
                          <w:p w14:paraId="04CB985A" w14:textId="77777777" w:rsidR="00A96BE6" w:rsidRPr="00BE2BFA" w:rsidRDefault="00A96BE6" w:rsidP="007655C4">
                            <w:pPr>
                              <w:spacing w:after="0" w:line="240" w:lineRule="auto"/>
                              <w:rPr>
                                <w:b/>
                                <w:bCs/>
                                <w:lang w:val="en-GB"/>
                              </w:rPr>
                            </w:pPr>
                            <w:r w:rsidRPr="00BE2BFA">
                              <w:rPr>
                                <w:b/>
                                <w:bCs/>
                                <w:lang w:val="en-GB"/>
                              </w:rPr>
                              <w:t>2000</w:t>
                            </w:r>
                          </w:p>
                          <w:p w14:paraId="11A07117" w14:textId="77777777" w:rsidR="00A96BE6" w:rsidRPr="00A96BE6" w:rsidRDefault="00A96BE6" w:rsidP="007655C4">
                            <w:pPr>
                              <w:pStyle w:val="ListParagraph"/>
                              <w:numPr>
                                <w:ilvl w:val="0"/>
                                <w:numId w:val="9"/>
                              </w:numPr>
                              <w:spacing w:after="0" w:line="240" w:lineRule="auto"/>
                              <w:rPr>
                                <w:rFonts w:eastAsia="Times New Roman"/>
                                <w:lang w:val="en-GB"/>
                              </w:rPr>
                            </w:pPr>
                            <w:r w:rsidRPr="00A96BE6">
                              <w:rPr>
                                <w:rFonts w:eastAsia="Times New Roman"/>
                                <w:lang w:val="en-GB"/>
                              </w:rPr>
                              <w:t>Universal infant vaccination funded under NIP with a birth dose of monovalent paediatric hepatitis B vaccine, followed by three doses of hepatitis B–containing combination vaccine</w:t>
                            </w:r>
                          </w:p>
                          <w:p w14:paraId="531F4244" w14:textId="77777777" w:rsidR="00A96BE6" w:rsidRPr="00BE2BFA" w:rsidRDefault="00A96BE6" w:rsidP="007655C4">
                            <w:pPr>
                              <w:spacing w:after="0" w:line="240" w:lineRule="auto"/>
                              <w:rPr>
                                <w:b/>
                                <w:bCs/>
                                <w:lang w:val="en-GB"/>
                              </w:rPr>
                            </w:pPr>
                            <w:r w:rsidRPr="00BE2BFA">
                              <w:rPr>
                                <w:b/>
                                <w:bCs/>
                                <w:lang w:val="en-GB"/>
                              </w:rPr>
                              <w:t>2013</w:t>
                            </w:r>
                          </w:p>
                          <w:p w14:paraId="713E0C68" w14:textId="77777777" w:rsidR="00A96BE6" w:rsidRPr="00A96BE6" w:rsidRDefault="00A96BE6" w:rsidP="007655C4">
                            <w:pPr>
                              <w:pStyle w:val="ListParagraph"/>
                              <w:numPr>
                                <w:ilvl w:val="0"/>
                                <w:numId w:val="9"/>
                              </w:numPr>
                              <w:spacing w:after="0" w:line="240" w:lineRule="auto"/>
                              <w:rPr>
                                <w:rFonts w:eastAsia="Times New Roman"/>
                                <w:lang w:val="en-GB"/>
                              </w:rPr>
                            </w:pPr>
                            <w:r w:rsidRPr="00A96BE6">
                              <w:rPr>
                                <w:rFonts w:eastAsia="Times New Roman"/>
                                <w:lang w:val="en-GB"/>
                              </w:rPr>
                              <w:t>Funded adolescent school-based program ceased</w:t>
                            </w:r>
                          </w:p>
                          <w:p w14:paraId="746EEC96" w14:textId="77777777" w:rsidR="00A96BE6" w:rsidRPr="00BE2BFA" w:rsidRDefault="00A96BE6" w:rsidP="007655C4">
                            <w:pPr>
                              <w:spacing w:after="0" w:line="240" w:lineRule="auto"/>
                              <w:rPr>
                                <w:b/>
                                <w:bCs/>
                                <w:lang w:val="en-GB"/>
                              </w:rPr>
                            </w:pPr>
                            <w:r w:rsidRPr="00BE2BFA">
                              <w:rPr>
                                <w:b/>
                                <w:bCs/>
                                <w:lang w:val="en-GB"/>
                              </w:rPr>
                              <w:t>1985–2018</w:t>
                            </w:r>
                          </w:p>
                          <w:p w14:paraId="3CFECDE9" w14:textId="1E0736EC" w:rsidR="00A96BE6" w:rsidRPr="00A96BE6" w:rsidRDefault="00A96BE6" w:rsidP="007655C4">
                            <w:pPr>
                              <w:pStyle w:val="ListParagraph"/>
                              <w:numPr>
                                <w:ilvl w:val="0"/>
                                <w:numId w:val="9"/>
                              </w:numPr>
                              <w:spacing w:after="0" w:line="240" w:lineRule="auto"/>
                              <w:rPr>
                                <w:rFonts w:eastAsia="Times New Roman"/>
                                <w:lang w:val="en-GB"/>
                              </w:rPr>
                            </w:pPr>
                            <w:r w:rsidRPr="00A96BE6">
                              <w:rPr>
                                <w:rFonts w:eastAsia="Times New Roman"/>
                                <w:lang w:val="en-GB"/>
                              </w:rPr>
                              <w:t>Aboriginal and Torres Strait Islander people progressively included in jurisdictionally-funded vaccination programs for at-risk individuals in Queensland (1985), New South Wales (2001), Northern Territory (2015; for people aged 20–50 years), South Australia (2016; for people aged &gt; 15 years), Victoria (2017) and Tasmania (2018).</w:t>
                            </w:r>
                          </w:p>
                        </w:txbxContent>
                      </wps:txbx>
                      <wps:bodyPr rot="0" vert="horz" wrap="square" lIns="91440" tIns="45720" rIns="91440" bIns="45720" anchor="t" anchorCtr="0">
                        <a:spAutoFit/>
                      </wps:bodyPr>
                    </wps:wsp>
                  </a:graphicData>
                </a:graphic>
              </wp:inline>
            </w:drawing>
          </mc:Choice>
          <mc:Fallback>
            <w:pict>
              <v:shape w14:anchorId="34E1F16D" id="_x0000_s1028"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" fillcolor="#f7ecdd" stroked="f">
                <v:textbox style="mso-fit-shape-to-text:t">
                  <w:txbxContent>
                    <w:p w14:paraId="01A75E28" w14:textId="77777777" w:rsidR="00A96BE6" w:rsidRPr="00BE2BFA" w:rsidRDefault="00A96BE6" w:rsidP="007655C4">
                      <w:pPr>
                        <w:spacing w:after="0" w:line="240" w:lineRule="auto"/>
                        <w:rPr>
                          <w:b/>
                          <w:bCs/>
                          <w:lang w:val="en-GB"/>
                        </w:rPr>
                      </w:pPr>
                      <w:r w:rsidRPr="00BE2BFA">
                        <w:rPr>
                          <w:b/>
                          <w:bCs/>
                          <w:lang w:val="en-GB"/>
                        </w:rPr>
                        <w:t>1980s</w:t>
                      </w:r>
                    </w:p>
                    <w:p w14:paraId="0CD3DE28" w14:textId="77777777" w:rsidR="00A96BE6" w:rsidRPr="00A96BE6" w:rsidRDefault="00A96BE6" w:rsidP="007655C4">
                      <w:pPr>
                        <w:pStyle w:val="ListParagraph"/>
                        <w:numPr>
                          <w:ilvl w:val="0"/>
                          <w:numId w:val="8"/>
                        </w:numPr>
                        <w:spacing w:after="0" w:line="240" w:lineRule="auto"/>
                        <w:rPr>
                          <w:rFonts w:eastAsia="Times New Roman"/>
                          <w:lang w:val="en-GB"/>
                        </w:rPr>
                      </w:pPr>
                      <w:r w:rsidRPr="00A96BE6">
                        <w:rPr>
                          <w:rFonts w:eastAsia="Times New Roman"/>
                          <w:lang w:val="en-GB"/>
                        </w:rPr>
                        <w:t>Hepatitis B vaccination funded for high-risk infants, including Aboriginal and Torres Strait Islander infants, in some jurisdictions then nationally from 1988</w:t>
                      </w:r>
                    </w:p>
                    <w:p w14:paraId="36FE4BCC" w14:textId="77777777" w:rsidR="00A96BE6" w:rsidRPr="00A96BE6" w:rsidRDefault="00A96BE6" w:rsidP="007655C4">
                      <w:pPr>
                        <w:pStyle w:val="ListParagraph"/>
                        <w:numPr>
                          <w:ilvl w:val="0"/>
                          <w:numId w:val="8"/>
                        </w:numPr>
                        <w:spacing w:after="0" w:line="240" w:lineRule="auto"/>
                        <w:rPr>
                          <w:rFonts w:eastAsia="Times New Roman"/>
                          <w:lang w:val="en-GB"/>
                        </w:rPr>
                      </w:pPr>
                      <w:r w:rsidRPr="00A96BE6">
                        <w:rPr>
                          <w:rFonts w:eastAsia="Times New Roman"/>
                          <w:lang w:val="en-GB"/>
                        </w:rPr>
                        <w:t>Hepatitis B vaccination recommended for at-risk adults, including all susceptible Aboriginal and Torres Strait Islander adults</w:t>
                      </w:r>
                    </w:p>
                    <w:p w14:paraId="54AE96FB" w14:textId="77777777" w:rsidR="00A96BE6" w:rsidRPr="00BE2BFA" w:rsidRDefault="00A96BE6" w:rsidP="007655C4">
                      <w:pPr>
                        <w:spacing w:after="0" w:line="240" w:lineRule="auto"/>
                        <w:rPr>
                          <w:b/>
                          <w:bCs/>
                          <w:lang w:val="en-GB"/>
                        </w:rPr>
                      </w:pPr>
                      <w:r w:rsidRPr="00BE2BFA">
                        <w:rPr>
                          <w:b/>
                          <w:bCs/>
                          <w:lang w:val="en-GB"/>
                        </w:rPr>
                        <w:t>1990</w:t>
                      </w:r>
                    </w:p>
                    <w:p w14:paraId="48E2F074" w14:textId="77777777" w:rsidR="00A96BE6" w:rsidRPr="00A96BE6" w:rsidRDefault="00A96BE6" w:rsidP="007655C4">
                      <w:pPr>
                        <w:pStyle w:val="ListParagraph"/>
                        <w:numPr>
                          <w:ilvl w:val="0"/>
                          <w:numId w:val="9"/>
                        </w:numPr>
                        <w:spacing w:after="0" w:line="240" w:lineRule="auto"/>
                        <w:rPr>
                          <w:rFonts w:eastAsia="Times New Roman"/>
                          <w:lang w:val="en-GB"/>
                        </w:rPr>
                      </w:pPr>
                      <w:r w:rsidRPr="00A96BE6">
                        <w:rPr>
                          <w:rFonts w:eastAsia="Times New Roman"/>
                          <w:lang w:val="en-GB"/>
                        </w:rPr>
                        <w:t>Neonatal hepatitis B vaccination funded for all infants in the Northern Territory (three-dose schedule: birth, 1 month and 6 months)</w:t>
                      </w:r>
                    </w:p>
                    <w:p w14:paraId="452F60BE" w14:textId="77777777" w:rsidR="00A96BE6" w:rsidRPr="00BE2BFA" w:rsidRDefault="00A96BE6" w:rsidP="007655C4">
                      <w:pPr>
                        <w:spacing w:after="0" w:line="240" w:lineRule="auto"/>
                        <w:rPr>
                          <w:b/>
                          <w:bCs/>
                          <w:lang w:val="en-GB"/>
                        </w:rPr>
                      </w:pPr>
                      <w:r w:rsidRPr="00BE2BFA">
                        <w:rPr>
                          <w:b/>
                          <w:bCs/>
                          <w:lang w:val="en-GB"/>
                        </w:rPr>
                        <w:t>1997–2013</w:t>
                      </w:r>
                    </w:p>
                    <w:p w14:paraId="459F2141" w14:textId="77777777" w:rsidR="00A96BE6" w:rsidRPr="00A96BE6" w:rsidRDefault="00A96BE6" w:rsidP="007655C4">
                      <w:pPr>
                        <w:pStyle w:val="ListParagraph"/>
                        <w:numPr>
                          <w:ilvl w:val="0"/>
                          <w:numId w:val="9"/>
                        </w:numPr>
                        <w:spacing w:after="0" w:line="240" w:lineRule="auto"/>
                        <w:rPr>
                          <w:rFonts w:eastAsia="Times New Roman"/>
                          <w:lang w:val="en-GB"/>
                        </w:rPr>
                      </w:pPr>
                      <w:r w:rsidRPr="00A96BE6">
                        <w:rPr>
                          <w:rFonts w:eastAsia="Times New Roman"/>
                          <w:lang w:val="en-GB"/>
                        </w:rPr>
                        <w:t>Hepatitis B vaccination recommended and funded for all adolescents aged 11–12 years (initially three-dose schedule using the paediatric formulation; changed to two-dose of adult formulation at various times since 2001 in different jurisdictions)</w:t>
                      </w:r>
                    </w:p>
                    <w:p w14:paraId="04CB985A" w14:textId="77777777" w:rsidR="00A96BE6" w:rsidRPr="00BE2BFA" w:rsidRDefault="00A96BE6" w:rsidP="007655C4">
                      <w:pPr>
                        <w:spacing w:after="0" w:line="240" w:lineRule="auto"/>
                        <w:rPr>
                          <w:b/>
                          <w:bCs/>
                          <w:lang w:val="en-GB"/>
                        </w:rPr>
                      </w:pPr>
                      <w:r w:rsidRPr="00BE2BFA">
                        <w:rPr>
                          <w:b/>
                          <w:bCs/>
                          <w:lang w:val="en-GB"/>
                        </w:rPr>
                        <w:t>2000</w:t>
                      </w:r>
                    </w:p>
                    <w:p w14:paraId="11A07117" w14:textId="77777777" w:rsidR="00A96BE6" w:rsidRPr="00A96BE6" w:rsidRDefault="00A96BE6" w:rsidP="007655C4">
                      <w:pPr>
                        <w:pStyle w:val="ListParagraph"/>
                        <w:numPr>
                          <w:ilvl w:val="0"/>
                          <w:numId w:val="9"/>
                        </w:numPr>
                        <w:spacing w:after="0" w:line="240" w:lineRule="auto"/>
                        <w:rPr>
                          <w:rFonts w:eastAsia="Times New Roman"/>
                          <w:lang w:val="en-GB"/>
                        </w:rPr>
                      </w:pPr>
                      <w:r w:rsidRPr="00A96BE6">
                        <w:rPr>
                          <w:rFonts w:eastAsia="Times New Roman"/>
                          <w:lang w:val="en-GB"/>
                        </w:rPr>
                        <w:t>Universal infant vaccination funded under NIP with a birth dose of monovalent paediatric hepatitis B vaccine, followed by three doses of hepatitis B–containing combination vaccine</w:t>
                      </w:r>
                    </w:p>
                    <w:p w14:paraId="531F4244" w14:textId="77777777" w:rsidR="00A96BE6" w:rsidRPr="00BE2BFA" w:rsidRDefault="00A96BE6" w:rsidP="007655C4">
                      <w:pPr>
                        <w:spacing w:after="0" w:line="240" w:lineRule="auto"/>
                        <w:rPr>
                          <w:b/>
                          <w:bCs/>
                          <w:lang w:val="en-GB"/>
                        </w:rPr>
                      </w:pPr>
                      <w:r w:rsidRPr="00BE2BFA">
                        <w:rPr>
                          <w:b/>
                          <w:bCs/>
                          <w:lang w:val="en-GB"/>
                        </w:rPr>
                        <w:t>2013</w:t>
                      </w:r>
                    </w:p>
                    <w:p w14:paraId="713E0C68" w14:textId="77777777" w:rsidR="00A96BE6" w:rsidRPr="00A96BE6" w:rsidRDefault="00A96BE6" w:rsidP="007655C4">
                      <w:pPr>
                        <w:pStyle w:val="ListParagraph"/>
                        <w:numPr>
                          <w:ilvl w:val="0"/>
                          <w:numId w:val="9"/>
                        </w:numPr>
                        <w:spacing w:after="0" w:line="240" w:lineRule="auto"/>
                        <w:rPr>
                          <w:rFonts w:eastAsia="Times New Roman"/>
                          <w:lang w:val="en-GB"/>
                        </w:rPr>
                      </w:pPr>
                      <w:r w:rsidRPr="00A96BE6">
                        <w:rPr>
                          <w:rFonts w:eastAsia="Times New Roman"/>
                          <w:lang w:val="en-GB"/>
                        </w:rPr>
                        <w:t>Funded adolescent school-based program ceased</w:t>
                      </w:r>
                    </w:p>
                    <w:p w14:paraId="746EEC96" w14:textId="77777777" w:rsidR="00A96BE6" w:rsidRPr="00BE2BFA" w:rsidRDefault="00A96BE6" w:rsidP="007655C4">
                      <w:pPr>
                        <w:spacing w:after="0" w:line="240" w:lineRule="auto"/>
                        <w:rPr>
                          <w:b/>
                          <w:bCs/>
                          <w:lang w:val="en-GB"/>
                        </w:rPr>
                      </w:pPr>
                      <w:r w:rsidRPr="00BE2BFA">
                        <w:rPr>
                          <w:b/>
                          <w:bCs/>
                          <w:lang w:val="en-GB"/>
                        </w:rPr>
                        <w:t>1985–2018</w:t>
                      </w:r>
                    </w:p>
                    <w:p w14:paraId="3CFECDE9" w14:textId="1E0736EC" w:rsidR="00A96BE6" w:rsidRPr="00A96BE6" w:rsidRDefault="00A96BE6" w:rsidP="007655C4">
                      <w:pPr>
                        <w:pStyle w:val="ListParagraph"/>
                        <w:numPr>
                          <w:ilvl w:val="0"/>
                          <w:numId w:val="9"/>
                        </w:numPr>
                        <w:spacing w:after="0" w:line="240" w:lineRule="auto"/>
                        <w:rPr>
                          <w:rFonts w:eastAsia="Times New Roman"/>
                          <w:lang w:val="en-GB"/>
                        </w:rPr>
                      </w:pPr>
                      <w:r w:rsidRPr="00A96BE6">
                        <w:rPr>
                          <w:rFonts w:eastAsia="Times New Roman"/>
                          <w:lang w:val="en-GB"/>
                        </w:rPr>
                        <w:t>Aboriginal and Torres Strait Islander people progressively included in jurisdictionally-funded vaccination programs for at-risk individuals in Queensland (1985), New South Wales (2001), Northern Territory (2015; for people aged 20–50 years), South Australia (2016; for people aged &gt; 15 years), Victoria (2017) and Tasmania (2018).</w:t>
                      </w:r>
                    </w:p>
                  </w:txbxContent>
                </v:textbox>
                <w10:anchorlock/>
              </v:shape>
            </w:pict>
          </mc:Fallback>
        </mc:AlternateContent>
      </w:r>
    </w:p>
    <w:p w14:paraId="27227CA4" w14:textId="77777777" w:rsidR="0033445F" w:rsidRPr="00834CDC" w:rsidRDefault="0033445F" w:rsidP="0033445F">
      <w:pPr>
        <w:divId w:val="1988506822"/>
      </w:pPr>
      <w:r w:rsidRPr="00834CDC">
        <w:t xml:space="preserve">Hepatitis B infection </w:t>
      </w:r>
      <w:proofErr w:type="gramStart"/>
      <w:r w:rsidRPr="00834CDC">
        <w:t>is caused</w:t>
      </w:r>
      <w:proofErr w:type="gramEnd"/>
      <w:r w:rsidRPr="00834CDC">
        <w:t xml:space="preserve"> by the hepatitis B virus (HBV). Transmission of HBV occurs through contact with infected bodily fluids, such as from mother to child during labour; during sexual contact; or through the unsafe use of needles. The presentation of acute hepatitis B infection is varied, with the majority of infections in infants and children being asymptomatic, whereas adults frequently develop constitutional symptoms, jaundice and abdominal pain.</w:t>
      </w:r>
      <w:r w:rsidRPr="00834CDC">
        <w:rPr>
          <w:vertAlign w:val="superscript"/>
        </w:rPr>
        <w:t>66</w:t>
      </w:r>
      <w:r w:rsidRPr="00834CDC">
        <w:t xml:space="preserve"> In 0.5–1% of adults, the acute infection can lead to fulminant liver failure, which has a high mortality rate without transplantation.</w:t>
      </w:r>
      <w:r w:rsidRPr="00834CDC">
        <w:rPr>
          <w:vertAlign w:val="superscript"/>
        </w:rPr>
        <w:t>66</w:t>
      </w:r>
      <w:r w:rsidRPr="00834CDC">
        <w:t xml:space="preserve"> Progression from acute to chronic infection is inversely correlated with age: infected infants develop chronic hepatitis B in 95% of cases, whereas there is progression in fewer than 5% of adults.</w:t>
      </w:r>
      <w:r w:rsidRPr="00834CDC">
        <w:rPr>
          <w:vertAlign w:val="superscript"/>
        </w:rPr>
        <w:t>66</w:t>
      </w:r>
      <w:r w:rsidRPr="00834CDC">
        <w:t xml:space="preserve"> Chronic hepatitis B can, over time, lead to liver fibrosis and cirrhosis, liver failure, and hepatocellular carcinoma.</w:t>
      </w:r>
      <w:r w:rsidRPr="00834CDC">
        <w:rPr>
          <w:vertAlign w:val="superscript"/>
        </w:rPr>
        <w:t>66</w:t>
      </w:r>
      <w:r w:rsidRPr="00834CDC">
        <w:t xml:space="preserve"> In Australia, chronic hepatitis B is an important cause of hepatocellular carcinoma, which has an increasing incidence.</w:t>
      </w:r>
      <w:r w:rsidRPr="00834CDC">
        <w:rPr>
          <w:vertAlign w:val="superscript"/>
        </w:rPr>
        <w:t>67</w:t>
      </w:r>
      <w:r w:rsidRPr="00834CDC">
        <w:t xml:space="preserve"> This chapter focuses on newly acquired hepatitis B notifications and on hospitalisations and deaths due to acute hepatitis B. </w:t>
      </w:r>
    </w:p>
    <w:p w14:paraId="711454C6" w14:textId="77777777" w:rsidR="0033445F" w:rsidRPr="00834CDC" w:rsidRDefault="0033445F" w:rsidP="0033445F">
      <w:pPr>
        <w:pStyle w:val="Heading2"/>
        <w:divId w:val="1988506822"/>
      </w:pPr>
      <w:r w:rsidRPr="00834CDC">
        <w:t xml:space="preserve">Results </w:t>
      </w:r>
    </w:p>
    <w:p w14:paraId="34052EC9" w14:textId="09C1DD69" w:rsidR="0033445F" w:rsidRPr="00834CDC" w:rsidRDefault="0033445F" w:rsidP="0033445F">
      <w:pPr>
        <w:divId w:val="1988506822"/>
      </w:pPr>
      <w:r w:rsidRPr="00834CDC">
        <w:t xml:space="preserve">Notification data for newly </w:t>
      </w:r>
      <w:proofErr w:type="gramStart"/>
      <w:r w:rsidRPr="00834CDC">
        <w:t>acquired</w:t>
      </w:r>
      <w:proofErr w:type="gramEnd"/>
      <w:r w:rsidRPr="00834CDC">
        <w:t xml:space="preserve"> hepatitis B infection, defined as infections confirmed to have been acquired in the prior two years, for all states and territories over the 2016–2019 period, are presented in Table 6. In total, there were 612 notifications in this period, of which 58 (9.5%) </w:t>
      </w:r>
      <w:proofErr w:type="gramStart"/>
      <w:r w:rsidRPr="00834CDC">
        <w:t>were reported</w:t>
      </w:r>
      <w:proofErr w:type="gramEnd"/>
      <w:r w:rsidRPr="00834CDC">
        <w:t xml:space="preserve"> to be in Aboriginal and Torres Strait Islander people. Newly acquired hepatitis B notification rates were significantly higher in Aboriginal and Torres Strait Islander people than in others, overall (RR: 3.7; 95% CI: 2.8–4.8) and in those aged 15–24 years (RR: 5.6; 95% CI: 2.6–11.1), 25–49 years (RR: 3.4; 95% CI: 2.3–4.9), and 50 years and over (RR: 3.8; 95% CI: 1.9–6.9). </w:t>
      </w:r>
    </w:p>
    <w:p w14:paraId="596C5C45" w14:textId="77777777" w:rsidR="00031125" w:rsidRPr="00834CDC" w:rsidRDefault="00031125" w:rsidP="00031125">
      <w:pPr>
        <w:pStyle w:val="CDIFigures"/>
        <w:divId w:val="1988506822"/>
      </w:pPr>
      <w:r w:rsidRPr="00834CDC">
        <w:rPr>
          <w:rStyle w:val="Strong"/>
          <w:b/>
          <w:bCs w:val="0"/>
        </w:rPr>
        <w:lastRenderedPageBreak/>
        <w:t xml:space="preserve">Table 6: Newly acquired hepatitis B </w:t>
      </w:r>
      <w:proofErr w:type="spellStart"/>
      <w:proofErr w:type="gramStart"/>
      <w:r w:rsidRPr="00834CDC">
        <w:rPr>
          <w:rStyle w:val="Strong"/>
          <w:b/>
          <w:bCs w:val="0"/>
        </w:rPr>
        <w:t>notifications,</w:t>
      </w:r>
      <w:r w:rsidRPr="00834CDC">
        <w:rPr>
          <w:rStyle w:val="Strong"/>
          <w:b/>
          <w:bCs w:val="0"/>
          <w:vertAlign w:val="superscript"/>
        </w:rPr>
        <w:t>a</w:t>
      </w:r>
      <w:proofErr w:type="spellEnd"/>
      <w:proofErr w:type="gramEnd"/>
      <w:r w:rsidRPr="00834CDC">
        <w:rPr>
          <w:rStyle w:val="Strong"/>
          <w:b/>
          <w:bCs w:val="0"/>
        </w:rPr>
        <w:t xml:space="preserve"> Australia (all states and territories), 2016–2019, by age and Aboriginal and Torres Strait Islander status</w:t>
      </w:r>
    </w:p>
    <w:tbl>
      <w:tblPr>
        <w:tblStyle w:val="CDI-StandardTable"/>
        <w:tblW w:w="0" w:type="auto"/>
        <w:tblLook w:val="04A0" w:firstRow="1" w:lastRow="0" w:firstColumn="1" w:lastColumn="0" w:noHBand="0" w:noVBand="1"/>
        <w:tblDescription w:val="Table 6 shows the number and rates per 100,000 population of newly acquired hepatitis B notifications by age and Aboriginal and Torres Strait Islander status, Australia, 2016 to 2019. &#10;"/>
      </w:tblPr>
      <w:tblGrid>
        <w:gridCol w:w="2268"/>
        <w:gridCol w:w="3828"/>
        <w:gridCol w:w="850"/>
        <w:gridCol w:w="850"/>
        <w:gridCol w:w="987"/>
        <w:gridCol w:w="1656"/>
      </w:tblGrid>
      <w:tr w:rsidR="00031125" w:rsidRPr="00834CDC" w14:paraId="185BD889" w14:textId="77777777" w:rsidTr="00031125">
        <w:trPr>
          <w:cnfStyle w:val="100000000000" w:firstRow="1" w:lastRow="0" w:firstColumn="0" w:lastColumn="0" w:oddVBand="0" w:evenVBand="0" w:oddHBand="0" w:evenHBand="0" w:firstRowFirstColumn="0" w:firstRowLastColumn="0" w:lastRowFirstColumn="0" w:lastRowLastColumn="0"/>
          <w:divId w:val="1988506822"/>
          <w:tblHeader/>
        </w:trPr>
        <w:tc>
          <w:tcPr>
            <w:tcW w:w="2268" w:type="dxa"/>
            <w:vMerge w:val="restart"/>
            <w:hideMark/>
          </w:tcPr>
          <w:p w14:paraId="3DDEC067" w14:textId="0D20E37D" w:rsidR="00031125" w:rsidRPr="00834CDC" w:rsidRDefault="00031125" w:rsidP="00031125">
            <w:pPr>
              <w:pStyle w:val="NormalWeb"/>
              <w:rPr>
                <w:sz w:val="18"/>
                <w:szCs w:val="18"/>
              </w:rPr>
            </w:pPr>
            <w:r w:rsidRPr="00834CDC">
              <w:rPr>
                <w:sz w:val="18"/>
                <w:szCs w:val="18"/>
              </w:rPr>
              <w:t>Age group (years)</w:t>
            </w:r>
          </w:p>
        </w:tc>
        <w:tc>
          <w:tcPr>
            <w:tcW w:w="3828" w:type="dxa"/>
            <w:vMerge w:val="restart"/>
            <w:hideMark/>
          </w:tcPr>
          <w:p w14:paraId="2587FDB8" w14:textId="77777777" w:rsidR="00031125" w:rsidRPr="00834CDC" w:rsidRDefault="00031125" w:rsidP="003058F5">
            <w:pPr>
              <w:pStyle w:val="NormalWeb"/>
              <w:rPr>
                <w:sz w:val="18"/>
                <w:szCs w:val="18"/>
              </w:rPr>
            </w:pPr>
            <w:r w:rsidRPr="00834CDC">
              <w:rPr>
                <w:sz w:val="18"/>
                <w:szCs w:val="18"/>
              </w:rPr>
              <w:t>Aboriginal and Torres Strait Islander status</w:t>
            </w:r>
          </w:p>
        </w:tc>
        <w:tc>
          <w:tcPr>
            <w:tcW w:w="4343" w:type="dxa"/>
            <w:gridSpan w:val="4"/>
            <w:hideMark/>
          </w:tcPr>
          <w:p w14:paraId="6D1D4E90" w14:textId="08B92363" w:rsidR="00031125" w:rsidRPr="00834CDC" w:rsidRDefault="00031125" w:rsidP="003058F5">
            <w:pPr>
              <w:pStyle w:val="NormalWeb"/>
              <w:rPr>
                <w:sz w:val="18"/>
                <w:szCs w:val="18"/>
              </w:rPr>
            </w:pPr>
            <w:r w:rsidRPr="00834CDC">
              <w:rPr>
                <w:sz w:val="18"/>
                <w:szCs w:val="18"/>
              </w:rPr>
              <w:t>Notifications</w:t>
            </w:r>
            <w:r w:rsidR="00151B07" w:rsidRPr="00834CDC">
              <w:rPr>
                <w:sz w:val="18"/>
                <w:szCs w:val="18"/>
              </w:rPr>
              <w:t xml:space="preserve"> </w:t>
            </w:r>
            <w:r w:rsidRPr="00834CDC">
              <w:rPr>
                <w:sz w:val="18"/>
                <w:szCs w:val="18"/>
                <w:vertAlign w:val="superscript"/>
              </w:rPr>
              <w:t>b</w:t>
            </w:r>
            <w:r w:rsidRPr="00834CDC">
              <w:rPr>
                <w:sz w:val="18"/>
                <w:szCs w:val="18"/>
              </w:rPr>
              <w:t xml:space="preserve"> (2016–2019)</w:t>
            </w:r>
          </w:p>
        </w:tc>
      </w:tr>
      <w:tr w:rsidR="00031125" w:rsidRPr="00834CDC" w14:paraId="2ACE82F0" w14:textId="77777777" w:rsidTr="00031125">
        <w:trPr>
          <w:cnfStyle w:val="100000000000" w:firstRow="1" w:lastRow="0" w:firstColumn="0" w:lastColumn="0" w:oddVBand="0" w:evenVBand="0" w:oddHBand="0" w:evenHBand="0" w:firstRowFirstColumn="0" w:firstRowLastColumn="0" w:lastRowFirstColumn="0" w:lastRowLastColumn="0"/>
          <w:divId w:val="1988506822"/>
          <w:tblHeader/>
        </w:trPr>
        <w:tc>
          <w:tcPr>
            <w:tcW w:w="2268" w:type="dxa"/>
            <w:vMerge/>
            <w:tcBorders>
              <w:bottom w:val="single" w:sz="2" w:space="0" w:color="808080" w:themeColor="background1" w:themeShade="80"/>
            </w:tcBorders>
            <w:hideMark/>
          </w:tcPr>
          <w:p w14:paraId="168EBABE" w14:textId="77777777" w:rsidR="00031125" w:rsidRPr="00834CDC" w:rsidRDefault="00031125" w:rsidP="003058F5">
            <w:pPr>
              <w:rPr>
                <w:sz w:val="18"/>
                <w:szCs w:val="18"/>
              </w:rPr>
            </w:pPr>
          </w:p>
        </w:tc>
        <w:tc>
          <w:tcPr>
            <w:tcW w:w="3828" w:type="dxa"/>
            <w:vMerge/>
            <w:tcBorders>
              <w:bottom w:val="single" w:sz="2" w:space="0" w:color="808080" w:themeColor="background1" w:themeShade="80"/>
            </w:tcBorders>
            <w:hideMark/>
          </w:tcPr>
          <w:p w14:paraId="7C9EBC9F" w14:textId="77777777" w:rsidR="00031125" w:rsidRPr="00834CDC" w:rsidRDefault="00031125" w:rsidP="003058F5">
            <w:pPr>
              <w:rPr>
                <w:sz w:val="18"/>
                <w:szCs w:val="18"/>
              </w:rPr>
            </w:pPr>
          </w:p>
        </w:tc>
        <w:tc>
          <w:tcPr>
            <w:tcW w:w="850" w:type="dxa"/>
            <w:tcBorders>
              <w:bottom w:val="single" w:sz="2" w:space="0" w:color="808080" w:themeColor="background1" w:themeShade="80"/>
            </w:tcBorders>
            <w:hideMark/>
          </w:tcPr>
          <w:p w14:paraId="70B72967" w14:textId="77777777" w:rsidR="00031125" w:rsidRPr="00834CDC" w:rsidRDefault="00031125" w:rsidP="003058F5">
            <w:pPr>
              <w:pStyle w:val="NormalWeb"/>
              <w:rPr>
                <w:sz w:val="18"/>
                <w:szCs w:val="18"/>
              </w:rPr>
            </w:pPr>
            <w:r w:rsidRPr="00834CDC">
              <w:rPr>
                <w:sz w:val="18"/>
                <w:szCs w:val="18"/>
              </w:rPr>
              <w:t>N</w:t>
            </w:r>
          </w:p>
        </w:tc>
        <w:tc>
          <w:tcPr>
            <w:tcW w:w="850" w:type="dxa"/>
            <w:tcBorders>
              <w:bottom w:val="single" w:sz="2" w:space="0" w:color="808080" w:themeColor="background1" w:themeShade="80"/>
            </w:tcBorders>
            <w:hideMark/>
          </w:tcPr>
          <w:p w14:paraId="3DBC482F" w14:textId="12600554" w:rsidR="00031125" w:rsidRPr="00834CDC" w:rsidRDefault="00031125" w:rsidP="003058F5">
            <w:pPr>
              <w:pStyle w:val="NormalWeb"/>
              <w:rPr>
                <w:sz w:val="18"/>
                <w:szCs w:val="18"/>
              </w:rPr>
            </w:pPr>
            <w:r w:rsidRPr="00834CDC">
              <w:rPr>
                <w:sz w:val="18"/>
                <w:szCs w:val="18"/>
              </w:rPr>
              <w:t>Rate</w:t>
            </w:r>
            <w:r w:rsidR="00151B07" w:rsidRPr="00834CDC">
              <w:rPr>
                <w:sz w:val="18"/>
                <w:szCs w:val="18"/>
              </w:rPr>
              <w:t xml:space="preserve"> </w:t>
            </w:r>
            <w:r w:rsidRPr="00834CDC">
              <w:rPr>
                <w:sz w:val="18"/>
                <w:szCs w:val="18"/>
                <w:vertAlign w:val="superscript"/>
              </w:rPr>
              <w:t>c</w:t>
            </w:r>
          </w:p>
        </w:tc>
        <w:tc>
          <w:tcPr>
            <w:tcW w:w="987" w:type="dxa"/>
            <w:tcBorders>
              <w:bottom w:val="single" w:sz="2" w:space="0" w:color="808080" w:themeColor="background1" w:themeShade="80"/>
            </w:tcBorders>
            <w:hideMark/>
          </w:tcPr>
          <w:p w14:paraId="7B29FEF9" w14:textId="77777777" w:rsidR="00031125" w:rsidRPr="00834CDC" w:rsidRDefault="00031125" w:rsidP="003058F5">
            <w:pPr>
              <w:pStyle w:val="NormalWeb"/>
              <w:rPr>
                <w:sz w:val="18"/>
                <w:szCs w:val="18"/>
              </w:rPr>
            </w:pPr>
            <w:r w:rsidRPr="00834CDC">
              <w:rPr>
                <w:sz w:val="18"/>
                <w:szCs w:val="18"/>
              </w:rPr>
              <w:t>Rate ratio</w:t>
            </w:r>
          </w:p>
        </w:tc>
        <w:tc>
          <w:tcPr>
            <w:tcW w:w="1656" w:type="dxa"/>
            <w:tcBorders>
              <w:bottom w:val="single" w:sz="2" w:space="0" w:color="808080" w:themeColor="background1" w:themeShade="80"/>
            </w:tcBorders>
            <w:hideMark/>
          </w:tcPr>
          <w:p w14:paraId="152796BD" w14:textId="77777777" w:rsidR="00031125" w:rsidRPr="00834CDC" w:rsidRDefault="00031125" w:rsidP="003058F5">
            <w:pPr>
              <w:pStyle w:val="NormalWeb"/>
              <w:rPr>
                <w:sz w:val="18"/>
                <w:szCs w:val="18"/>
              </w:rPr>
            </w:pPr>
            <w:r w:rsidRPr="00834CDC">
              <w:rPr>
                <w:sz w:val="18"/>
                <w:szCs w:val="18"/>
              </w:rPr>
              <w:t>95%CI for Rate Ratio</w:t>
            </w:r>
          </w:p>
        </w:tc>
      </w:tr>
      <w:tr w:rsidR="00031125" w:rsidRPr="00834CDC" w14:paraId="132D0283" w14:textId="77777777" w:rsidTr="00031125">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820675" w14:textId="77777777" w:rsidR="00031125" w:rsidRPr="00834CDC" w:rsidRDefault="00031125" w:rsidP="003058F5">
            <w:pPr>
              <w:pStyle w:val="NormalWeb"/>
              <w:rPr>
                <w:sz w:val="18"/>
                <w:szCs w:val="18"/>
              </w:rPr>
            </w:pPr>
            <w:r w:rsidRPr="00834CDC">
              <w:rPr>
                <w:sz w:val="18"/>
                <w:szCs w:val="18"/>
              </w:rPr>
              <w:t>0–4</w:t>
            </w: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3E851A" w14:textId="77777777" w:rsidR="00031125" w:rsidRPr="00834CDC" w:rsidRDefault="00031125" w:rsidP="003058F5">
            <w:pPr>
              <w:pStyle w:val="NormalWeb"/>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85250A" w14:textId="77777777" w:rsidR="00031125" w:rsidRPr="00834CDC" w:rsidRDefault="00031125" w:rsidP="003058F5">
            <w:pPr>
              <w:pStyle w:val="NormalWeb"/>
              <w:rPr>
                <w:sz w:val="18"/>
                <w:szCs w:val="18"/>
              </w:rPr>
            </w:pPr>
            <w:r w:rsidRPr="00834CDC">
              <w:rPr>
                <w:sz w:val="18"/>
                <w:szCs w:val="18"/>
              </w:rPr>
              <w:t>1</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EACE5F" w14:textId="77777777" w:rsidR="00031125" w:rsidRPr="00834CDC" w:rsidRDefault="00031125" w:rsidP="003058F5">
            <w:pPr>
              <w:pStyle w:val="NormalWeb"/>
              <w:rPr>
                <w:sz w:val="18"/>
                <w:szCs w:val="18"/>
              </w:rPr>
            </w:pPr>
            <w:r w:rsidRPr="00834CDC">
              <w:rPr>
                <w:sz w:val="18"/>
                <w:szCs w:val="18"/>
              </w:rPr>
              <w:t>0.26</w:t>
            </w:r>
          </w:p>
        </w:tc>
        <w:tc>
          <w:tcPr>
            <w:tcW w:w="98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FBCEE7" w14:textId="77777777" w:rsidR="00031125" w:rsidRPr="00834CDC" w:rsidRDefault="00031125" w:rsidP="003058F5">
            <w:pPr>
              <w:pStyle w:val="NormalWeb"/>
              <w:rPr>
                <w:sz w:val="18"/>
                <w:szCs w:val="18"/>
              </w:rPr>
            </w:pPr>
            <w:r w:rsidRPr="00834CDC">
              <w:rPr>
                <w:sz w:val="18"/>
                <w:szCs w:val="18"/>
              </w:rPr>
              <w:t>2.6</w:t>
            </w:r>
          </w:p>
        </w:tc>
        <w:tc>
          <w:tcPr>
            <w:tcW w:w="165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3D5D30" w14:textId="77777777" w:rsidR="00031125" w:rsidRPr="00834CDC" w:rsidRDefault="00031125" w:rsidP="003058F5">
            <w:pPr>
              <w:pStyle w:val="NormalWeb"/>
              <w:rPr>
                <w:sz w:val="18"/>
                <w:szCs w:val="18"/>
              </w:rPr>
            </w:pPr>
            <w:r w:rsidRPr="00834CDC">
              <w:rPr>
                <w:sz w:val="18"/>
                <w:szCs w:val="18"/>
              </w:rPr>
              <w:t>0.1–21.5</w:t>
            </w:r>
          </w:p>
        </w:tc>
      </w:tr>
      <w:tr w:rsidR="00031125" w:rsidRPr="00834CDC" w14:paraId="2D6745C9" w14:textId="77777777" w:rsidTr="00031125">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C609AC" w14:textId="77777777" w:rsidR="00031125" w:rsidRPr="00834CDC" w:rsidRDefault="00031125" w:rsidP="003058F5">
            <w:pPr>
              <w:rPr>
                <w:sz w:val="18"/>
                <w:szCs w:val="18"/>
              </w:rPr>
            </w:pP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6DDA2A" w14:textId="77777777" w:rsidR="00031125" w:rsidRPr="00834CDC" w:rsidRDefault="00031125" w:rsidP="003058F5">
            <w:pPr>
              <w:pStyle w:val="NormalWeb"/>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572617" w14:textId="77777777" w:rsidR="00031125" w:rsidRPr="00834CDC" w:rsidRDefault="00031125" w:rsidP="003058F5">
            <w:pPr>
              <w:pStyle w:val="NormalWeb"/>
              <w:rPr>
                <w:sz w:val="18"/>
                <w:szCs w:val="18"/>
              </w:rPr>
            </w:pPr>
            <w:r w:rsidRPr="00834CDC">
              <w:rPr>
                <w:sz w:val="18"/>
                <w:szCs w:val="18"/>
              </w:rPr>
              <w:t>6</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5D4056" w14:textId="77777777" w:rsidR="00031125" w:rsidRPr="00834CDC" w:rsidRDefault="00031125" w:rsidP="003058F5">
            <w:pPr>
              <w:pStyle w:val="NormalWeb"/>
              <w:rPr>
                <w:sz w:val="18"/>
                <w:szCs w:val="18"/>
              </w:rPr>
            </w:pPr>
            <w:r w:rsidRPr="00834CDC">
              <w:rPr>
                <w:sz w:val="18"/>
                <w:szCs w:val="18"/>
              </w:rPr>
              <w:t>0.10</w:t>
            </w:r>
          </w:p>
        </w:tc>
        <w:tc>
          <w:tcPr>
            <w:tcW w:w="98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79E002" w14:textId="77777777" w:rsidR="00031125" w:rsidRPr="00834CDC" w:rsidRDefault="00031125" w:rsidP="003058F5">
            <w:pPr>
              <w:rPr>
                <w:sz w:val="18"/>
                <w:szCs w:val="18"/>
              </w:rPr>
            </w:pPr>
          </w:p>
        </w:tc>
        <w:tc>
          <w:tcPr>
            <w:tcW w:w="165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93927A" w14:textId="77777777" w:rsidR="00031125" w:rsidRPr="00834CDC" w:rsidRDefault="00031125" w:rsidP="003058F5">
            <w:pPr>
              <w:rPr>
                <w:sz w:val="18"/>
                <w:szCs w:val="18"/>
              </w:rPr>
            </w:pPr>
          </w:p>
        </w:tc>
      </w:tr>
      <w:tr w:rsidR="00031125" w:rsidRPr="00834CDC" w14:paraId="2E1A0B68" w14:textId="77777777" w:rsidTr="00031125">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ED0669" w14:textId="77777777" w:rsidR="00031125" w:rsidRPr="00834CDC" w:rsidRDefault="00031125" w:rsidP="003058F5">
            <w:pPr>
              <w:pStyle w:val="NormalWeb"/>
              <w:rPr>
                <w:sz w:val="18"/>
                <w:szCs w:val="18"/>
              </w:rPr>
            </w:pPr>
            <w:r w:rsidRPr="00834CDC">
              <w:rPr>
                <w:sz w:val="18"/>
                <w:szCs w:val="18"/>
              </w:rPr>
              <w:t>5–14</w:t>
            </w: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1BD48B" w14:textId="77777777" w:rsidR="00031125" w:rsidRPr="00834CDC" w:rsidRDefault="00031125" w:rsidP="003058F5">
            <w:pPr>
              <w:pStyle w:val="NormalWeb"/>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B5AFA2" w14:textId="77777777" w:rsidR="00031125" w:rsidRPr="00834CDC" w:rsidRDefault="00031125" w:rsidP="003058F5">
            <w:pPr>
              <w:pStyle w:val="NormalWeb"/>
              <w:rPr>
                <w:sz w:val="18"/>
                <w:szCs w:val="18"/>
              </w:rPr>
            </w:pPr>
            <w:r w:rsidRPr="00834CDC">
              <w:rPr>
                <w:sz w:val="18"/>
                <w:szCs w:val="18"/>
              </w:rPr>
              <w:t>1</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1FE393" w14:textId="77777777" w:rsidR="00031125" w:rsidRPr="00834CDC" w:rsidRDefault="00031125" w:rsidP="003058F5">
            <w:pPr>
              <w:pStyle w:val="NormalWeb"/>
              <w:rPr>
                <w:sz w:val="18"/>
                <w:szCs w:val="18"/>
              </w:rPr>
            </w:pPr>
            <w:r w:rsidRPr="00834CDC">
              <w:rPr>
                <w:sz w:val="18"/>
                <w:szCs w:val="18"/>
              </w:rPr>
              <w:t>0.14</w:t>
            </w:r>
          </w:p>
        </w:tc>
        <w:tc>
          <w:tcPr>
            <w:tcW w:w="98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6A2C7B" w14:textId="77777777" w:rsidR="00031125" w:rsidRPr="00834CDC" w:rsidRDefault="00031125" w:rsidP="003058F5">
            <w:pPr>
              <w:pStyle w:val="NormalWeb"/>
              <w:rPr>
                <w:sz w:val="18"/>
                <w:szCs w:val="18"/>
              </w:rPr>
            </w:pPr>
            <w:r w:rsidRPr="00834CDC">
              <w:rPr>
                <w:sz w:val="18"/>
                <w:szCs w:val="18"/>
              </w:rPr>
              <w:t>15.9</w:t>
            </w:r>
          </w:p>
        </w:tc>
        <w:tc>
          <w:tcPr>
            <w:tcW w:w="165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395FB9" w14:textId="77777777" w:rsidR="00031125" w:rsidRPr="00834CDC" w:rsidRDefault="00031125" w:rsidP="003058F5">
            <w:pPr>
              <w:pStyle w:val="NormalWeb"/>
              <w:rPr>
                <w:sz w:val="18"/>
                <w:szCs w:val="18"/>
              </w:rPr>
            </w:pPr>
            <w:r w:rsidRPr="00834CDC">
              <w:rPr>
                <w:sz w:val="18"/>
                <w:szCs w:val="18"/>
              </w:rPr>
              <w:t>0.2–1246.7</w:t>
            </w:r>
          </w:p>
        </w:tc>
      </w:tr>
      <w:tr w:rsidR="00031125" w:rsidRPr="00834CDC" w14:paraId="7E2FC54E" w14:textId="77777777" w:rsidTr="00031125">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346E65" w14:textId="77777777" w:rsidR="00031125" w:rsidRPr="00834CDC" w:rsidRDefault="00031125" w:rsidP="003058F5">
            <w:pPr>
              <w:rPr>
                <w:sz w:val="18"/>
                <w:szCs w:val="18"/>
              </w:rPr>
            </w:pP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7BFBD2" w14:textId="77777777" w:rsidR="00031125" w:rsidRPr="00834CDC" w:rsidRDefault="00031125" w:rsidP="003058F5">
            <w:pPr>
              <w:pStyle w:val="NormalWeb"/>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788D0C" w14:textId="77777777" w:rsidR="00031125" w:rsidRPr="00834CDC" w:rsidRDefault="00031125" w:rsidP="003058F5">
            <w:pPr>
              <w:pStyle w:val="NormalWeb"/>
              <w:rPr>
                <w:sz w:val="18"/>
                <w:szCs w:val="18"/>
              </w:rPr>
            </w:pPr>
            <w:r w:rsidRPr="00834CDC">
              <w:rPr>
                <w:sz w:val="18"/>
                <w:szCs w:val="18"/>
              </w:rPr>
              <w:t>1</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C7AC18" w14:textId="77777777" w:rsidR="00031125" w:rsidRPr="00834CDC" w:rsidRDefault="00031125" w:rsidP="003058F5">
            <w:pPr>
              <w:pStyle w:val="NormalWeb"/>
              <w:rPr>
                <w:sz w:val="18"/>
                <w:szCs w:val="18"/>
              </w:rPr>
            </w:pPr>
            <w:r w:rsidRPr="00834CDC">
              <w:rPr>
                <w:sz w:val="18"/>
                <w:szCs w:val="18"/>
              </w:rPr>
              <w:t>0.01</w:t>
            </w:r>
          </w:p>
        </w:tc>
        <w:tc>
          <w:tcPr>
            <w:tcW w:w="98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221167" w14:textId="77777777" w:rsidR="00031125" w:rsidRPr="00834CDC" w:rsidRDefault="00031125" w:rsidP="003058F5">
            <w:pPr>
              <w:rPr>
                <w:sz w:val="18"/>
                <w:szCs w:val="18"/>
              </w:rPr>
            </w:pPr>
          </w:p>
        </w:tc>
        <w:tc>
          <w:tcPr>
            <w:tcW w:w="165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02597D" w14:textId="77777777" w:rsidR="00031125" w:rsidRPr="00834CDC" w:rsidRDefault="00031125" w:rsidP="003058F5">
            <w:pPr>
              <w:rPr>
                <w:sz w:val="18"/>
                <w:szCs w:val="18"/>
              </w:rPr>
            </w:pPr>
          </w:p>
        </w:tc>
      </w:tr>
      <w:tr w:rsidR="00031125" w:rsidRPr="00834CDC" w14:paraId="06A7AE50" w14:textId="77777777" w:rsidTr="00031125">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B14AAF" w14:textId="77777777" w:rsidR="00031125" w:rsidRPr="00834CDC" w:rsidRDefault="00031125" w:rsidP="003058F5">
            <w:pPr>
              <w:pStyle w:val="NormalWeb"/>
              <w:rPr>
                <w:sz w:val="18"/>
                <w:szCs w:val="18"/>
              </w:rPr>
            </w:pPr>
            <w:r w:rsidRPr="00834CDC">
              <w:rPr>
                <w:sz w:val="18"/>
                <w:szCs w:val="18"/>
              </w:rPr>
              <w:t>15–24</w:t>
            </w: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8ACD19" w14:textId="77777777" w:rsidR="00031125" w:rsidRPr="00834CDC" w:rsidRDefault="00031125" w:rsidP="003058F5">
            <w:pPr>
              <w:pStyle w:val="NormalWeb"/>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EB3AC1" w14:textId="77777777" w:rsidR="00031125" w:rsidRPr="00834CDC" w:rsidRDefault="00031125" w:rsidP="003058F5">
            <w:pPr>
              <w:pStyle w:val="NormalWeb"/>
              <w:rPr>
                <w:sz w:val="18"/>
                <w:szCs w:val="18"/>
              </w:rPr>
            </w:pPr>
            <w:r w:rsidRPr="00834CDC">
              <w:rPr>
                <w:sz w:val="18"/>
                <w:szCs w:val="18"/>
              </w:rPr>
              <w:t>11</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39F5EC" w14:textId="77777777" w:rsidR="00031125" w:rsidRPr="00834CDC" w:rsidRDefault="00031125" w:rsidP="003058F5">
            <w:pPr>
              <w:pStyle w:val="NormalWeb"/>
              <w:rPr>
                <w:sz w:val="18"/>
                <w:szCs w:val="18"/>
              </w:rPr>
            </w:pPr>
            <w:r w:rsidRPr="00834CDC">
              <w:rPr>
                <w:sz w:val="18"/>
                <w:szCs w:val="18"/>
              </w:rPr>
              <w:t>1.73</w:t>
            </w:r>
          </w:p>
        </w:tc>
        <w:tc>
          <w:tcPr>
            <w:tcW w:w="98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9C49A8" w14:textId="77777777" w:rsidR="00031125" w:rsidRPr="00834CDC" w:rsidRDefault="00031125" w:rsidP="003058F5">
            <w:pPr>
              <w:pStyle w:val="NormalWeb"/>
              <w:rPr>
                <w:sz w:val="18"/>
                <w:szCs w:val="18"/>
              </w:rPr>
            </w:pPr>
            <w:r w:rsidRPr="00834CDC">
              <w:rPr>
                <w:sz w:val="18"/>
                <w:szCs w:val="18"/>
              </w:rPr>
              <w:t>5.6</w:t>
            </w:r>
          </w:p>
        </w:tc>
        <w:tc>
          <w:tcPr>
            <w:tcW w:w="165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C293AA" w14:textId="77777777" w:rsidR="00031125" w:rsidRPr="00834CDC" w:rsidRDefault="00031125" w:rsidP="003058F5">
            <w:pPr>
              <w:pStyle w:val="NormalWeb"/>
              <w:rPr>
                <w:sz w:val="18"/>
                <w:szCs w:val="18"/>
              </w:rPr>
            </w:pPr>
            <w:r w:rsidRPr="00834CDC">
              <w:rPr>
                <w:sz w:val="18"/>
                <w:szCs w:val="18"/>
              </w:rPr>
              <w:t>2.6–11.1</w:t>
            </w:r>
          </w:p>
        </w:tc>
      </w:tr>
      <w:tr w:rsidR="00031125" w:rsidRPr="00834CDC" w14:paraId="5FBCEBA4" w14:textId="77777777" w:rsidTr="00031125">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D6E676" w14:textId="77777777" w:rsidR="00031125" w:rsidRPr="00834CDC" w:rsidRDefault="00031125" w:rsidP="003058F5">
            <w:pPr>
              <w:rPr>
                <w:sz w:val="18"/>
                <w:szCs w:val="18"/>
              </w:rPr>
            </w:pP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542DEE" w14:textId="77777777" w:rsidR="00031125" w:rsidRPr="00834CDC" w:rsidRDefault="00031125" w:rsidP="003058F5">
            <w:pPr>
              <w:pStyle w:val="NormalWeb"/>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730755" w14:textId="77777777" w:rsidR="00031125" w:rsidRPr="00834CDC" w:rsidRDefault="00031125" w:rsidP="003058F5">
            <w:pPr>
              <w:pStyle w:val="NormalWeb"/>
              <w:rPr>
                <w:sz w:val="18"/>
                <w:szCs w:val="18"/>
              </w:rPr>
            </w:pPr>
            <w:r w:rsidRPr="00834CDC">
              <w:rPr>
                <w:sz w:val="18"/>
                <w:szCs w:val="18"/>
              </w:rPr>
              <w:t>38</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ED3C18" w14:textId="77777777" w:rsidR="00031125" w:rsidRPr="00834CDC" w:rsidRDefault="00031125" w:rsidP="003058F5">
            <w:pPr>
              <w:pStyle w:val="NormalWeb"/>
              <w:rPr>
                <w:sz w:val="18"/>
                <w:szCs w:val="18"/>
              </w:rPr>
            </w:pPr>
            <w:r w:rsidRPr="00834CDC">
              <w:rPr>
                <w:sz w:val="18"/>
                <w:szCs w:val="18"/>
              </w:rPr>
              <w:t>0.31</w:t>
            </w:r>
          </w:p>
        </w:tc>
        <w:tc>
          <w:tcPr>
            <w:tcW w:w="98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2733FD" w14:textId="77777777" w:rsidR="00031125" w:rsidRPr="00834CDC" w:rsidRDefault="00031125" w:rsidP="003058F5">
            <w:pPr>
              <w:rPr>
                <w:sz w:val="18"/>
                <w:szCs w:val="18"/>
              </w:rPr>
            </w:pPr>
          </w:p>
        </w:tc>
        <w:tc>
          <w:tcPr>
            <w:tcW w:w="165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0277DC" w14:textId="77777777" w:rsidR="00031125" w:rsidRPr="00834CDC" w:rsidRDefault="00031125" w:rsidP="003058F5">
            <w:pPr>
              <w:rPr>
                <w:sz w:val="18"/>
                <w:szCs w:val="18"/>
              </w:rPr>
            </w:pPr>
          </w:p>
        </w:tc>
      </w:tr>
      <w:tr w:rsidR="00031125" w:rsidRPr="00834CDC" w14:paraId="53E3AA44" w14:textId="77777777" w:rsidTr="00031125">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A8DFAC" w14:textId="77777777" w:rsidR="00031125" w:rsidRPr="00834CDC" w:rsidRDefault="00031125" w:rsidP="003058F5">
            <w:pPr>
              <w:pStyle w:val="NormalWeb"/>
              <w:rPr>
                <w:sz w:val="18"/>
                <w:szCs w:val="18"/>
              </w:rPr>
            </w:pPr>
            <w:r w:rsidRPr="00834CDC">
              <w:rPr>
                <w:sz w:val="18"/>
                <w:szCs w:val="18"/>
              </w:rPr>
              <w:t>25–49</w:t>
            </w: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99B54F" w14:textId="77777777" w:rsidR="00031125" w:rsidRPr="00834CDC" w:rsidRDefault="00031125" w:rsidP="003058F5">
            <w:pPr>
              <w:pStyle w:val="NormalWeb"/>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CD59DC" w14:textId="77777777" w:rsidR="00031125" w:rsidRPr="00834CDC" w:rsidRDefault="00031125" w:rsidP="003058F5">
            <w:pPr>
              <w:pStyle w:val="NormalWeb"/>
              <w:rPr>
                <w:sz w:val="18"/>
                <w:szCs w:val="18"/>
              </w:rPr>
            </w:pPr>
            <w:r w:rsidRPr="00834CDC">
              <w:rPr>
                <w:sz w:val="18"/>
                <w:szCs w:val="18"/>
              </w:rPr>
              <w:t>34</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FD35AD" w14:textId="77777777" w:rsidR="00031125" w:rsidRPr="00834CDC" w:rsidRDefault="00031125" w:rsidP="003058F5">
            <w:pPr>
              <w:pStyle w:val="NormalWeb"/>
              <w:rPr>
                <w:sz w:val="18"/>
                <w:szCs w:val="18"/>
              </w:rPr>
            </w:pPr>
            <w:r w:rsidRPr="00834CDC">
              <w:rPr>
                <w:sz w:val="18"/>
                <w:szCs w:val="18"/>
              </w:rPr>
              <w:t>3.36</w:t>
            </w:r>
          </w:p>
        </w:tc>
        <w:tc>
          <w:tcPr>
            <w:tcW w:w="98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00F5C7" w14:textId="77777777" w:rsidR="00031125" w:rsidRPr="00834CDC" w:rsidRDefault="00031125" w:rsidP="003058F5">
            <w:pPr>
              <w:pStyle w:val="NormalWeb"/>
              <w:rPr>
                <w:sz w:val="18"/>
                <w:szCs w:val="18"/>
              </w:rPr>
            </w:pPr>
            <w:r w:rsidRPr="00834CDC">
              <w:rPr>
                <w:sz w:val="18"/>
                <w:szCs w:val="18"/>
              </w:rPr>
              <w:t>3.4</w:t>
            </w:r>
          </w:p>
        </w:tc>
        <w:tc>
          <w:tcPr>
            <w:tcW w:w="165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E1BB85" w14:textId="77777777" w:rsidR="00031125" w:rsidRPr="00834CDC" w:rsidRDefault="00031125" w:rsidP="003058F5">
            <w:pPr>
              <w:pStyle w:val="NormalWeb"/>
              <w:rPr>
                <w:sz w:val="18"/>
                <w:szCs w:val="18"/>
              </w:rPr>
            </w:pPr>
            <w:r w:rsidRPr="00834CDC">
              <w:rPr>
                <w:sz w:val="18"/>
                <w:szCs w:val="18"/>
              </w:rPr>
              <w:t>2.3–4.9</w:t>
            </w:r>
          </w:p>
        </w:tc>
      </w:tr>
      <w:tr w:rsidR="00031125" w:rsidRPr="00834CDC" w14:paraId="7CE1D244" w14:textId="77777777" w:rsidTr="00031125">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07E172" w14:textId="77777777" w:rsidR="00031125" w:rsidRPr="00834CDC" w:rsidRDefault="00031125" w:rsidP="003058F5">
            <w:pPr>
              <w:rPr>
                <w:sz w:val="18"/>
                <w:szCs w:val="18"/>
              </w:rPr>
            </w:pP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60BE16" w14:textId="77777777" w:rsidR="00031125" w:rsidRPr="00834CDC" w:rsidRDefault="00031125" w:rsidP="003058F5">
            <w:pPr>
              <w:pStyle w:val="NormalWeb"/>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692C81" w14:textId="77777777" w:rsidR="00031125" w:rsidRPr="00834CDC" w:rsidRDefault="00031125" w:rsidP="003058F5">
            <w:pPr>
              <w:pStyle w:val="NormalWeb"/>
              <w:rPr>
                <w:sz w:val="18"/>
                <w:szCs w:val="18"/>
              </w:rPr>
            </w:pPr>
            <w:r w:rsidRPr="00834CDC">
              <w:rPr>
                <w:sz w:val="18"/>
                <w:szCs w:val="18"/>
              </w:rPr>
              <w:t>331</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DD3AE4" w14:textId="77777777" w:rsidR="00031125" w:rsidRPr="00834CDC" w:rsidRDefault="00031125" w:rsidP="003058F5">
            <w:pPr>
              <w:pStyle w:val="NormalWeb"/>
              <w:rPr>
                <w:sz w:val="18"/>
                <w:szCs w:val="18"/>
              </w:rPr>
            </w:pPr>
            <w:r w:rsidRPr="00834CDC">
              <w:rPr>
                <w:sz w:val="18"/>
                <w:szCs w:val="18"/>
              </w:rPr>
              <w:t>0.98</w:t>
            </w:r>
          </w:p>
        </w:tc>
        <w:tc>
          <w:tcPr>
            <w:tcW w:w="98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28F134" w14:textId="77777777" w:rsidR="00031125" w:rsidRPr="00834CDC" w:rsidRDefault="00031125" w:rsidP="003058F5">
            <w:pPr>
              <w:rPr>
                <w:sz w:val="18"/>
                <w:szCs w:val="18"/>
              </w:rPr>
            </w:pPr>
          </w:p>
        </w:tc>
        <w:tc>
          <w:tcPr>
            <w:tcW w:w="165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BA3075" w14:textId="77777777" w:rsidR="00031125" w:rsidRPr="00834CDC" w:rsidRDefault="00031125" w:rsidP="003058F5">
            <w:pPr>
              <w:rPr>
                <w:sz w:val="18"/>
                <w:szCs w:val="18"/>
              </w:rPr>
            </w:pPr>
          </w:p>
        </w:tc>
      </w:tr>
      <w:tr w:rsidR="00031125" w:rsidRPr="00834CDC" w14:paraId="105703FB" w14:textId="77777777" w:rsidTr="00031125">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4C6BC4" w14:textId="77777777" w:rsidR="00031125" w:rsidRPr="00834CDC" w:rsidRDefault="00031125" w:rsidP="003058F5">
            <w:pPr>
              <w:pStyle w:val="NormalWeb"/>
              <w:rPr>
                <w:sz w:val="18"/>
                <w:szCs w:val="18"/>
              </w:rPr>
            </w:pPr>
            <w:r w:rsidRPr="00834CDC">
              <w:rPr>
                <w:sz w:val="18"/>
                <w:szCs w:val="18"/>
              </w:rPr>
              <w:t>50+</w:t>
            </w: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CF4227" w14:textId="77777777" w:rsidR="00031125" w:rsidRPr="00834CDC" w:rsidRDefault="00031125" w:rsidP="003058F5">
            <w:pPr>
              <w:pStyle w:val="NormalWeb"/>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29A710" w14:textId="77777777" w:rsidR="00031125" w:rsidRPr="00834CDC" w:rsidRDefault="00031125" w:rsidP="003058F5">
            <w:pPr>
              <w:pStyle w:val="NormalWeb"/>
              <w:rPr>
                <w:sz w:val="18"/>
                <w:szCs w:val="18"/>
              </w:rPr>
            </w:pPr>
            <w:r w:rsidRPr="00834CDC">
              <w:rPr>
                <w:sz w:val="18"/>
                <w:szCs w:val="18"/>
              </w:rPr>
              <w:t>11</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FAE2F0" w14:textId="77777777" w:rsidR="00031125" w:rsidRPr="00834CDC" w:rsidRDefault="00031125" w:rsidP="003058F5">
            <w:pPr>
              <w:pStyle w:val="NormalWeb"/>
              <w:rPr>
                <w:sz w:val="18"/>
                <w:szCs w:val="18"/>
              </w:rPr>
            </w:pPr>
            <w:r w:rsidRPr="00834CDC">
              <w:rPr>
                <w:sz w:val="18"/>
                <w:szCs w:val="18"/>
              </w:rPr>
              <w:t>2.07</w:t>
            </w:r>
          </w:p>
        </w:tc>
        <w:tc>
          <w:tcPr>
            <w:tcW w:w="98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E0C7A9" w14:textId="77777777" w:rsidR="00031125" w:rsidRPr="00834CDC" w:rsidRDefault="00031125" w:rsidP="003058F5">
            <w:pPr>
              <w:pStyle w:val="NormalWeb"/>
              <w:rPr>
                <w:sz w:val="18"/>
                <w:szCs w:val="18"/>
              </w:rPr>
            </w:pPr>
            <w:r w:rsidRPr="00834CDC">
              <w:rPr>
                <w:sz w:val="18"/>
                <w:szCs w:val="18"/>
              </w:rPr>
              <w:t>3.8</w:t>
            </w:r>
          </w:p>
        </w:tc>
        <w:tc>
          <w:tcPr>
            <w:tcW w:w="165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587A42" w14:textId="77777777" w:rsidR="00031125" w:rsidRPr="00834CDC" w:rsidRDefault="00031125" w:rsidP="003058F5">
            <w:pPr>
              <w:pStyle w:val="NormalWeb"/>
              <w:rPr>
                <w:sz w:val="18"/>
                <w:szCs w:val="18"/>
              </w:rPr>
            </w:pPr>
            <w:r w:rsidRPr="00834CDC">
              <w:rPr>
                <w:sz w:val="18"/>
                <w:szCs w:val="18"/>
              </w:rPr>
              <w:t>1.9–6.9</w:t>
            </w:r>
          </w:p>
        </w:tc>
      </w:tr>
      <w:tr w:rsidR="00031125" w:rsidRPr="00834CDC" w14:paraId="7FF6E9FF" w14:textId="77777777" w:rsidTr="00031125">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406B07" w14:textId="77777777" w:rsidR="00031125" w:rsidRPr="00834CDC" w:rsidRDefault="00031125" w:rsidP="003058F5">
            <w:pPr>
              <w:rPr>
                <w:sz w:val="18"/>
                <w:szCs w:val="18"/>
              </w:rPr>
            </w:pP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56EA3F" w14:textId="77777777" w:rsidR="00031125" w:rsidRPr="00834CDC" w:rsidRDefault="00031125" w:rsidP="003058F5">
            <w:pPr>
              <w:pStyle w:val="NormalWeb"/>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6552B8" w14:textId="77777777" w:rsidR="00031125" w:rsidRPr="00834CDC" w:rsidRDefault="00031125" w:rsidP="003058F5">
            <w:pPr>
              <w:pStyle w:val="NormalWeb"/>
              <w:rPr>
                <w:sz w:val="18"/>
                <w:szCs w:val="18"/>
              </w:rPr>
            </w:pPr>
            <w:r w:rsidRPr="00834CDC">
              <w:rPr>
                <w:sz w:val="18"/>
                <w:szCs w:val="18"/>
              </w:rPr>
              <w:t>178</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2342E5" w14:textId="77777777" w:rsidR="00031125" w:rsidRPr="00834CDC" w:rsidRDefault="00031125" w:rsidP="003058F5">
            <w:pPr>
              <w:pStyle w:val="NormalWeb"/>
              <w:rPr>
                <w:sz w:val="18"/>
                <w:szCs w:val="18"/>
              </w:rPr>
            </w:pPr>
            <w:r w:rsidRPr="00834CDC">
              <w:rPr>
                <w:sz w:val="18"/>
                <w:szCs w:val="18"/>
              </w:rPr>
              <w:t>0.55</w:t>
            </w:r>
          </w:p>
        </w:tc>
        <w:tc>
          <w:tcPr>
            <w:tcW w:w="98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CA3450" w14:textId="77777777" w:rsidR="00031125" w:rsidRPr="00834CDC" w:rsidRDefault="00031125" w:rsidP="003058F5">
            <w:pPr>
              <w:rPr>
                <w:sz w:val="18"/>
                <w:szCs w:val="18"/>
              </w:rPr>
            </w:pPr>
          </w:p>
        </w:tc>
        <w:tc>
          <w:tcPr>
            <w:tcW w:w="165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45DB32" w14:textId="77777777" w:rsidR="00031125" w:rsidRPr="00834CDC" w:rsidRDefault="00031125" w:rsidP="003058F5">
            <w:pPr>
              <w:rPr>
                <w:sz w:val="18"/>
                <w:szCs w:val="18"/>
              </w:rPr>
            </w:pPr>
          </w:p>
        </w:tc>
      </w:tr>
      <w:tr w:rsidR="00031125" w:rsidRPr="00834CDC" w14:paraId="7F39FA39" w14:textId="77777777" w:rsidTr="00C54B54">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E7BDDDD" w14:textId="418F4576" w:rsidR="00031125" w:rsidRPr="00834CDC" w:rsidRDefault="00031125" w:rsidP="003058F5">
            <w:pPr>
              <w:pStyle w:val="NormalWeb"/>
              <w:rPr>
                <w:sz w:val="18"/>
                <w:szCs w:val="18"/>
              </w:rPr>
            </w:pPr>
            <w:r w:rsidRPr="00834CDC">
              <w:rPr>
                <w:sz w:val="18"/>
                <w:szCs w:val="18"/>
              </w:rPr>
              <w:t>All ages</w:t>
            </w:r>
            <w:r w:rsidR="00151B07" w:rsidRPr="00834CDC">
              <w:rPr>
                <w:sz w:val="18"/>
                <w:szCs w:val="18"/>
              </w:rPr>
              <w:t xml:space="preserve"> </w:t>
            </w:r>
            <w:r w:rsidRPr="00834CDC">
              <w:rPr>
                <w:sz w:val="18"/>
                <w:szCs w:val="18"/>
                <w:vertAlign w:val="superscript"/>
              </w:rPr>
              <w:t>d</w:t>
            </w: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0FB3570" w14:textId="77777777" w:rsidR="00031125" w:rsidRPr="00834CDC" w:rsidRDefault="00031125" w:rsidP="003058F5">
            <w:pPr>
              <w:pStyle w:val="NormalWeb"/>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03DCE79" w14:textId="77777777" w:rsidR="00031125" w:rsidRPr="00834CDC" w:rsidRDefault="00031125" w:rsidP="003058F5">
            <w:pPr>
              <w:pStyle w:val="NormalWeb"/>
              <w:rPr>
                <w:sz w:val="18"/>
                <w:szCs w:val="18"/>
              </w:rPr>
            </w:pPr>
            <w:r w:rsidRPr="00834CDC">
              <w:rPr>
                <w:sz w:val="18"/>
                <w:szCs w:val="18"/>
              </w:rPr>
              <w:t>58</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E26C80E" w14:textId="77777777" w:rsidR="00031125" w:rsidRPr="00834CDC" w:rsidRDefault="00031125" w:rsidP="003058F5">
            <w:pPr>
              <w:pStyle w:val="NormalWeb"/>
              <w:rPr>
                <w:sz w:val="18"/>
                <w:szCs w:val="18"/>
              </w:rPr>
            </w:pPr>
            <w:r w:rsidRPr="00834CDC">
              <w:rPr>
                <w:sz w:val="18"/>
                <w:szCs w:val="18"/>
              </w:rPr>
              <w:t>2.12</w:t>
            </w:r>
          </w:p>
        </w:tc>
        <w:tc>
          <w:tcPr>
            <w:tcW w:w="98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0D5A198" w14:textId="77777777" w:rsidR="00031125" w:rsidRPr="00834CDC" w:rsidRDefault="00031125" w:rsidP="003058F5">
            <w:pPr>
              <w:pStyle w:val="NormalWeb"/>
              <w:rPr>
                <w:sz w:val="18"/>
                <w:szCs w:val="18"/>
              </w:rPr>
            </w:pPr>
            <w:r w:rsidRPr="00834CDC">
              <w:rPr>
                <w:sz w:val="18"/>
                <w:szCs w:val="18"/>
              </w:rPr>
              <w:t>3.7</w:t>
            </w:r>
          </w:p>
        </w:tc>
        <w:tc>
          <w:tcPr>
            <w:tcW w:w="165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EA51C42" w14:textId="77777777" w:rsidR="00031125" w:rsidRPr="00834CDC" w:rsidRDefault="00031125" w:rsidP="003058F5">
            <w:pPr>
              <w:pStyle w:val="NormalWeb"/>
              <w:rPr>
                <w:sz w:val="18"/>
                <w:szCs w:val="18"/>
              </w:rPr>
            </w:pPr>
            <w:r w:rsidRPr="00834CDC">
              <w:rPr>
                <w:sz w:val="18"/>
                <w:szCs w:val="18"/>
              </w:rPr>
              <w:t>2.8–4.8</w:t>
            </w:r>
          </w:p>
        </w:tc>
      </w:tr>
      <w:tr w:rsidR="00031125" w:rsidRPr="00834CDC" w14:paraId="0FC7E2FD" w14:textId="77777777" w:rsidTr="00C54B54">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E414C46" w14:textId="77777777" w:rsidR="00031125" w:rsidRPr="00834CDC" w:rsidRDefault="00031125" w:rsidP="003058F5">
            <w:pPr>
              <w:rPr>
                <w:sz w:val="18"/>
                <w:szCs w:val="18"/>
              </w:rPr>
            </w:pP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A18051A" w14:textId="77777777" w:rsidR="00031125" w:rsidRPr="00834CDC" w:rsidRDefault="00031125" w:rsidP="003058F5">
            <w:pPr>
              <w:pStyle w:val="NormalWeb"/>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6889108" w14:textId="77777777" w:rsidR="00031125" w:rsidRPr="00834CDC" w:rsidRDefault="00031125" w:rsidP="003058F5">
            <w:pPr>
              <w:pStyle w:val="NormalWeb"/>
              <w:rPr>
                <w:sz w:val="18"/>
                <w:szCs w:val="18"/>
              </w:rPr>
            </w:pPr>
            <w:r w:rsidRPr="00834CDC">
              <w:rPr>
                <w:sz w:val="18"/>
                <w:szCs w:val="18"/>
              </w:rPr>
              <w:t>554</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030D0E6" w14:textId="77777777" w:rsidR="00031125" w:rsidRPr="00834CDC" w:rsidRDefault="00031125" w:rsidP="003058F5">
            <w:pPr>
              <w:pStyle w:val="NormalWeb"/>
              <w:rPr>
                <w:sz w:val="18"/>
                <w:szCs w:val="18"/>
              </w:rPr>
            </w:pPr>
            <w:r w:rsidRPr="00834CDC">
              <w:rPr>
                <w:sz w:val="18"/>
                <w:szCs w:val="18"/>
              </w:rPr>
              <w:t>0.57</w:t>
            </w:r>
          </w:p>
        </w:tc>
        <w:tc>
          <w:tcPr>
            <w:tcW w:w="98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BCADE1A" w14:textId="77777777" w:rsidR="00031125" w:rsidRPr="00834CDC" w:rsidRDefault="00031125" w:rsidP="003058F5">
            <w:pPr>
              <w:rPr>
                <w:sz w:val="18"/>
                <w:szCs w:val="18"/>
              </w:rPr>
            </w:pPr>
          </w:p>
        </w:tc>
        <w:tc>
          <w:tcPr>
            <w:tcW w:w="165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0B7370F" w14:textId="77777777" w:rsidR="00031125" w:rsidRPr="00834CDC" w:rsidRDefault="00031125" w:rsidP="003058F5">
            <w:pPr>
              <w:rPr>
                <w:sz w:val="18"/>
                <w:szCs w:val="18"/>
              </w:rPr>
            </w:pPr>
          </w:p>
        </w:tc>
      </w:tr>
    </w:tbl>
    <w:p w14:paraId="025BC1A8" w14:textId="77777777" w:rsidR="00031125" w:rsidRPr="00834CDC" w:rsidRDefault="00031125" w:rsidP="00031125">
      <w:pPr>
        <w:pStyle w:val="CDIfootnotes"/>
        <w:divId w:val="1988506822"/>
      </w:pPr>
      <w:proofErr w:type="spellStart"/>
      <w:proofErr w:type="gramStart"/>
      <w:r w:rsidRPr="00834CDC">
        <w:t>a</w:t>
      </w:r>
      <w:proofErr w:type="spellEnd"/>
      <w:proofErr w:type="gramEnd"/>
      <w:r w:rsidRPr="00834CDC">
        <w:tab/>
        <w:t>Infection confirmed to have been acquired within the previous two years.</w:t>
      </w:r>
    </w:p>
    <w:p w14:paraId="1520FC6C" w14:textId="77777777" w:rsidR="00031125" w:rsidRPr="00834CDC" w:rsidRDefault="00031125" w:rsidP="00031125">
      <w:pPr>
        <w:pStyle w:val="CDIfootnotes"/>
        <w:divId w:val="1988506822"/>
      </w:pPr>
      <w:r w:rsidRPr="00834CDC">
        <w:t>b</w:t>
      </w:r>
      <w:r w:rsidRPr="00834CDC">
        <w:tab/>
        <w:t>Notifications where the date of diagnosis was between 1 January 2016 and 31 December 2019.</w:t>
      </w:r>
    </w:p>
    <w:p w14:paraId="2D8087C7" w14:textId="77777777" w:rsidR="00031125" w:rsidRPr="00834CDC" w:rsidRDefault="00031125" w:rsidP="00031125">
      <w:pPr>
        <w:pStyle w:val="CDIfootnotes"/>
        <w:divId w:val="1988506822"/>
      </w:pPr>
      <w:r w:rsidRPr="00834CDC">
        <w:t>c</w:t>
      </w:r>
      <w:r w:rsidRPr="00834CDC">
        <w:tab/>
        <w:t>Average annual age-specific rate per 100,000 population.</w:t>
      </w:r>
    </w:p>
    <w:p w14:paraId="6D57B94B" w14:textId="15F187CE" w:rsidR="00031125" w:rsidRPr="00834CDC" w:rsidRDefault="00031125" w:rsidP="000729CF">
      <w:pPr>
        <w:pStyle w:val="CDIfootnotes"/>
        <w:divId w:val="1988506822"/>
      </w:pPr>
      <w:r w:rsidRPr="00834CDC">
        <w:t>d</w:t>
      </w:r>
      <w:r w:rsidRPr="00834CDC">
        <w:tab/>
        <w:t>Rates for all ages combined are age-standardised in standard population following the Australian Bureau of Statistics Australian population estimates for 2016.</w:t>
      </w:r>
    </w:p>
    <w:p w14:paraId="45E09C6D" w14:textId="77777777" w:rsidR="0033445F" w:rsidRPr="00834CDC" w:rsidRDefault="0033445F" w:rsidP="0033445F">
      <w:pPr>
        <w:divId w:val="1988506822"/>
      </w:pPr>
      <w:r w:rsidRPr="00834CDC">
        <w:t xml:space="preserve">Trends in newly </w:t>
      </w:r>
      <w:proofErr w:type="gramStart"/>
      <w:r w:rsidRPr="00834CDC">
        <w:t>acquired</w:t>
      </w:r>
      <w:proofErr w:type="gramEnd"/>
      <w:r w:rsidRPr="00834CDC">
        <w:t xml:space="preserve"> hepatitis B notification rates by Aboriginal and Torres Strait Islander status over the 2010–2019 period are presented in Figure 4. The notification rate in Aboriginal and Torres Strait Islander people for all age groups combined declined from 3.3 per 100,000 population in 2010 to 1.2 per 100,000 in 2018, but then increased to 2.7 per 100,000 in 2019. Notification rates in other people declined from 1.0 per 100,000 population in 2010 to 0.6 per 100,000 in 2019. </w:t>
      </w:r>
    </w:p>
    <w:p w14:paraId="73E0E12D" w14:textId="77777777" w:rsidR="00A13F68" w:rsidRPr="00834CDC" w:rsidRDefault="00A13F68">
      <w:r w:rsidRPr="00834CDC">
        <w:br w:type="page"/>
      </w:r>
    </w:p>
    <w:p w14:paraId="152B8332" w14:textId="5332BBFE" w:rsidR="00A13F68" w:rsidRPr="00834CDC" w:rsidRDefault="00A13F68" w:rsidP="00A13F68">
      <w:pPr>
        <w:pStyle w:val="CDIFigures"/>
        <w:divId w:val="1988506822"/>
      </w:pPr>
      <w:r w:rsidRPr="00834CDC">
        <w:lastRenderedPageBreak/>
        <w:t xml:space="preserve">Figure 4: Newly acquired hepatitis B notification </w:t>
      </w:r>
      <w:proofErr w:type="spellStart"/>
      <w:proofErr w:type="gramStart"/>
      <w:r w:rsidRPr="00834CDC">
        <w:t>rates,</w:t>
      </w:r>
      <w:r w:rsidRPr="00834CDC">
        <w:rPr>
          <w:vertAlign w:val="superscript"/>
        </w:rPr>
        <w:t>a</w:t>
      </w:r>
      <w:proofErr w:type="spellEnd"/>
      <w:proofErr w:type="gramEnd"/>
      <w:r w:rsidRPr="00834CDC">
        <w:t xml:space="preserve"> Australia (all states and territories), 2010–2019</w:t>
      </w:r>
      <w:r w:rsidR="00D24B47">
        <w:t>,</w:t>
      </w:r>
      <w:r w:rsidRPr="00506C0C">
        <w:rPr>
          <w:vertAlign w:val="superscript"/>
        </w:rPr>
        <w:t>b</w:t>
      </w:r>
      <w:r w:rsidRPr="00834CDC">
        <w:t xml:space="preserve"> by Aboriginal and Torres Strait Islander status</w:t>
      </w:r>
    </w:p>
    <w:p w14:paraId="41619D71" w14:textId="77777777" w:rsidR="00D92FDE" w:rsidRPr="00834CDC" w:rsidRDefault="00D92FDE" w:rsidP="00D92FDE">
      <w:pPr>
        <w:pStyle w:val="NormalWeb"/>
        <w:divId w:val="1988506822"/>
      </w:pPr>
      <w:r w:rsidRPr="00834CDC">
        <w:rPr>
          <w:noProof/>
        </w:rPr>
        <w:drawing>
          <wp:inline distT="0" distB="0" distL="0" distR="0" wp14:anchorId="7FADF187" wp14:editId="55E8815C">
            <wp:extent cx="6625424" cy="4269572"/>
            <wp:effectExtent l="0" t="0" r="4445" b="0"/>
            <wp:docPr id="5" name="Picture 5" descr="Line graph showing newly acquired hepatitis B notification rates for the period 2010 to 2019. Rates in Aboriginal and Torres Strait Islander people declined from 3.3 per 100,000 population in 2010 to 1.2 per 100,000 in 2018, but then increased to 2.7 per 100,000 in 2019. Notification rates in other people declined from 1.0 per 100,000 population in 2010 to 0.6 per 100,000 in 201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 graph showing newly acquired hepatitis B notification rates for the period 2010 to 2019. Rates in Aboriginal and Torres Strait Islander people declined from 3.3 per 100,000 population in 2010 to 1.2 per 100,000 in 2018, but then increased to 2.7 per 100,000 in 2019. Notification rates in other people declined from 1.0 per 100,000 population in 2010 to 0.6 per 100,000 in 2019. &#10;"/>
                    <pic:cNvPicPr>
                      <a:picLocks noChangeAspect="1" noChangeArrowheads="1"/>
                    </pic:cNvPicPr>
                  </pic:nvPicPr>
                  <pic:blipFill>
                    <a:blip r:link="rId15">
                      <a:extLst>
                        <a:ext uri="{28A0092B-C50C-407E-A947-70E740481C1C}">
                          <a14:useLocalDpi xmlns:a14="http://schemas.microsoft.com/office/drawing/2010/main" val="0"/>
                        </a:ext>
                      </a:extLst>
                    </a:blip>
                    <a:stretch>
                      <a:fillRect/>
                    </a:stretch>
                  </pic:blipFill>
                  <pic:spPr bwMode="auto">
                    <a:xfrm>
                      <a:off x="0" y="0"/>
                      <a:ext cx="6641116" cy="4279684"/>
                    </a:xfrm>
                    <a:prstGeom prst="rect">
                      <a:avLst/>
                    </a:prstGeom>
                  </pic:spPr>
                </pic:pic>
              </a:graphicData>
            </a:graphic>
          </wp:inline>
        </w:drawing>
      </w:r>
    </w:p>
    <w:p w14:paraId="58E1D58F" w14:textId="77777777" w:rsidR="00D92FDE" w:rsidRPr="00834CDC" w:rsidRDefault="00D92FDE" w:rsidP="00D92FDE">
      <w:pPr>
        <w:pStyle w:val="CDIfootnotes"/>
        <w:divId w:val="1988506822"/>
      </w:pPr>
      <w:proofErr w:type="spellStart"/>
      <w:proofErr w:type="gramStart"/>
      <w:r w:rsidRPr="00834CDC">
        <w:t>a</w:t>
      </w:r>
      <w:proofErr w:type="spellEnd"/>
      <w:proofErr w:type="gramEnd"/>
      <w:r w:rsidRPr="00834CDC">
        <w:tab/>
        <w:t>Infection confirmed to have been acquired within the previous two years.</w:t>
      </w:r>
    </w:p>
    <w:p w14:paraId="465EE1BB" w14:textId="53B787E7" w:rsidR="00A13F68" w:rsidRPr="00834CDC" w:rsidRDefault="00D92FDE" w:rsidP="00D92FDE">
      <w:pPr>
        <w:pStyle w:val="CDIfootnotes"/>
        <w:divId w:val="1988506822"/>
      </w:pPr>
      <w:r w:rsidRPr="00834CDC">
        <w:t>b</w:t>
      </w:r>
      <w:r w:rsidRPr="00834CDC">
        <w:tab/>
        <w:t>Notifications where the date of diagnosis was between 1 January 2010 and 31 December 2019.</w:t>
      </w:r>
    </w:p>
    <w:p w14:paraId="54DDDF68" w14:textId="3149B63C" w:rsidR="0033445F" w:rsidRPr="00834CDC" w:rsidRDefault="0033445F" w:rsidP="0033445F">
      <w:pPr>
        <w:divId w:val="1988506822"/>
      </w:pPr>
      <w:r w:rsidRPr="00834CDC">
        <w:t xml:space="preserve">Hospital admissions for which acute hepatitis B was the principal diagnosis </w:t>
      </w:r>
      <w:proofErr w:type="gramStart"/>
      <w:r w:rsidRPr="00834CDC">
        <w:t>are shown</w:t>
      </w:r>
      <w:proofErr w:type="gramEnd"/>
      <w:r w:rsidRPr="00834CDC">
        <w:t xml:space="preserve"> for all jurisdictions for the 2016–2019 period in Table 7. In total, there were 320 hospital admissions for acute hepatitis B, of which 29 (9.1%) were in Aboriginal and Torres Strait Islander people. Notably, there were no hospitalisations for acute hepatitis B in children aged 0–4 years in this </w:t>
      </w:r>
      <w:proofErr w:type="gramStart"/>
      <w:r w:rsidRPr="00834CDC">
        <w:t>time period</w:t>
      </w:r>
      <w:proofErr w:type="gramEnd"/>
      <w:r w:rsidRPr="00834CDC">
        <w:t xml:space="preserve">. Hospitalisation rates were significantly higher in Aboriginal and Torres Strait Islander people than in other people, overall (RR: 3.1; 95% CI: 2.0–4.4) and in those aged 5–14 years (RR: 95.1; 95% CI: 11.5–4373.5) and 25–49 years (RR: 3.1; 95% CI: 1.7–5.1). </w:t>
      </w:r>
    </w:p>
    <w:p w14:paraId="5ED08281" w14:textId="77777777" w:rsidR="0033445F" w:rsidRPr="00834CDC" w:rsidRDefault="0033445F" w:rsidP="0033445F">
      <w:pPr>
        <w:divId w:val="1988506822"/>
      </w:pPr>
      <w:r w:rsidRPr="00834CDC">
        <w:t xml:space="preserve">Trends in acute hepatitis B hospitalisation rates </w:t>
      </w:r>
      <w:proofErr w:type="gramStart"/>
      <w:r w:rsidRPr="00834CDC">
        <w:t>are presented</w:t>
      </w:r>
      <w:proofErr w:type="gramEnd"/>
      <w:r w:rsidRPr="00834CDC">
        <w:t xml:space="preserve"> for six states and territories (excluding the Australian Capital Territory and Tasmania) over the 2010–2019 period in Figure 5. The hospitalisation rate in Aboriginal and Torres Strait Islander people peaked in 2012 at 1.9 per 100,000 population, declined to 0.4 per 100,000 in 2014, and then progressively increased to 1.5 per 100,000 in 2019. In other people, hospitalisation rates declined from 0.6 per 100,000 population in 2010 to 0.3 per 100,000 in 2019. </w:t>
      </w:r>
    </w:p>
    <w:p w14:paraId="002B7405" w14:textId="575C5A38" w:rsidR="0033445F" w:rsidRPr="00834CDC" w:rsidRDefault="0033445F" w:rsidP="0033445F">
      <w:pPr>
        <w:divId w:val="1988506822"/>
      </w:pPr>
      <w:r w:rsidRPr="00834CDC">
        <w:lastRenderedPageBreak/>
        <w:t xml:space="preserve">Over the 2016–2019 period, there were </w:t>
      </w:r>
      <w:proofErr w:type="gramStart"/>
      <w:r w:rsidRPr="00834CDC">
        <w:t>56</w:t>
      </w:r>
      <w:proofErr w:type="gramEnd"/>
      <w:r w:rsidRPr="00834CDC">
        <w:t xml:space="preserve"> deaths in Australia with acute hepatitis B identified as the underlying cause, 84% of which were in individuals aged 50 years or older. There were 1–5 deaths reported as being in Aboriginal and Torres Strait Islander people,</w:t>
      </w:r>
      <w:r w:rsidR="004759FB" w:rsidRPr="00834CDC">
        <w:rPr>
          <w:rStyle w:val="FootnoteReference"/>
        </w:rPr>
        <w:footnoteReference w:id="2"/>
      </w:r>
      <w:r w:rsidRPr="00834CDC">
        <w:t xml:space="preserve"> with none in people younger than 25 years of age.</w:t>
      </w:r>
    </w:p>
    <w:p w14:paraId="0405777C" w14:textId="3068980F" w:rsidR="007D77A8" w:rsidRPr="00834CDC" w:rsidRDefault="007D77A8" w:rsidP="007D77A8">
      <w:pPr>
        <w:pStyle w:val="NormalWeb"/>
        <w:divId w:val="1988506822"/>
      </w:pPr>
      <w:r w:rsidRPr="00834CDC">
        <w:rPr>
          <w:rStyle w:val="Strong"/>
        </w:rPr>
        <w:t>Table 7: Hepatitis B hospitalisations,</w:t>
      </w:r>
      <w:r w:rsidR="00151B07" w:rsidRPr="00834CDC">
        <w:rPr>
          <w:rStyle w:val="Strong"/>
        </w:rPr>
        <w:t xml:space="preserve"> </w:t>
      </w:r>
      <w:proofErr w:type="gramStart"/>
      <w:r w:rsidRPr="00834CDC">
        <w:rPr>
          <w:rStyle w:val="Strong"/>
          <w:vertAlign w:val="superscript"/>
        </w:rPr>
        <w:t>a</w:t>
      </w:r>
      <w:proofErr w:type="gramEnd"/>
      <w:r w:rsidRPr="00834CDC">
        <w:rPr>
          <w:rStyle w:val="Strong"/>
        </w:rPr>
        <w:t xml:space="preserve"> Australia (all states and territories), 2016–2019, by age and Aboriginal and Torres Strait Islander status</w:t>
      </w:r>
    </w:p>
    <w:tbl>
      <w:tblPr>
        <w:tblStyle w:val="CDI-StandardTable"/>
        <w:tblW w:w="0" w:type="auto"/>
        <w:tblLook w:val="04A0" w:firstRow="1" w:lastRow="0" w:firstColumn="1" w:lastColumn="0" w:noHBand="0" w:noVBand="1"/>
        <w:tblDescription w:val="Table 7 shows the number and rates per 100,000 population of hepatitis B hospitalisations by age and Aboriginal and Torres Strait Islander status, Australia, 2016 to 2019.&#10;"/>
      </w:tblPr>
      <w:tblGrid>
        <w:gridCol w:w="879"/>
        <w:gridCol w:w="4933"/>
        <w:gridCol w:w="709"/>
        <w:gridCol w:w="709"/>
        <w:gridCol w:w="965"/>
        <w:gridCol w:w="2102"/>
      </w:tblGrid>
      <w:tr w:rsidR="007D77A8" w:rsidRPr="00834CDC" w14:paraId="16A02349" w14:textId="77777777" w:rsidTr="00460EF6">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val="restart"/>
            <w:hideMark/>
          </w:tcPr>
          <w:p w14:paraId="60C57FD9" w14:textId="77777777" w:rsidR="007D77A8" w:rsidRPr="00834CDC" w:rsidRDefault="007D77A8" w:rsidP="003058F5">
            <w:pPr>
              <w:pStyle w:val="NormalWeb"/>
              <w:rPr>
                <w:sz w:val="18"/>
                <w:szCs w:val="18"/>
              </w:rPr>
            </w:pPr>
            <w:r w:rsidRPr="00834CDC">
              <w:rPr>
                <w:sz w:val="18"/>
                <w:szCs w:val="18"/>
              </w:rPr>
              <w:t>Age group</w:t>
            </w:r>
            <w:r w:rsidRPr="00834CDC">
              <w:rPr>
                <w:sz w:val="18"/>
                <w:szCs w:val="18"/>
              </w:rPr>
              <w:br/>
              <w:t>(years)</w:t>
            </w:r>
          </w:p>
        </w:tc>
        <w:tc>
          <w:tcPr>
            <w:tcW w:w="4933" w:type="dxa"/>
            <w:vMerge w:val="restart"/>
            <w:hideMark/>
          </w:tcPr>
          <w:p w14:paraId="13C6A3B1" w14:textId="77777777" w:rsidR="007D77A8" w:rsidRPr="00834CDC" w:rsidRDefault="007D77A8" w:rsidP="003058F5">
            <w:pPr>
              <w:pStyle w:val="NormalWeb"/>
              <w:rPr>
                <w:sz w:val="18"/>
                <w:szCs w:val="18"/>
              </w:rPr>
            </w:pPr>
            <w:r w:rsidRPr="00834CDC">
              <w:rPr>
                <w:sz w:val="18"/>
                <w:szCs w:val="18"/>
              </w:rPr>
              <w:t>Aboriginal and Torres Strait Islander status</w:t>
            </w:r>
          </w:p>
        </w:tc>
        <w:tc>
          <w:tcPr>
            <w:tcW w:w="4485" w:type="dxa"/>
            <w:gridSpan w:val="4"/>
            <w:hideMark/>
          </w:tcPr>
          <w:p w14:paraId="46827A71" w14:textId="4E6DC364" w:rsidR="007D77A8" w:rsidRPr="00834CDC" w:rsidRDefault="007D77A8" w:rsidP="003058F5">
            <w:pPr>
              <w:pStyle w:val="NormalWeb"/>
              <w:rPr>
                <w:sz w:val="18"/>
                <w:szCs w:val="18"/>
              </w:rPr>
            </w:pPr>
            <w:r w:rsidRPr="00834CDC">
              <w:rPr>
                <w:sz w:val="18"/>
                <w:szCs w:val="18"/>
              </w:rPr>
              <w:t>Hospitalisations</w:t>
            </w:r>
            <w:r w:rsidR="00151B07" w:rsidRPr="00834CDC">
              <w:rPr>
                <w:sz w:val="18"/>
                <w:szCs w:val="18"/>
              </w:rPr>
              <w:t xml:space="preserve"> </w:t>
            </w:r>
            <w:r w:rsidRPr="00834CDC">
              <w:rPr>
                <w:sz w:val="18"/>
                <w:szCs w:val="18"/>
                <w:vertAlign w:val="superscript"/>
              </w:rPr>
              <w:t>b</w:t>
            </w:r>
            <w:r w:rsidRPr="00834CDC">
              <w:rPr>
                <w:sz w:val="18"/>
                <w:szCs w:val="18"/>
              </w:rPr>
              <w:t xml:space="preserve"> (2016–2019)</w:t>
            </w:r>
          </w:p>
        </w:tc>
      </w:tr>
      <w:tr w:rsidR="007D77A8" w:rsidRPr="00834CDC" w14:paraId="6A3A657F" w14:textId="77777777" w:rsidTr="00460EF6">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tcBorders>
              <w:bottom w:val="single" w:sz="2" w:space="0" w:color="808080" w:themeColor="background1" w:themeShade="80"/>
            </w:tcBorders>
            <w:hideMark/>
          </w:tcPr>
          <w:p w14:paraId="18766005" w14:textId="77777777" w:rsidR="007D77A8" w:rsidRPr="00834CDC" w:rsidRDefault="007D77A8" w:rsidP="003058F5">
            <w:pPr>
              <w:rPr>
                <w:sz w:val="18"/>
                <w:szCs w:val="18"/>
              </w:rPr>
            </w:pPr>
          </w:p>
        </w:tc>
        <w:tc>
          <w:tcPr>
            <w:tcW w:w="4933" w:type="dxa"/>
            <w:vMerge/>
            <w:tcBorders>
              <w:bottom w:val="single" w:sz="2" w:space="0" w:color="808080" w:themeColor="background1" w:themeShade="80"/>
            </w:tcBorders>
            <w:hideMark/>
          </w:tcPr>
          <w:p w14:paraId="104E51A6" w14:textId="77777777" w:rsidR="007D77A8" w:rsidRPr="00834CDC" w:rsidRDefault="007D77A8" w:rsidP="003058F5">
            <w:pPr>
              <w:rPr>
                <w:sz w:val="18"/>
                <w:szCs w:val="18"/>
              </w:rPr>
            </w:pPr>
          </w:p>
        </w:tc>
        <w:tc>
          <w:tcPr>
            <w:tcW w:w="709" w:type="dxa"/>
            <w:tcBorders>
              <w:bottom w:val="single" w:sz="2" w:space="0" w:color="808080" w:themeColor="background1" w:themeShade="80"/>
            </w:tcBorders>
            <w:hideMark/>
          </w:tcPr>
          <w:p w14:paraId="279EF8C4" w14:textId="77777777" w:rsidR="007D77A8" w:rsidRPr="00834CDC" w:rsidRDefault="007D77A8" w:rsidP="003058F5">
            <w:pPr>
              <w:pStyle w:val="NormalWeb"/>
              <w:rPr>
                <w:sz w:val="18"/>
                <w:szCs w:val="18"/>
              </w:rPr>
            </w:pPr>
            <w:r w:rsidRPr="00834CDC">
              <w:rPr>
                <w:sz w:val="18"/>
                <w:szCs w:val="18"/>
              </w:rPr>
              <w:t>n</w:t>
            </w:r>
          </w:p>
        </w:tc>
        <w:tc>
          <w:tcPr>
            <w:tcW w:w="709" w:type="dxa"/>
            <w:tcBorders>
              <w:bottom w:val="single" w:sz="2" w:space="0" w:color="808080" w:themeColor="background1" w:themeShade="80"/>
            </w:tcBorders>
            <w:hideMark/>
          </w:tcPr>
          <w:p w14:paraId="18BA382B" w14:textId="379E4946" w:rsidR="007D77A8" w:rsidRPr="00834CDC" w:rsidRDefault="007D77A8" w:rsidP="003058F5">
            <w:pPr>
              <w:pStyle w:val="NormalWeb"/>
              <w:rPr>
                <w:sz w:val="18"/>
                <w:szCs w:val="18"/>
              </w:rPr>
            </w:pPr>
            <w:r w:rsidRPr="00834CDC">
              <w:rPr>
                <w:sz w:val="18"/>
                <w:szCs w:val="18"/>
              </w:rPr>
              <w:t>Rate</w:t>
            </w:r>
            <w:r w:rsidR="00151B07" w:rsidRPr="00834CDC">
              <w:rPr>
                <w:sz w:val="18"/>
                <w:szCs w:val="18"/>
              </w:rPr>
              <w:t xml:space="preserve"> </w:t>
            </w:r>
            <w:r w:rsidRPr="00834CDC">
              <w:rPr>
                <w:sz w:val="18"/>
                <w:szCs w:val="18"/>
                <w:vertAlign w:val="superscript"/>
              </w:rPr>
              <w:t>c</w:t>
            </w:r>
          </w:p>
        </w:tc>
        <w:tc>
          <w:tcPr>
            <w:tcW w:w="965" w:type="dxa"/>
            <w:tcBorders>
              <w:bottom w:val="single" w:sz="2" w:space="0" w:color="808080" w:themeColor="background1" w:themeShade="80"/>
            </w:tcBorders>
            <w:hideMark/>
          </w:tcPr>
          <w:p w14:paraId="3B098F9B" w14:textId="77777777" w:rsidR="007D77A8" w:rsidRPr="00834CDC" w:rsidRDefault="007D77A8" w:rsidP="003058F5">
            <w:pPr>
              <w:pStyle w:val="NormalWeb"/>
              <w:rPr>
                <w:sz w:val="18"/>
                <w:szCs w:val="18"/>
              </w:rPr>
            </w:pPr>
            <w:r w:rsidRPr="00834CDC">
              <w:rPr>
                <w:sz w:val="18"/>
                <w:szCs w:val="18"/>
              </w:rPr>
              <w:t>Rate ratio</w:t>
            </w:r>
          </w:p>
        </w:tc>
        <w:tc>
          <w:tcPr>
            <w:tcW w:w="2102" w:type="dxa"/>
            <w:tcBorders>
              <w:bottom w:val="single" w:sz="2" w:space="0" w:color="808080" w:themeColor="background1" w:themeShade="80"/>
            </w:tcBorders>
            <w:hideMark/>
          </w:tcPr>
          <w:p w14:paraId="78D6F9CF" w14:textId="77777777" w:rsidR="007D77A8" w:rsidRPr="00834CDC" w:rsidRDefault="007D77A8" w:rsidP="003058F5">
            <w:pPr>
              <w:pStyle w:val="NormalWeb"/>
              <w:rPr>
                <w:sz w:val="18"/>
                <w:szCs w:val="18"/>
              </w:rPr>
            </w:pPr>
            <w:r w:rsidRPr="00834CDC">
              <w:rPr>
                <w:sz w:val="18"/>
                <w:szCs w:val="18"/>
              </w:rPr>
              <w:t>95%CI for Rate Ratio</w:t>
            </w:r>
          </w:p>
        </w:tc>
      </w:tr>
      <w:tr w:rsidR="007D77A8" w:rsidRPr="00834CDC" w14:paraId="00EC8B50" w14:textId="77777777" w:rsidTr="00460EF6">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D54972C" w14:textId="77777777" w:rsidR="007D77A8" w:rsidRPr="00834CDC" w:rsidRDefault="007D77A8" w:rsidP="003058F5">
            <w:pPr>
              <w:pStyle w:val="NormalWeb"/>
              <w:rPr>
                <w:sz w:val="18"/>
                <w:szCs w:val="18"/>
              </w:rPr>
            </w:pPr>
            <w:r w:rsidRPr="00834CDC">
              <w:rPr>
                <w:sz w:val="18"/>
                <w:szCs w:val="18"/>
              </w:rPr>
              <w:t>0–4</w:t>
            </w:r>
          </w:p>
        </w:tc>
        <w:tc>
          <w:tcPr>
            <w:tcW w:w="49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1384B41" w14:textId="77777777" w:rsidR="007D77A8" w:rsidRPr="00834CDC" w:rsidRDefault="007D77A8" w:rsidP="003058F5">
            <w:pPr>
              <w:pStyle w:val="NormalWeb"/>
              <w:rPr>
                <w:sz w:val="18"/>
                <w:szCs w:val="18"/>
              </w:rPr>
            </w:pPr>
            <w:r w:rsidRPr="00834CDC">
              <w:rPr>
                <w:sz w:val="18"/>
                <w:szCs w:val="18"/>
              </w:rPr>
              <w:t>Aboriginal and Torres Strait Islander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37ABAF0A" w14:textId="77777777" w:rsidR="007D77A8" w:rsidRPr="00834CDC" w:rsidRDefault="007D77A8" w:rsidP="003058F5">
            <w:pPr>
              <w:pStyle w:val="NormalWeb"/>
              <w:rPr>
                <w:sz w:val="18"/>
                <w:szCs w:val="18"/>
              </w:rPr>
            </w:pPr>
            <w:r w:rsidRPr="00834CDC">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066F5D6" w14:textId="77777777" w:rsidR="007D77A8" w:rsidRPr="00834CDC" w:rsidRDefault="007D77A8" w:rsidP="003058F5">
            <w:pPr>
              <w:pStyle w:val="NormalWeb"/>
              <w:rPr>
                <w:sz w:val="18"/>
                <w:szCs w:val="18"/>
              </w:rPr>
            </w:pPr>
            <w:r w:rsidRPr="00834CDC">
              <w:rPr>
                <w:sz w:val="18"/>
                <w:szCs w:val="18"/>
              </w:rPr>
              <w:t>0.00</w:t>
            </w:r>
          </w:p>
        </w:tc>
        <w:tc>
          <w:tcPr>
            <w:tcW w:w="96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8F1FF77" w14:textId="77777777" w:rsidR="007D77A8" w:rsidRPr="00834CDC" w:rsidRDefault="007D77A8" w:rsidP="003058F5">
            <w:pPr>
              <w:pStyle w:val="NormalWeb"/>
              <w:rPr>
                <w:sz w:val="18"/>
                <w:szCs w:val="18"/>
              </w:rPr>
            </w:pPr>
            <w:r w:rsidRPr="00834CDC">
              <w:rPr>
                <w:sz w:val="18"/>
                <w:szCs w:val="18"/>
              </w:rPr>
              <w:t>0.0</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6E24137" w14:textId="77777777" w:rsidR="007D77A8" w:rsidRPr="00834CDC" w:rsidRDefault="007D77A8" w:rsidP="003058F5">
            <w:pPr>
              <w:pStyle w:val="NormalWeb"/>
              <w:rPr>
                <w:sz w:val="18"/>
                <w:szCs w:val="18"/>
              </w:rPr>
            </w:pPr>
            <w:r w:rsidRPr="00834CDC">
              <w:rPr>
                <w:sz w:val="18"/>
                <w:szCs w:val="18"/>
              </w:rPr>
              <w:t>0.0–0.0</w:t>
            </w:r>
          </w:p>
        </w:tc>
      </w:tr>
      <w:tr w:rsidR="007D77A8" w:rsidRPr="00834CDC" w14:paraId="0DAE2C50" w14:textId="77777777" w:rsidTr="00460EF6">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DA9359C" w14:textId="77777777" w:rsidR="007D77A8" w:rsidRPr="00834CDC" w:rsidRDefault="007D77A8" w:rsidP="003058F5">
            <w:pPr>
              <w:rPr>
                <w:sz w:val="18"/>
                <w:szCs w:val="18"/>
              </w:rPr>
            </w:pPr>
          </w:p>
        </w:tc>
        <w:tc>
          <w:tcPr>
            <w:tcW w:w="49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2F7A6855" w14:textId="77777777" w:rsidR="007D77A8" w:rsidRPr="00834CDC" w:rsidRDefault="007D77A8" w:rsidP="003058F5">
            <w:pPr>
              <w:pStyle w:val="NormalWeb"/>
              <w:rPr>
                <w:sz w:val="18"/>
                <w:szCs w:val="18"/>
              </w:rPr>
            </w:pPr>
            <w:r w:rsidRPr="00834CDC">
              <w:rPr>
                <w:sz w:val="18"/>
                <w:szCs w:val="18"/>
              </w:rPr>
              <w:t>Other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6014EE0" w14:textId="77777777" w:rsidR="007D77A8" w:rsidRPr="00834CDC" w:rsidRDefault="007D77A8" w:rsidP="003058F5">
            <w:pPr>
              <w:pStyle w:val="NormalWeb"/>
              <w:rPr>
                <w:sz w:val="18"/>
                <w:szCs w:val="18"/>
              </w:rPr>
            </w:pPr>
            <w:r w:rsidRPr="00834CDC">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7B3B95DD" w14:textId="77777777" w:rsidR="007D77A8" w:rsidRPr="00834CDC" w:rsidRDefault="007D77A8" w:rsidP="003058F5">
            <w:pPr>
              <w:pStyle w:val="NormalWeb"/>
              <w:rPr>
                <w:sz w:val="18"/>
                <w:szCs w:val="18"/>
              </w:rPr>
            </w:pPr>
            <w:r w:rsidRPr="00834CDC">
              <w:rPr>
                <w:sz w:val="18"/>
                <w:szCs w:val="18"/>
              </w:rPr>
              <w:t>0.00</w:t>
            </w:r>
          </w:p>
        </w:tc>
        <w:tc>
          <w:tcPr>
            <w:tcW w:w="96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37F14778" w14:textId="77777777" w:rsidR="007D77A8" w:rsidRPr="00834CDC" w:rsidRDefault="007D77A8" w:rsidP="003058F5">
            <w:pPr>
              <w:rPr>
                <w:sz w:val="18"/>
                <w:szCs w:val="18"/>
              </w:rPr>
            </w:pP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3E4F9259" w14:textId="77777777" w:rsidR="007D77A8" w:rsidRPr="00834CDC" w:rsidRDefault="007D77A8" w:rsidP="003058F5">
            <w:pPr>
              <w:rPr>
                <w:sz w:val="18"/>
                <w:szCs w:val="18"/>
              </w:rPr>
            </w:pPr>
          </w:p>
        </w:tc>
      </w:tr>
      <w:tr w:rsidR="007D77A8" w:rsidRPr="00834CDC" w14:paraId="20DA903E" w14:textId="77777777" w:rsidTr="00460EF6">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DE6B394" w14:textId="77777777" w:rsidR="007D77A8" w:rsidRPr="00834CDC" w:rsidRDefault="007D77A8" w:rsidP="003058F5">
            <w:pPr>
              <w:pStyle w:val="NormalWeb"/>
              <w:rPr>
                <w:sz w:val="18"/>
                <w:szCs w:val="18"/>
              </w:rPr>
            </w:pPr>
            <w:r w:rsidRPr="00834CDC">
              <w:rPr>
                <w:sz w:val="18"/>
                <w:szCs w:val="18"/>
              </w:rPr>
              <w:t>5–14</w:t>
            </w:r>
          </w:p>
        </w:tc>
        <w:tc>
          <w:tcPr>
            <w:tcW w:w="49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46842FA6" w14:textId="77777777" w:rsidR="007D77A8" w:rsidRPr="00834CDC" w:rsidRDefault="007D77A8" w:rsidP="003058F5">
            <w:pPr>
              <w:pStyle w:val="NormalWeb"/>
              <w:rPr>
                <w:sz w:val="18"/>
                <w:szCs w:val="18"/>
              </w:rPr>
            </w:pPr>
            <w:r w:rsidRPr="00834CDC">
              <w:rPr>
                <w:sz w:val="18"/>
                <w:szCs w:val="18"/>
              </w:rPr>
              <w:t>Aboriginal and Torres Strait Islander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824C8F2" w14:textId="77777777" w:rsidR="007D77A8" w:rsidRPr="00834CDC" w:rsidRDefault="007D77A8" w:rsidP="003058F5">
            <w:pPr>
              <w:pStyle w:val="NormalWeb"/>
              <w:rPr>
                <w:sz w:val="18"/>
                <w:szCs w:val="18"/>
              </w:rPr>
            </w:pPr>
            <w:r w:rsidRPr="00834CDC">
              <w:rPr>
                <w:sz w:val="18"/>
                <w:szCs w:val="18"/>
              </w:rPr>
              <w:t>6</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63DDD5C" w14:textId="77777777" w:rsidR="007D77A8" w:rsidRPr="00834CDC" w:rsidRDefault="007D77A8" w:rsidP="003058F5">
            <w:pPr>
              <w:pStyle w:val="NormalWeb"/>
              <w:rPr>
                <w:sz w:val="18"/>
                <w:szCs w:val="18"/>
              </w:rPr>
            </w:pPr>
            <w:r w:rsidRPr="00834CDC">
              <w:rPr>
                <w:sz w:val="18"/>
                <w:szCs w:val="18"/>
              </w:rPr>
              <w:t>0.94</w:t>
            </w:r>
          </w:p>
        </w:tc>
        <w:tc>
          <w:tcPr>
            <w:tcW w:w="96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E61C60C" w14:textId="77777777" w:rsidR="007D77A8" w:rsidRPr="00834CDC" w:rsidRDefault="007D77A8" w:rsidP="003058F5">
            <w:pPr>
              <w:pStyle w:val="NormalWeb"/>
              <w:rPr>
                <w:sz w:val="18"/>
                <w:szCs w:val="18"/>
              </w:rPr>
            </w:pPr>
            <w:r w:rsidRPr="00834CDC">
              <w:rPr>
                <w:sz w:val="18"/>
                <w:szCs w:val="18"/>
              </w:rPr>
              <w:t>95.1</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7F799F7" w14:textId="77777777" w:rsidR="007D77A8" w:rsidRPr="00834CDC" w:rsidRDefault="007D77A8" w:rsidP="003058F5">
            <w:pPr>
              <w:pStyle w:val="NormalWeb"/>
              <w:rPr>
                <w:sz w:val="18"/>
                <w:szCs w:val="18"/>
              </w:rPr>
            </w:pPr>
            <w:r w:rsidRPr="00834CDC">
              <w:rPr>
                <w:sz w:val="18"/>
                <w:szCs w:val="18"/>
              </w:rPr>
              <w:t>11.5–4373.5</w:t>
            </w:r>
          </w:p>
        </w:tc>
      </w:tr>
      <w:tr w:rsidR="007D77A8" w:rsidRPr="00834CDC" w14:paraId="4316F64D" w14:textId="77777777" w:rsidTr="00460EF6">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7BDC697F" w14:textId="77777777" w:rsidR="007D77A8" w:rsidRPr="00834CDC" w:rsidRDefault="007D77A8" w:rsidP="003058F5">
            <w:pPr>
              <w:rPr>
                <w:sz w:val="18"/>
                <w:szCs w:val="18"/>
              </w:rPr>
            </w:pPr>
          </w:p>
        </w:tc>
        <w:tc>
          <w:tcPr>
            <w:tcW w:w="49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1C81835" w14:textId="77777777" w:rsidR="007D77A8" w:rsidRPr="00834CDC" w:rsidRDefault="007D77A8" w:rsidP="003058F5">
            <w:pPr>
              <w:pStyle w:val="NormalWeb"/>
              <w:rPr>
                <w:sz w:val="18"/>
                <w:szCs w:val="18"/>
              </w:rPr>
            </w:pPr>
            <w:r w:rsidRPr="00834CDC">
              <w:rPr>
                <w:sz w:val="18"/>
                <w:szCs w:val="18"/>
              </w:rPr>
              <w:t>Other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45598D3" w14:textId="77777777" w:rsidR="007D77A8" w:rsidRPr="00834CDC" w:rsidRDefault="007D77A8" w:rsidP="003058F5">
            <w:pPr>
              <w:pStyle w:val="NormalWeb"/>
              <w:rPr>
                <w:sz w:val="18"/>
                <w:szCs w:val="18"/>
              </w:rPr>
            </w:pPr>
            <w:r w:rsidRPr="00834CDC">
              <w:rPr>
                <w:sz w:val="18"/>
                <w:szCs w:val="18"/>
              </w:rPr>
              <w:t>1-4</w:t>
            </w:r>
            <w:r w:rsidRPr="00834CDC">
              <w:rPr>
                <w:sz w:val="18"/>
                <w:szCs w:val="18"/>
                <w:vertAlign w:val="superscript"/>
              </w:rPr>
              <w:t>d</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2D49BE2" w14:textId="77777777" w:rsidR="007D77A8" w:rsidRPr="00834CDC" w:rsidRDefault="007D77A8" w:rsidP="003058F5">
            <w:pPr>
              <w:pStyle w:val="NormalWeb"/>
              <w:rPr>
                <w:sz w:val="18"/>
                <w:szCs w:val="18"/>
              </w:rPr>
            </w:pPr>
            <w:r w:rsidRPr="00834CDC">
              <w:rPr>
                <w:sz w:val="18"/>
                <w:szCs w:val="18"/>
              </w:rPr>
              <w:t>0.01</w:t>
            </w:r>
          </w:p>
        </w:tc>
        <w:tc>
          <w:tcPr>
            <w:tcW w:w="96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16D2703" w14:textId="77777777" w:rsidR="007D77A8" w:rsidRPr="00834CDC" w:rsidRDefault="007D77A8" w:rsidP="003058F5">
            <w:pPr>
              <w:rPr>
                <w:sz w:val="18"/>
                <w:szCs w:val="18"/>
              </w:rPr>
            </w:pP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237E65E0" w14:textId="77777777" w:rsidR="007D77A8" w:rsidRPr="00834CDC" w:rsidRDefault="007D77A8" w:rsidP="003058F5">
            <w:pPr>
              <w:rPr>
                <w:sz w:val="18"/>
                <w:szCs w:val="18"/>
              </w:rPr>
            </w:pPr>
          </w:p>
        </w:tc>
      </w:tr>
      <w:tr w:rsidR="007D77A8" w:rsidRPr="00834CDC" w14:paraId="0A0EABE8" w14:textId="77777777" w:rsidTr="00460EF6">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2F3BD17" w14:textId="77777777" w:rsidR="007D77A8" w:rsidRPr="00834CDC" w:rsidRDefault="007D77A8" w:rsidP="003058F5">
            <w:pPr>
              <w:pStyle w:val="NormalWeb"/>
              <w:rPr>
                <w:sz w:val="18"/>
                <w:szCs w:val="18"/>
              </w:rPr>
            </w:pPr>
            <w:r w:rsidRPr="00834CDC">
              <w:rPr>
                <w:sz w:val="18"/>
                <w:szCs w:val="18"/>
              </w:rPr>
              <w:t>15–24</w:t>
            </w:r>
          </w:p>
        </w:tc>
        <w:tc>
          <w:tcPr>
            <w:tcW w:w="49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3BAA0262" w14:textId="77777777" w:rsidR="007D77A8" w:rsidRPr="00834CDC" w:rsidRDefault="007D77A8" w:rsidP="003058F5">
            <w:pPr>
              <w:pStyle w:val="NormalWeb"/>
              <w:rPr>
                <w:sz w:val="18"/>
                <w:szCs w:val="18"/>
              </w:rPr>
            </w:pPr>
            <w:r w:rsidRPr="00834CDC">
              <w:rPr>
                <w:sz w:val="18"/>
                <w:szCs w:val="18"/>
              </w:rPr>
              <w:t>Aboriginal and Torres Strait Islander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42A3A14" w14:textId="77777777" w:rsidR="007D77A8" w:rsidRPr="00834CDC" w:rsidRDefault="007D77A8" w:rsidP="003058F5">
            <w:pPr>
              <w:pStyle w:val="NormalWeb"/>
              <w:rPr>
                <w:sz w:val="18"/>
                <w:szCs w:val="18"/>
              </w:rPr>
            </w:pPr>
            <w:r w:rsidRPr="00834CDC">
              <w:rPr>
                <w:sz w:val="18"/>
                <w:szCs w:val="18"/>
              </w:rPr>
              <w:t>1-4</w:t>
            </w:r>
            <w:r w:rsidRPr="00834CDC">
              <w:rPr>
                <w:sz w:val="18"/>
                <w:szCs w:val="18"/>
                <w:vertAlign w:val="superscript"/>
              </w:rPr>
              <w:t>d</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302C7E3" w14:textId="77777777" w:rsidR="007D77A8" w:rsidRPr="00834CDC" w:rsidRDefault="007D77A8" w:rsidP="003058F5">
            <w:pPr>
              <w:pStyle w:val="NormalWeb"/>
              <w:rPr>
                <w:sz w:val="18"/>
                <w:szCs w:val="18"/>
              </w:rPr>
            </w:pPr>
            <w:r w:rsidRPr="00834CDC">
              <w:rPr>
                <w:sz w:val="18"/>
                <w:szCs w:val="18"/>
              </w:rPr>
              <w:t>0.72</w:t>
            </w:r>
          </w:p>
        </w:tc>
        <w:tc>
          <w:tcPr>
            <w:tcW w:w="96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7CBB3943" w14:textId="77777777" w:rsidR="007D77A8" w:rsidRPr="00834CDC" w:rsidRDefault="007D77A8" w:rsidP="003058F5">
            <w:pPr>
              <w:pStyle w:val="NormalWeb"/>
              <w:rPr>
                <w:sz w:val="18"/>
                <w:szCs w:val="18"/>
              </w:rPr>
            </w:pPr>
            <w:r w:rsidRPr="00834CDC">
              <w:rPr>
                <w:sz w:val="18"/>
                <w:szCs w:val="18"/>
              </w:rPr>
              <w:t>3.2</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3590AB76" w14:textId="77777777" w:rsidR="007D77A8" w:rsidRPr="00834CDC" w:rsidRDefault="007D77A8" w:rsidP="003058F5">
            <w:pPr>
              <w:pStyle w:val="NormalWeb"/>
              <w:rPr>
                <w:sz w:val="18"/>
                <w:szCs w:val="18"/>
              </w:rPr>
            </w:pPr>
            <w:r w:rsidRPr="00834CDC">
              <w:rPr>
                <w:sz w:val="18"/>
                <w:szCs w:val="18"/>
              </w:rPr>
              <w:t>0.8–9.3</w:t>
            </w:r>
          </w:p>
        </w:tc>
      </w:tr>
      <w:tr w:rsidR="007D77A8" w:rsidRPr="00834CDC" w14:paraId="7C76552F" w14:textId="77777777" w:rsidTr="00460EF6">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FE5952E" w14:textId="77777777" w:rsidR="007D77A8" w:rsidRPr="00834CDC" w:rsidRDefault="007D77A8" w:rsidP="003058F5">
            <w:pPr>
              <w:rPr>
                <w:sz w:val="18"/>
                <w:szCs w:val="18"/>
              </w:rPr>
            </w:pPr>
          </w:p>
        </w:tc>
        <w:tc>
          <w:tcPr>
            <w:tcW w:w="49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59904DD" w14:textId="77777777" w:rsidR="007D77A8" w:rsidRPr="00834CDC" w:rsidRDefault="007D77A8" w:rsidP="003058F5">
            <w:pPr>
              <w:pStyle w:val="NormalWeb"/>
              <w:rPr>
                <w:sz w:val="18"/>
                <w:szCs w:val="18"/>
              </w:rPr>
            </w:pPr>
            <w:r w:rsidRPr="00834CDC">
              <w:rPr>
                <w:sz w:val="18"/>
                <w:szCs w:val="18"/>
              </w:rPr>
              <w:t>Other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A5C7590" w14:textId="77777777" w:rsidR="007D77A8" w:rsidRPr="00834CDC" w:rsidRDefault="007D77A8" w:rsidP="003058F5">
            <w:pPr>
              <w:pStyle w:val="NormalWeb"/>
              <w:rPr>
                <w:sz w:val="18"/>
                <w:szCs w:val="18"/>
              </w:rPr>
            </w:pPr>
            <w:r w:rsidRPr="00834CDC">
              <w:rPr>
                <w:sz w:val="18"/>
                <w:szCs w:val="18"/>
              </w:rPr>
              <w:t>NP</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78170900" w14:textId="77777777" w:rsidR="007D77A8" w:rsidRPr="00834CDC" w:rsidRDefault="007D77A8" w:rsidP="003058F5">
            <w:pPr>
              <w:pStyle w:val="NormalWeb"/>
              <w:rPr>
                <w:sz w:val="18"/>
                <w:szCs w:val="18"/>
              </w:rPr>
            </w:pPr>
            <w:r w:rsidRPr="00834CDC">
              <w:rPr>
                <w:sz w:val="18"/>
                <w:szCs w:val="18"/>
              </w:rPr>
              <w:t>0.22</w:t>
            </w:r>
          </w:p>
        </w:tc>
        <w:tc>
          <w:tcPr>
            <w:tcW w:w="96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26C13039" w14:textId="77777777" w:rsidR="007D77A8" w:rsidRPr="00834CDC" w:rsidRDefault="007D77A8" w:rsidP="003058F5">
            <w:pPr>
              <w:rPr>
                <w:sz w:val="18"/>
                <w:szCs w:val="18"/>
              </w:rPr>
            </w:pP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C63D1D9" w14:textId="77777777" w:rsidR="007D77A8" w:rsidRPr="00834CDC" w:rsidRDefault="007D77A8" w:rsidP="003058F5">
            <w:pPr>
              <w:rPr>
                <w:sz w:val="18"/>
                <w:szCs w:val="18"/>
              </w:rPr>
            </w:pPr>
          </w:p>
        </w:tc>
      </w:tr>
      <w:tr w:rsidR="007D77A8" w:rsidRPr="00834CDC" w14:paraId="78314278" w14:textId="77777777" w:rsidTr="00460EF6">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2AEE6BB" w14:textId="77777777" w:rsidR="007D77A8" w:rsidRPr="00834CDC" w:rsidRDefault="007D77A8" w:rsidP="003058F5">
            <w:pPr>
              <w:pStyle w:val="NormalWeb"/>
              <w:rPr>
                <w:sz w:val="18"/>
                <w:szCs w:val="18"/>
              </w:rPr>
            </w:pPr>
            <w:r w:rsidRPr="00834CDC">
              <w:rPr>
                <w:sz w:val="18"/>
                <w:szCs w:val="18"/>
              </w:rPr>
              <w:t>25–49</w:t>
            </w:r>
          </w:p>
        </w:tc>
        <w:tc>
          <w:tcPr>
            <w:tcW w:w="49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AD67B1C" w14:textId="77777777" w:rsidR="007D77A8" w:rsidRPr="00834CDC" w:rsidRDefault="007D77A8" w:rsidP="003058F5">
            <w:pPr>
              <w:pStyle w:val="NormalWeb"/>
              <w:rPr>
                <w:sz w:val="18"/>
                <w:szCs w:val="18"/>
              </w:rPr>
            </w:pPr>
            <w:r w:rsidRPr="00834CDC">
              <w:rPr>
                <w:sz w:val="18"/>
                <w:szCs w:val="18"/>
              </w:rPr>
              <w:t>Aboriginal and Torres Strait Islander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413DBF95" w14:textId="77777777" w:rsidR="007D77A8" w:rsidRPr="00834CDC" w:rsidRDefault="007D77A8" w:rsidP="003058F5">
            <w:pPr>
              <w:pStyle w:val="NormalWeb"/>
              <w:rPr>
                <w:sz w:val="18"/>
                <w:szCs w:val="18"/>
              </w:rPr>
            </w:pPr>
            <w:r w:rsidRPr="00834CDC">
              <w:rPr>
                <w:sz w:val="18"/>
                <w:szCs w:val="18"/>
              </w:rPr>
              <w:t>16</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78EB8BDF" w14:textId="77777777" w:rsidR="007D77A8" w:rsidRPr="00834CDC" w:rsidRDefault="007D77A8" w:rsidP="003058F5">
            <w:pPr>
              <w:pStyle w:val="NormalWeb"/>
              <w:rPr>
                <w:sz w:val="18"/>
                <w:szCs w:val="18"/>
              </w:rPr>
            </w:pPr>
            <w:r w:rsidRPr="00834CDC">
              <w:rPr>
                <w:sz w:val="18"/>
                <w:szCs w:val="18"/>
              </w:rPr>
              <w:t>1.81</w:t>
            </w:r>
          </w:p>
        </w:tc>
        <w:tc>
          <w:tcPr>
            <w:tcW w:w="96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7F61D48E" w14:textId="77777777" w:rsidR="007D77A8" w:rsidRPr="00834CDC" w:rsidRDefault="007D77A8" w:rsidP="003058F5">
            <w:pPr>
              <w:pStyle w:val="NormalWeb"/>
              <w:rPr>
                <w:sz w:val="18"/>
                <w:szCs w:val="18"/>
              </w:rPr>
            </w:pPr>
            <w:r w:rsidRPr="00834CDC">
              <w:rPr>
                <w:sz w:val="18"/>
                <w:szCs w:val="18"/>
              </w:rPr>
              <w:t>3.1</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724572D" w14:textId="77777777" w:rsidR="007D77A8" w:rsidRPr="00834CDC" w:rsidRDefault="007D77A8" w:rsidP="003058F5">
            <w:pPr>
              <w:pStyle w:val="NormalWeb"/>
              <w:rPr>
                <w:sz w:val="18"/>
                <w:szCs w:val="18"/>
              </w:rPr>
            </w:pPr>
            <w:r w:rsidRPr="00834CDC">
              <w:rPr>
                <w:sz w:val="18"/>
                <w:szCs w:val="18"/>
              </w:rPr>
              <w:t>1.7–5.1</w:t>
            </w:r>
          </w:p>
        </w:tc>
      </w:tr>
      <w:tr w:rsidR="007D77A8" w:rsidRPr="00834CDC" w14:paraId="0E0F828C" w14:textId="77777777" w:rsidTr="00460EF6">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4CFEFBB" w14:textId="77777777" w:rsidR="007D77A8" w:rsidRPr="00834CDC" w:rsidRDefault="007D77A8" w:rsidP="003058F5">
            <w:pPr>
              <w:rPr>
                <w:sz w:val="18"/>
                <w:szCs w:val="18"/>
              </w:rPr>
            </w:pPr>
          </w:p>
        </w:tc>
        <w:tc>
          <w:tcPr>
            <w:tcW w:w="49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82C8F69" w14:textId="77777777" w:rsidR="007D77A8" w:rsidRPr="00834CDC" w:rsidRDefault="007D77A8" w:rsidP="003058F5">
            <w:pPr>
              <w:pStyle w:val="NormalWeb"/>
              <w:rPr>
                <w:sz w:val="18"/>
                <w:szCs w:val="18"/>
              </w:rPr>
            </w:pPr>
            <w:r w:rsidRPr="00834CDC">
              <w:rPr>
                <w:sz w:val="18"/>
                <w:szCs w:val="18"/>
              </w:rPr>
              <w:t>Other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308664A5" w14:textId="77777777" w:rsidR="007D77A8" w:rsidRPr="00834CDC" w:rsidRDefault="007D77A8" w:rsidP="003058F5">
            <w:pPr>
              <w:pStyle w:val="NormalWeb"/>
              <w:rPr>
                <w:sz w:val="18"/>
                <w:szCs w:val="18"/>
              </w:rPr>
            </w:pPr>
            <w:r w:rsidRPr="00834CDC">
              <w:rPr>
                <w:sz w:val="18"/>
                <w:szCs w:val="18"/>
              </w:rPr>
              <w:t>173</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2ECFDBF1" w14:textId="77777777" w:rsidR="007D77A8" w:rsidRPr="00834CDC" w:rsidRDefault="007D77A8" w:rsidP="003058F5">
            <w:pPr>
              <w:pStyle w:val="NormalWeb"/>
              <w:rPr>
                <w:sz w:val="18"/>
                <w:szCs w:val="18"/>
              </w:rPr>
            </w:pPr>
            <w:r w:rsidRPr="00834CDC">
              <w:rPr>
                <w:sz w:val="18"/>
                <w:szCs w:val="18"/>
              </w:rPr>
              <w:t>0.59</w:t>
            </w:r>
          </w:p>
        </w:tc>
        <w:tc>
          <w:tcPr>
            <w:tcW w:w="96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773589C2" w14:textId="77777777" w:rsidR="007D77A8" w:rsidRPr="00834CDC" w:rsidRDefault="007D77A8" w:rsidP="003058F5">
            <w:pPr>
              <w:rPr>
                <w:sz w:val="18"/>
                <w:szCs w:val="18"/>
              </w:rPr>
            </w:pP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BF2D62E" w14:textId="77777777" w:rsidR="007D77A8" w:rsidRPr="00834CDC" w:rsidRDefault="007D77A8" w:rsidP="003058F5">
            <w:pPr>
              <w:rPr>
                <w:sz w:val="18"/>
                <w:szCs w:val="18"/>
              </w:rPr>
            </w:pPr>
          </w:p>
        </w:tc>
      </w:tr>
      <w:tr w:rsidR="007D77A8" w:rsidRPr="00834CDC" w14:paraId="1C8049FE" w14:textId="77777777" w:rsidTr="00460EF6">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40FF48D" w14:textId="77777777" w:rsidR="007D77A8" w:rsidRPr="00834CDC" w:rsidRDefault="007D77A8" w:rsidP="003058F5">
            <w:pPr>
              <w:pStyle w:val="NormalWeb"/>
              <w:rPr>
                <w:sz w:val="18"/>
                <w:szCs w:val="18"/>
              </w:rPr>
            </w:pPr>
            <w:r w:rsidRPr="00834CDC">
              <w:rPr>
                <w:sz w:val="18"/>
                <w:szCs w:val="18"/>
              </w:rPr>
              <w:t>50+</w:t>
            </w:r>
          </w:p>
        </w:tc>
        <w:tc>
          <w:tcPr>
            <w:tcW w:w="49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732587D5" w14:textId="77777777" w:rsidR="007D77A8" w:rsidRPr="00834CDC" w:rsidRDefault="007D77A8" w:rsidP="003058F5">
            <w:pPr>
              <w:pStyle w:val="NormalWeb"/>
              <w:rPr>
                <w:sz w:val="18"/>
                <w:szCs w:val="18"/>
              </w:rPr>
            </w:pPr>
            <w:r w:rsidRPr="00834CDC">
              <w:rPr>
                <w:sz w:val="18"/>
                <w:szCs w:val="18"/>
              </w:rPr>
              <w:t>Aboriginal and Torres Strait Islander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1D8E294" w14:textId="77777777" w:rsidR="007D77A8" w:rsidRPr="00834CDC" w:rsidRDefault="007D77A8" w:rsidP="003058F5">
            <w:pPr>
              <w:pStyle w:val="NormalWeb"/>
              <w:rPr>
                <w:sz w:val="18"/>
                <w:szCs w:val="18"/>
              </w:rPr>
            </w:pPr>
            <w:r w:rsidRPr="00834CDC">
              <w:rPr>
                <w:sz w:val="18"/>
                <w:szCs w:val="18"/>
              </w:rPr>
              <w:t>1-4</w:t>
            </w:r>
            <w:r w:rsidRPr="00834CDC">
              <w:rPr>
                <w:sz w:val="18"/>
                <w:szCs w:val="18"/>
                <w:vertAlign w:val="superscript"/>
              </w:rPr>
              <w:t>d</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78790654" w14:textId="77777777" w:rsidR="007D77A8" w:rsidRPr="00834CDC" w:rsidRDefault="007D77A8" w:rsidP="003058F5">
            <w:pPr>
              <w:pStyle w:val="NormalWeb"/>
              <w:rPr>
                <w:sz w:val="18"/>
                <w:szCs w:val="18"/>
              </w:rPr>
            </w:pPr>
            <w:r w:rsidRPr="00834CDC">
              <w:rPr>
                <w:sz w:val="18"/>
                <w:szCs w:val="18"/>
              </w:rPr>
              <w:t>0.65</w:t>
            </w:r>
          </w:p>
        </w:tc>
        <w:tc>
          <w:tcPr>
            <w:tcW w:w="96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5F4B80E" w14:textId="77777777" w:rsidR="007D77A8" w:rsidRPr="00834CDC" w:rsidRDefault="007D77A8" w:rsidP="003058F5">
            <w:pPr>
              <w:pStyle w:val="NormalWeb"/>
              <w:rPr>
                <w:sz w:val="18"/>
                <w:szCs w:val="18"/>
              </w:rPr>
            </w:pPr>
            <w:r w:rsidRPr="00834CDC">
              <w:rPr>
                <w:sz w:val="18"/>
                <w:szCs w:val="18"/>
              </w:rPr>
              <w:t>2.0</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2845E574" w14:textId="77777777" w:rsidR="007D77A8" w:rsidRPr="00834CDC" w:rsidRDefault="007D77A8" w:rsidP="003058F5">
            <w:pPr>
              <w:pStyle w:val="NormalWeb"/>
              <w:rPr>
                <w:sz w:val="18"/>
                <w:szCs w:val="18"/>
              </w:rPr>
            </w:pPr>
            <w:r w:rsidRPr="00834CDC">
              <w:rPr>
                <w:sz w:val="18"/>
                <w:szCs w:val="18"/>
              </w:rPr>
              <w:t>0.4–6.0</w:t>
            </w:r>
          </w:p>
        </w:tc>
      </w:tr>
      <w:tr w:rsidR="007D77A8" w:rsidRPr="00834CDC" w14:paraId="18210217" w14:textId="77777777" w:rsidTr="00460EF6">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0A34741" w14:textId="77777777" w:rsidR="007D77A8" w:rsidRPr="00834CDC" w:rsidRDefault="007D77A8" w:rsidP="003058F5">
            <w:pPr>
              <w:rPr>
                <w:sz w:val="18"/>
                <w:szCs w:val="18"/>
              </w:rPr>
            </w:pPr>
          </w:p>
        </w:tc>
        <w:tc>
          <w:tcPr>
            <w:tcW w:w="49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2F14203" w14:textId="77777777" w:rsidR="007D77A8" w:rsidRPr="00834CDC" w:rsidRDefault="007D77A8" w:rsidP="003058F5">
            <w:pPr>
              <w:pStyle w:val="NormalWeb"/>
              <w:rPr>
                <w:sz w:val="18"/>
                <w:szCs w:val="18"/>
              </w:rPr>
            </w:pPr>
            <w:r w:rsidRPr="00834CDC">
              <w:rPr>
                <w:sz w:val="18"/>
                <w:szCs w:val="18"/>
              </w:rPr>
              <w:t>Other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4C7E25D0" w14:textId="77777777" w:rsidR="007D77A8" w:rsidRPr="00834CDC" w:rsidRDefault="007D77A8" w:rsidP="003058F5">
            <w:pPr>
              <w:pStyle w:val="NormalWeb"/>
              <w:rPr>
                <w:sz w:val="18"/>
                <w:szCs w:val="18"/>
              </w:rPr>
            </w:pPr>
            <w:r w:rsidRPr="00834CDC">
              <w:rPr>
                <w:sz w:val="18"/>
                <w:szCs w:val="18"/>
              </w:rPr>
              <w:t>93</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E7D6ECC" w14:textId="77777777" w:rsidR="007D77A8" w:rsidRPr="00834CDC" w:rsidRDefault="007D77A8" w:rsidP="003058F5">
            <w:pPr>
              <w:pStyle w:val="NormalWeb"/>
              <w:rPr>
                <w:sz w:val="18"/>
                <w:szCs w:val="18"/>
              </w:rPr>
            </w:pPr>
            <w:r w:rsidRPr="00834CDC">
              <w:rPr>
                <w:sz w:val="18"/>
                <w:szCs w:val="18"/>
              </w:rPr>
              <w:t>0.33</w:t>
            </w:r>
          </w:p>
        </w:tc>
        <w:tc>
          <w:tcPr>
            <w:tcW w:w="96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4D105C2E" w14:textId="77777777" w:rsidR="007D77A8" w:rsidRPr="00834CDC" w:rsidRDefault="007D77A8" w:rsidP="003058F5">
            <w:pPr>
              <w:rPr>
                <w:sz w:val="18"/>
                <w:szCs w:val="18"/>
              </w:rPr>
            </w:pP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7AD22E9" w14:textId="77777777" w:rsidR="007D77A8" w:rsidRPr="00834CDC" w:rsidRDefault="007D77A8" w:rsidP="003058F5">
            <w:pPr>
              <w:rPr>
                <w:sz w:val="18"/>
                <w:szCs w:val="18"/>
              </w:rPr>
            </w:pPr>
          </w:p>
        </w:tc>
      </w:tr>
      <w:tr w:rsidR="007D77A8" w:rsidRPr="00834CDC" w14:paraId="06DAEFBA" w14:textId="77777777" w:rsidTr="00460EF6">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559DDBC" w14:textId="63EDBFAC" w:rsidR="007D77A8" w:rsidRPr="00834CDC" w:rsidRDefault="007D77A8" w:rsidP="003058F5">
            <w:pPr>
              <w:pStyle w:val="NormalWeb"/>
              <w:rPr>
                <w:sz w:val="18"/>
                <w:szCs w:val="18"/>
              </w:rPr>
            </w:pPr>
            <w:r w:rsidRPr="00834CDC">
              <w:rPr>
                <w:sz w:val="18"/>
                <w:szCs w:val="18"/>
              </w:rPr>
              <w:t>All ages</w:t>
            </w:r>
            <w:r w:rsidR="00151B07" w:rsidRPr="00834CDC">
              <w:rPr>
                <w:sz w:val="18"/>
                <w:szCs w:val="18"/>
              </w:rPr>
              <w:t xml:space="preserve"> </w:t>
            </w:r>
            <w:r w:rsidRPr="00834CDC">
              <w:rPr>
                <w:sz w:val="18"/>
                <w:szCs w:val="18"/>
                <w:vertAlign w:val="superscript"/>
              </w:rPr>
              <w:t>e</w:t>
            </w:r>
          </w:p>
        </w:tc>
        <w:tc>
          <w:tcPr>
            <w:tcW w:w="49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39C43AD" w14:textId="77777777" w:rsidR="007D77A8" w:rsidRPr="00834CDC" w:rsidRDefault="007D77A8" w:rsidP="003058F5">
            <w:pPr>
              <w:pStyle w:val="NormalWeb"/>
              <w:rPr>
                <w:sz w:val="18"/>
                <w:szCs w:val="18"/>
              </w:rPr>
            </w:pPr>
            <w:r w:rsidRPr="00834CDC">
              <w:rPr>
                <w:sz w:val="18"/>
                <w:szCs w:val="18"/>
              </w:rPr>
              <w:t>Aboriginal and Torres Strait Islander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CDCF72D" w14:textId="77777777" w:rsidR="007D77A8" w:rsidRPr="00834CDC" w:rsidRDefault="007D77A8" w:rsidP="003058F5">
            <w:pPr>
              <w:pStyle w:val="NormalWeb"/>
              <w:rPr>
                <w:sz w:val="18"/>
                <w:szCs w:val="18"/>
              </w:rPr>
            </w:pPr>
            <w:r w:rsidRPr="00834CDC">
              <w:rPr>
                <w:sz w:val="18"/>
                <w:szCs w:val="18"/>
              </w:rPr>
              <w:t>29</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4033D16" w14:textId="77777777" w:rsidR="007D77A8" w:rsidRPr="00834CDC" w:rsidRDefault="007D77A8" w:rsidP="003058F5">
            <w:pPr>
              <w:pStyle w:val="NormalWeb"/>
              <w:rPr>
                <w:sz w:val="18"/>
                <w:szCs w:val="18"/>
              </w:rPr>
            </w:pPr>
            <w:r w:rsidRPr="00834CDC">
              <w:rPr>
                <w:sz w:val="18"/>
                <w:szCs w:val="18"/>
              </w:rPr>
              <w:t>1.06</w:t>
            </w:r>
          </w:p>
        </w:tc>
        <w:tc>
          <w:tcPr>
            <w:tcW w:w="96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B4B3044" w14:textId="77777777" w:rsidR="007D77A8" w:rsidRPr="00834CDC" w:rsidRDefault="007D77A8" w:rsidP="003058F5">
            <w:pPr>
              <w:pStyle w:val="NormalWeb"/>
              <w:rPr>
                <w:sz w:val="18"/>
                <w:szCs w:val="18"/>
              </w:rPr>
            </w:pPr>
            <w:r w:rsidRPr="00834CDC">
              <w:rPr>
                <w:sz w:val="18"/>
                <w:szCs w:val="18"/>
              </w:rPr>
              <w:t>3.1</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E8747D0" w14:textId="77777777" w:rsidR="007D77A8" w:rsidRPr="00834CDC" w:rsidRDefault="007D77A8" w:rsidP="003058F5">
            <w:pPr>
              <w:pStyle w:val="NormalWeb"/>
              <w:rPr>
                <w:sz w:val="18"/>
                <w:szCs w:val="18"/>
              </w:rPr>
            </w:pPr>
            <w:r w:rsidRPr="00834CDC">
              <w:rPr>
                <w:sz w:val="18"/>
                <w:szCs w:val="18"/>
              </w:rPr>
              <w:t>2.0–4.4</w:t>
            </w:r>
          </w:p>
        </w:tc>
      </w:tr>
      <w:tr w:rsidR="007D77A8" w:rsidRPr="00834CDC" w14:paraId="324B68CA" w14:textId="77777777" w:rsidTr="00460EF6">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82B5B09" w14:textId="77777777" w:rsidR="007D77A8" w:rsidRPr="00834CDC" w:rsidRDefault="007D77A8" w:rsidP="003058F5">
            <w:pPr>
              <w:rPr>
                <w:sz w:val="18"/>
                <w:szCs w:val="18"/>
              </w:rPr>
            </w:pPr>
          </w:p>
        </w:tc>
        <w:tc>
          <w:tcPr>
            <w:tcW w:w="49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2501F0B" w14:textId="77777777" w:rsidR="007D77A8" w:rsidRPr="00834CDC" w:rsidRDefault="007D77A8" w:rsidP="003058F5">
            <w:pPr>
              <w:pStyle w:val="NormalWeb"/>
              <w:rPr>
                <w:sz w:val="18"/>
                <w:szCs w:val="18"/>
              </w:rPr>
            </w:pPr>
            <w:r w:rsidRPr="00834CDC">
              <w:rPr>
                <w:sz w:val="18"/>
                <w:szCs w:val="18"/>
              </w:rPr>
              <w:t>Other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6C3BA5E" w14:textId="77777777" w:rsidR="007D77A8" w:rsidRPr="00834CDC" w:rsidRDefault="007D77A8" w:rsidP="003058F5">
            <w:pPr>
              <w:pStyle w:val="NormalWeb"/>
              <w:rPr>
                <w:sz w:val="18"/>
                <w:szCs w:val="18"/>
              </w:rPr>
            </w:pPr>
            <w:r w:rsidRPr="00834CDC">
              <w:rPr>
                <w:sz w:val="18"/>
                <w:szCs w:val="18"/>
              </w:rPr>
              <w:t>291</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DD18C06" w14:textId="77777777" w:rsidR="007D77A8" w:rsidRPr="00834CDC" w:rsidRDefault="007D77A8" w:rsidP="003058F5">
            <w:pPr>
              <w:pStyle w:val="NormalWeb"/>
              <w:rPr>
                <w:sz w:val="18"/>
                <w:szCs w:val="18"/>
              </w:rPr>
            </w:pPr>
            <w:r w:rsidRPr="00834CDC">
              <w:rPr>
                <w:sz w:val="18"/>
                <w:szCs w:val="18"/>
              </w:rPr>
              <w:t>0.35</w:t>
            </w:r>
          </w:p>
        </w:tc>
        <w:tc>
          <w:tcPr>
            <w:tcW w:w="96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AF5C740" w14:textId="77777777" w:rsidR="007D77A8" w:rsidRPr="00834CDC" w:rsidRDefault="007D77A8" w:rsidP="003058F5">
            <w:pPr>
              <w:rPr>
                <w:sz w:val="18"/>
                <w:szCs w:val="18"/>
              </w:rPr>
            </w:pP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1E9D2DD" w14:textId="77777777" w:rsidR="007D77A8" w:rsidRPr="00834CDC" w:rsidRDefault="007D77A8" w:rsidP="003058F5">
            <w:pPr>
              <w:rPr>
                <w:sz w:val="18"/>
                <w:szCs w:val="18"/>
              </w:rPr>
            </w:pPr>
          </w:p>
        </w:tc>
      </w:tr>
    </w:tbl>
    <w:p w14:paraId="11FFD4A5" w14:textId="77777777" w:rsidR="007D77A8" w:rsidRPr="00834CDC" w:rsidRDefault="007D77A8" w:rsidP="007D77A8">
      <w:pPr>
        <w:pStyle w:val="CDIfootnotes"/>
        <w:divId w:val="1988506822"/>
      </w:pPr>
      <w:r w:rsidRPr="00834CDC">
        <w:t>a</w:t>
      </w:r>
      <w:r w:rsidRPr="00834CDC">
        <w:tab/>
        <w:t>Principal cause of admission only, acute hepatitis B only.</w:t>
      </w:r>
    </w:p>
    <w:p w14:paraId="1E8D6774" w14:textId="77777777" w:rsidR="007D77A8" w:rsidRPr="00834CDC" w:rsidRDefault="007D77A8" w:rsidP="007D77A8">
      <w:pPr>
        <w:pStyle w:val="CDIfootnotes"/>
        <w:divId w:val="1988506822"/>
      </w:pPr>
      <w:r w:rsidRPr="00834CDC">
        <w:t>b</w:t>
      </w:r>
      <w:r w:rsidRPr="00834CDC">
        <w:tab/>
        <w:t>Hospital admissions where the date of admission was between 1 January 2016 and 30 June 2019. 2019 hospitalisation data was annualised.</w:t>
      </w:r>
    </w:p>
    <w:p w14:paraId="31C698BF" w14:textId="77777777" w:rsidR="007D77A8" w:rsidRPr="00834CDC" w:rsidRDefault="007D77A8" w:rsidP="007D77A8">
      <w:pPr>
        <w:pStyle w:val="CDIfootnotes"/>
        <w:divId w:val="1988506822"/>
      </w:pPr>
      <w:r w:rsidRPr="00834CDC">
        <w:t>c</w:t>
      </w:r>
      <w:r w:rsidRPr="00834CDC">
        <w:tab/>
        <w:t>Average annual age-specific rate per 100,000 population.</w:t>
      </w:r>
    </w:p>
    <w:p w14:paraId="2ADE956E" w14:textId="77777777" w:rsidR="007D77A8" w:rsidRPr="00834CDC" w:rsidRDefault="007D77A8" w:rsidP="007D77A8">
      <w:pPr>
        <w:pStyle w:val="CDIfootnotes"/>
        <w:divId w:val="1988506822"/>
      </w:pPr>
      <w:r w:rsidRPr="00834CDC">
        <w:t>d</w:t>
      </w:r>
      <w:r w:rsidRPr="00834CDC">
        <w:tab/>
      </w:r>
      <w:proofErr w:type="gramStart"/>
      <w:r w:rsidRPr="00834CDC">
        <w:t>To</w:t>
      </w:r>
      <w:proofErr w:type="gramEnd"/>
      <w:r w:rsidRPr="00834CDC">
        <w:t xml:space="preserve"> comply with the AIHW’s data release condition that hospitalisation counts &lt; 5 be suppressed in published reports, counts between 1 and 4 are reported as a range; other cell counts may be reported at NP (not published) to avoid potential for back calculation of counts &lt; 5.</w:t>
      </w:r>
    </w:p>
    <w:p w14:paraId="0CFDE9F8" w14:textId="54D7264E" w:rsidR="007D77A8" w:rsidRPr="00834CDC" w:rsidRDefault="007D77A8" w:rsidP="007D77A8">
      <w:pPr>
        <w:pStyle w:val="CDIfootnotes"/>
        <w:divId w:val="1988506822"/>
      </w:pPr>
      <w:r w:rsidRPr="00834CDC">
        <w:t>e</w:t>
      </w:r>
      <w:r w:rsidRPr="00834CDC">
        <w:tab/>
        <w:t>Rates for all ages combined are age-standardised to the ABS Australian population estimates for 2016.</w:t>
      </w:r>
    </w:p>
    <w:p w14:paraId="3147A3DC" w14:textId="77777777" w:rsidR="006C0C2E" w:rsidRPr="00834CDC" w:rsidRDefault="006C0C2E">
      <w:pPr>
        <w:rPr>
          <w:rStyle w:val="Strong"/>
          <w:bCs w:val="0"/>
        </w:rPr>
      </w:pPr>
      <w:r w:rsidRPr="00834CDC">
        <w:rPr>
          <w:rStyle w:val="Strong"/>
          <w:b w:val="0"/>
          <w:bCs w:val="0"/>
        </w:rPr>
        <w:br w:type="page"/>
      </w:r>
    </w:p>
    <w:p w14:paraId="431035E4" w14:textId="62855CD8" w:rsidR="000B1920" w:rsidRPr="00834CDC" w:rsidRDefault="000B1920" w:rsidP="000B1920">
      <w:pPr>
        <w:pStyle w:val="CDIFigures"/>
        <w:divId w:val="1988506822"/>
      </w:pPr>
      <w:r w:rsidRPr="00834CDC">
        <w:rPr>
          <w:rStyle w:val="Strong"/>
          <w:b/>
          <w:bCs w:val="0"/>
        </w:rPr>
        <w:lastRenderedPageBreak/>
        <w:t xml:space="preserve">Figure 5: Hepatitis B hospitalisation </w:t>
      </w:r>
      <w:proofErr w:type="spellStart"/>
      <w:proofErr w:type="gramStart"/>
      <w:r w:rsidRPr="00834CDC">
        <w:rPr>
          <w:rStyle w:val="Strong"/>
          <w:b/>
          <w:bCs w:val="0"/>
        </w:rPr>
        <w:t>rates,</w:t>
      </w:r>
      <w:r w:rsidRPr="00834CDC">
        <w:rPr>
          <w:rStyle w:val="Strong"/>
          <w:b/>
          <w:bCs w:val="0"/>
          <w:vertAlign w:val="superscript"/>
        </w:rPr>
        <w:t>a</w:t>
      </w:r>
      <w:proofErr w:type="gramEnd"/>
      <w:r w:rsidRPr="00834CDC">
        <w:rPr>
          <w:rStyle w:val="Strong"/>
          <w:b/>
          <w:bCs w:val="0"/>
          <w:vertAlign w:val="superscript"/>
        </w:rPr>
        <w:t>,b</w:t>
      </w:r>
      <w:proofErr w:type="spellEnd"/>
      <w:r w:rsidRPr="00834CDC">
        <w:rPr>
          <w:rStyle w:val="Strong"/>
          <w:b/>
          <w:bCs w:val="0"/>
        </w:rPr>
        <w:t xml:space="preserve"> Australia (selected states and territories),</w:t>
      </w:r>
      <w:r w:rsidRPr="00834CDC">
        <w:rPr>
          <w:rStyle w:val="Strong"/>
          <w:b/>
          <w:bCs w:val="0"/>
          <w:vertAlign w:val="superscript"/>
        </w:rPr>
        <w:t>c</w:t>
      </w:r>
      <w:r w:rsidRPr="00834CDC">
        <w:rPr>
          <w:rStyle w:val="Strong"/>
          <w:b/>
          <w:bCs w:val="0"/>
        </w:rPr>
        <w:t xml:space="preserve"> 2010–2019,</w:t>
      </w:r>
      <w:r w:rsidRPr="00834CDC">
        <w:rPr>
          <w:rStyle w:val="Strong"/>
          <w:b/>
          <w:bCs w:val="0"/>
          <w:vertAlign w:val="superscript"/>
        </w:rPr>
        <w:t>d</w:t>
      </w:r>
      <w:r w:rsidRPr="00834CDC">
        <w:rPr>
          <w:rStyle w:val="Strong"/>
          <w:b/>
          <w:bCs w:val="0"/>
        </w:rPr>
        <w:t xml:space="preserve"> by Aboriginal and Torres Strait Islander status</w:t>
      </w:r>
    </w:p>
    <w:p w14:paraId="5FF0352E" w14:textId="77777777" w:rsidR="000B1920" w:rsidRPr="00834CDC" w:rsidRDefault="000B1920" w:rsidP="000B1920">
      <w:pPr>
        <w:pStyle w:val="NormalWeb"/>
        <w:divId w:val="1988506822"/>
      </w:pPr>
      <w:r w:rsidRPr="00834CDC">
        <w:rPr>
          <w:noProof/>
        </w:rPr>
        <w:drawing>
          <wp:inline distT="0" distB="0" distL="0" distR="0" wp14:anchorId="2F4E88E6" wp14:editId="0EB9F70B">
            <wp:extent cx="6639781" cy="4269850"/>
            <wp:effectExtent l="0" t="0" r="8890" b="0"/>
            <wp:docPr id="6" name="Picture 6" descr="Line graph showing hospitalisation rates for hepatitis B for the period 2010 to 2019, in selected jurisdictions (Northern Territory, Queensland, New South Wales, Victoria, South Australia and Western Australia). The rate in Aboriginal and Torres Strait Islander people peaked in 2019 at 1.9 per 100,000 population, declined to 0.4 per 100,000 in 2014, and then steadily increased to 1.5 per 100,000 in 2019. Rates decreased from 0.6 to 0.3 per 100,000 population in other people over the 10 year perio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e graph showing hospitalisation rates for hepatitis B for the period 2010 to 2019, in selected jurisdictions (Northern Territory, Queensland, New South Wales, Victoria, South Australia and Western Australia). The rate in Aboriginal and Torres Strait Islander people peaked in 2019 at 1.9 per 100,000 population, declined to 0.4 per 100,000 in 2014, and then steadily increased to 1.5 per 100,000 in 2019. Rates decreased from 0.6 to 0.3 per 100,000 population in other people over the 10 year period.&#10;"/>
                    <pic:cNvPicPr>
                      <a:picLocks noChangeAspect="1" noChangeArrowheads="1"/>
                    </pic:cNvPicPr>
                  </pic:nvPicPr>
                  <pic:blipFill>
                    <a:blip r:link="rId16">
                      <a:extLst>
                        <a:ext uri="{28A0092B-C50C-407E-A947-70E740481C1C}">
                          <a14:useLocalDpi xmlns:a14="http://schemas.microsoft.com/office/drawing/2010/main" val="0"/>
                        </a:ext>
                      </a:extLst>
                    </a:blip>
                    <a:stretch>
                      <a:fillRect/>
                    </a:stretch>
                  </pic:blipFill>
                  <pic:spPr bwMode="auto">
                    <a:xfrm>
                      <a:off x="0" y="0"/>
                      <a:ext cx="6651527" cy="4277404"/>
                    </a:xfrm>
                    <a:prstGeom prst="rect">
                      <a:avLst/>
                    </a:prstGeom>
                  </pic:spPr>
                </pic:pic>
              </a:graphicData>
            </a:graphic>
          </wp:inline>
        </w:drawing>
      </w:r>
    </w:p>
    <w:p w14:paraId="1D351F3F" w14:textId="77777777" w:rsidR="000B1920" w:rsidRPr="00834CDC" w:rsidRDefault="000B1920" w:rsidP="000B1920">
      <w:pPr>
        <w:pStyle w:val="CDIfootnotes"/>
        <w:divId w:val="1988506822"/>
      </w:pPr>
      <w:r w:rsidRPr="00834CDC">
        <w:t>a</w:t>
      </w:r>
      <w:r w:rsidRPr="00834CDC">
        <w:tab/>
        <w:t>Principal cause of admission only, acute hepatitis B only.</w:t>
      </w:r>
    </w:p>
    <w:p w14:paraId="19FC7F31" w14:textId="77777777" w:rsidR="000B1920" w:rsidRPr="00834CDC" w:rsidRDefault="000B1920" w:rsidP="000B1920">
      <w:pPr>
        <w:pStyle w:val="CDIfootnotes"/>
        <w:divId w:val="1988506822"/>
      </w:pPr>
      <w:r w:rsidRPr="00834CDC">
        <w:t>b</w:t>
      </w:r>
      <w:r w:rsidRPr="00834CDC">
        <w:tab/>
      </w:r>
      <w:proofErr w:type="gramStart"/>
      <w:r w:rsidRPr="00834CDC">
        <w:t>The</w:t>
      </w:r>
      <w:proofErr w:type="gramEnd"/>
      <w:r w:rsidRPr="00834CDC">
        <w:t xml:space="preserve"> previous report (2011–2015) included a figure demonstrating trends in hospitalisation rates of admissions where acute hepatitis B was the principal or an additional diagnosis.</w:t>
      </w:r>
    </w:p>
    <w:p w14:paraId="06A84356" w14:textId="77777777" w:rsidR="000B1920" w:rsidRPr="00834CDC" w:rsidRDefault="000B1920" w:rsidP="000B1920">
      <w:pPr>
        <w:pStyle w:val="CDIfootnotes"/>
        <w:divId w:val="1988506822"/>
      </w:pPr>
      <w:r w:rsidRPr="00834CDC">
        <w:t>c</w:t>
      </w:r>
      <w:r w:rsidRPr="00834CDC">
        <w:tab/>
        <w:t>Jurisdictions with satisfactory data quality over the whole time period (refer to Appendix A</w:t>
      </w:r>
      <w:proofErr w:type="gramStart"/>
      <w:r w:rsidRPr="00834CDC">
        <w:t>);</w:t>
      </w:r>
      <w:proofErr w:type="gramEnd"/>
      <w:r w:rsidRPr="00834CDC">
        <w:t xml:space="preserve"> Northern Territory, Queensland, New South Wales, Victoria, South Australia and Western Australia.</w:t>
      </w:r>
    </w:p>
    <w:p w14:paraId="7B631580" w14:textId="0F471DB1" w:rsidR="000B1920" w:rsidRPr="00834CDC" w:rsidRDefault="000B1920" w:rsidP="000B1920">
      <w:pPr>
        <w:pStyle w:val="CDIfootnotes"/>
        <w:divId w:val="1988506822"/>
      </w:pPr>
      <w:r w:rsidRPr="00834CDC">
        <w:t>d</w:t>
      </w:r>
      <w:r w:rsidRPr="00834CDC">
        <w:tab/>
        <w:t>Hospital admissions where the date of admission was between 1 January 2010 and 30 June 2019; 2019 hospitalisation data annualised.</w:t>
      </w:r>
    </w:p>
    <w:p w14:paraId="1E0E9F89" w14:textId="77777777" w:rsidR="0033445F" w:rsidRPr="00834CDC" w:rsidRDefault="0033445F" w:rsidP="0033445F">
      <w:pPr>
        <w:pStyle w:val="Heading2"/>
        <w:divId w:val="1988506822"/>
      </w:pPr>
      <w:r w:rsidRPr="00834CDC">
        <w:t xml:space="preserve">Discussion </w:t>
      </w:r>
    </w:p>
    <w:p w14:paraId="320B1BB2" w14:textId="77777777" w:rsidR="0033445F" w:rsidRPr="00834CDC" w:rsidRDefault="0033445F" w:rsidP="0033445F">
      <w:pPr>
        <w:divId w:val="1988506822"/>
      </w:pPr>
      <w:r w:rsidRPr="00834CDC">
        <w:t>Notification rates of newly acquired hepatitis B infection for all ages combined, in both Aboriginal and Torres Strait Islander and other people, declined slightly but not significantly in the 2016–2019 period compared to the 2011–2015 period.</w:t>
      </w:r>
      <w:r w:rsidRPr="00834CDC">
        <w:rPr>
          <w:vertAlign w:val="superscript"/>
        </w:rPr>
        <w:t>1</w:t>
      </w:r>
      <w:r w:rsidRPr="00834CDC">
        <w:t xml:space="preserve"> Notification rates in both groups in the 2016–2019 period were highest in the 25–49 years and lowest in the 0–4 and 5–14 years age groups. The </w:t>
      </w:r>
      <w:proofErr w:type="gramStart"/>
      <w:r w:rsidRPr="00834CDC">
        <w:t>very low</w:t>
      </w:r>
      <w:proofErr w:type="gramEnd"/>
      <w:r w:rsidRPr="00834CDC">
        <w:t xml:space="preserve"> incidence in both Aboriginal and Torres Strait Islander and other children under the age of 15 years (less than 0.3 per 100,000 population per year) demonstrates the success of inclusion of hepatitis B vaccination for all infants under the National Immunisation Program (NIP) since 2000. The success of this, and other immunisation programs, including adolescent immunisation under the NIP and jurisdictionally funded programs for at-risk groups, has led to reductions in chronic hepatitis B and sequelae.</w:t>
      </w:r>
      <w:r w:rsidRPr="00834CDC">
        <w:rPr>
          <w:vertAlign w:val="superscript"/>
        </w:rPr>
        <w:t>68–71</w:t>
      </w:r>
      <w:r w:rsidRPr="00834CDC">
        <w:t xml:space="preserve"> Newly </w:t>
      </w:r>
      <w:proofErr w:type="gramStart"/>
      <w:r w:rsidRPr="00834CDC">
        <w:t>acquired</w:t>
      </w:r>
      <w:proofErr w:type="gramEnd"/>
      <w:r w:rsidRPr="00834CDC">
        <w:t xml:space="preserve"> hepatitis B notification rates in other age groups were not significantly different between the 2011–2015 and 2016–2019 periods. It is unclear why notification rates in Aboriginal and Torres Strait Islander people increased in 2019; this could be due in part to random variation related to the </w:t>
      </w:r>
      <w:proofErr w:type="gramStart"/>
      <w:r w:rsidRPr="00834CDC">
        <w:t>relatively small</w:t>
      </w:r>
      <w:proofErr w:type="gramEnd"/>
      <w:r w:rsidRPr="00834CDC">
        <w:t xml:space="preserve"> number of cases involved. However, notification rates among Aboriginal and Torres Strait Islander adults have remained consistently higher than among other adults, suggesting ongoing horizontal transmission. Possible contributory factors include higher risk of exposure among high prevalence populations, lower vaccination coverage in </w:t>
      </w:r>
      <w:proofErr w:type="gramStart"/>
      <w:r w:rsidRPr="00834CDC">
        <w:t>previous</w:t>
      </w:r>
      <w:proofErr w:type="gramEnd"/>
      <w:r w:rsidRPr="00834CDC">
        <w:t xml:space="preserve"> school-based </w:t>
      </w:r>
      <w:r w:rsidRPr="00834CDC">
        <w:lastRenderedPageBreak/>
        <w:t>programs,</w:t>
      </w:r>
      <w:r w:rsidRPr="00834CDC">
        <w:rPr>
          <w:vertAlign w:val="superscript"/>
        </w:rPr>
        <w:t>72,73</w:t>
      </w:r>
      <w:r w:rsidRPr="00834CDC">
        <w:t xml:space="preserve"> reduced vaccine efficacy due to mismatch between vaccine and circulating viral genotype,</w:t>
      </w:r>
      <w:r w:rsidRPr="00834CDC">
        <w:rPr>
          <w:vertAlign w:val="superscript"/>
        </w:rPr>
        <w:t>74</w:t>
      </w:r>
      <w:r w:rsidRPr="00834CDC">
        <w:t xml:space="preserve"> and subtherapeutic antibody levels.</w:t>
      </w:r>
      <w:r w:rsidRPr="00834CDC">
        <w:rPr>
          <w:vertAlign w:val="superscript"/>
        </w:rPr>
        <w:t>75</w:t>
      </w:r>
      <w:r w:rsidRPr="00834CDC">
        <w:t xml:space="preserve"> </w:t>
      </w:r>
    </w:p>
    <w:p w14:paraId="6F32441E" w14:textId="77777777" w:rsidR="0033445F" w:rsidRPr="00834CDC" w:rsidRDefault="0033445F" w:rsidP="0033445F">
      <w:pPr>
        <w:divId w:val="1988506822"/>
      </w:pPr>
      <w:r w:rsidRPr="00834CDC">
        <w:t xml:space="preserve">There were no hospitalisations for acute hepatitis B among children aged younger than 5 years in the 2016–2019 period. In all other age groups, hospitalisation rates among Aboriginal and Torres Strait Islander people were higher than in other people, although only significantly so for the 5–14 (based on small numbers) and 25–49 years age groups, and for all ages combined. Hospitalisation rates in the 2016–2019 period </w:t>
      </w:r>
      <w:proofErr w:type="gramStart"/>
      <w:r w:rsidRPr="00834CDC">
        <w:t>were</w:t>
      </w:r>
      <w:proofErr w:type="gramEnd"/>
      <w:r w:rsidRPr="00834CDC">
        <w:t xml:space="preserve"> not significantly different compared to the 2011–2015 period. </w:t>
      </w:r>
    </w:p>
    <w:p w14:paraId="766C2589" w14:textId="77777777" w:rsidR="0033445F" w:rsidRPr="00834CDC" w:rsidRDefault="0033445F" w:rsidP="0033445F">
      <w:pPr>
        <w:divId w:val="1988506822"/>
      </w:pPr>
      <w:r w:rsidRPr="00834CDC">
        <w:t>While most states and territories now include susceptible Aboriginal and Torres Strait Islander adults in their funded vaccination programs, vaccination coverage through these programs is poorly documented and likely to be suboptimal. Strategies to improve uptake, either through existing jurisdictional programs, such as increasing awareness in Aboriginal and Torres Strait Islander Primary Health Care services and through general practices, or through inclusion on the NIP, would help reduce rates of both newly acquired and chronic hepatitis B,76 and of hepatocellular carcinoma, which is approximately 2–6 times higher among Aboriginal and Torres Strait Islander people, and more commonly due to chronic hepatitis B, than in other people.</w:t>
      </w:r>
      <w:r w:rsidRPr="00834CDC">
        <w:rPr>
          <w:vertAlign w:val="superscript"/>
        </w:rPr>
        <w:t>77–80</w:t>
      </w:r>
    </w:p>
    <w:p w14:paraId="2DE8F5AD" w14:textId="77777777" w:rsidR="0033445F" w:rsidRPr="00834CDC" w:rsidRDefault="0033445F" w:rsidP="0033445F">
      <w:pPr>
        <w:divId w:val="1988506822"/>
        <w:rPr>
          <w:rFonts w:eastAsia="Times New Roman"/>
        </w:rPr>
      </w:pPr>
      <w:r w:rsidRPr="00834CDC">
        <w:rPr>
          <w:rFonts w:eastAsia="Times New Roman"/>
        </w:rPr>
        <w:t xml:space="preserve">1980s Hepatitis B vaccination funded for high-risk infants, including Aboriginal and Torres Strait Islander infants, in some jurisdictions then nationally from 1988 Hepatitis B vaccination recommended for at-risk adults, including all susceptible Aboriginal and Torres Strait Islander adults 1990 Neonatal hepatitis B vaccination funded for all infants in the Northern Territory (three-dose schedule: birth, 1 month and 6 months) 1997–2013 Hepatitis B vaccination recommended and funded for all adolescents aged 11–12 years (initially three-dose schedule using the paediatric formulation; changed to two-dose of adult formulation at various times since 2001 in different jurisdictions) 2000 Universal infant vaccination funded under NIP with a birth dose of monovalent paediatric hepatitis B vaccine, followed by three doses of hepatitis B–containing combination vaccine 2013 Funded adolescent school-based program ceased 1985–2018 Aboriginal and Torres Strait Islander people progressively included in jurisdictionally-funded vaccination programs for at-risk individuals in Queensland (1985), New South Wales (2001), Northern Territory (2015; for people aged 20–50 years), South Australia (2016; for people aged &gt; 15 years), Victoria (2017) and Tasmania (2018). </w:t>
      </w:r>
    </w:p>
    <w:p w14:paraId="3AB806DD" w14:textId="77777777" w:rsidR="00A50301" w:rsidRPr="00834CDC" w:rsidRDefault="00A50301">
      <w:pPr>
        <w:rPr>
          <w:rFonts w:asciiTheme="majorHAnsi" w:eastAsiaTheme="majorEastAsia" w:hAnsiTheme="majorHAnsi" w:cstheme="majorBidi"/>
          <w:b/>
          <w:bCs/>
          <w:sz w:val="32"/>
          <w:szCs w:val="28"/>
        </w:rPr>
      </w:pPr>
      <w:r w:rsidRPr="00834CDC">
        <w:br w:type="page"/>
      </w:r>
    </w:p>
    <w:p w14:paraId="7CA0416E" w14:textId="7D1F7427" w:rsidR="0033445F" w:rsidRPr="00834CDC" w:rsidRDefault="0033445F" w:rsidP="0033445F">
      <w:pPr>
        <w:pStyle w:val="Heading1"/>
        <w:divId w:val="1988506822"/>
      </w:pPr>
      <w:r w:rsidRPr="00834CDC">
        <w:lastRenderedPageBreak/>
        <w:t xml:space="preserve">5. Human papillomavirus </w:t>
      </w:r>
    </w:p>
    <w:p w14:paraId="466B7DCC" w14:textId="236F0FF7" w:rsidR="00161EF3" w:rsidRPr="00834CDC" w:rsidRDefault="00161EF3" w:rsidP="00E7419B">
      <w:pPr>
        <w:pStyle w:val="Heading2"/>
        <w:divId w:val="1988506822"/>
      </w:pPr>
      <w:r w:rsidRPr="00834CDC">
        <w:t>Relevant vaccine history</w:t>
      </w:r>
    </w:p>
    <w:p w14:paraId="76C42E19" w14:textId="3BA69F26" w:rsidR="00E7419B" w:rsidRPr="00834CDC" w:rsidRDefault="009D0632" w:rsidP="00E7419B">
      <w:pPr>
        <w:divId w:val="1988506822"/>
      </w:pPr>
      <w:r w:rsidRPr="00834CDC">
        <w:rPr>
          <w:noProof/>
        </w:rPr>
        <mc:AlternateContent>
          <mc:Choice Requires="wps">
            <w:drawing>
              <wp:inline distT="0" distB="0" distL="0" distR="0" wp14:anchorId="02344A87" wp14:editId="2B1BC8BA">
                <wp:extent cx="6625424" cy="1404620"/>
                <wp:effectExtent l="0" t="0" r="444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1404620"/>
                        </a:xfrm>
                        <a:prstGeom prst="rect">
                          <a:avLst/>
                        </a:prstGeom>
                        <a:solidFill>
                          <a:srgbClr val="F7ECDD"/>
                        </a:solidFill>
                        <a:ln w="9525">
                          <a:noFill/>
                          <a:miter lim="800000"/>
                          <a:headEnd/>
                          <a:tailEnd/>
                        </a:ln>
                      </wps:spPr>
                      <wps:txbx>
                        <w:txbxContent>
                          <w:p w14:paraId="022B9080" w14:textId="77777777" w:rsidR="009D0632" w:rsidRPr="009D0632" w:rsidRDefault="009D0632" w:rsidP="00920AA7">
                            <w:pPr>
                              <w:pStyle w:val="NormalWeb"/>
                              <w:spacing w:before="0" w:beforeAutospacing="0" w:after="0" w:afterAutospacing="0" w:line="240" w:lineRule="auto"/>
                              <w:rPr>
                                <w:b/>
                                <w:bCs/>
                                <w:lang w:val="en-GB"/>
                              </w:rPr>
                            </w:pPr>
                            <w:r w:rsidRPr="009D0632">
                              <w:rPr>
                                <w:b/>
                                <w:bCs/>
                                <w:lang w:val="en-GB"/>
                              </w:rPr>
                              <w:t>2006</w:t>
                            </w:r>
                          </w:p>
                          <w:p w14:paraId="5C533233" w14:textId="77777777" w:rsidR="009D0632" w:rsidRPr="009D0632" w:rsidRDefault="009D0632" w:rsidP="00920AA7">
                            <w:pPr>
                              <w:pStyle w:val="ListParagraph"/>
                              <w:numPr>
                                <w:ilvl w:val="0"/>
                                <w:numId w:val="10"/>
                              </w:numPr>
                              <w:spacing w:after="0" w:line="240" w:lineRule="auto"/>
                              <w:rPr>
                                <w:rFonts w:eastAsia="Times New Roman"/>
                                <w:lang w:val="en-GB"/>
                              </w:rPr>
                            </w:pPr>
                            <w:r w:rsidRPr="009D0632">
                              <w:rPr>
                                <w:rFonts w:eastAsia="Times New Roman"/>
                                <w:lang w:val="en-GB"/>
                              </w:rPr>
                              <w:t>The quadrivalent HPV vaccine (4vHPV), which protects against cancer-causing HPV types 16 and 18, and types 6 and 11 which cause genital warts, is released on the private Australian market</w:t>
                            </w:r>
                          </w:p>
                          <w:p w14:paraId="7EB9B51A" w14:textId="77777777" w:rsidR="009D0632" w:rsidRPr="009D0632" w:rsidRDefault="009D0632" w:rsidP="00920AA7">
                            <w:pPr>
                              <w:spacing w:after="0" w:line="240" w:lineRule="auto"/>
                              <w:rPr>
                                <w:b/>
                                <w:bCs/>
                                <w:lang w:val="en-GB"/>
                              </w:rPr>
                            </w:pPr>
                            <w:r w:rsidRPr="009D0632">
                              <w:rPr>
                                <w:b/>
                                <w:bCs/>
                                <w:lang w:val="en-GB"/>
                              </w:rPr>
                              <w:t>2007</w:t>
                            </w:r>
                          </w:p>
                          <w:p w14:paraId="3565B0D7" w14:textId="77777777" w:rsidR="009D0632" w:rsidRPr="009D0632" w:rsidRDefault="009D0632" w:rsidP="00920AA7">
                            <w:pPr>
                              <w:pStyle w:val="ListParagraph"/>
                              <w:numPr>
                                <w:ilvl w:val="0"/>
                                <w:numId w:val="10"/>
                              </w:numPr>
                              <w:spacing w:after="0" w:line="240" w:lineRule="auto"/>
                              <w:rPr>
                                <w:rFonts w:eastAsia="Times New Roman"/>
                                <w:lang w:val="en-GB"/>
                              </w:rPr>
                            </w:pPr>
                            <w:r w:rsidRPr="009D0632">
                              <w:rPr>
                                <w:rFonts w:eastAsia="Times New Roman"/>
                                <w:lang w:val="en-GB"/>
                              </w:rPr>
                              <w:t>Bivalent HPV vaccine (2vHPV), which protects against cancer-causing HPV types 16 and 18, available on the private Australian market</w:t>
                            </w:r>
                          </w:p>
                          <w:p w14:paraId="193DEE77" w14:textId="77777777" w:rsidR="009D0632" w:rsidRPr="009D0632" w:rsidRDefault="009D0632" w:rsidP="00920AA7">
                            <w:pPr>
                              <w:pStyle w:val="ListParagraph"/>
                              <w:numPr>
                                <w:ilvl w:val="0"/>
                                <w:numId w:val="10"/>
                              </w:numPr>
                              <w:spacing w:after="0" w:line="240" w:lineRule="auto"/>
                              <w:rPr>
                                <w:rFonts w:eastAsia="Times New Roman"/>
                                <w:lang w:val="en-GB"/>
                              </w:rPr>
                            </w:pPr>
                            <w:r w:rsidRPr="009D0632">
                              <w:rPr>
                                <w:rFonts w:eastAsia="Times New Roman"/>
                                <w:lang w:val="en-GB"/>
                              </w:rPr>
                              <w:t>April 2007 – December 2008: School program for girls aged 12–18 years provides 4vHPV vaccine catchup program in a three-dose course under the NIP</w:t>
                            </w:r>
                          </w:p>
                          <w:p w14:paraId="77F21435" w14:textId="77777777" w:rsidR="009D0632" w:rsidRPr="009D0632" w:rsidRDefault="009D0632" w:rsidP="00920AA7">
                            <w:pPr>
                              <w:pStyle w:val="ListParagraph"/>
                              <w:numPr>
                                <w:ilvl w:val="0"/>
                                <w:numId w:val="10"/>
                              </w:numPr>
                              <w:spacing w:after="0" w:line="240" w:lineRule="auto"/>
                              <w:rPr>
                                <w:rFonts w:eastAsia="Times New Roman"/>
                                <w:lang w:val="en-GB"/>
                              </w:rPr>
                            </w:pPr>
                            <w:r w:rsidRPr="009D0632">
                              <w:rPr>
                                <w:rFonts w:eastAsia="Times New Roman"/>
                                <w:lang w:val="en-GB"/>
                              </w:rPr>
                              <w:t>July 2007 – December 2009: Community-based program provides 4vHPV vaccine in a three-dose course under the NIP to all females aged 12–26 years in general practice and other community settings</w:t>
                            </w:r>
                          </w:p>
                          <w:p w14:paraId="1CFE3250" w14:textId="77777777" w:rsidR="009D0632" w:rsidRPr="009D0632" w:rsidRDefault="009D0632" w:rsidP="00920AA7">
                            <w:pPr>
                              <w:spacing w:after="0" w:line="240" w:lineRule="auto"/>
                              <w:rPr>
                                <w:b/>
                                <w:bCs/>
                                <w:lang w:val="en-GB"/>
                              </w:rPr>
                            </w:pPr>
                            <w:r w:rsidRPr="009D0632">
                              <w:rPr>
                                <w:b/>
                                <w:bCs/>
                                <w:lang w:val="en-GB"/>
                              </w:rPr>
                              <w:t>2008</w:t>
                            </w:r>
                          </w:p>
                          <w:p w14:paraId="5EDCE0AE" w14:textId="77777777"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National HPV Vaccination Program Register becomes operational</w:t>
                            </w:r>
                          </w:p>
                          <w:p w14:paraId="5AA46733" w14:textId="77777777" w:rsidR="009D0632" w:rsidRPr="009D0632" w:rsidRDefault="009D0632" w:rsidP="00920AA7">
                            <w:pPr>
                              <w:pStyle w:val="NormalWeb"/>
                              <w:spacing w:before="0" w:beforeAutospacing="0" w:after="0" w:afterAutospacing="0" w:line="240" w:lineRule="auto"/>
                              <w:rPr>
                                <w:b/>
                                <w:bCs/>
                                <w:lang w:val="en-GB"/>
                              </w:rPr>
                            </w:pPr>
                            <w:r w:rsidRPr="009D0632">
                              <w:rPr>
                                <w:b/>
                                <w:bCs/>
                                <w:lang w:val="en-GB"/>
                              </w:rPr>
                              <w:t>2009</w:t>
                            </w:r>
                          </w:p>
                          <w:p w14:paraId="7017F042" w14:textId="77777777"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January 2009 – December 2012: Routine three-dose 4vHPV vaccine funded for females aged 12–13 years through school-based programs, with general practice and community providers giving some missed doses under the NIP</w:t>
                            </w:r>
                          </w:p>
                          <w:p w14:paraId="616900EC" w14:textId="77777777" w:rsidR="009D0632" w:rsidRPr="009D0632" w:rsidRDefault="009D0632" w:rsidP="00920AA7">
                            <w:pPr>
                              <w:pStyle w:val="NormalWeb"/>
                              <w:spacing w:before="0" w:beforeAutospacing="0" w:after="0" w:afterAutospacing="0" w:line="240" w:lineRule="auto"/>
                              <w:rPr>
                                <w:b/>
                                <w:bCs/>
                                <w:lang w:val="en-GB"/>
                              </w:rPr>
                            </w:pPr>
                            <w:r w:rsidRPr="009D0632">
                              <w:rPr>
                                <w:b/>
                                <w:bCs/>
                                <w:lang w:val="en-GB"/>
                              </w:rPr>
                              <w:t>2013</w:t>
                            </w:r>
                          </w:p>
                          <w:p w14:paraId="14553BC6" w14:textId="77777777"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January 2013 – December 2014: Three-dose 4vHPV school-based vaccine program extended to males, with a catch-up program up to age 15 years under the NIP</w:t>
                            </w:r>
                          </w:p>
                          <w:p w14:paraId="24E2CCD5" w14:textId="77777777" w:rsidR="009D0632" w:rsidRPr="009D0632" w:rsidRDefault="009D0632" w:rsidP="00920AA7">
                            <w:pPr>
                              <w:spacing w:after="0" w:line="240" w:lineRule="auto"/>
                              <w:rPr>
                                <w:b/>
                                <w:bCs/>
                                <w:lang w:val="en-GB"/>
                              </w:rPr>
                            </w:pPr>
                            <w:r w:rsidRPr="009D0632">
                              <w:rPr>
                                <w:b/>
                                <w:bCs/>
                                <w:lang w:val="en-GB"/>
                              </w:rPr>
                              <w:t>2015</w:t>
                            </w:r>
                          </w:p>
                          <w:p w14:paraId="2BD8E02C" w14:textId="77777777"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Both sex routine 4vHPV vaccine school-based program delivered at age 12–13 years</w:t>
                            </w:r>
                          </w:p>
                          <w:p w14:paraId="3A1CB4D4" w14:textId="77777777" w:rsidR="009D0632" w:rsidRPr="009D0632" w:rsidRDefault="009D0632" w:rsidP="00920AA7">
                            <w:pPr>
                              <w:spacing w:after="0" w:line="240" w:lineRule="auto"/>
                              <w:rPr>
                                <w:b/>
                                <w:bCs/>
                                <w:lang w:val="en-GB"/>
                              </w:rPr>
                            </w:pPr>
                            <w:r w:rsidRPr="009D0632">
                              <w:rPr>
                                <w:b/>
                                <w:bCs/>
                                <w:lang w:val="en-GB"/>
                              </w:rPr>
                              <w:t>2017</w:t>
                            </w:r>
                          </w:p>
                          <w:p w14:paraId="7A51EF5F" w14:textId="77777777"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Routine funded catch up HPV vaccination extended to age 19</w:t>
                            </w:r>
                          </w:p>
                          <w:p w14:paraId="3458FEDB" w14:textId="77777777" w:rsidR="009D0632" w:rsidRPr="009D0632" w:rsidRDefault="009D0632" w:rsidP="00920AA7">
                            <w:pPr>
                              <w:spacing w:after="0" w:line="240" w:lineRule="auto"/>
                              <w:rPr>
                                <w:b/>
                                <w:bCs/>
                                <w:lang w:val="en-GB"/>
                              </w:rPr>
                            </w:pPr>
                            <w:r w:rsidRPr="009D0632">
                              <w:rPr>
                                <w:b/>
                                <w:bCs/>
                                <w:lang w:val="en-GB"/>
                              </w:rPr>
                              <w:t>2018</w:t>
                            </w:r>
                          </w:p>
                          <w:p w14:paraId="5535EE66" w14:textId="77777777"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Two-dose course of 9vHPV vaccination replaces three-dose 4vHPV course</w:t>
                            </w:r>
                          </w:p>
                          <w:p w14:paraId="1107ACE7" w14:textId="77777777"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Bivalent HPV vaccine withdrawn from Australian market</w:t>
                            </w:r>
                          </w:p>
                          <w:p w14:paraId="71F87C56" w14:textId="2271376E"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December 2018: National HPV Vaccination Program Register closes, with data migrated to Australian Immunisation Register</w:t>
                            </w:r>
                          </w:p>
                        </w:txbxContent>
                      </wps:txbx>
                      <wps:bodyPr rot="0" vert="horz" wrap="square" lIns="91440" tIns="45720" rIns="91440" bIns="45720" anchor="t" anchorCtr="0">
                        <a:spAutoFit/>
                      </wps:bodyPr>
                    </wps:wsp>
                  </a:graphicData>
                </a:graphic>
              </wp:inline>
            </w:drawing>
          </mc:Choice>
          <mc:Fallback>
            <w:pict>
              <v:shape w14:anchorId="02344A87" id="_x0000_s1029"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" fillcolor="#f7ecdd" stroked="f">
                <v:textbox style="mso-fit-shape-to-text:t">
                  <w:txbxContent>
                    <w:p w14:paraId="022B9080" w14:textId="77777777" w:rsidR="009D0632" w:rsidRPr="009D0632" w:rsidRDefault="009D0632" w:rsidP="00920AA7">
                      <w:pPr>
                        <w:pStyle w:val="NormalWeb"/>
                        <w:spacing w:before="0" w:beforeAutospacing="0" w:after="0" w:afterAutospacing="0" w:line="240" w:lineRule="auto"/>
                        <w:rPr>
                          <w:b/>
                          <w:bCs/>
                          <w:lang w:val="en-GB"/>
                        </w:rPr>
                      </w:pPr>
                      <w:r w:rsidRPr="009D0632">
                        <w:rPr>
                          <w:b/>
                          <w:bCs/>
                          <w:lang w:val="en-GB"/>
                        </w:rPr>
                        <w:t>2006</w:t>
                      </w:r>
                    </w:p>
                    <w:p w14:paraId="5C533233" w14:textId="77777777" w:rsidR="009D0632" w:rsidRPr="009D0632" w:rsidRDefault="009D0632" w:rsidP="00920AA7">
                      <w:pPr>
                        <w:pStyle w:val="ListParagraph"/>
                        <w:numPr>
                          <w:ilvl w:val="0"/>
                          <w:numId w:val="10"/>
                        </w:numPr>
                        <w:spacing w:after="0" w:line="240" w:lineRule="auto"/>
                        <w:rPr>
                          <w:rFonts w:eastAsia="Times New Roman"/>
                          <w:lang w:val="en-GB"/>
                        </w:rPr>
                      </w:pPr>
                      <w:r w:rsidRPr="009D0632">
                        <w:rPr>
                          <w:rFonts w:eastAsia="Times New Roman"/>
                          <w:lang w:val="en-GB"/>
                        </w:rPr>
                        <w:t>The quadrivalent HPV vaccine (4vHPV), which protects against cancer-causing HPV types 16 and 18, and types 6 and 11 which cause genital warts, is released on the private Australian market</w:t>
                      </w:r>
                    </w:p>
                    <w:p w14:paraId="7EB9B51A" w14:textId="77777777" w:rsidR="009D0632" w:rsidRPr="009D0632" w:rsidRDefault="009D0632" w:rsidP="00920AA7">
                      <w:pPr>
                        <w:spacing w:after="0" w:line="240" w:lineRule="auto"/>
                        <w:rPr>
                          <w:b/>
                          <w:bCs/>
                          <w:lang w:val="en-GB"/>
                        </w:rPr>
                      </w:pPr>
                      <w:r w:rsidRPr="009D0632">
                        <w:rPr>
                          <w:b/>
                          <w:bCs/>
                          <w:lang w:val="en-GB"/>
                        </w:rPr>
                        <w:t>2007</w:t>
                      </w:r>
                    </w:p>
                    <w:p w14:paraId="3565B0D7" w14:textId="77777777" w:rsidR="009D0632" w:rsidRPr="009D0632" w:rsidRDefault="009D0632" w:rsidP="00920AA7">
                      <w:pPr>
                        <w:pStyle w:val="ListParagraph"/>
                        <w:numPr>
                          <w:ilvl w:val="0"/>
                          <w:numId w:val="10"/>
                        </w:numPr>
                        <w:spacing w:after="0" w:line="240" w:lineRule="auto"/>
                        <w:rPr>
                          <w:rFonts w:eastAsia="Times New Roman"/>
                          <w:lang w:val="en-GB"/>
                        </w:rPr>
                      </w:pPr>
                      <w:r w:rsidRPr="009D0632">
                        <w:rPr>
                          <w:rFonts w:eastAsia="Times New Roman"/>
                          <w:lang w:val="en-GB"/>
                        </w:rPr>
                        <w:t>Bivalent HPV vaccine (2vHPV), which protects against cancer-causing HPV types 16 and 18, available on the private Australian market</w:t>
                      </w:r>
                    </w:p>
                    <w:p w14:paraId="193DEE77" w14:textId="77777777" w:rsidR="009D0632" w:rsidRPr="009D0632" w:rsidRDefault="009D0632" w:rsidP="00920AA7">
                      <w:pPr>
                        <w:pStyle w:val="ListParagraph"/>
                        <w:numPr>
                          <w:ilvl w:val="0"/>
                          <w:numId w:val="10"/>
                        </w:numPr>
                        <w:spacing w:after="0" w:line="240" w:lineRule="auto"/>
                        <w:rPr>
                          <w:rFonts w:eastAsia="Times New Roman"/>
                          <w:lang w:val="en-GB"/>
                        </w:rPr>
                      </w:pPr>
                      <w:r w:rsidRPr="009D0632">
                        <w:rPr>
                          <w:rFonts w:eastAsia="Times New Roman"/>
                          <w:lang w:val="en-GB"/>
                        </w:rPr>
                        <w:t>April 2007 – December 2008: School program for girls aged 12–18 years provides 4vHPV vaccine catchup program in a three-dose course under the NIP</w:t>
                      </w:r>
                    </w:p>
                    <w:p w14:paraId="77F21435" w14:textId="77777777" w:rsidR="009D0632" w:rsidRPr="009D0632" w:rsidRDefault="009D0632" w:rsidP="00920AA7">
                      <w:pPr>
                        <w:pStyle w:val="ListParagraph"/>
                        <w:numPr>
                          <w:ilvl w:val="0"/>
                          <w:numId w:val="10"/>
                        </w:numPr>
                        <w:spacing w:after="0" w:line="240" w:lineRule="auto"/>
                        <w:rPr>
                          <w:rFonts w:eastAsia="Times New Roman"/>
                          <w:lang w:val="en-GB"/>
                        </w:rPr>
                      </w:pPr>
                      <w:r w:rsidRPr="009D0632">
                        <w:rPr>
                          <w:rFonts w:eastAsia="Times New Roman"/>
                          <w:lang w:val="en-GB"/>
                        </w:rPr>
                        <w:t>July 2007 – December 2009: Community-based program provides 4vHPV vaccine in a three-dose course under the NIP to all females aged 12–26 years in general practice and other community settings</w:t>
                      </w:r>
                    </w:p>
                    <w:p w14:paraId="1CFE3250" w14:textId="77777777" w:rsidR="009D0632" w:rsidRPr="009D0632" w:rsidRDefault="009D0632" w:rsidP="00920AA7">
                      <w:pPr>
                        <w:spacing w:after="0" w:line="240" w:lineRule="auto"/>
                        <w:rPr>
                          <w:b/>
                          <w:bCs/>
                          <w:lang w:val="en-GB"/>
                        </w:rPr>
                      </w:pPr>
                      <w:r w:rsidRPr="009D0632">
                        <w:rPr>
                          <w:b/>
                          <w:bCs/>
                          <w:lang w:val="en-GB"/>
                        </w:rPr>
                        <w:t>2008</w:t>
                      </w:r>
                    </w:p>
                    <w:p w14:paraId="5EDCE0AE" w14:textId="77777777"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National HPV Vaccination Program Register becomes operational</w:t>
                      </w:r>
                    </w:p>
                    <w:p w14:paraId="5AA46733" w14:textId="77777777" w:rsidR="009D0632" w:rsidRPr="009D0632" w:rsidRDefault="009D0632" w:rsidP="00920AA7">
                      <w:pPr>
                        <w:pStyle w:val="NormalWeb"/>
                        <w:spacing w:before="0" w:beforeAutospacing="0" w:after="0" w:afterAutospacing="0" w:line="240" w:lineRule="auto"/>
                        <w:rPr>
                          <w:b/>
                          <w:bCs/>
                          <w:lang w:val="en-GB"/>
                        </w:rPr>
                      </w:pPr>
                      <w:r w:rsidRPr="009D0632">
                        <w:rPr>
                          <w:b/>
                          <w:bCs/>
                          <w:lang w:val="en-GB"/>
                        </w:rPr>
                        <w:t>2009</w:t>
                      </w:r>
                    </w:p>
                    <w:p w14:paraId="7017F042" w14:textId="77777777"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January 2009 – December 2012: Routine three-dose 4vHPV vaccine funded for females aged 12–13 years through school-based programs, with general practice and community providers giving some missed doses under the NIP</w:t>
                      </w:r>
                    </w:p>
                    <w:p w14:paraId="616900EC" w14:textId="77777777" w:rsidR="009D0632" w:rsidRPr="009D0632" w:rsidRDefault="009D0632" w:rsidP="00920AA7">
                      <w:pPr>
                        <w:pStyle w:val="NormalWeb"/>
                        <w:spacing w:before="0" w:beforeAutospacing="0" w:after="0" w:afterAutospacing="0" w:line="240" w:lineRule="auto"/>
                        <w:rPr>
                          <w:b/>
                          <w:bCs/>
                          <w:lang w:val="en-GB"/>
                        </w:rPr>
                      </w:pPr>
                      <w:r w:rsidRPr="009D0632">
                        <w:rPr>
                          <w:b/>
                          <w:bCs/>
                          <w:lang w:val="en-GB"/>
                        </w:rPr>
                        <w:t>2013</w:t>
                      </w:r>
                    </w:p>
                    <w:p w14:paraId="14553BC6" w14:textId="77777777"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January 2013 – December 2014: Three-dose 4vHPV school-based vaccine program extended to males, with a catch-up program up to age 15 years under the NIP</w:t>
                      </w:r>
                    </w:p>
                    <w:p w14:paraId="24E2CCD5" w14:textId="77777777" w:rsidR="009D0632" w:rsidRPr="009D0632" w:rsidRDefault="009D0632" w:rsidP="00920AA7">
                      <w:pPr>
                        <w:spacing w:after="0" w:line="240" w:lineRule="auto"/>
                        <w:rPr>
                          <w:b/>
                          <w:bCs/>
                          <w:lang w:val="en-GB"/>
                        </w:rPr>
                      </w:pPr>
                      <w:r w:rsidRPr="009D0632">
                        <w:rPr>
                          <w:b/>
                          <w:bCs/>
                          <w:lang w:val="en-GB"/>
                        </w:rPr>
                        <w:t>2015</w:t>
                      </w:r>
                    </w:p>
                    <w:p w14:paraId="2BD8E02C" w14:textId="77777777"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Both sex routine 4vHPV vaccine school-based program delivered at age 12–13 years</w:t>
                      </w:r>
                    </w:p>
                    <w:p w14:paraId="3A1CB4D4" w14:textId="77777777" w:rsidR="009D0632" w:rsidRPr="009D0632" w:rsidRDefault="009D0632" w:rsidP="00920AA7">
                      <w:pPr>
                        <w:spacing w:after="0" w:line="240" w:lineRule="auto"/>
                        <w:rPr>
                          <w:b/>
                          <w:bCs/>
                          <w:lang w:val="en-GB"/>
                        </w:rPr>
                      </w:pPr>
                      <w:r w:rsidRPr="009D0632">
                        <w:rPr>
                          <w:b/>
                          <w:bCs/>
                          <w:lang w:val="en-GB"/>
                        </w:rPr>
                        <w:t>2017</w:t>
                      </w:r>
                    </w:p>
                    <w:p w14:paraId="7A51EF5F" w14:textId="77777777"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Routine funded catch up HPV vaccination extended to age 19</w:t>
                      </w:r>
                    </w:p>
                    <w:p w14:paraId="3458FEDB" w14:textId="77777777" w:rsidR="009D0632" w:rsidRPr="009D0632" w:rsidRDefault="009D0632" w:rsidP="00920AA7">
                      <w:pPr>
                        <w:spacing w:after="0" w:line="240" w:lineRule="auto"/>
                        <w:rPr>
                          <w:b/>
                          <w:bCs/>
                          <w:lang w:val="en-GB"/>
                        </w:rPr>
                      </w:pPr>
                      <w:r w:rsidRPr="009D0632">
                        <w:rPr>
                          <w:b/>
                          <w:bCs/>
                          <w:lang w:val="en-GB"/>
                        </w:rPr>
                        <w:t>2018</w:t>
                      </w:r>
                    </w:p>
                    <w:p w14:paraId="5535EE66" w14:textId="77777777"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Two-dose course of 9vHPV vaccination replaces three-dose 4vHPV course</w:t>
                      </w:r>
                    </w:p>
                    <w:p w14:paraId="1107ACE7" w14:textId="77777777"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Bivalent HPV vaccine withdrawn from Australian market</w:t>
                      </w:r>
                    </w:p>
                    <w:p w14:paraId="71F87C56" w14:textId="2271376E" w:rsidR="009D0632" w:rsidRPr="009D0632" w:rsidRDefault="009D0632" w:rsidP="00920AA7">
                      <w:pPr>
                        <w:pStyle w:val="ListParagraph"/>
                        <w:numPr>
                          <w:ilvl w:val="0"/>
                          <w:numId w:val="11"/>
                        </w:numPr>
                        <w:spacing w:after="0" w:line="240" w:lineRule="auto"/>
                        <w:rPr>
                          <w:rFonts w:eastAsia="Times New Roman"/>
                          <w:lang w:val="en-GB"/>
                        </w:rPr>
                      </w:pPr>
                      <w:r w:rsidRPr="009D0632">
                        <w:rPr>
                          <w:rFonts w:eastAsia="Times New Roman"/>
                          <w:lang w:val="en-GB"/>
                        </w:rPr>
                        <w:t>December 2018: National HPV Vaccination Program Register closes, with data migrated to Australian Immunisation Register</w:t>
                      </w:r>
                    </w:p>
                  </w:txbxContent>
                </v:textbox>
                <w10:anchorlock/>
              </v:shape>
            </w:pict>
          </mc:Fallback>
        </mc:AlternateContent>
      </w:r>
    </w:p>
    <w:p w14:paraId="2AFB0CF4" w14:textId="77777777" w:rsidR="0033445F" w:rsidRPr="00834CDC" w:rsidRDefault="0033445F" w:rsidP="0033445F">
      <w:pPr>
        <w:divId w:val="1988506822"/>
      </w:pPr>
      <w:r w:rsidRPr="00834CDC">
        <w:t>Human papillomavirus (HPV) causes a very common, usually transient, and asymptomatic infection of the genital tract in both women and men, with 13 types of HPV classified as oncogenic (cancer causing).</w:t>
      </w:r>
      <w:r w:rsidRPr="00834CDC">
        <w:rPr>
          <w:vertAlign w:val="superscript"/>
        </w:rPr>
        <w:t>81</w:t>
      </w:r>
      <w:r w:rsidRPr="00834CDC">
        <w:t xml:space="preserve"> When infections with these oncogenic types persist, HPV can integrate into host epithelial cells and disrupt normal cellular repair mechanisms, and can eventually cause cancers of the genital tract (cervix, anus, penis, vulva and vagina) or mouth and throat. Other types of HPV are not associated with cancer; but types 6 and 11 cause genital warts and the rare disease recurrent respiratory papillomatosis, which can be acquired by newborns, from exposure at birth, or in young adults, </w:t>
      </w:r>
      <w:proofErr w:type="gramStart"/>
      <w:r w:rsidRPr="00834CDC">
        <w:t>likely due</w:t>
      </w:r>
      <w:proofErr w:type="gramEnd"/>
      <w:r w:rsidRPr="00834CDC">
        <w:t xml:space="preserve"> to sexual activity. </w:t>
      </w:r>
    </w:p>
    <w:p w14:paraId="7C2CA702" w14:textId="77777777" w:rsidR="0033445F" w:rsidRPr="00834CDC" w:rsidRDefault="0033445F" w:rsidP="0033445F">
      <w:pPr>
        <w:divId w:val="1988506822"/>
      </w:pPr>
      <w:r w:rsidRPr="00834CDC">
        <w:t>Cervical cancer in Australia disproportionately occurs in Aboriginal and Torres Strait Islander women who have twice the incidence and more than three times the mortality rate from the disease than do other Australian women.</w:t>
      </w:r>
      <w:r w:rsidRPr="00834CDC">
        <w:rPr>
          <w:vertAlign w:val="superscript"/>
        </w:rPr>
        <w:t>82</w:t>
      </w:r>
      <w:r w:rsidRPr="00834CDC">
        <w:t xml:space="preserve"> This disparity is likely related to challenges faced by Aboriginal and Torres Strait Islander people in accessing culturally safe cervical screening and treatment services and may also be related to cofactors such as smoking and higher number of pregnancies.</w:t>
      </w:r>
      <w:r w:rsidRPr="00834CDC">
        <w:rPr>
          <w:vertAlign w:val="superscript"/>
        </w:rPr>
        <w:t>83,84</w:t>
      </w:r>
      <w:r w:rsidRPr="00834CDC">
        <w:t xml:space="preserve"> Baseline HPV prevalence data, collected before commencement of the Australian HPV vaccination program, indicated that Aboriginal and Torres Strait Islander women had similar rates of HPV types 16 and 18, the most common cancer-causing types, as other Australian women regardless of age, but in middle age had higher rates of other cancer-causing types detected.</w:t>
      </w:r>
      <w:r w:rsidRPr="00834CDC">
        <w:rPr>
          <w:vertAlign w:val="superscript"/>
        </w:rPr>
        <w:t>83</w:t>
      </w:r>
      <w:r w:rsidRPr="00834CDC">
        <w:t xml:space="preserve"> </w:t>
      </w:r>
    </w:p>
    <w:p w14:paraId="621B7DA4" w14:textId="77777777" w:rsidR="00E02455" w:rsidRPr="00834CDC" w:rsidRDefault="00E02455">
      <w:pPr>
        <w:rPr>
          <w:rFonts w:asciiTheme="majorHAnsi" w:eastAsiaTheme="majorEastAsia" w:hAnsiTheme="majorHAnsi" w:cstheme="majorBidi"/>
          <w:b/>
          <w:bCs/>
          <w:sz w:val="26"/>
          <w:szCs w:val="26"/>
        </w:rPr>
      </w:pPr>
      <w:r w:rsidRPr="00834CDC">
        <w:br w:type="page"/>
      </w:r>
    </w:p>
    <w:p w14:paraId="580FE4AC" w14:textId="79022392" w:rsidR="0033445F" w:rsidRPr="00834CDC" w:rsidRDefault="0033445F" w:rsidP="0033445F">
      <w:pPr>
        <w:pStyle w:val="Heading2"/>
        <w:divId w:val="1988506822"/>
      </w:pPr>
      <w:r w:rsidRPr="00834CDC">
        <w:lastRenderedPageBreak/>
        <w:t xml:space="preserve">Results </w:t>
      </w:r>
    </w:p>
    <w:p w14:paraId="74C47884" w14:textId="77777777" w:rsidR="0033445F" w:rsidRPr="00834CDC" w:rsidRDefault="0033445F" w:rsidP="0033445F">
      <w:pPr>
        <w:pStyle w:val="Heading3"/>
        <w:divId w:val="1988506822"/>
      </w:pPr>
      <w:r w:rsidRPr="00834CDC">
        <w:t xml:space="preserve">HPV infection </w:t>
      </w:r>
    </w:p>
    <w:p w14:paraId="30505E95" w14:textId="77777777" w:rsidR="0033445F" w:rsidRPr="00834CDC" w:rsidRDefault="0033445F" w:rsidP="0033445F">
      <w:pPr>
        <w:divId w:val="1988506822"/>
      </w:pPr>
      <w:r w:rsidRPr="00834CDC">
        <w:t>HPV infection is common (estimated 90% lifetime probability of infection),</w:t>
      </w:r>
      <w:proofErr w:type="gramStart"/>
      <w:r w:rsidRPr="00834CDC">
        <w:rPr>
          <w:vertAlign w:val="superscript"/>
        </w:rPr>
        <w:t>85</w:t>
      </w:r>
      <w:proofErr w:type="gramEnd"/>
      <w:r w:rsidRPr="00834CDC">
        <w:t xml:space="preserve"> usually asymptomatic. HPV infection is not a nationally notifiable disease, although the detection of oncogenic HPV types, at levels predictive of the presence of precancerous cervical lesions, </w:t>
      </w:r>
      <w:proofErr w:type="gramStart"/>
      <w:r w:rsidRPr="00834CDC">
        <w:t>is routinely recorded</w:t>
      </w:r>
      <w:proofErr w:type="gramEnd"/>
      <w:r w:rsidRPr="00834CDC">
        <w:t xml:space="preserve"> through the National Cervical Screening Program. In 2019, rates of HPV detection among screening women aged 25–74 years were higher in the Northern Territory (11.3%) and in very remote areas (10.1%) than the overall national prevalence (8.5%).</w:t>
      </w:r>
      <w:r w:rsidRPr="00834CDC">
        <w:rPr>
          <w:vertAlign w:val="superscript"/>
        </w:rPr>
        <w:t>86</w:t>
      </w:r>
      <w:r w:rsidRPr="00834CDC">
        <w:t xml:space="preserve"> However, no published data are available stratified by whether participants identified as Aboriginal and Torres Strait Islander people. Previous studies have documented dramatic reductions in prevalence of vaccine-targeted HPV types at the cervix by 95% in women aged 18–24 years: from 29% in 2005–2007 to 7% by 2011–2012,</w:t>
      </w:r>
      <w:r w:rsidRPr="00834CDC">
        <w:rPr>
          <w:vertAlign w:val="superscript"/>
        </w:rPr>
        <w:t>87</w:t>
      </w:r>
      <w:r w:rsidRPr="00834CDC">
        <w:t xml:space="preserve"> and down to 1.5% by 2015.</w:t>
      </w:r>
      <w:r w:rsidRPr="00834CDC">
        <w:rPr>
          <w:vertAlign w:val="superscript"/>
        </w:rPr>
        <w:t>88</w:t>
      </w:r>
      <w:r w:rsidRPr="00834CDC">
        <w:t xml:space="preserve"> A study to estimate the vaccine impact among Aboriginal and Torres Strait Islander women attending culturally appropriate services found a reduction of 93% (from 23.9% to 1.4%) in vaccine-preventable HPV types in women aged 18–26 years between the pre-vaccination (2007) and post-vaccination (2014–2015) periods.</w:t>
      </w:r>
      <w:r w:rsidRPr="00834CDC">
        <w:rPr>
          <w:vertAlign w:val="superscript"/>
        </w:rPr>
        <w:t>89</w:t>
      </w:r>
      <w:r w:rsidRPr="00834CDC">
        <w:t xml:space="preserve"> HPV infection can also occur in the mouth, although persistent infection appears to be uncommon. A recent cross-sectional study found that HPV 16/18 </w:t>
      </w:r>
      <w:proofErr w:type="gramStart"/>
      <w:r w:rsidRPr="00834CDC">
        <w:t>was detected</w:t>
      </w:r>
      <w:proofErr w:type="gramEnd"/>
      <w:r w:rsidRPr="00834CDC">
        <w:t xml:space="preserve"> in the mouth of 3.3% of Aboriginal women and men in South Australia.</w:t>
      </w:r>
      <w:r w:rsidRPr="00834CDC">
        <w:rPr>
          <w:vertAlign w:val="superscript"/>
        </w:rPr>
        <w:t>90</w:t>
      </w:r>
      <w:r w:rsidRPr="00834CDC">
        <w:t xml:space="preserve"> This is higher than Australian estimates in the general population of 1.3%.</w:t>
      </w:r>
      <w:r w:rsidRPr="00834CDC">
        <w:rPr>
          <w:vertAlign w:val="superscript"/>
        </w:rPr>
        <w:t>91</w:t>
      </w:r>
      <w:r w:rsidRPr="00834CDC">
        <w:t xml:space="preserve"> </w:t>
      </w:r>
    </w:p>
    <w:p w14:paraId="16495312" w14:textId="77777777" w:rsidR="0033445F" w:rsidRPr="00834CDC" w:rsidRDefault="0033445F" w:rsidP="0033445F">
      <w:pPr>
        <w:pStyle w:val="Heading3"/>
        <w:divId w:val="1988506822"/>
        <w:rPr>
          <w:rFonts w:eastAsia="Times New Roman"/>
        </w:rPr>
      </w:pPr>
      <w:r w:rsidRPr="00834CDC">
        <w:rPr>
          <w:rFonts w:eastAsia="Times New Roman"/>
        </w:rPr>
        <w:t xml:space="preserve">Genital warts </w:t>
      </w:r>
    </w:p>
    <w:p w14:paraId="1604A452" w14:textId="2589560E" w:rsidR="0033445F" w:rsidRPr="00834CDC" w:rsidRDefault="0033445F" w:rsidP="0033445F">
      <w:pPr>
        <w:divId w:val="1988506822"/>
      </w:pPr>
      <w:r w:rsidRPr="00834CDC">
        <w:t>Decline in genital warts in young people in Australia was the first documented population-level impact of HPV vaccine internationally.</w:t>
      </w:r>
      <w:r w:rsidRPr="00834CDC">
        <w:rPr>
          <w:vertAlign w:val="superscript"/>
        </w:rPr>
        <w:t>92</w:t>
      </w:r>
      <w:r w:rsidRPr="00834CDC">
        <w:t xml:space="preserve"> This occurred both in patients attending sexual health clinics and in those hospitalised. In patients attending sexual health clinics, a study reported significant declines in presentations with genital warts among Aboriginal and Torres Strait Islander women aged 12–20 years and 21–30 years and males aged 12–20 years between the two periods 2004–2007 and 2008–2014.</w:t>
      </w:r>
      <w:r w:rsidRPr="00834CDC">
        <w:rPr>
          <w:vertAlign w:val="superscript"/>
        </w:rPr>
        <w:t>93</w:t>
      </w:r>
      <w:r w:rsidRPr="00834CDC">
        <w:t xml:space="preserve"> Updated data through to 2018 shows stable and low rates of genital warts diagnoses for Aboriginal and Torres Strait Islander people, with females aged younger than 21 years having shown an 84% reduction (from 6.4% in 2007 to 1.0% in 2018), whilst males aged younger than 21 years have shown an 81% reduction in genital warts diagnoses (from 7.2% to 1.4%).</w:t>
      </w:r>
      <w:r w:rsidRPr="00834CDC">
        <w:rPr>
          <w:vertAlign w:val="superscript"/>
        </w:rPr>
        <w:t>94</w:t>
      </w:r>
      <w:r w:rsidRPr="00834CDC">
        <w:t xml:space="preserve"> Large declines were recorded in hospitalisations with genital warts between the periods 2006–2007 and 2010–2011 and a similar magnitude of decline in Aboriginal and Torres Strait Islander and other Australian women aged 15–24 years (76.1% [95% CI: 71.6–79.9%] and 86.7% [95% CI: 76.0–92.7%], respectively).</w:t>
      </w:r>
      <w:r w:rsidRPr="00834CDC">
        <w:rPr>
          <w:vertAlign w:val="superscript"/>
        </w:rPr>
        <w:t>92</w:t>
      </w:r>
      <w:r w:rsidRPr="00834CDC">
        <w:t xml:space="preserve"> As shown in Figure 6 and Figure 7, downward trends in genital warts hospitalisations have continued for both Aboriginal and Torres Strait Islander people and other Australians younger than 30 years of age. Rates </w:t>
      </w:r>
      <w:proofErr w:type="gramStart"/>
      <w:r w:rsidRPr="00834CDC">
        <w:t>appear to also be</w:t>
      </w:r>
      <w:proofErr w:type="gramEnd"/>
      <w:r w:rsidRPr="00834CDC">
        <w:t xml:space="preserve"> decreasing in other Australian people aged 30–39 years, but not amongst Aboriginal and Torres Strait Islander people in this age group. Table 8a and Table 8b show, however, that average rates of genital warts hospitalisations in the period 2016–2019 were significantly higher amongst Aboriginal and Torres Strait Islander women aged older than 30 years than in other women, but the difference was not significant for Aboriginal and Torres Strait Islander men. </w:t>
      </w:r>
    </w:p>
    <w:p w14:paraId="1D82045F" w14:textId="77777777" w:rsidR="00E02455" w:rsidRPr="00834CDC" w:rsidRDefault="00E02455">
      <w:pPr>
        <w:rPr>
          <w:rStyle w:val="Strong"/>
        </w:rPr>
      </w:pPr>
      <w:r w:rsidRPr="00834CDC">
        <w:rPr>
          <w:rStyle w:val="Strong"/>
        </w:rPr>
        <w:br w:type="page"/>
      </w:r>
    </w:p>
    <w:p w14:paraId="582FA835" w14:textId="53AFE21B" w:rsidR="009319E3" w:rsidRPr="00834CDC" w:rsidRDefault="009319E3" w:rsidP="009319E3">
      <w:pPr>
        <w:pStyle w:val="NormalWeb"/>
      </w:pPr>
      <w:r w:rsidRPr="00834CDC">
        <w:rPr>
          <w:rStyle w:val="Strong"/>
        </w:rPr>
        <w:lastRenderedPageBreak/>
        <w:t>Figure 6: Genital warts hospitalisation rates, Aboriginal and Torres Strait Islander Australians, Australia (all states and territories), 2003–</w:t>
      </w:r>
      <w:proofErr w:type="gramStart"/>
      <w:r w:rsidRPr="00834CDC">
        <w:rPr>
          <w:rStyle w:val="Strong"/>
        </w:rPr>
        <w:t>2019,</w:t>
      </w:r>
      <w:r w:rsidRPr="00834CDC">
        <w:rPr>
          <w:rStyle w:val="Strong"/>
          <w:vertAlign w:val="superscript"/>
        </w:rPr>
        <w:t>a</w:t>
      </w:r>
      <w:proofErr w:type="gramEnd"/>
      <w:r w:rsidRPr="00834CDC">
        <w:rPr>
          <w:rStyle w:val="Strong"/>
        </w:rPr>
        <w:t xml:space="preserve"> by age group</w:t>
      </w:r>
    </w:p>
    <w:p w14:paraId="6AA2A11A" w14:textId="77777777" w:rsidR="00A53F45" w:rsidRPr="00834CDC" w:rsidRDefault="009319E3">
      <w:pPr>
        <w:rPr>
          <w:rStyle w:val="Strong"/>
          <w:b w:val="0"/>
          <w:bCs w:val="0"/>
        </w:rPr>
      </w:pPr>
      <w:r w:rsidRPr="00834CDC">
        <w:rPr>
          <w:rFonts w:eastAsia="Times New Roman"/>
          <w:noProof/>
        </w:rPr>
        <w:drawing>
          <wp:inline distT="0" distB="0" distL="0" distR="0" wp14:anchorId="4C5E9F48" wp14:editId="755C4D3F">
            <wp:extent cx="6625424" cy="4140477"/>
            <wp:effectExtent l="0" t="0" r="4445" b="0"/>
            <wp:docPr id="7" name="Picture 7" descr="Line graph showing hospitalisation rates for genital warts in Aboriginal and Torres Strait Islander Australians, from 2003 to 2019 by age group. There were downward trends in genital warts hospitalisations in the 10-19 and 20-29 year age group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e graph showing hospitalisation rates for genital warts in Aboriginal and Torres Strait Islander Australians, from 2003 to 2019 by age group. There were downward trends in genital warts hospitalisations in the 10-19 and 20-29 year age groups. &#10;"/>
                    <pic:cNvPicPr>
                      <a:picLocks noChangeAspect="1" noChangeArrowheads="1"/>
                    </pic:cNvPicPr>
                  </pic:nvPicPr>
                  <pic:blipFill>
                    <a:blip r:link="rId17">
                      <a:extLst>
                        <a:ext uri="{28A0092B-C50C-407E-A947-70E740481C1C}">
                          <a14:useLocalDpi xmlns:a14="http://schemas.microsoft.com/office/drawing/2010/main" val="0"/>
                        </a:ext>
                      </a:extLst>
                    </a:blip>
                    <a:stretch>
                      <a:fillRect/>
                    </a:stretch>
                  </pic:blipFill>
                  <pic:spPr bwMode="auto">
                    <a:xfrm>
                      <a:off x="0" y="0"/>
                      <a:ext cx="6638517" cy="4148659"/>
                    </a:xfrm>
                    <a:prstGeom prst="rect">
                      <a:avLst/>
                    </a:prstGeom>
                  </pic:spPr>
                </pic:pic>
              </a:graphicData>
            </a:graphic>
          </wp:inline>
        </w:drawing>
      </w:r>
    </w:p>
    <w:p w14:paraId="2958BA59" w14:textId="77777777" w:rsidR="005D74E9" w:rsidRPr="00834CDC" w:rsidRDefault="00A53F45" w:rsidP="00A53F45">
      <w:pPr>
        <w:pStyle w:val="CDIfootnotes"/>
      </w:pPr>
      <w:r w:rsidRPr="00834CDC">
        <w:t>a</w:t>
      </w:r>
      <w:r w:rsidRPr="00834CDC">
        <w:tab/>
      </w:r>
      <w:proofErr w:type="gramStart"/>
      <w:r w:rsidRPr="00834CDC">
        <w:t>Hospital admissions</w:t>
      </w:r>
      <w:proofErr w:type="gramEnd"/>
      <w:r w:rsidRPr="00834CDC">
        <w:t xml:space="preserve"> where the date of admission was between 1 January 2003 and 30 June 2019; 2019 hospitalisation data annualised.</w:t>
      </w:r>
    </w:p>
    <w:p w14:paraId="0F913EC3" w14:textId="77777777" w:rsidR="005D74E9" w:rsidRPr="00834CDC" w:rsidRDefault="005D74E9">
      <w:pPr>
        <w:rPr>
          <w:sz w:val="18"/>
        </w:rPr>
      </w:pPr>
      <w:r w:rsidRPr="00834CDC">
        <w:br w:type="page"/>
      </w:r>
    </w:p>
    <w:p w14:paraId="52217563" w14:textId="77777777" w:rsidR="005D74E9" w:rsidRPr="00834CDC" w:rsidRDefault="005D74E9" w:rsidP="005D74E9">
      <w:pPr>
        <w:pStyle w:val="CDIFigures"/>
      </w:pPr>
      <w:r w:rsidRPr="00834CDC">
        <w:rPr>
          <w:rStyle w:val="Strong"/>
          <w:b/>
          <w:bCs w:val="0"/>
        </w:rPr>
        <w:lastRenderedPageBreak/>
        <w:t>Figure 7: Genital warts hospitalisation rates, other Australians, Australia (all states and territories), 2003–</w:t>
      </w:r>
      <w:proofErr w:type="gramStart"/>
      <w:r w:rsidRPr="00834CDC">
        <w:rPr>
          <w:rStyle w:val="Strong"/>
          <w:b/>
          <w:bCs w:val="0"/>
        </w:rPr>
        <w:t>2019,</w:t>
      </w:r>
      <w:r w:rsidRPr="00834CDC">
        <w:rPr>
          <w:rStyle w:val="Strong"/>
          <w:b/>
          <w:bCs w:val="0"/>
          <w:vertAlign w:val="superscript"/>
        </w:rPr>
        <w:t>a</w:t>
      </w:r>
      <w:proofErr w:type="gramEnd"/>
      <w:r w:rsidRPr="00834CDC">
        <w:rPr>
          <w:rStyle w:val="Strong"/>
          <w:b/>
          <w:bCs w:val="0"/>
        </w:rPr>
        <w:t xml:space="preserve"> by age group</w:t>
      </w:r>
    </w:p>
    <w:p w14:paraId="10CD4325" w14:textId="77777777" w:rsidR="00A607E2" w:rsidRPr="00834CDC" w:rsidRDefault="00A53F45" w:rsidP="00A53F45">
      <w:pPr>
        <w:pStyle w:val="CDIfootnotes"/>
      </w:pPr>
      <w:r w:rsidRPr="00834CDC">
        <w:t xml:space="preserve"> </w:t>
      </w:r>
      <w:r w:rsidR="00A607E2" w:rsidRPr="00834CDC">
        <w:rPr>
          <w:rFonts w:eastAsia="Times New Roman"/>
          <w:noProof/>
        </w:rPr>
        <w:drawing>
          <wp:inline distT="0" distB="0" distL="0" distR="0" wp14:anchorId="15F5B084" wp14:editId="43D0FF55">
            <wp:extent cx="6601570" cy="4364864"/>
            <wp:effectExtent l="0" t="0" r="0" b="0"/>
            <wp:docPr id="8" name="Picture 8" descr="Line graph showing hospitalisation rates for genital warts in other Australians, from 2003 to 2019 by age group. Similar to figure 6, there were downward trends in genital warts hospitalisations in the 10-19 and 20-29 year age groups. Rates also appear to be decreasing in other Australian people aged 30-39 year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e graph showing hospitalisation rates for genital warts in other Australians, from 2003 to 2019 by age group. Similar to figure 6, there were downward trends in genital warts hospitalisations in the 10-19 and 20-29 year age groups. Rates also appear to be decreasing in other Australian people aged 30-39 years. &#10;"/>
                    <pic:cNvPicPr>
                      <a:picLocks noChangeAspect="1" noChangeArrowheads="1"/>
                    </pic:cNvPicPr>
                  </pic:nvPicPr>
                  <pic:blipFill>
                    <a:blip r:link="rId18">
                      <a:extLst>
                        <a:ext uri="{28A0092B-C50C-407E-A947-70E740481C1C}">
                          <a14:useLocalDpi xmlns:a14="http://schemas.microsoft.com/office/drawing/2010/main" val="0"/>
                        </a:ext>
                      </a:extLst>
                    </a:blip>
                    <a:stretch>
                      <a:fillRect/>
                    </a:stretch>
                  </pic:blipFill>
                  <pic:spPr bwMode="auto">
                    <a:xfrm>
                      <a:off x="0" y="0"/>
                      <a:ext cx="6611674" cy="4371545"/>
                    </a:xfrm>
                    <a:prstGeom prst="rect">
                      <a:avLst/>
                    </a:prstGeom>
                  </pic:spPr>
                </pic:pic>
              </a:graphicData>
            </a:graphic>
          </wp:inline>
        </w:drawing>
      </w:r>
    </w:p>
    <w:p w14:paraId="15E6D83D" w14:textId="2AD11FA8" w:rsidR="0074784B" w:rsidRPr="00834CDC" w:rsidRDefault="00A607E2" w:rsidP="00A607E2">
      <w:pPr>
        <w:pStyle w:val="CDIfootnotes"/>
        <w:rPr>
          <w:rStyle w:val="Strong"/>
          <w:b w:val="0"/>
          <w:bCs w:val="0"/>
        </w:rPr>
      </w:pPr>
      <w:r w:rsidRPr="00834CDC">
        <w:t>a</w:t>
      </w:r>
      <w:r w:rsidRPr="00834CDC">
        <w:tab/>
      </w:r>
      <w:proofErr w:type="gramStart"/>
      <w:r w:rsidRPr="00834CDC">
        <w:t>Hospital admissions</w:t>
      </w:r>
      <w:proofErr w:type="gramEnd"/>
      <w:r w:rsidRPr="00834CDC">
        <w:t xml:space="preserve"> where the date of admission was between 1 January 2003 and 30 June 2019; 2019 hospitalisation data annualised.</w:t>
      </w:r>
      <w:r w:rsidR="0074784B" w:rsidRPr="00834CDC">
        <w:rPr>
          <w:rStyle w:val="Strong"/>
          <w:b w:val="0"/>
          <w:bCs w:val="0"/>
        </w:rPr>
        <w:br w:type="page"/>
      </w:r>
    </w:p>
    <w:p w14:paraId="2D477802" w14:textId="1D2B018A" w:rsidR="00141077" w:rsidRPr="00834CDC" w:rsidRDefault="00141077" w:rsidP="00141077">
      <w:pPr>
        <w:pStyle w:val="CDIFigures"/>
        <w:divId w:val="1988506822"/>
        <w:rPr>
          <w:rStyle w:val="Strong"/>
          <w:b/>
          <w:bCs w:val="0"/>
        </w:rPr>
      </w:pPr>
      <w:r w:rsidRPr="00834CDC">
        <w:rPr>
          <w:rStyle w:val="Strong"/>
          <w:b/>
          <w:bCs w:val="0"/>
        </w:rPr>
        <w:lastRenderedPageBreak/>
        <w:t xml:space="preserve">Table 8: Genital warts hospitalisations, Australia (all states and territories), 2016–2019, by gender ([a] female; and [b] male), age and Aboriginal and Torres Strait Islander status </w:t>
      </w:r>
    </w:p>
    <w:p w14:paraId="005413CC" w14:textId="3B090B30" w:rsidR="00500F9B" w:rsidRPr="00834CDC" w:rsidRDefault="00500F9B" w:rsidP="00500F9B">
      <w:pPr>
        <w:divId w:val="1988506822"/>
        <w:rPr>
          <w:b/>
          <w:bCs/>
        </w:rPr>
      </w:pPr>
      <w:proofErr w:type="spellStart"/>
      <w:proofErr w:type="gramStart"/>
      <w:r w:rsidRPr="00834CDC">
        <w:rPr>
          <w:b/>
          <w:bCs/>
        </w:rPr>
        <w:t>a.Female</w:t>
      </w:r>
      <w:proofErr w:type="spellEnd"/>
      <w:proofErr w:type="gramEnd"/>
    </w:p>
    <w:tbl>
      <w:tblPr>
        <w:tblStyle w:val="CDI-StandardTable"/>
        <w:tblW w:w="0" w:type="auto"/>
        <w:tblLook w:val="04A0" w:firstRow="1" w:lastRow="0" w:firstColumn="1" w:lastColumn="0" w:noHBand="0" w:noVBand="1"/>
        <w:tblDescription w:val="Table 8 shows the number and rates per 100,000 population of genital warts hospitalisations by gender (table a, female; table b, male), age and Aboriginal and Torres Strait Islander status, Australia, 2016 to 2019. &#10;"/>
      </w:tblPr>
      <w:tblGrid>
        <w:gridCol w:w="2268"/>
        <w:gridCol w:w="3429"/>
        <w:gridCol w:w="993"/>
        <w:gridCol w:w="1133"/>
        <w:gridCol w:w="991"/>
        <w:gridCol w:w="1652"/>
      </w:tblGrid>
      <w:tr w:rsidR="001059CA" w:rsidRPr="00834CDC" w14:paraId="6157555B" w14:textId="77777777" w:rsidTr="001059CA">
        <w:trPr>
          <w:cnfStyle w:val="100000000000" w:firstRow="1" w:lastRow="0" w:firstColumn="0" w:lastColumn="0" w:oddVBand="0" w:evenVBand="0" w:oddHBand="0" w:evenHBand="0" w:firstRowFirstColumn="0" w:firstRowLastColumn="0" w:lastRowFirstColumn="0" w:lastRowLastColumn="0"/>
          <w:divId w:val="1988506822"/>
          <w:tblHeader/>
        </w:trPr>
        <w:tc>
          <w:tcPr>
            <w:tcW w:w="2268" w:type="dxa"/>
            <w:vMerge w:val="restart"/>
            <w:hideMark/>
          </w:tcPr>
          <w:p w14:paraId="2FF0F08C" w14:textId="0147A720" w:rsidR="001059CA" w:rsidRPr="00834CDC" w:rsidRDefault="001059CA" w:rsidP="001059CA">
            <w:pPr>
              <w:pStyle w:val="NormalWeb"/>
              <w:rPr>
                <w:sz w:val="18"/>
                <w:szCs w:val="18"/>
              </w:rPr>
            </w:pPr>
            <w:r w:rsidRPr="00834CDC">
              <w:rPr>
                <w:sz w:val="18"/>
                <w:szCs w:val="18"/>
              </w:rPr>
              <w:t>Age group (years)</w:t>
            </w:r>
          </w:p>
        </w:tc>
        <w:tc>
          <w:tcPr>
            <w:tcW w:w="3429" w:type="dxa"/>
            <w:vMerge w:val="restart"/>
            <w:hideMark/>
          </w:tcPr>
          <w:p w14:paraId="4948EF7E" w14:textId="77777777" w:rsidR="001059CA" w:rsidRPr="00834CDC" w:rsidRDefault="001059CA" w:rsidP="003058F5">
            <w:pPr>
              <w:pStyle w:val="NormalWeb"/>
              <w:rPr>
                <w:sz w:val="18"/>
                <w:szCs w:val="18"/>
              </w:rPr>
            </w:pPr>
            <w:r w:rsidRPr="00834CDC">
              <w:rPr>
                <w:sz w:val="18"/>
                <w:szCs w:val="18"/>
              </w:rPr>
              <w:t>Aboriginal and Torres Strait Islander status</w:t>
            </w:r>
          </w:p>
        </w:tc>
        <w:tc>
          <w:tcPr>
            <w:tcW w:w="4769" w:type="dxa"/>
            <w:gridSpan w:val="4"/>
            <w:hideMark/>
          </w:tcPr>
          <w:p w14:paraId="0E189D4D" w14:textId="5EA9A0AD" w:rsidR="001059CA" w:rsidRPr="00834CDC" w:rsidRDefault="001059CA" w:rsidP="003058F5">
            <w:pPr>
              <w:pStyle w:val="NormalWeb"/>
              <w:rPr>
                <w:sz w:val="18"/>
                <w:szCs w:val="18"/>
              </w:rPr>
            </w:pPr>
            <w:r w:rsidRPr="00834CDC">
              <w:rPr>
                <w:sz w:val="18"/>
                <w:szCs w:val="18"/>
              </w:rPr>
              <w:t>Hospitalisations</w:t>
            </w:r>
            <w:r w:rsidR="00D24B47">
              <w:rPr>
                <w:sz w:val="18"/>
                <w:szCs w:val="18"/>
              </w:rPr>
              <w:t xml:space="preserve"> </w:t>
            </w:r>
            <w:r w:rsidRPr="00834CDC">
              <w:rPr>
                <w:sz w:val="18"/>
                <w:szCs w:val="18"/>
                <w:vertAlign w:val="superscript"/>
              </w:rPr>
              <w:t>a</w:t>
            </w:r>
            <w:r w:rsidRPr="00834CDC">
              <w:rPr>
                <w:sz w:val="18"/>
                <w:szCs w:val="18"/>
              </w:rPr>
              <w:t xml:space="preserve"> (2016–2019)</w:t>
            </w:r>
          </w:p>
        </w:tc>
      </w:tr>
      <w:tr w:rsidR="001059CA" w:rsidRPr="00834CDC" w14:paraId="1F12B178" w14:textId="77777777" w:rsidTr="001059CA">
        <w:trPr>
          <w:cnfStyle w:val="100000000000" w:firstRow="1" w:lastRow="0" w:firstColumn="0" w:lastColumn="0" w:oddVBand="0" w:evenVBand="0" w:oddHBand="0" w:evenHBand="0" w:firstRowFirstColumn="0" w:firstRowLastColumn="0" w:lastRowFirstColumn="0" w:lastRowLastColumn="0"/>
          <w:divId w:val="1988506822"/>
          <w:tblHeader/>
        </w:trPr>
        <w:tc>
          <w:tcPr>
            <w:tcW w:w="2268" w:type="dxa"/>
            <w:vMerge/>
            <w:tcBorders>
              <w:bottom w:val="single" w:sz="2" w:space="0" w:color="808080" w:themeColor="background1" w:themeShade="80"/>
            </w:tcBorders>
            <w:hideMark/>
          </w:tcPr>
          <w:p w14:paraId="6E7281B6" w14:textId="77777777" w:rsidR="001059CA" w:rsidRPr="00834CDC" w:rsidRDefault="001059CA" w:rsidP="003058F5">
            <w:pPr>
              <w:rPr>
                <w:sz w:val="18"/>
                <w:szCs w:val="18"/>
              </w:rPr>
            </w:pPr>
          </w:p>
        </w:tc>
        <w:tc>
          <w:tcPr>
            <w:tcW w:w="3429" w:type="dxa"/>
            <w:vMerge/>
            <w:tcBorders>
              <w:bottom w:val="single" w:sz="2" w:space="0" w:color="808080" w:themeColor="background1" w:themeShade="80"/>
            </w:tcBorders>
            <w:hideMark/>
          </w:tcPr>
          <w:p w14:paraId="39E71469" w14:textId="77777777" w:rsidR="001059CA" w:rsidRPr="00834CDC" w:rsidRDefault="001059CA" w:rsidP="003058F5">
            <w:pPr>
              <w:rPr>
                <w:sz w:val="18"/>
                <w:szCs w:val="18"/>
              </w:rPr>
            </w:pPr>
          </w:p>
        </w:tc>
        <w:tc>
          <w:tcPr>
            <w:tcW w:w="993" w:type="dxa"/>
            <w:tcBorders>
              <w:bottom w:val="single" w:sz="2" w:space="0" w:color="808080" w:themeColor="background1" w:themeShade="80"/>
            </w:tcBorders>
            <w:hideMark/>
          </w:tcPr>
          <w:p w14:paraId="7106CC32" w14:textId="77777777" w:rsidR="001059CA" w:rsidRPr="00834CDC" w:rsidRDefault="001059CA" w:rsidP="003058F5">
            <w:pPr>
              <w:pStyle w:val="NormalWeb"/>
              <w:rPr>
                <w:sz w:val="18"/>
                <w:szCs w:val="18"/>
              </w:rPr>
            </w:pPr>
            <w:r w:rsidRPr="00834CDC">
              <w:rPr>
                <w:sz w:val="18"/>
                <w:szCs w:val="18"/>
              </w:rPr>
              <w:t>N</w:t>
            </w:r>
          </w:p>
        </w:tc>
        <w:tc>
          <w:tcPr>
            <w:tcW w:w="1133" w:type="dxa"/>
            <w:tcBorders>
              <w:bottom w:val="single" w:sz="2" w:space="0" w:color="808080" w:themeColor="background1" w:themeShade="80"/>
            </w:tcBorders>
            <w:hideMark/>
          </w:tcPr>
          <w:p w14:paraId="2CD48204" w14:textId="2C85E59A" w:rsidR="001059CA" w:rsidRPr="00834CDC" w:rsidRDefault="001059CA" w:rsidP="003058F5">
            <w:pPr>
              <w:pStyle w:val="NormalWeb"/>
              <w:rPr>
                <w:sz w:val="18"/>
                <w:szCs w:val="18"/>
              </w:rPr>
            </w:pPr>
            <w:r w:rsidRPr="00834CDC">
              <w:rPr>
                <w:sz w:val="18"/>
                <w:szCs w:val="18"/>
              </w:rPr>
              <w:t>Rate</w:t>
            </w:r>
            <w:r w:rsidR="00D24B47">
              <w:rPr>
                <w:sz w:val="18"/>
                <w:szCs w:val="18"/>
              </w:rPr>
              <w:t xml:space="preserve"> </w:t>
            </w:r>
            <w:r w:rsidRPr="00834CDC">
              <w:rPr>
                <w:sz w:val="18"/>
                <w:szCs w:val="18"/>
                <w:vertAlign w:val="superscript"/>
              </w:rPr>
              <w:t>b</w:t>
            </w:r>
          </w:p>
        </w:tc>
        <w:tc>
          <w:tcPr>
            <w:tcW w:w="991" w:type="dxa"/>
            <w:tcBorders>
              <w:bottom w:val="single" w:sz="2" w:space="0" w:color="808080" w:themeColor="background1" w:themeShade="80"/>
            </w:tcBorders>
            <w:hideMark/>
          </w:tcPr>
          <w:p w14:paraId="6F8CA400" w14:textId="77777777" w:rsidR="001059CA" w:rsidRPr="00834CDC" w:rsidRDefault="001059CA" w:rsidP="003058F5">
            <w:pPr>
              <w:pStyle w:val="NormalWeb"/>
              <w:rPr>
                <w:sz w:val="18"/>
                <w:szCs w:val="18"/>
              </w:rPr>
            </w:pPr>
            <w:r w:rsidRPr="00834CDC">
              <w:rPr>
                <w:sz w:val="18"/>
                <w:szCs w:val="18"/>
              </w:rPr>
              <w:t>Rate ratio</w:t>
            </w:r>
          </w:p>
        </w:tc>
        <w:tc>
          <w:tcPr>
            <w:tcW w:w="1652" w:type="dxa"/>
            <w:tcBorders>
              <w:bottom w:val="single" w:sz="2" w:space="0" w:color="808080" w:themeColor="background1" w:themeShade="80"/>
            </w:tcBorders>
            <w:hideMark/>
          </w:tcPr>
          <w:p w14:paraId="017C77F5" w14:textId="77777777" w:rsidR="001059CA" w:rsidRPr="00834CDC" w:rsidRDefault="001059CA" w:rsidP="003058F5">
            <w:pPr>
              <w:pStyle w:val="NormalWeb"/>
              <w:rPr>
                <w:sz w:val="18"/>
                <w:szCs w:val="18"/>
              </w:rPr>
            </w:pPr>
            <w:r w:rsidRPr="00834CDC">
              <w:rPr>
                <w:sz w:val="18"/>
                <w:szCs w:val="18"/>
              </w:rPr>
              <w:t>95%CI for rate ratio</w:t>
            </w:r>
          </w:p>
        </w:tc>
      </w:tr>
      <w:tr w:rsidR="001059CA" w:rsidRPr="00834CDC" w14:paraId="297FBF3C" w14:textId="77777777" w:rsidTr="001059CA">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2F1CAB" w14:textId="77777777" w:rsidR="001059CA" w:rsidRPr="00834CDC" w:rsidRDefault="001059CA" w:rsidP="003058F5">
            <w:pPr>
              <w:pStyle w:val="NormalWeb"/>
              <w:rPr>
                <w:sz w:val="18"/>
                <w:szCs w:val="18"/>
              </w:rPr>
            </w:pPr>
            <w:r w:rsidRPr="00834CDC">
              <w:rPr>
                <w:sz w:val="18"/>
                <w:szCs w:val="18"/>
              </w:rPr>
              <w:t>&lt; 10</w:t>
            </w:r>
          </w:p>
        </w:tc>
        <w:tc>
          <w:tcPr>
            <w:tcW w:w="34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6B8375" w14:textId="77777777" w:rsidR="001059CA" w:rsidRPr="00834CDC" w:rsidRDefault="001059CA" w:rsidP="003058F5">
            <w:pPr>
              <w:pStyle w:val="NormalWeb"/>
              <w:rPr>
                <w:sz w:val="18"/>
                <w:szCs w:val="18"/>
              </w:rPr>
            </w:pPr>
            <w:r w:rsidRPr="00834CDC">
              <w:rPr>
                <w:sz w:val="18"/>
                <w:szCs w:val="18"/>
              </w:rPr>
              <w:t>Aboriginal and Torres Strait Islander</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9EEB98" w14:textId="5DFB9EAA" w:rsidR="001059CA" w:rsidRPr="00834CDC" w:rsidRDefault="001059CA" w:rsidP="003058F5">
            <w:pPr>
              <w:pStyle w:val="NormalWeb"/>
              <w:rPr>
                <w:sz w:val="18"/>
                <w:szCs w:val="18"/>
              </w:rPr>
            </w:pPr>
            <w:r w:rsidRPr="00834CDC">
              <w:rPr>
                <w:sz w:val="18"/>
                <w:szCs w:val="18"/>
              </w:rPr>
              <w:t>1–5</w:t>
            </w:r>
            <w:r w:rsidR="00916F61" w:rsidRPr="00834CDC">
              <w:rPr>
                <w:sz w:val="18"/>
                <w:szCs w:val="18"/>
              </w:rPr>
              <w:t xml:space="preserve"> </w:t>
            </w:r>
            <w:r w:rsidRPr="00834CDC">
              <w:rPr>
                <w:sz w:val="18"/>
                <w:szCs w:val="18"/>
                <w:vertAlign w:val="superscript"/>
              </w:rPr>
              <w:t>c</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C0FE56" w14:textId="77777777" w:rsidR="001059CA" w:rsidRPr="00834CDC" w:rsidRDefault="001059CA" w:rsidP="003058F5">
            <w:pPr>
              <w:pStyle w:val="NormalWeb"/>
              <w:rPr>
                <w:sz w:val="18"/>
                <w:szCs w:val="18"/>
              </w:rPr>
            </w:pPr>
            <w:r w:rsidRPr="00834CDC">
              <w:rPr>
                <w:sz w:val="18"/>
                <w:szCs w:val="18"/>
              </w:rPr>
              <w:t>0.31</w:t>
            </w:r>
          </w:p>
        </w:tc>
        <w:tc>
          <w:tcPr>
            <w:tcW w:w="99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E9F41A" w14:textId="77777777" w:rsidR="001059CA" w:rsidRPr="00834CDC" w:rsidRDefault="001059CA" w:rsidP="003058F5">
            <w:pPr>
              <w:pStyle w:val="NormalWeb"/>
              <w:rPr>
                <w:sz w:val="18"/>
                <w:szCs w:val="18"/>
              </w:rPr>
            </w:pPr>
            <w:r w:rsidRPr="00834CDC">
              <w:rPr>
                <w:sz w:val="18"/>
                <w:szCs w:val="18"/>
              </w:rPr>
              <w:t>0.8</w:t>
            </w:r>
          </w:p>
        </w:tc>
        <w:tc>
          <w:tcPr>
            <w:tcW w:w="16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46282B" w14:textId="77777777" w:rsidR="001059CA" w:rsidRPr="00834CDC" w:rsidRDefault="001059CA" w:rsidP="003058F5">
            <w:pPr>
              <w:pStyle w:val="NormalWeb"/>
              <w:rPr>
                <w:sz w:val="18"/>
                <w:szCs w:val="18"/>
              </w:rPr>
            </w:pPr>
            <w:r w:rsidRPr="00834CDC">
              <w:rPr>
                <w:sz w:val="18"/>
                <w:szCs w:val="18"/>
              </w:rPr>
              <w:t>0.02–4.7</w:t>
            </w:r>
          </w:p>
        </w:tc>
      </w:tr>
      <w:tr w:rsidR="001059CA" w:rsidRPr="00834CDC" w14:paraId="1DB0BEAD" w14:textId="77777777" w:rsidTr="001059CA">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D82174" w14:textId="77777777" w:rsidR="001059CA" w:rsidRPr="00834CDC" w:rsidRDefault="001059CA" w:rsidP="003058F5">
            <w:pPr>
              <w:rPr>
                <w:sz w:val="18"/>
                <w:szCs w:val="18"/>
              </w:rPr>
            </w:pPr>
          </w:p>
        </w:tc>
        <w:tc>
          <w:tcPr>
            <w:tcW w:w="34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88205E" w14:textId="77777777" w:rsidR="001059CA" w:rsidRPr="00834CDC" w:rsidRDefault="001059CA" w:rsidP="003058F5">
            <w:pPr>
              <w:pStyle w:val="NormalWeb"/>
              <w:rPr>
                <w:sz w:val="18"/>
                <w:szCs w:val="18"/>
              </w:rPr>
            </w:pPr>
            <w:r w:rsidRPr="00834CDC">
              <w:rPr>
                <w:sz w:val="18"/>
                <w:szCs w:val="18"/>
              </w:rPr>
              <w:t>Other</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4E8158" w14:textId="77777777" w:rsidR="001059CA" w:rsidRPr="00834CDC" w:rsidRDefault="001059CA" w:rsidP="003058F5">
            <w:pPr>
              <w:pStyle w:val="NormalWeb"/>
              <w:rPr>
                <w:sz w:val="18"/>
                <w:szCs w:val="18"/>
              </w:rPr>
            </w:pPr>
            <w:r w:rsidRPr="00834CDC">
              <w:rPr>
                <w:sz w:val="18"/>
                <w:szCs w:val="18"/>
              </w:rPr>
              <w:t>21</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C4B7DD" w14:textId="77777777" w:rsidR="001059CA" w:rsidRPr="00834CDC" w:rsidRDefault="001059CA" w:rsidP="003058F5">
            <w:pPr>
              <w:pStyle w:val="NormalWeb"/>
              <w:rPr>
                <w:sz w:val="18"/>
                <w:szCs w:val="18"/>
              </w:rPr>
            </w:pPr>
            <w:r w:rsidRPr="00834CDC">
              <w:rPr>
                <w:sz w:val="18"/>
                <w:szCs w:val="18"/>
              </w:rPr>
              <w:t>0.41</w:t>
            </w:r>
          </w:p>
        </w:tc>
        <w:tc>
          <w:tcPr>
            <w:tcW w:w="99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CE85E4" w14:textId="77777777" w:rsidR="001059CA" w:rsidRPr="00834CDC" w:rsidRDefault="001059CA" w:rsidP="003058F5">
            <w:pPr>
              <w:rPr>
                <w:sz w:val="18"/>
                <w:szCs w:val="18"/>
              </w:rPr>
            </w:pPr>
          </w:p>
        </w:tc>
        <w:tc>
          <w:tcPr>
            <w:tcW w:w="16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F373DD" w14:textId="77777777" w:rsidR="001059CA" w:rsidRPr="00834CDC" w:rsidRDefault="001059CA" w:rsidP="003058F5">
            <w:pPr>
              <w:rPr>
                <w:sz w:val="18"/>
                <w:szCs w:val="18"/>
              </w:rPr>
            </w:pPr>
          </w:p>
        </w:tc>
      </w:tr>
      <w:tr w:rsidR="001059CA" w:rsidRPr="00834CDC" w14:paraId="30531762" w14:textId="77777777" w:rsidTr="001059CA">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08FC113" w14:textId="77777777" w:rsidR="001059CA" w:rsidRPr="00834CDC" w:rsidRDefault="001059CA" w:rsidP="003058F5">
            <w:pPr>
              <w:pStyle w:val="NormalWeb"/>
              <w:rPr>
                <w:sz w:val="18"/>
                <w:szCs w:val="18"/>
              </w:rPr>
            </w:pPr>
            <w:r w:rsidRPr="00834CDC">
              <w:rPr>
                <w:sz w:val="18"/>
                <w:szCs w:val="18"/>
              </w:rPr>
              <w:t>10–19</w:t>
            </w:r>
          </w:p>
        </w:tc>
        <w:tc>
          <w:tcPr>
            <w:tcW w:w="34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EEC1A8" w14:textId="77777777" w:rsidR="001059CA" w:rsidRPr="00834CDC" w:rsidRDefault="001059CA" w:rsidP="003058F5">
            <w:pPr>
              <w:pStyle w:val="NormalWeb"/>
              <w:rPr>
                <w:sz w:val="18"/>
                <w:szCs w:val="18"/>
              </w:rPr>
            </w:pPr>
            <w:r w:rsidRPr="00834CDC">
              <w:rPr>
                <w:sz w:val="18"/>
                <w:szCs w:val="18"/>
              </w:rPr>
              <w:t>Aboriginal and Torres Strait Islander</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881601" w14:textId="2580EC72" w:rsidR="001059CA" w:rsidRPr="00834CDC" w:rsidRDefault="001059CA" w:rsidP="003058F5">
            <w:pPr>
              <w:pStyle w:val="NormalWeb"/>
              <w:rPr>
                <w:sz w:val="18"/>
                <w:szCs w:val="18"/>
              </w:rPr>
            </w:pPr>
            <w:r w:rsidRPr="00834CDC">
              <w:rPr>
                <w:sz w:val="18"/>
                <w:szCs w:val="18"/>
              </w:rPr>
              <w:t>NP</w:t>
            </w:r>
            <w:r w:rsidR="00916F61" w:rsidRPr="00834CDC">
              <w:rPr>
                <w:sz w:val="18"/>
                <w:szCs w:val="18"/>
              </w:rPr>
              <w:t xml:space="preserve"> </w:t>
            </w:r>
            <w:r w:rsidRPr="00834CDC">
              <w:rPr>
                <w:sz w:val="18"/>
                <w:szCs w:val="18"/>
                <w:vertAlign w:val="superscript"/>
              </w:rPr>
              <w:t>c</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C12B9C" w14:textId="77777777" w:rsidR="001059CA" w:rsidRPr="00834CDC" w:rsidRDefault="001059CA" w:rsidP="003058F5">
            <w:pPr>
              <w:pStyle w:val="NormalWeb"/>
              <w:rPr>
                <w:sz w:val="18"/>
                <w:szCs w:val="18"/>
              </w:rPr>
            </w:pPr>
            <w:r w:rsidRPr="00834CDC">
              <w:rPr>
                <w:sz w:val="18"/>
                <w:szCs w:val="18"/>
              </w:rPr>
              <w:t>3.06</w:t>
            </w:r>
          </w:p>
        </w:tc>
        <w:tc>
          <w:tcPr>
            <w:tcW w:w="99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B2D443" w14:textId="77777777" w:rsidR="001059CA" w:rsidRPr="00834CDC" w:rsidRDefault="001059CA" w:rsidP="003058F5">
            <w:pPr>
              <w:pStyle w:val="NormalWeb"/>
              <w:rPr>
                <w:sz w:val="18"/>
                <w:szCs w:val="18"/>
              </w:rPr>
            </w:pPr>
            <w:r w:rsidRPr="00834CDC">
              <w:rPr>
                <w:sz w:val="18"/>
                <w:szCs w:val="18"/>
              </w:rPr>
              <w:t>3.1</w:t>
            </w:r>
          </w:p>
        </w:tc>
        <w:tc>
          <w:tcPr>
            <w:tcW w:w="16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861151" w14:textId="77777777" w:rsidR="001059CA" w:rsidRPr="00834CDC" w:rsidRDefault="001059CA" w:rsidP="003058F5">
            <w:pPr>
              <w:pStyle w:val="NormalWeb"/>
              <w:rPr>
                <w:sz w:val="18"/>
                <w:szCs w:val="18"/>
              </w:rPr>
            </w:pPr>
            <w:r w:rsidRPr="00834CDC">
              <w:rPr>
                <w:sz w:val="18"/>
                <w:szCs w:val="18"/>
              </w:rPr>
              <w:t>1.3–6.4</w:t>
            </w:r>
          </w:p>
        </w:tc>
      </w:tr>
      <w:tr w:rsidR="001059CA" w:rsidRPr="00834CDC" w14:paraId="274C8FEF" w14:textId="77777777" w:rsidTr="001059CA">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B4E4F6" w14:textId="77777777" w:rsidR="001059CA" w:rsidRPr="00834CDC" w:rsidRDefault="001059CA" w:rsidP="003058F5">
            <w:pPr>
              <w:rPr>
                <w:sz w:val="18"/>
                <w:szCs w:val="18"/>
              </w:rPr>
            </w:pPr>
          </w:p>
        </w:tc>
        <w:tc>
          <w:tcPr>
            <w:tcW w:w="34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C0B3D0" w14:textId="77777777" w:rsidR="001059CA" w:rsidRPr="00834CDC" w:rsidRDefault="001059CA" w:rsidP="003058F5">
            <w:pPr>
              <w:pStyle w:val="NormalWeb"/>
              <w:rPr>
                <w:sz w:val="18"/>
                <w:szCs w:val="18"/>
              </w:rPr>
            </w:pPr>
            <w:r w:rsidRPr="00834CDC">
              <w:rPr>
                <w:sz w:val="18"/>
                <w:szCs w:val="18"/>
              </w:rPr>
              <w:t>Other</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BF3BE9" w14:textId="77777777" w:rsidR="001059CA" w:rsidRPr="00834CDC" w:rsidRDefault="001059CA" w:rsidP="003058F5">
            <w:pPr>
              <w:pStyle w:val="NormalWeb"/>
              <w:rPr>
                <w:sz w:val="18"/>
                <w:szCs w:val="18"/>
              </w:rPr>
            </w:pPr>
            <w:r w:rsidRPr="00834CDC">
              <w:rPr>
                <w:sz w:val="18"/>
                <w:szCs w:val="18"/>
              </w:rPr>
              <w:t>47</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6A0B2C" w14:textId="77777777" w:rsidR="001059CA" w:rsidRPr="00834CDC" w:rsidRDefault="001059CA" w:rsidP="003058F5">
            <w:pPr>
              <w:pStyle w:val="NormalWeb"/>
              <w:rPr>
                <w:sz w:val="18"/>
                <w:szCs w:val="18"/>
              </w:rPr>
            </w:pPr>
            <w:r w:rsidRPr="00834CDC">
              <w:rPr>
                <w:sz w:val="18"/>
                <w:szCs w:val="18"/>
              </w:rPr>
              <w:t>0.99</w:t>
            </w:r>
          </w:p>
        </w:tc>
        <w:tc>
          <w:tcPr>
            <w:tcW w:w="99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3B734C" w14:textId="77777777" w:rsidR="001059CA" w:rsidRPr="00834CDC" w:rsidRDefault="001059CA" w:rsidP="003058F5">
            <w:pPr>
              <w:rPr>
                <w:sz w:val="18"/>
                <w:szCs w:val="18"/>
              </w:rPr>
            </w:pPr>
          </w:p>
        </w:tc>
        <w:tc>
          <w:tcPr>
            <w:tcW w:w="16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C2FC0E" w14:textId="77777777" w:rsidR="001059CA" w:rsidRPr="00834CDC" w:rsidRDefault="001059CA" w:rsidP="003058F5">
            <w:pPr>
              <w:rPr>
                <w:sz w:val="18"/>
                <w:szCs w:val="18"/>
              </w:rPr>
            </w:pPr>
          </w:p>
        </w:tc>
      </w:tr>
      <w:tr w:rsidR="001059CA" w:rsidRPr="00834CDC" w14:paraId="28C80F65" w14:textId="77777777" w:rsidTr="001059CA">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3A9E6A" w14:textId="77777777" w:rsidR="001059CA" w:rsidRPr="00834CDC" w:rsidRDefault="001059CA" w:rsidP="003058F5">
            <w:pPr>
              <w:pStyle w:val="NormalWeb"/>
              <w:rPr>
                <w:sz w:val="18"/>
                <w:szCs w:val="18"/>
              </w:rPr>
            </w:pPr>
            <w:r w:rsidRPr="00834CDC">
              <w:rPr>
                <w:sz w:val="18"/>
                <w:szCs w:val="18"/>
              </w:rPr>
              <w:t>20–29</w:t>
            </w:r>
          </w:p>
        </w:tc>
        <w:tc>
          <w:tcPr>
            <w:tcW w:w="34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DC1323" w14:textId="77777777" w:rsidR="001059CA" w:rsidRPr="00834CDC" w:rsidRDefault="001059CA" w:rsidP="003058F5">
            <w:pPr>
              <w:pStyle w:val="NormalWeb"/>
              <w:rPr>
                <w:sz w:val="18"/>
                <w:szCs w:val="18"/>
              </w:rPr>
            </w:pPr>
            <w:r w:rsidRPr="00834CDC">
              <w:rPr>
                <w:sz w:val="18"/>
                <w:szCs w:val="18"/>
              </w:rPr>
              <w:t>Aboriginal and Torres Strait Islander</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D6FC43" w14:textId="77777777" w:rsidR="001059CA" w:rsidRPr="00834CDC" w:rsidRDefault="001059CA" w:rsidP="003058F5">
            <w:pPr>
              <w:pStyle w:val="NormalWeb"/>
              <w:rPr>
                <w:sz w:val="18"/>
                <w:szCs w:val="18"/>
              </w:rPr>
            </w:pPr>
            <w:r w:rsidRPr="00834CDC">
              <w:rPr>
                <w:sz w:val="18"/>
                <w:szCs w:val="18"/>
              </w:rPr>
              <w:t>17</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9841F2" w14:textId="77777777" w:rsidR="001059CA" w:rsidRPr="00834CDC" w:rsidRDefault="001059CA" w:rsidP="003058F5">
            <w:pPr>
              <w:pStyle w:val="NormalWeb"/>
              <w:rPr>
                <w:sz w:val="18"/>
                <w:szCs w:val="18"/>
              </w:rPr>
            </w:pPr>
            <w:r w:rsidRPr="00834CDC">
              <w:rPr>
                <w:sz w:val="18"/>
                <w:szCs w:val="18"/>
              </w:rPr>
              <w:t>7.04</w:t>
            </w:r>
          </w:p>
        </w:tc>
        <w:tc>
          <w:tcPr>
            <w:tcW w:w="99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26D62E" w14:textId="77777777" w:rsidR="001059CA" w:rsidRPr="00834CDC" w:rsidRDefault="001059CA" w:rsidP="003058F5">
            <w:pPr>
              <w:pStyle w:val="NormalWeb"/>
              <w:rPr>
                <w:sz w:val="18"/>
                <w:szCs w:val="18"/>
              </w:rPr>
            </w:pPr>
            <w:r w:rsidRPr="00834CDC">
              <w:rPr>
                <w:sz w:val="18"/>
                <w:szCs w:val="18"/>
              </w:rPr>
              <w:t>1.2</w:t>
            </w:r>
          </w:p>
        </w:tc>
        <w:tc>
          <w:tcPr>
            <w:tcW w:w="16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F36074" w14:textId="77777777" w:rsidR="001059CA" w:rsidRPr="00834CDC" w:rsidRDefault="001059CA" w:rsidP="003058F5">
            <w:pPr>
              <w:pStyle w:val="NormalWeb"/>
              <w:rPr>
                <w:sz w:val="18"/>
                <w:szCs w:val="18"/>
              </w:rPr>
            </w:pPr>
            <w:r w:rsidRPr="00834CDC">
              <w:rPr>
                <w:sz w:val="18"/>
                <w:szCs w:val="18"/>
              </w:rPr>
              <w:t>0.7–1.9</w:t>
            </w:r>
          </w:p>
        </w:tc>
      </w:tr>
      <w:tr w:rsidR="001059CA" w:rsidRPr="00834CDC" w14:paraId="006BF12C" w14:textId="77777777" w:rsidTr="001059CA">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035396" w14:textId="77777777" w:rsidR="001059CA" w:rsidRPr="00834CDC" w:rsidRDefault="001059CA" w:rsidP="003058F5">
            <w:pPr>
              <w:rPr>
                <w:sz w:val="18"/>
                <w:szCs w:val="18"/>
              </w:rPr>
            </w:pPr>
          </w:p>
        </w:tc>
        <w:tc>
          <w:tcPr>
            <w:tcW w:w="34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AA5652" w14:textId="77777777" w:rsidR="001059CA" w:rsidRPr="00834CDC" w:rsidRDefault="001059CA" w:rsidP="003058F5">
            <w:pPr>
              <w:pStyle w:val="NormalWeb"/>
              <w:rPr>
                <w:sz w:val="18"/>
                <w:szCs w:val="18"/>
              </w:rPr>
            </w:pPr>
            <w:r w:rsidRPr="00834CDC">
              <w:rPr>
                <w:sz w:val="18"/>
                <w:szCs w:val="18"/>
              </w:rPr>
              <w:t>Other</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BE3D71" w14:textId="77777777" w:rsidR="001059CA" w:rsidRPr="00834CDC" w:rsidRDefault="001059CA" w:rsidP="003058F5">
            <w:pPr>
              <w:pStyle w:val="NormalWeb"/>
              <w:rPr>
                <w:sz w:val="18"/>
                <w:szCs w:val="18"/>
              </w:rPr>
            </w:pPr>
            <w:r w:rsidRPr="00834CDC">
              <w:rPr>
                <w:sz w:val="18"/>
                <w:szCs w:val="18"/>
              </w:rPr>
              <w:t>353</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47CDA1" w14:textId="77777777" w:rsidR="001059CA" w:rsidRPr="00834CDC" w:rsidRDefault="001059CA" w:rsidP="003058F5">
            <w:pPr>
              <w:pStyle w:val="NormalWeb"/>
              <w:rPr>
                <w:sz w:val="18"/>
                <w:szCs w:val="18"/>
              </w:rPr>
            </w:pPr>
            <w:r w:rsidRPr="00834CDC">
              <w:rPr>
                <w:sz w:val="18"/>
                <w:szCs w:val="18"/>
              </w:rPr>
              <w:t>5.94</w:t>
            </w:r>
          </w:p>
        </w:tc>
        <w:tc>
          <w:tcPr>
            <w:tcW w:w="99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A85398" w14:textId="77777777" w:rsidR="001059CA" w:rsidRPr="00834CDC" w:rsidRDefault="001059CA" w:rsidP="003058F5">
            <w:pPr>
              <w:rPr>
                <w:sz w:val="18"/>
                <w:szCs w:val="18"/>
              </w:rPr>
            </w:pPr>
          </w:p>
        </w:tc>
        <w:tc>
          <w:tcPr>
            <w:tcW w:w="16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9BD5F6" w14:textId="77777777" w:rsidR="001059CA" w:rsidRPr="00834CDC" w:rsidRDefault="001059CA" w:rsidP="003058F5">
            <w:pPr>
              <w:rPr>
                <w:sz w:val="18"/>
                <w:szCs w:val="18"/>
              </w:rPr>
            </w:pPr>
          </w:p>
        </w:tc>
      </w:tr>
      <w:tr w:rsidR="001059CA" w:rsidRPr="00834CDC" w14:paraId="09004F47" w14:textId="77777777" w:rsidTr="001059CA">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0FDE4E" w14:textId="77777777" w:rsidR="001059CA" w:rsidRPr="00834CDC" w:rsidRDefault="001059CA" w:rsidP="003058F5">
            <w:pPr>
              <w:pStyle w:val="NormalWeb"/>
              <w:rPr>
                <w:sz w:val="18"/>
                <w:szCs w:val="18"/>
              </w:rPr>
            </w:pPr>
            <w:r w:rsidRPr="00834CDC">
              <w:rPr>
                <w:sz w:val="18"/>
                <w:szCs w:val="18"/>
              </w:rPr>
              <w:t>30–39</w:t>
            </w:r>
          </w:p>
        </w:tc>
        <w:tc>
          <w:tcPr>
            <w:tcW w:w="34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D02E74" w14:textId="77777777" w:rsidR="001059CA" w:rsidRPr="00834CDC" w:rsidRDefault="001059CA" w:rsidP="003058F5">
            <w:pPr>
              <w:pStyle w:val="NormalWeb"/>
              <w:rPr>
                <w:sz w:val="18"/>
                <w:szCs w:val="18"/>
              </w:rPr>
            </w:pPr>
            <w:r w:rsidRPr="00834CDC">
              <w:rPr>
                <w:sz w:val="18"/>
                <w:szCs w:val="18"/>
              </w:rPr>
              <w:t>Aboriginal and Torres Strait Islander</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92EE76" w14:textId="77777777" w:rsidR="001059CA" w:rsidRPr="00834CDC" w:rsidRDefault="001059CA" w:rsidP="003058F5">
            <w:pPr>
              <w:pStyle w:val="NormalWeb"/>
              <w:rPr>
                <w:sz w:val="18"/>
                <w:szCs w:val="18"/>
              </w:rPr>
            </w:pPr>
            <w:r w:rsidRPr="00834CDC">
              <w:rPr>
                <w:sz w:val="18"/>
                <w:szCs w:val="18"/>
              </w:rPr>
              <w:t>38</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D2E1F0" w14:textId="77777777" w:rsidR="001059CA" w:rsidRPr="00834CDC" w:rsidRDefault="001059CA" w:rsidP="003058F5">
            <w:pPr>
              <w:pStyle w:val="NormalWeb"/>
              <w:rPr>
                <w:sz w:val="18"/>
                <w:szCs w:val="18"/>
              </w:rPr>
            </w:pPr>
            <w:r w:rsidRPr="00834CDC">
              <w:rPr>
                <w:sz w:val="18"/>
                <w:szCs w:val="18"/>
              </w:rPr>
              <w:t>21.96</w:t>
            </w:r>
          </w:p>
        </w:tc>
        <w:tc>
          <w:tcPr>
            <w:tcW w:w="99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326917" w14:textId="77777777" w:rsidR="001059CA" w:rsidRPr="00834CDC" w:rsidRDefault="001059CA" w:rsidP="003058F5">
            <w:pPr>
              <w:pStyle w:val="NormalWeb"/>
              <w:rPr>
                <w:sz w:val="18"/>
                <w:szCs w:val="18"/>
              </w:rPr>
            </w:pPr>
            <w:r w:rsidRPr="00834CDC">
              <w:rPr>
                <w:sz w:val="18"/>
                <w:szCs w:val="18"/>
              </w:rPr>
              <w:t>2.1</w:t>
            </w:r>
          </w:p>
        </w:tc>
        <w:tc>
          <w:tcPr>
            <w:tcW w:w="16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F653F9" w14:textId="77777777" w:rsidR="001059CA" w:rsidRPr="00834CDC" w:rsidRDefault="001059CA" w:rsidP="003058F5">
            <w:pPr>
              <w:pStyle w:val="NormalWeb"/>
              <w:rPr>
                <w:sz w:val="18"/>
                <w:szCs w:val="18"/>
              </w:rPr>
            </w:pPr>
            <w:r w:rsidRPr="00834CDC">
              <w:rPr>
                <w:sz w:val="18"/>
                <w:szCs w:val="18"/>
              </w:rPr>
              <w:t>1.5–2.9</w:t>
            </w:r>
          </w:p>
        </w:tc>
      </w:tr>
      <w:tr w:rsidR="001059CA" w:rsidRPr="00834CDC" w14:paraId="0134923D" w14:textId="77777777" w:rsidTr="001059CA">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EE05C5" w14:textId="77777777" w:rsidR="001059CA" w:rsidRPr="00834CDC" w:rsidRDefault="001059CA" w:rsidP="003058F5">
            <w:pPr>
              <w:rPr>
                <w:sz w:val="18"/>
                <w:szCs w:val="18"/>
              </w:rPr>
            </w:pPr>
          </w:p>
        </w:tc>
        <w:tc>
          <w:tcPr>
            <w:tcW w:w="34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605280" w14:textId="77777777" w:rsidR="001059CA" w:rsidRPr="00834CDC" w:rsidRDefault="001059CA" w:rsidP="003058F5">
            <w:pPr>
              <w:pStyle w:val="NormalWeb"/>
              <w:rPr>
                <w:sz w:val="18"/>
                <w:szCs w:val="18"/>
              </w:rPr>
            </w:pPr>
            <w:r w:rsidRPr="00834CDC">
              <w:rPr>
                <w:sz w:val="18"/>
                <w:szCs w:val="18"/>
              </w:rPr>
              <w:t>Other</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49BCC2" w14:textId="77777777" w:rsidR="001059CA" w:rsidRPr="00834CDC" w:rsidRDefault="001059CA" w:rsidP="003058F5">
            <w:pPr>
              <w:pStyle w:val="NormalWeb"/>
              <w:rPr>
                <w:sz w:val="18"/>
                <w:szCs w:val="18"/>
              </w:rPr>
            </w:pPr>
            <w:r w:rsidRPr="00834CDC">
              <w:rPr>
                <w:sz w:val="18"/>
                <w:szCs w:val="18"/>
              </w:rPr>
              <w:t>635</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DB4A86" w14:textId="77777777" w:rsidR="001059CA" w:rsidRPr="00834CDC" w:rsidRDefault="001059CA" w:rsidP="003058F5">
            <w:pPr>
              <w:pStyle w:val="NormalWeb"/>
              <w:rPr>
                <w:sz w:val="18"/>
                <w:szCs w:val="18"/>
              </w:rPr>
            </w:pPr>
            <w:r w:rsidRPr="00834CDC">
              <w:rPr>
                <w:sz w:val="18"/>
                <w:szCs w:val="18"/>
              </w:rPr>
              <w:t>10.54</w:t>
            </w:r>
          </w:p>
        </w:tc>
        <w:tc>
          <w:tcPr>
            <w:tcW w:w="99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C6CDD2" w14:textId="77777777" w:rsidR="001059CA" w:rsidRPr="00834CDC" w:rsidRDefault="001059CA" w:rsidP="003058F5">
            <w:pPr>
              <w:rPr>
                <w:sz w:val="18"/>
                <w:szCs w:val="18"/>
              </w:rPr>
            </w:pPr>
          </w:p>
        </w:tc>
        <w:tc>
          <w:tcPr>
            <w:tcW w:w="16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D2D4A5" w14:textId="77777777" w:rsidR="001059CA" w:rsidRPr="00834CDC" w:rsidRDefault="001059CA" w:rsidP="003058F5">
            <w:pPr>
              <w:rPr>
                <w:sz w:val="18"/>
                <w:szCs w:val="18"/>
              </w:rPr>
            </w:pPr>
          </w:p>
        </w:tc>
      </w:tr>
      <w:tr w:rsidR="001059CA" w:rsidRPr="00834CDC" w14:paraId="3A3FC79D" w14:textId="77777777" w:rsidTr="001059CA">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DAEEE6" w14:textId="77777777" w:rsidR="001059CA" w:rsidRPr="00834CDC" w:rsidRDefault="001059CA" w:rsidP="003058F5">
            <w:pPr>
              <w:pStyle w:val="NormalWeb"/>
              <w:rPr>
                <w:sz w:val="18"/>
                <w:szCs w:val="18"/>
              </w:rPr>
            </w:pPr>
            <w:r w:rsidRPr="00834CDC">
              <w:rPr>
                <w:sz w:val="18"/>
                <w:szCs w:val="18"/>
              </w:rPr>
              <w:t>≥ 40</w:t>
            </w:r>
          </w:p>
        </w:tc>
        <w:tc>
          <w:tcPr>
            <w:tcW w:w="34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0BC4FF" w14:textId="77777777" w:rsidR="001059CA" w:rsidRPr="00834CDC" w:rsidRDefault="001059CA" w:rsidP="003058F5">
            <w:pPr>
              <w:pStyle w:val="NormalWeb"/>
              <w:rPr>
                <w:sz w:val="18"/>
                <w:szCs w:val="18"/>
              </w:rPr>
            </w:pPr>
            <w:r w:rsidRPr="00834CDC">
              <w:rPr>
                <w:sz w:val="18"/>
                <w:szCs w:val="18"/>
              </w:rPr>
              <w:t>Aboriginal and Torres Strait Islander</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914EF6" w14:textId="77777777" w:rsidR="001059CA" w:rsidRPr="00834CDC" w:rsidRDefault="001059CA" w:rsidP="003058F5">
            <w:pPr>
              <w:pStyle w:val="NormalWeb"/>
              <w:rPr>
                <w:sz w:val="18"/>
                <w:szCs w:val="18"/>
              </w:rPr>
            </w:pPr>
            <w:r w:rsidRPr="00834CDC">
              <w:rPr>
                <w:sz w:val="18"/>
                <w:szCs w:val="18"/>
              </w:rPr>
              <w:t>59</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8F3BE2" w14:textId="77777777" w:rsidR="001059CA" w:rsidRPr="00834CDC" w:rsidRDefault="001059CA" w:rsidP="003058F5">
            <w:pPr>
              <w:pStyle w:val="NormalWeb"/>
              <w:rPr>
                <w:sz w:val="18"/>
                <w:szCs w:val="18"/>
              </w:rPr>
            </w:pPr>
            <w:r w:rsidRPr="00834CDC">
              <w:rPr>
                <w:sz w:val="18"/>
                <w:szCs w:val="18"/>
              </w:rPr>
              <w:t>14.58</w:t>
            </w:r>
          </w:p>
        </w:tc>
        <w:tc>
          <w:tcPr>
            <w:tcW w:w="99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F94B82" w14:textId="77777777" w:rsidR="001059CA" w:rsidRPr="00834CDC" w:rsidRDefault="001059CA" w:rsidP="003058F5">
            <w:pPr>
              <w:pStyle w:val="NormalWeb"/>
              <w:rPr>
                <w:sz w:val="18"/>
                <w:szCs w:val="18"/>
              </w:rPr>
            </w:pPr>
            <w:r w:rsidRPr="00834CDC">
              <w:rPr>
                <w:sz w:val="18"/>
                <w:szCs w:val="18"/>
              </w:rPr>
              <w:t>1.5</w:t>
            </w:r>
          </w:p>
        </w:tc>
        <w:tc>
          <w:tcPr>
            <w:tcW w:w="16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D27E30" w14:textId="77777777" w:rsidR="001059CA" w:rsidRPr="00834CDC" w:rsidRDefault="001059CA" w:rsidP="003058F5">
            <w:pPr>
              <w:pStyle w:val="NormalWeb"/>
              <w:rPr>
                <w:sz w:val="18"/>
                <w:szCs w:val="18"/>
              </w:rPr>
            </w:pPr>
            <w:r w:rsidRPr="00834CDC">
              <w:rPr>
                <w:sz w:val="18"/>
                <w:szCs w:val="18"/>
              </w:rPr>
              <w:t>1.1–2.0</w:t>
            </w:r>
          </w:p>
        </w:tc>
      </w:tr>
      <w:tr w:rsidR="001059CA" w:rsidRPr="00834CDC" w14:paraId="5EEAD1E0" w14:textId="77777777" w:rsidTr="001059CA">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D99326" w14:textId="77777777" w:rsidR="001059CA" w:rsidRPr="00834CDC" w:rsidRDefault="001059CA" w:rsidP="003058F5">
            <w:pPr>
              <w:rPr>
                <w:sz w:val="18"/>
                <w:szCs w:val="18"/>
              </w:rPr>
            </w:pPr>
          </w:p>
        </w:tc>
        <w:tc>
          <w:tcPr>
            <w:tcW w:w="34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EEECBA" w14:textId="77777777" w:rsidR="001059CA" w:rsidRPr="00834CDC" w:rsidRDefault="001059CA" w:rsidP="003058F5">
            <w:pPr>
              <w:pStyle w:val="NormalWeb"/>
              <w:rPr>
                <w:sz w:val="18"/>
                <w:szCs w:val="18"/>
              </w:rPr>
            </w:pPr>
            <w:r w:rsidRPr="00834CDC">
              <w:rPr>
                <w:sz w:val="18"/>
                <w:szCs w:val="18"/>
              </w:rPr>
              <w:t>Other</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FC5FD4" w14:textId="77777777" w:rsidR="001059CA" w:rsidRPr="00834CDC" w:rsidRDefault="001059CA" w:rsidP="003058F5">
            <w:pPr>
              <w:pStyle w:val="NormalWeb"/>
              <w:rPr>
                <w:sz w:val="18"/>
                <w:szCs w:val="18"/>
              </w:rPr>
            </w:pPr>
            <w:r w:rsidRPr="00834CDC">
              <w:rPr>
                <w:sz w:val="18"/>
                <w:szCs w:val="18"/>
              </w:rPr>
              <w:t>1,968</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F5340F" w14:textId="77777777" w:rsidR="001059CA" w:rsidRPr="00834CDC" w:rsidRDefault="001059CA" w:rsidP="003058F5">
            <w:pPr>
              <w:pStyle w:val="NormalWeb"/>
              <w:rPr>
                <w:sz w:val="18"/>
                <w:szCs w:val="18"/>
              </w:rPr>
            </w:pPr>
            <w:r w:rsidRPr="00834CDC">
              <w:rPr>
                <w:sz w:val="18"/>
                <w:szCs w:val="18"/>
              </w:rPr>
              <w:t>9.68</w:t>
            </w:r>
          </w:p>
        </w:tc>
        <w:tc>
          <w:tcPr>
            <w:tcW w:w="99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DB20F4" w14:textId="77777777" w:rsidR="001059CA" w:rsidRPr="00834CDC" w:rsidRDefault="001059CA" w:rsidP="003058F5">
            <w:pPr>
              <w:rPr>
                <w:sz w:val="18"/>
                <w:szCs w:val="18"/>
              </w:rPr>
            </w:pPr>
          </w:p>
        </w:tc>
        <w:tc>
          <w:tcPr>
            <w:tcW w:w="16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8C1411" w14:textId="77777777" w:rsidR="001059CA" w:rsidRPr="00834CDC" w:rsidRDefault="001059CA" w:rsidP="003058F5">
            <w:pPr>
              <w:rPr>
                <w:sz w:val="18"/>
                <w:szCs w:val="18"/>
              </w:rPr>
            </w:pPr>
          </w:p>
        </w:tc>
      </w:tr>
      <w:tr w:rsidR="001059CA" w:rsidRPr="00834CDC" w14:paraId="389405AA" w14:textId="77777777" w:rsidTr="00E01006">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1826865" w14:textId="1902C404" w:rsidR="001059CA" w:rsidRPr="00834CDC" w:rsidRDefault="001059CA" w:rsidP="003058F5">
            <w:pPr>
              <w:pStyle w:val="NormalWeb"/>
              <w:rPr>
                <w:b/>
                <w:bCs/>
                <w:sz w:val="18"/>
                <w:szCs w:val="18"/>
              </w:rPr>
            </w:pPr>
            <w:r w:rsidRPr="00834CDC">
              <w:rPr>
                <w:b/>
                <w:bCs/>
                <w:sz w:val="18"/>
                <w:szCs w:val="18"/>
              </w:rPr>
              <w:t>All ages</w:t>
            </w:r>
            <w:r w:rsidR="00916F61" w:rsidRPr="00834CDC">
              <w:rPr>
                <w:b/>
                <w:bCs/>
                <w:sz w:val="18"/>
                <w:szCs w:val="18"/>
              </w:rPr>
              <w:t xml:space="preserve"> </w:t>
            </w:r>
            <w:r w:rsidRPr="00834CDC">
              <w:rPr>
                <w:b/>
                <w:bCs/>
                <w:sz w:val="18"/>
                <w:szCs w:val="18"/>
                <w:vertAlign w:val="superscript"/>
              </w:rPr>
              <w:t>d</w:t>
            </w:r>
          </w:p>
        </w:tc>
        <w:tc>
          <w:tcPr>
            <w:tcW w:w="34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2EBEBB8" w14:textId="77777777" w:rsidR="001059CA" w:rsidRPr="00834CDC" w:rsidRDefault="001059CA" w:rsidP="003058F5">
            <w:pPr>
              <w:pStyle w:val="NormalWeb"/>
              <w:rPr>
                <w:b/>
                <w:bCs/>
                <w:sz w:val="18"/>
                <w:szCs w:val="18"/>
              </w:rPr>
            </w:pPr>
            <w:r w:rsidRPr="00834CDC">
              <w:rPr>
                <w:b/>
                <w:bCs/>
                <w:sz w:val="18"/>
                <w:szCs w:val="18"/>
              </w:rPr>
              <w:t>Aboriginal and Torres Strait Islander</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FBEC398" w14:textId="77777777" w:rsidR="001059CA" w:rsidRPr="00834CDC" w:rsidRDefault="001059CA" w:rsidP="003058F5">
            <w:pPr>
              <w:pStyle w:val="NormalWeb"/>
              <w:rPr>
                <w:b/>
                <w:bCs/>
                <w:sz w:val="18"/>
                <w:szCs w:val="18"/>
              </w:rPr>
            </w:pPr>
            <w:r w:rsidRPr="00834CDC">
              <w:rPr>
                <w:b/>
                <w:bCs/>
                <w:sz w:val="18"/>
                <w:szCs w:val="18"/>
              </w:rPr>
              <w:t>124</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4625836" w14:textId="77777777" w:rsidR="001059CA" w:rsidRPr="00834CDC" w:rsidRDefault="001059CA" w:rsidP="003058F5">
            <w:pPr>
              <w:pStyle w:val="NormalWeb"/>
              <w:rPr>
                <w:b/>
                <w:bCs/>
                <w:sz w:val="18"/>
                <w:szCs w:val="18"/>
              </w:rPr>
            </w:pPr>
            <w:r w:rsidRPr="00834CDC">
              <w:rPr>
                <w:b/>
                <w:bCs/>
                <w:sz w:val="18"/>
                <w:szCs w:val="18"/>
              </w:rPr>
              <w:t>8.65</w:t>
            </w:r>
          </w:p>
        </w:tc>
        <w:tc>
          <w:tcPr>
            <w:tcW w:w="99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BDF0015" w14:textId="77777777" w:rsidR="001059CA" w:rsidRPr="00834CDC" w:rsidRDefault="001059CA" w:rsidP="003058F5">
            <w:pPr>
              <w:pStyle w:val="NormalWeb"/>
              <w:rPr>
                <w:b/>
                <w:bCs/>
                <w:sz w:val="18"/>
                <w:szCs w:val="18"/>
              </w:rPr>
            </w:pPr>
            <w:r w:rsidRPr="00834CDC">
              <w:rPr>
                <w:b/>
                <w:bCs/>
                <w:sz w:val="18"/>
                <w:szCs w:val="18"/>
              </w:rPr>
              <w:t>1.2</w:t>
            </w:r>
          </w:p>
        </w:tc>
        <w:tc>
          <w:tcPr>
            <w:tcW w:w="16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5131832" w14:textId="77777777" w:rsidR="001059CA" w:rsidRPr="00834CDC" w:rsidRDefault="001059CA" w:rsidP="003058F5">
            <w:pPr>
              <w:pStyle w:val="NormalWeb"/>
              <w:rPr>
                <w:b/>
                <w:bCs/>
                <w:sz w:val="18"/>
                <w:szCs w:val="18"/>
              </w:rPr>
            </w:pPr>
            <w:r w:rsidRPr="00834CDC">
              <w:rPr>
                <w:b/>
                <w:bCs/>
                <w:sz w:val="18"/>
                <w:szCs w:val="18"/>
              </w:rPr>
              <w:t>0.998–1.4</w:t>
            </w:r>
          </w:p>
        </w:tc>
      </w:tr>
      <w:tr w:rsidR="001059CA" w:rsidRPr="00834CDC" w14:paraId="62129519" w14:textId="77777777" w:rsidTr="00E01006">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1AA19E2" w14:textId="77777777" w:rsidR="001059CA" w:rsidRPr="00834CDC" w:rsidRDefault="001059CA" w:rsidP="003058F5">
            <w:pPr>
              <w:rPr>
                <w:b/>
                <w:bCs/>
                <w:sz w:val="18"/>
                <w:szCs w:val="18"/>
              </w:rPr>
            </w:pPr>
          </w:p>
        </w:tc>
        <w:tc>
          <w:tcPr>
            <w:tcW w:w="34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5AFC5C0" w14:textId="77777777" w:rsidR="001059CA" w:rsidRPr="00834CDC" w:rsidRDefault="001059CA" w:rsidP="003058F5">
            <w:pPr>
              <w:pStyle w:val="NormalWeb"/>
              <w:rPr>
                <w:b/>
                <w:bCs/>
                <w:sz w:val="18"/>
                <w:szCs w:val="18"/>
              </w:rPr>
            </w:pPr>
            <w:r w:rsidRPr="00834CDC">
              <w:rPr>
                <w:b/>
                <w:bCs/>
                <w:sz w:val="18"/>
                <w:szCs w:val="18"/>
              </w:rPr>
              <w:t>Other</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34217A4" w14:textId="77777777" w:rsidR="001059CA" w:rsidRPr="00834CDC" w:rsidRDefault="001059CA" w:rsidP="003058F5">
            <w:pPr>
              <w:pStyle w:val="NormalWeb"/>
              <w:rPr>
                <w:b/>
                <w:bCs/>
                <w:sz w:val="18"/>
                <w:szCs w:val="18"/>
              </w:rPr>
            </w:pPr>
            <w:r w:rsidRPr="00834CDC">
              <w:rPr>
                <w:b/>
                <w:bCs/>
                <w:sz w:val="18"/>
                <w:szCs w:val="18"/>
              </w:rPr>
              <w:t>3,024</w:t>
            </w:r>
          </w:p>
        </w:tc>
        <w:tc>
          <w:tcPr>
            <w:tcW w:w="113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991AD97" w14:textId="77777777" w:rsidR="001059CA" w:rsidRPr="00834CDC" w:rsidRDefault="001059CA" w:rsidP="003058F5">
            <w:pPr>
              <w:pStyle w:val="NormalWeb"/>
              <w:rPr>
                <w:b/>
                <w:bCs/>
                <w:sz w:val="18"/>
                <w:szCs w:val="18"/>
              </w:rPr>
            </w:pPr>
            <w:r w:rsidRPr="00834CDC">
              <w:rPr>
                <w:b/>
                <w:bCs/>
                <w:sz w:val="18"/>
                <w:szCs w:val="18"/>
              </w:rPr>
              <w:t>7.18</w:t>
            </w:r>
          </w:p>
        </w:tc>
        <w:tc>
          <w:tcPr>
            <w:tcW w:w="99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4BD70D8" w14:textId="77777777" w:rsidR="001059CA" w:rsidRPr="00834CDC" w:rsidRDefault="001059CA" w:rsidP="003058F5">
            <w:pPr>
              <w:rPr>
                <w:b/>
                <w:bCs/>
                <w:sz w:val="18"/>
                <w:szCs w:val="18"/>
              </w:rPr>
            </w:pPr>
          </w:p>
        </w:tc>
        <w:tc>
          <w:tcPr>
            <w:tcW w:w="16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29ED307" w14:textId="77777777" w:rsidR="001059CA" w:rsidRPr="00834CDC" w:rsidRDefault="001059CA" w:rsidP="003058F5">
            <w:pPr>
              <w:rPr>
                <w:b/>
                <w:bCs/>
                <w:sz w:val="18"/>
                <w:szCs w:val="18"/>
              </w:rPr>
            </w:pPr>
          </w:p>
        </w:tc>
      </w:tr>
    </w:tbl>
    <w:p w14:paraId="64FEF12D" w14:textId="77777777" w:rsidR="001059CA" w:rsidRPr="00834CDC" w:rsidRDefault="001059CA" w:rsidP="00500F9B">
      <w:pPr>
        <w:divId w:val="1988506822"/>
        <w:rPr>
          <w:b/>
          <w:bCs/>
        </w:rPr>
      </w:pPr>
    </w:p>
    <w:p w14:paraId="56A0DA14" w14:textId="31CA95FE" w:rsidR="00500F9B" w:rsidRPr="00834CDC" w:rsidRDefault="00500F9B" w:rsidP="00500F9B">
      <w:pPr>
        <w:divId w:val="1988506822"/>
        <w:rPr>
          <w:b/>
          <w:bCs/>
        </w:rPr>
      </w:pPr>
      <w:proofErr w:type="spellStart"/>
      <w:proofErr w:type="gramStart"/>
      <w:r w:rsidRPr="00834CDC">
        <w:rPr>
          <w:b/>
          <w:bCs/>
        </w:rPr>
        <w:t>b.Male</w:t>
      </w:r>
      <w:proofErr w:type="spellEnd"/>
      <w:proofErr w:type="gramEnd"/>
    </w:p>
    <w:tbl>
      <w:tblPr>
        <w:tblStyle w:val="CDI-StandardTable"/>
        <w:tblW w:w="0" w:type="auto"/>
        <w:tblLook w:val="04A0" w:firstRow="1" w:lastRow="0" w:firstColumn="1" w:lastColumn="0" w:noHBand="0" w:noVBand="1"/>
        <w:tblDescription w:val="Table 8 shows the number and rates per 100,000 population of genital warts hospitalisations by gender (table a, female; table b, male), age and Aboriginal and Torres Strait Islander status, Australia, 2016 to 2019. &#10;"/>
      </w:tblPr>
      <w:tblGrid>
        <w:gridCol w:w="2268"/>
        <w:gridCol w:w="3828"/>
        <w:gridCol w:w="1134"/>
        <w:gridCol w:w="992"/>
        <w:gridCol w:w="992"/>
        <w:gridCol w:w="1252"/>
      </w:tblGrid>
      <w:tr w:rsidR="00141077" w:rsidRPr="00834CDC" w14:paraId="322A899D" w14:textId="77777777" w:rsidTr="00141077">
        <w:trPr>
          <w:cnfStyle w:val="100000000000" w:firstRow="1" w:lastRow="0" w:firstColumn="0" w:lastColumn="0" w:oddVBand="0" w:evenVBand="0" w:oddHBand="0" w:evenHBand="0" w:firstRowFirstColumn="0" w:firstRowLastColumn="0" w:lastRowFirstColumn="0" w:lastRowLastColumn="0"/>
          <w:divId w:val="1988506822"/>
          <w:tblHeader/>
        </w:trPr>
        <w:tc>
          <w:tcPr>
            <w:tcW w:w="2268" w:type="dxa"/>
            <w:vMerge w:val="restart"/>
            <w:hideMark/>
          </w:tcPr>
          <w:p w14:paraId="36492BA4" w14:textId="7886E3E5" w:rsidR="00141077" w:rsidRPr="00834CDC" w:rsidRDefault="00141077" w:rsidP="00141077">
            <w:pPr>
              <w:pStyle w:val="NormalWeb"/>
              <w:jc w:val="left"/>
              <w:rPr>
                <w:sz w:val="18"/>
                <w:szCs w:val="18"/>
              </w:rPr>
            </w:pPr>
            <w:r w:rsidRPr="00834CDC">
              <w:rPr>
                <w:sz w:val="18"/>
                <w:szCs w:val="18"/>
              </w:rPr>
              <w:t>Age group (years)</w:t>
            </w:r>
          </w:p>
        </w:tc>
        <w:tc>
          <w:tcPr>
            <w:tcW w:w="3828" w:type="dxa"/>
            <w:vMerge w:val="restart"/>
            <w:hideMark/>
          </w:tcPr>
          <w:p w14:paraId="301BFC29" w14:textId="77777777" w:rsidR="00141077" w:rsidRPr="00834CDC" w:rsidRDefault="00141077" w:rsidP="003058F5">
            <w:pPr>
              <w:pStyle w:val="NormalWeb"/>
              <w:rPr>
                <w:sz w:val="18"/>
                <w:szCs w:val="18"/>
              </w:rPr>
            </w:pPr>
            <w:r w:rsidRPr="00834CDC">
              <w:rPr>
                <w:sz w:val="18"/>
                <w:szCs w:val="18"/>
              </w:rPr>
              <w:t>Aboriginal and Torres Strait Islander status</w:t>
            </w:r>
          </w:p>
        </w:tc>
        <w:tc>
          <w:tcPr>
            <w:tcW w:w="4370" w:type="dxa"/>
            <w:gridSpan w:val="4"/>
            <w:hideMark/>
          </w:tcPr>
          <w:p w14:paraId="3CA5729B" w14:textId="0C72940C" w:rsidR="00141077" w:rsidRPr="00834CDC" w:rsidRDefault="00141077" w:rsidP="003058F5">
            <w:pPr>
              <w:pStyle w:val="NormalWeb"/>
              <w:rPr>
                <w:sz w:val="18"/>
                <w:szCs w:val="18"/>
              </w:rPr>
            </w:pPr>
            <w:r w:rsidRPr="00834CDC">
              <w:rPr>
                <w:sz w:val="18"/>
                <w:szCs w:val="18"/>
              </w:rPr>
              <w:t>Hospitalisations</w:t>
            </w:r>
            <w:r w:rsidR="0071498B" w:rsidRPr="00834CDC">
              <w:rPr>
                <w:sz w:val="18"/>
                <w:szCs w:val="18"/>
              </w:rPr>
              <w:t xml:space="preserve"> </w:t>
            </w:r>
            <w:r w:rsidRPr="00834CDC">
              <w:rPr>
                <w:sz w:val="18"/>
                <w:szCs w:val="18"/>
                <w:vertAlign w:val="superscript"/>
              </w:rPr>
              <w:t>a</w:t>
            </w:r>
            <w:r w:rsidRPr="00834CDC">
              <w:rPr>
                <w:sz w:val="18"/>
                <w:szCs w:val="18"/>
              </w:rPr>
              <w:t xml:space="preserve"> (2016–2019)</w:t>
            </w:r>
          </w:p>
        </w:tc>
      </w:tr>
      <w:tr w:rsidR="00141077" w:rsidRPr="00834CDC" w14:paraId="19B899C3" w14:textId="77777777" w:rsidTr="00141077">
        <w:trPr>
          <w:cnfStyle w:val="100000000000" w:firstRow="1" w:lastRow="0" w:firstColumn="0" w:lastColumn="0" w:oddVBand="0" w:evenVBand="0" w:oddHBand="0" w:evenHBand="0" w:firstRowFirstColumn="0" w:firstRowLastColumn="0" w:lastRowFirstColumn="0" w:lastRowLastColumn="0"/>
          <w:divId w:val="1988506822"/>
          <w:tblHeader/>
        </w:trPr>
        <w:tc>
          <w:tcPr>
            <w:tcW w:w="2268" w:type="dxa"/>
            <w:vMerge/>
            <w:tcBorders>
              <w:bottom w:val="single" w:sz="2" w:space="0" w:color="808080" w:themeColor="background1" w:themeShade="80"/>
            </w:tcBorders>
            <w:hideMark/>
          </w:tcPr>
          <w:p w14:paraId="24EE15B1" w14:textId="77777777" w:rsidR="00141077" w:rsidRPr="00834CDC" w:rsidRDefault="00141077" w:rsidP="00141077">
            <w:pPr>
              <w:jc w:val="left"/>
              <w:rPr>
                <w:sz w:val="18"/>
                <w:szCs w:val="18"/>
              </w:rPr>
            </w:pPr>
          </w:p>
        </w:tc>
        <w:tc>
          <w:tcPr>
            <w:tcW w:w="3828" w:type="dxa"/>
            <w:vMerge/>
            <w:tcBorders>
              <w:bottom w:val="single" w:sz="2" w:space="0" w:color="808080" w:themeColor="background1" w:themeShade="80"/>
            </w:tcBorders>
            <w:hideMark/>
          </w:tcPr>
          <w:p w14:paraId="5CC2EFFB" w14:textId="77777777" w:rsidR="00141077" w:rsidRPr="00834CDC" w:rsidRDefault="00141077" w:rsidP="003058F5">
            <w:pPr>
              <w:rPr>
                <w:sz w:val="18"/>
                <w:szCs w:val="18"/>
              </w:rPr>
            </w:pPr>
          </w:p>
        </w:tc>
        <w:tc>
          <w:tcPr>
            <w:tcW w:w="1134" w:type="dxa"/>
            <w:tcBorders>
              <w:bottom w:val="single" w:sz="2" w:space="0" w:color="808080" w:themeColor="background1" w:themeShade="80"/>
            </w:tcBorders>
            <w:hideMark/>
          </w:tcPr>
          <w:p w14:paraId="3D7D515E" w14:textId="77777777" w:rsidR="00141077" w:rsidRPr="00834CDC" w:rsidRDefault="00141077" w:rsidP="003058F5">
            <w:pPr>
              <w:pStyle w:val="NormalWeb"/>
              <w:rPr>
                <w:sz w:val="18"/>
                <w:szCs w:val="18"/>
              </w:rPr>
            </w:pPr>
            <w:r w:rsidRPr="00834CDC">
              <w:rPr>
                <w:sz w:val="18"/>
                <w:szCs w:val="18"/>
              </w:rPr>
              <w:t>N</w:t>
            </w:r>
          </w:p>
        </w:tc>
        <w:tc>
          <w:tcPr>
            <w:tcW w:w="992" w:type="dxa"/>
            <w:tcBorders>
              <w:bottom w:val="single" w:sz="2" w:space="0" w:color="808080" w:themeColor="background1" w:themeShade="80"/>
            </w:tcBorders>
            <w:hideMark/>
          </w:tcPr>
          <w:p w14:paraId="0BA74D2E" w14:textId="22A639B9" w:rsidR="00141077" w:rsidRPr="00834CDC" w:rsidRDefault="00141077" w:rsidP="003058F5">
            <w:pPr>
              <w:pStyle w:val="NormalWeb"/>
              <w:rPr>
                <w:sz w:val="18"/>
                <w:szCs w:val="18"/>
              </w:rPr>
            </w:pPr>
            <w:r w:rsidRPr="00834CDC">
              <w:rPr>
                <w:sz w:val="18"/>
                <w:szCs w:val="18"/>
              </w:rPr>
              <w:t>Rate</w:t>
            </w:r>
            <w:r w:rsidR="0071498B" w:rsidRPr="00834CDC">
              <w:rPr>
                <w:sz w:val="18"/>
                <w:szCs w:val="18"/>
              </w:rPr>
              <w:t xml:space="preserve"> </w:t>
            </w:r>
            <w:r w:rsidRPr="00834CDC">
              <w:rPr>
                <w:sz w:val="18"/>
                <w:szCs w:val="18"/>
                <w:vertAlign w:val="superscript"/>
              </w:rPr>
              <w:t>b</w:t>
            </w:r>
          </w:p>
        </w:tc>
        <w:tc>
          <w:tcPr>
            <w:tcW w:w="992" w:type="dxa"/>
            <w:tcBorders>
              <w:bottom w:val="single" w:sz="2" w:space="0" w:color="808080" w:themeColor="background1" w:themeShade="80"/>
            </w:tcBorders>
            <w:hideMark/>
          </w:tcPr>
          <w:p w14:paraId="2C48A2DF" w14:textId="77777777" w:rsidR="00141077" w:rsidRPr="00834CDC" w:rsidRDefault="00141077" w:rsidP="003058F5">
            <w:pPr>
              <w:pStyle w:val="NormalWeb"/>
              <w:rPr>
                <w:sz w:val="18"/>
                <w:szCs w:val="18"/>
              </w:rPr>
            </w:pPr>
            <w:r w:rsidRPr="00834CDC">
              <w:rPr>
                <w:sz w:val="18"/>
                <w:szCs w:val="18"/>
              </w:rPr>
              <w:t>Rate ratio</w:t>
            </w:r>
          </w:p>
        </w:tc>
        <w:tc>
          <w:tcPr>
            <w:tcW w:w="1252" w:type="dxa"/>
            <w:tcBorders>
              <w:bottom w:val="single" w:sz="2" w:space="0" w:color="808080" w:themeColor="background1" w:themeShade="80"/>
            </w:tcBorders>
            <w:hideMark/>
          </w:tcPr>
          <w:p w14:paraId="799D1196" w14:textId="77777777" w:rsidR="00141077" w:rsidRPr="00834CDC" w:rsidRDefault="00141077" w:rsidP="003058F5">
            <w:pPr>
              <w:pStyle w:val="NormalWeb"/>
              <w:rPr>
                <w:sz w:val="18"/>
                <w:szCs w:val="18"/>
              </w:rPr>
            </w:pPr>
            <w:r w:rsidRPr="00834CDC">
              <w:rPr>
                <w:sz w:val="18"/>
                <w:szCs w:val="18"/>
              </w:rPr>
              <w:t>95%CI for rate ratio</w:t>
            </w:r>
          </w:p>
        </w:tc>
      </w:tr>
      <w:tr w:rsidR="00141077" w:rsidRPr="00834CDC" w14:paraId="3E86F977" w14:textId="77777777" w:rsidTr="00141077">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EF8177" w14:textId="77777777" w:rsidR="00141077" w:rsidRPr="00834CDC" w:rsidRDefault="00141077" w:rsidP="00141077">
            <w:pPr>
              <w:pStyle w:val="NormalWeb"/>
              <w:jc w:val="left"/>
              <w:rPr>
                <w:sz w:val="18"/>
                <w:szCs w:val="18"/>
              </w:rPr>
            </w:pPr>
            <w:r w:rsidRPr="00834CDC">
              <w:rPr>
                <w:sz w:val="18"/>
                <w:szCs w:val="18"/>
              </w:rPr>
              <w:t>&lt; 10</w:t>
            </w: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4691D7" w14:textId="77777777" w:rsidR="00141077" w:rsidRPr="00834CDC" w:rsidRDefault="00141077" w:rsidP="003058F5">
            <w:pPr>
              <w:pStyle w:val="NormalWeb"/>
              <w:rPr>
                <w:sz w:val="18"/>
                <w:szCs w:val="18"/>
              </w:rPr>
            </w:pPr>
            <w:r w:rsidRPr="00834CDC">
              <w:rPr>
                <w:sz w:val="18"/>
                <w:szCs w:val="18"/>
              </w:rPr>
              <w:t>Aboriginal and Torres Strait Islander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55B641" w14:textId="5E012BDF" w:rsidR="00141077" w:rsidRPr="00834CDC" w:rsidRDefault="00141077" w:rsidP="003058F5">
            <w:pPr>
              <w:pStyle w:val="NormalWeb"/>
              <w:rPr>
                <w:sz w:val="18"/>
                <w:szCs w:val="18"/>
              </w:rPr>
            </w:pPr>
            <w:r w:rsidRPr="00834CDC">
              <w:rPr>
                <w:sz w:val="18"/>
                <w:szCs w:val="18"/>
              </w:rPr>
              <w:t>1–5</w:t>
            </w:r>
            <w:r w:rsidR="0071498B" w:rsidRPr="00834CDC">
              <w:rPr>
                <w:sz w:val="18"/>
                <w:szCs w:val="18"/>
              </w:rPr>
              <w:t xml:space="preserve"> </w:t>
            </w:r>
            <w:r w:rsidRPr="00834CDC">
              <w:rPr>
                <w:sz w:val="18"/>
                <w:szCs w:val="18"/>
                <w:vertAlign w:val="superscript"/>
              </w:rPr>
              <w:t>c</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3DAA97" w14:textId="77777777" w:rsidR="00141077" w:rsidRPr="00834CDC" w:rsidRDefault="00141077" w:rsidP="003058F5">
            <w:pPr>
              <w:pStyle w:val="NormalWeb"/>
              <w:rPr>
                <w:sz w:val="18"/>
                <w:szCs w:val="18"/>
              </w:rPr>
            </w:pPr>
            <w:r w:rsidRPr="00834CDC">
              <w:rPr>
                <w:sz w:val="18"/>
                <w:szCs w:val="18"/>
              </w:rPr>
              <w:t>0.59</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C62790" w14:textId="77777777" w:rsidR="00141077" w:rsidRPr="00834CDC" w:rsidRDefault="00141077" w:rsidP="003058F5">
            <w:pPr>
              <w:pStyle w:val="NormalWeb"/>
              <w:rPr>
                <w:sz w:val="18"/>
                <w:szCs w:val="18"/>
              </w:rPr>
            </w:pPr>
            <w:r w:rsidRPr="00834CDC">
              <w:rPr>
                <w:sz w:val="18"/>
                <w:szCs w:val="18"/>
              </w:rPr>
              <w:t>4.5</w:t>
            </w:r>
          </w:p>
        </w:tc>
        <w:tc>
          <w:tcPr>
            <w:tcW w:w="12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E8AECF" w14:textId="77777777" w:rsidR="00141077" w:rsidRPr="00834CDC" w:rsidRDefault="00141077" w:rsidP="003058F5">
            <w:pPr>
              <w:pStyle w:val="NormalWeb"/>
              <w:rPr>
                <w:sz w:val="18"/>
                <w:szCs w:val="18"/>
              </w:rPr>
            </w:pPr>
            <w:r w:rsidRPr="00834CDC">
              <w:rPr>
                <w:sz w:val="18"/>
                <w:szCs w:val="18"/>
              </w:rPr>
              <w:t>0.5–23.8</w:t>
            </w:r>
          </w:p>
        </w:tc>
      </w:tr>
      <w:tr w:rsidR="00141077" w:rsidRPr="00834CDC" w14:paraId="62FA6986" w14:textId="77777777" w:rsidTr="00141077">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1D21E5" w14:textId="77777777" w:rsidR="00141077" w:rsidRPr="00834CDC" w:rsidRDefault="00141077" w:rsidP="00141077">
            <w:pPr>
              <w:jc w:val="left"/>
              <w:rPr>
                <w:sz w:val="18"/>
                <w:szCs w:val="18"/>
              </w:rPr>
            </w:pP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AA3BF7" w14:textId="77777777" w:rsidR="00141077" w:rsidRPr="00834CDC" w:rsidRDefault="00141077" w:rsidP="003058F5">
            <w:pPr>
              <w:pStyle w:val="NormalWeb"/>
              <w:rPr>
                <w:sz w:val="18"/>
                <w:szCs w:val="18"/>
              </w:rPr>
            </w:pPr>
            <w:r w:rsidRPr="00834CDC">
              <w:rPr>
                <w:sz w:val="18"/>
                <w:szCs w:val="18"/>
              </w:rPr>
              <w:t>Other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CB2A2E" w14:textId="77777777" w:rsidR="00141077" w:rsidRPr="00834CDC" w:rsidRDefault="00141077" w:rsidP="003058F5">
            <w:pPr>
              <w:pStyle w:val="NormalWeb"/>
              <w:rPr>
                <w:sz w:val="18"/>
                <w:szCs w:val="18"/>
              </w:rPr>
            </w:pPr>
            <w:r w:rsidRPr="00834CDC">
              <w:rPr>
                <w:sz w:val="18"/>
                <w:szCs w:val="18"/>
              </w:rPr>
              <w:t>7</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1DEA13" w14:textId="77777777" w:rsidR="00141077" w:rsidRPr="00834CDC" w:rsidRDefault="00141077" w:rsidP="003058F5">
            <w:pPr>
              <w:pStyle w:val="NormalWeb"/>
              <w:rPr>
                <w:sz w:val="18"/>
                <w:szCs w:val="18"/>
              </w:rPr>
            </w:pPr>
            <w:r w:rsidRPr="00834CDC">
              <w:rPr>
                <w:sz w:val="18"/>
                <w:szCs w:val="18"/>
              </w:rPr>
              <w:t>0.13</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A999B1" w14:textId="77777777" w:rsidR="00141077" w:rsidRPr="00834CDC" w:rsidRDefault="00141077" w:rsidP="003058F5">
            <w:pPr>
              <w:rPr>
                <w:sz w:val="18"/>
                <w:szCs w:val="18"/>
              </w:rPr>
            </w:pPr>
          </w:p>
        </w:tc>
        <w:tc>
          <w:tcPr>
            <w:tcW w:w="12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79FD63" w14:textId="77777777" w:rsidR="00141077" w:rsidRPr="00834CDC" w:rsidRDefault="00141077" w:rsidP="003058F5">
            <w:pPr>
              <w:rPr>
                <w:sz w:val="18"/>
                <w:szCs w:val="18"/>
              </w:rPr>
            </w:pPr>
          </w:p>
        </w:tc>
      </w:tr>
      <w:tr w:rsidR="00141077" w:rsidRPr="00834CDC" w14:paraId="74210A82" w14:textId="77777777" w:rsidTr="00141077">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AF1A1D" w14:textId="77777777" w:rsidR="00141077" w:rsidRPr="00834CDC" w:rsidRDefault="00141077" w:rsidP="00141077">
            <w:pPr>
              <w:pStyle w:val="NormalWeb"/>
              <w:jc w:val="left"/>
              <w:rPr>
                <w:sz w:val="18"/>
                <w:szCs w:val="18"/>
              </w:rPr>
            </w:pPr>
            <w:r w:rsidRPr="00834CDC">
              <w:rPr>
                <w:sz w:val="18"/>
                <w:szCs w:val="18"/>
              </w:rPr>
              <w:t>10–19</w:t>
            </w: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89A712" w14:textId="77777777" w:rsidR="00141077" w:rsidRPr="00834CDC" w:rsidRDefault="00141077" w:rsidP="003058F5">
            <w:pPr>
              <w:pStyle w:val="NormalWeb"/>
              <w:rPr>
                <w:sz w:val="18"/>
                <w:szCs w:val="18"/>
              </w:rPr>
            </w:pPr>
            <w:r w:rsidRPr="00834CDC">
              <w:rPr>
                <w:sz w:val="18"/>
                <w:szCs w:val="18"/>
              </w:rPr>
              <w:t>Aboriginal and Torres Strait Islander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DB43E5" w14:textId="6DFCF6A8" w:rsidR="00141077" w:rsidRPr="00834CDC" w:rsidRDefault="00141077" w:rsidP="003058F5">
            <w:pPr>
              <w:pStyle w:val="NormalWeb"/>
              <w:rPr>
                <w:sz w:val="18"/>
                <w:szCs w:val="18"/>
              </w:rPr>
            </w:pPr>
            <w:r w:rsidRPr="00834CDC">
              <w:rPr>
                <w:sz w:val="18"/>
                <w:szCs w:val="18"/>
              </w:rPr>
              <w:t>1–5</w:t>
            </w:r>
            <w:r w:rsidR="0071498B" w:rsidRPr="00834CDC">
              <w:rPr>
                <w:sz w:val="18"/>
                <w:szCs w:val="18"/>
              </w:rPr>
              <w:t xml:space="preserve"> </w:t>
            </w:r>
            <w:r w:rsidRPr="00834CDC">
              <w:rPr>
                <w:sz w:val="18"/>
                <w:szCs w:val="18"/>
                <w:vertAlign w:val="superscript"/>
              </w:rPr>
              <w:t>c</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C86051" w14:textId="77777777" w:rsidR="00141077" w:rsidRPr="00834CDC" w:rsidRDefault="00141077" w:rsidP="003058F5">
            <w:pPr>
              <w:pStyle w:val="NormalWeb"/>
              <w:rPr>
                <w:sz w:val="18"/>
                <w:szCs w:val="18"/>
              </w:rPr>
            </w:pPr>
            <w:r w:rsidRPr="00834CDC">
              <w:rPr>
                <w:sz w:val="18"/>
                <w:szCs w:val="18"/>
              </w:rPr>
              <w:t>0.98</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23B8C7" w14:textId="77777777" w:rsidR="00141077" w:rsidRPr="00834CDC" w:rsidRDefault="00141077" w:rsidP="003058F5">
            <w:pPr>
              <w:pStyle w:val="NormalWeb"/>
              <w:rPr>
                <w:sz w:val="18"/>
                <w:szCs w:val="18"/>
              </w:rPr>
            </w:pPr>
            <w:r w:rsidRPr="00834CDC">
              <w:rPr>
                <w:sz w:val="18"/>
                <w:szCs w:val="18"/>
              </w:rPr>
              <w:t>1.2</w:t>
            </w:r>
          </w:p>
        </w:tc>
        <w:tc>
          <w:tcPr>
            <w:tcW w:w="12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746A5C" w14:textId="77777777" w:rsidR="00141077" w:rsidRPr="00834CDC" w:rsidRDefault="00141077" w:rsidP="003058F5">
            <w:pPr>
              <w:pStyle w:val="NormalWeb"/>
              <w:rPr>
                <w:sz w:val="18"/>
                <w:szCs w:val="18"/>
              </w:rPr>
            </w:pPr>
            <w:r w:rsidRPr="00834CDC">
              <w:rPr>
                <w:sz w:val="18"/>
                <w:szCs w:val="18"/>
              </w:rPr>
              <w:t>0.2–3.9</w:t>
            </w:r>
          </w:p>
        </w:tc>
      </w:tr>
      <w:tr w:rsidR="00141077" w:rsidRPr="00834CDC" w14:paraId="13320643" w14:textId="77777777" w:rsidTr="00141077">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9D1B2F" w14:textId="77777777" w:rsidR="00141077" w:rsidRPr="00834CDC" w:rsidRDefault="00141077" w:rsidP="00141077">
            <w:pPr>
              <w:jc w:val="left"/>
              <w:rPr>
                <w:sz w:val="18"/>
                <w:szCs w:val="18"/>
              </w:rPr>
            </w:pP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289A96" w14:textId="77777777" w:rsidR="00141077" w:rsidRPr="00834CDC" w:rsidRDefault="00141077" w:rsidP="003058F5">
            <w:pPr>
              <w:pStyle w:val="NormalWeb"/>
              <w:rPr>
                <w:sz w:val="18"/>
                <w:szCs w:val="18"/>
              </w:rPr>
            </w:pPr>
            <w:r w:rsidRPr="00834CDC">
              <w:rPr>
                <w:sz w:val="18"/>
                <w:szCs w:val="18"/>
              </w:rPr>
              <w:t>Other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BF5564" w14:textId="77777777" w:rsidR="00141077" w:rsidRPr="00834CDC" w:rsidRDefault="00141077" w:rsidP="003058F5">
            <w:pPr>
              <w:pStyle w:val="NormalWeb"/>
              <w:rPr>
                <w:sz w:val="18"/>
                <w:szCs w:val="18"/>
              </w:rPr>
            </w:pPr>
            <w:r w:rsidRPr="00834CDC">
              <w:rPr>
                <w:sz w:val="18"/>
                <w:szCs w:val="18"/>
              </w:rPr>
              <w:t>40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3BC28F" w14:textId="77777777" w:rsidR="00141077" w:rsidRPr="00834CDC" w:rsidRDefault="00141077" w:rsidP="003058F5">
            <w:pPr>
              <w:pStyle w:val="NormalWeb"/>
              <w:rPr>
                <w:sz w:val="18"/>
                <w:szCs w:val="18"/>
              </w:rPr>
            </w:pPr>
            <w:r w:rsidRPr="00834CDC">
              <w:rPr>
                <w:sz w:val="18"/>
                <w:szCs w:val="18"/>
              </w:rPr>
              <w:t>0.80</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A3AAA3" w14:textId="77777777" w:rsidR="00141077" w:rsidRPr="00834CDC" w:rsidRDefault="00141077" w:rsidP="003058F5">
            <w:pPr>
              <w:rPr>
                <w:sz w:val="18"/>
                <w:szCs w:val="18"/>
              </w:rPr>
            </w:pPr>
          </w:p>
        </w:tc>
        <w:tc>
          <w:tcPr>
            <w:tcW w:w="12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D5FC05" w14:textId="77777777" w:rsidR="00141077" w:rsidRPr="00834CDC" w:rsidRDefault="00141077" w:rsidP="003058F5">
            <w:pPr>
              <w:rPr>
                <w:sz w:val="18"/>
                <w:szCs w:val="18"/>
              </w:rPr>
            </w:pPr>
          </w:p>
        </w:tc>
      </w:tr>
      <w:tr w:rsidR="00141077" w:rsidRPr="00834CDC" w14:paraId="40A0046E" w14:textId="77777777" w:rsidTr="00141077">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2705E5" w14:textId="77777777" w:rsidR="00141077" w:rsidRPr="00834CDC" w:rsidRDefault="00141077" w:rsidP="00141077">
            <w:pPr>
              <w:pStyle w:val="NormalWeb"/>
              <w:jc w:val="left"/>
              <w:rPr>
                <w:sz w:val="18"/>
                <w:szCs w:val="18"/>
              </w:rPr>
            </w:pPr>
            <w:r w:rsidRPr="00834CDC">
              <w:rPr>
                <w:sz w:val="18"/>
                <w:szCs w:val="18"/>
              </w:rPr>
              <w:t>20–29</w:t>
            </w: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19D597" w14:textId="77777777" w:rsidR="00141077" w:rsidRPr="00834CDC" w:rsidRDefault="00141077" w:rsidP="003058F5">
            <w:pPr>
              <w:pStyle w:val="NormalWeb"/>
              <w:rPr>
                <w:sz w:val="18"/>
                <w:szCs w:val="18"/>
              </w:rPr>
            </w:pPr>
            <w:r w:rsidRPr="00834CDC">
              <w:rPr>
                <w:sz w:val="18"/>
                <w:szCs w:val="18"/>
              </w:rPr>
              <w:t>Aboriginal and Torres Strait Islander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23F2EC" w14:textId="77777777" w:rsidR="00141077" w:rsidRPr="00834CDC" w:rsidRDefault="00141077" w:rsidP="003058F5">
            <w:pPr>
              <w:pStyle w:val="NormalWeb"/>
              <w:rPr>
                <w:sz w:val="18"/>
                <w:szCs w:val="18"/>
              </w:rPr>
            </w:pPr>
            <w:r w:rsidRPr="00834CDC">
              <w:rPr>
                <w:sz w:val="18"/>
                <w:szCs w:val="18"/>
              </w:rPr>
              <w:t>27</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2B30B5" w14:textId="77777777" w:rsidR="00141077" w:rsidRPr="00834CDC" w:rsidRDefault="00141077" w:rsidP="003058F5">
            <w:pPr>
              <w:pStyle w:val="NormalWeb"/>
              <w:rPr>
                <w:sz w:val="18"/>
                <w:szCs w:val="18"/>
              </w:rPr>
            </w:pPr>
            <w:r w:rsidRPr="00834CDC">
              <w:rPr>
                <w:sz w:val="18"/>
                <w:szCs w:val="18"/>
              </w:rPr>
              <w:t>10.63</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F87BF3" w14:textId="77777777" w:rsidR="00141077" w:rsidRPr="00834CDC" w:rsidRDefault="00141077" w:rsidP="003058F5">
            <w:pPr>
              <w:pStyle w:val="NormalWeb"/>
              <w:rPr>
                <w:sz w:val="18"/>
                <w:szCs w:val="18"/>
              </w:rPr>
            </w:pPr>
            <w:r w:rsidRPr="00834CDC">
              <w:rPr>
                <w:sz w:val="18"/>
                <w:szCs w:val="18"/>
              </w:rPr>
              <w:t>0.9</w:t>
            </w:r>
          </w:p>
        </w:tc>
        <w:tc>
          <w:tcPr>
            <w:tcW w:w="12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B7FE35" w14:textId="77777777" w:rsidR="00141077" w:rsidRPr="00834CDC" w:rsidRDefault="00141077" w:rsidP="003058F5">
            <w:pPr>
              <w:pStyle w:val="NormalWeb"/>
              <w:rPr>
                <w:sz w:val="18"/>
                <w:szCs w:val="18"/>
              </w:rPr>
            </w:pPr>
            <w:r w:rsidRPr="00834CDC">
              <w:rPr>
                <w:sz w:val="18"/>
                <w:szCs w:val="18"/>
              </w:rPr>
              <w:t>0.6–1.2</w:t>
            </w:r>
          </w:p>
        </w:tc>
      </w:tr>
      <w:tr w:rsidR="00141077" w:rsidRPr="00834CDC" w14:paraId="62FED45E" w14:textId="77777777" w:rsidTr="00141077">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D6CD3F" w14:textId="77777777" w:rsidR="00141077" w:rsidRPr="00834CDC" w:rsidRDefault="00141077" w:rsidP="00141077">
            <w:pPr>
              <w:jc w:val="left"/>
              <w:rPr>
                <w:sz w:val="18"/>
                <w:szCs w:val="18"/>
              </w:rPr>
            </w:pP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8CC932" w14:textId="77777777" w:rsidR="00141077" w:rsidRPr="00834CDC" w:rsidRDefault="00141077" w:rsidP="003058F5">
            <w:pPr>
              <w:pStyle w:val="NormalWeb"/>
              <w:rPr>
                <w:sz w:val="18"/>
                <w:szCs w:val="18"/>
              </w:rPr>
            </w:pPr>
            <w:r w:rsidRPr="00834CDC">
              <w:rPr>
                <w:sz w:val="18"/>
                <w:szCs w:val="18"/>
              </w:rPr>
              <w:t>Other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0F5ECD" w14:textId="77777777" w:rsidR="00141077" w:rsidRPr="00834CDC" w:rsidRDefault="00141077" w:rsidP="003058F5">
            <w:pPr>
              <w:pStyle w:val="NormalWeb"/>
              <w:rPr>
                <w:sz w:val="18"/>
                <w:szCs w:val="18"/>
              </w:rPr>
            </w:pPr>
            <w:r w:rsidRPr="00834CDC">
              <w:rPr>
                <w:sz w:val="18"/>
                <w:szCs w:val="18"/>
              </w:rPr>
              <w:t>763</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B4BDEE" w14:textId="77777777" w:rsidR="00141077" w:rsidRPr="00834CDC" w:rsidRDefault="00141077" w:rsidP="003058F5">
            <w:pPr>
              <w:pStyle w:val="NormalWeb"/>
              <w:rPr>
                <w:sz w:val="18"/>
                <w:szCs w:val="18"/>
              </w:rPr>
            </w:pPr>
            <w:r w:rsidRPr="00834CDC">
              <w:rPr>
                <w:sz w:val="18"/>
                <w:szCs w:val="18"/>
              </w:rPr>
              <w:t>12.55</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E73D09" w14:textId="77777777" w:rsidR="00141077" w:rsidRPr="00834CDC" w:rsidRDefault="00141077" w:rsidP="003058F5">
            <w:pPr>
              <w:rPr>
                <w:sz w:val="18"/>
                <w:szCs w:val="18"/>
              </w:rPr>
            </w:pPr>
          </w:p>
        </w:tc>
        <w:tc>
          <w:tcPr>
            <w:tcW w:w="12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1D597C" w14:textId="77777777" w:rsidR="00141077" w:rsidRPr="00834CDC" w:rsidRDefault="00141077" w:rsidP="003058F5">
            <w:pPr>
              <w:rPr>
                <w:sz w:val="18"/>
                <w:szCs w:val="18"/>
              </w:rPr>
            </w:pPr>
          </w:p>
        </w:tc>
      </w:tr>
      <w:tr w:rsidR="00141077" w:rsidRPr="00834CDC" w14:paraId="1A11521F" w14:textId="77777777" w:rsidTr="00141077">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2610AF" w14:textId="77777777" w:rsidR="00141077" w:rsidRPr="00834CDC" w:rsidRDefault="00141077" w:rsidP="00141077">
            <w:pPr>
              <w:pStyle w:val="NormalWeb"/>
              <w:jc w:val="left"/>
              <w:rPr>
                <w:sz w:val="18"/>
                <w:szCs w:val="18"/>
              </w:rPr>
            </w:pPr>
            <w:r w:rsidRPr="00834CDC">
              <w:rPr>
                <w:sz w:val="18"/>
                <w:szCs w:val="18"/>
              </w:rPr>
              <w:t>30–39</w:t>
            </w: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5AF10E" w14:textId="77777777" w:rsidR="00141077" w:rsidRPr="00834CDC" w:rsidRDefault="00141077" w:rsidP="003058F5">
            <w:pPr>
              <w:pStyle w:val="NormalWeb"/>
              <w:rPr>
                <w:sz w:val="18"/>
                <w:szCs w:val="18"/>
              </w:rPr>
            </w:pPr>
            <w:r w:rsidRPr="00834CDC">
              <w:rPr>
                <w:sz w:val="18"/>
                <w:szCs w:val="18"/>
              </w:rPr>
              <w:t>Aboriginal and Torres Strait Islander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DE53A5" w14:textId="77777777" w:rsidR="00141077" w:rsidRPr="00834CDC" w:rsidRDefault="00141077" w:rsidP="003058F5">
            <w:pPr>
              <w:pStyle w:val="NormalWeb"/>
              <w:rPr>
                <w:sz w:val="18"/>
                <w:szCs w:val="18"/>
              </w:rPr>
            </w:pPr>
            <w:r w:rsidRPr="00834CDC">
              <w:rPr>
                <w:sz w:val="18"/>
                <w:szCs w:val="18"/>
              </w:rPr>
              <w:t>30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3BA534" w14:textId="77777777" w:rsidR="00141077" w:rsidRPr="00834CDC" w:rsidRDefault="00141077" w:rsidP="003058F5">
            <w:pPr>
              <w:pStyle w:val="NormalWeb"/>
              <w:rPr>
                <w:sz w:val="18"/>
                <w:szCs w:val="18"/>
              </w:rPr>
            </w:pPr>
            <w:r w:rsidRPr="00834CDC">
              <w:rPr>
                <w:sz w:val="18"/>
                <w:szCs w:val="18"/>
              </w:rPr>
              <w:t>17.66</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3D8FF6" w14:textId="77777777" w:rsidR="00141077" w:rsidRPr="00834CDC" w:rsidRDefault="00141077" w:rsidP="003058F5">
            <w:pPr>
              <w:pStyle w:val="NormalWeb"/>
              <w:rPr>
                <w:sz w:val="18"/>
                <w:szCs w:val="18"/>
              </w:rPr>
            </w:pPr>
            <w:r w:rsidRPr="00834CDC">
              <w:rPr>
                <w:sz w:val="18"/>
                <w:szCs w:val="18"/>
              </w:rPr>
              <w:t>1.4</w:t>
            </w:r>
          </w:p>
        </w:tc>
        <w:tc>
          <w:tcPr>
            <w:tcW w:w="12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C8A290" w14:textId="77777777" w:rsidR="00141077" w:rsidRPr="00834CDC" w:rsidRDefault="00141077" w:rsidP="003058F5">
            <w:pPr>
              <w:pStyle w:val="NormalWeb"/>
              <w:rPr>
                <w:sz w:val="18"/>
                <w:szCs w:val="18"/>
              </w:rPr>
            </w:pPr>
            <w:r w:rsidRPr="00834CDC">
              <w:rPr>
                <w:sz w:val="18"/>
                <w:szCs w:val="18"/>
              </w:rPr>
              <w:t>0.9–2.0</w:t>
            </w:r>
          </w:p>
        </w:tc>
      </w:tr>
      <w:tr w:rsidR="00141077" w:rsidRPr="00834CDC" w14:paraId="27904895" w14:textId="77777777" w:rsidTr="00141077">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8820A4" w14:textId="77777777" w:rsidR="00141077" w:rsidRPr="00834CDC" w:rsidRDefault="00141077" w:rsidP="00141077">
            <w:pPr>
              <w:jc w:val="left"/>
              <w:rPr>
                <w:sz w:val="18"/>
                <w:szCs w:val="18"/>
              </w:rPr>
            </w:pP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5901F3" w14:textId="77777777" w:rsidR="00141077" w:rsidRPr="00834CDC" w:rsidRDefault="00141077" w:rsidP="003058F5">
            <w:pPr>
              <w:pStyle w:val="NormalWeb"/>
              <w:rPr>
                <w:sz w:val="18"/>
                <w:szCs w:val="18"/>
              </w:rPr>
            </w:pPr>
            <w:r w:rsidRPr="00834CDC">
              <w:rPr>
                <w:sz w:val="18"/>
                <w:szCs w:val="18"/>
              </w:rPr>
              <w:t>Other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ACC754" w14:textId="77777777" w:rsidR="00141077" w:rsidRPr="00834CDC" w:rsidRDefault="00141077" w:rsidP="003058F5">
            <w:pPr>
              <w:pStyle w:val="NormalWeb"/>
              <w:rPr>
                <w:sz w:val="18"/>
                <w:szCs w:val="18"/>
              </w:rPr>
            </w:pPr>
            <w:r w:rsidRPr="00834CDC">
              <w:rPr>
                <w:sz w:val="18"/>
                <w:szCs w:val="18"/>
              </w:rPr>
              <w:t>761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67CBB1" w14:textId="77777777" w:rsidR="00141077" w:rsidRPr="00834CDC" w:rsidRDefault="00141077" w:rsidP="003058F5">
            <w:pPr>
              <w:pStyle w:val="NormalWeb"/>
              <w:rPr>
                <w:sz w:val="18"/>
                <w:szCs w:val="18"/>
              </w:rPr>
            </w:pPr>
            <w:r w:rsidRPr="00834CDC">
              <w:rPr>
                <w:sz w:val="18"/>
                <w:szCs w:val="18"/>
              </w:rPr>
              <w:t>12.79</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FE078A" w14:textId="77777777" w:rsidR="00141077" w:rsidRPr="00834CDC" w:rsidRDefault="00141077" w:rsidP="003058F5">
            <w:pPr>
              <w:rPr>
                <w:sz w:val="18"/>
                <w:szCs w:val="18"/>
              </w:rPr>
            </w:pPr>
          </w:p>
        </w:tc>
        <w:tc>
          <w:tcPr>
            <w:tcW w:w="12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74027D" w14:textId="77777777" w:rsidR="00141077" w:rsidRPr="00834CDC" w:rsidRDefault="00141077" w:rsidP="003058F5">
            <w:pPr>
              <w:rPr>
                <w:sz w:val="18"/>
                <w:szCs w:val="18"/>
              </w:rPr>
            </w:pPr>
          </w:p>
        </w:tc>
      </w:tr>
      <w:tr w:rsidR="00141077" w:rsidRPr="00834CDC" w14:paraId="6C149FB3" w14:textId="77777777" w:rsidTr="00141077">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3D476E" w14:textId="77777777" w:rsidR="00141077" w:rsidRPr="00834CDC" w:rsidRDefault="00141077" w:rsidP="00141077">
            <w:pPr>
              <w:pStyle w:val="NormalWeb"/>
              <w:jc w:val="left"/>
              <w:rPr>
                <w:sz w:val="18"/>
                <w:szCs w:val="18"/>
              </w:rPr>
            </w:pPr>
            <w:r w:rsidRPr="00834CDC">
              <w:rPr>
                <w:sz w:val="18"/>
                <w:szCs w:val="18"/>
              </w:rPr>
              <w:t>≥ 40</w:t>
            </w: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EA35DA" w14:textId="77777777" w:rsidR="00141077" w:rsidRPr="00834CDC" w:rsidRDefault="00141077" w:rsidP="003058F5">
            <w:pPr>
              <w:pStyle w:val="NormalWeb"/>
              <w:rPr>
                <w:sz w:val="18"/>
                <w:szCs w:val="18"/>
              </w:rPr>
            </w:pPr>
            <w:r w:rsidRPr="00834CDC">
              <w:rPr>
                <w:sz w:val="18"/>
                <w:szCs w:val="18"/>
              </w:rPr>
              <w:t>Aboriginal and Torres Strait Islander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20E5CF" w14:textId="77777777" w:rsidR="00141077" w:rsidRPr="00834CDC" w:rsidRDefault="00141077" w:rsidP="003058F5">
            <w:pPr>
              <w:pStyle w:val="NormalWeb"/>
              <w:rPr>
                <w:sz w:val="18"/>
                <w:szCs w:val="18"/>
              </w:rPr>
            </w:pPr>
            <w:r w:rsidRPr="00834CDC">
              <w:rPr>
                <w:sz w:val="18"/>
                <w:szCs w:val="18"/>
              </w:rPr>
              <w:t>40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1CE22F" w14:textId="77777777" w:rsidR="00141077" w:rsidRPr="00834CDC" w:rsidRDefault="00141077" w:rsidP="003058F5">
            <w:pPr>
              <w:pStyle w:val="NormalWeb"/>
              <w:rPr>
                <w:sz w:val="18"/>
                <w:szCs w:val="18"/>
              </w:rPr>
            </w:pPr>
            <w:r w:rsidRPr="00834CDC">
              <w:rPr>
                <w:sz w:val="18"/>
                <w:szCs w:val="18"/>
              </w:rPr>
              <w:t>11.00</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1DF073" w14:textId="77777777" w:rsidR="00141077" w:rsidRPr="00834CDC" w:rsidRDefault="00141077" w:rsidP="003058F5">
            <w:pPr>
              <w:pStyle w:val="NormalWeb"/>
              <w:rPr>
                <w:sz w:val="18"/>
                <w:szCs w:val="18"/>
              </w:rPr>
            </w:pPr>
            <w:r w:rsidRPr="00834CDC">
              <w:rPr>
                <w:sz w:val="18"/>
                <w:szCs w:val="18"/>
              </w:rPr>
              <w:t>0.95</w:t>
            </w:r>
          </w:p>
        </w:tc>
        <w:tc>
          <w:tcPr>
            <w:tcW w:w="12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9E61A4" w14:textId="77777777" w:rsidR="00141077" w:rsidRPr="00834CDC" w:rsidRDefault="00141077" w:rsidP="003058F5">
            <w:pPr>
              <w:pStyle w:val="NormalWeb"/>
              <w:rPr>
                <w:sz w:val="18"/>
                <w:szCs w:val="18"/>
              </w:rPr>
            </w:pPr>
            <w:r w:rsidRPr="00834CDC">
              <w:rPr>
                <w:sz w:val="18"/>
                <w:szCs w:val="18"/>
              </w:rPr>
              <w:t>0.7–1.3</w:t>
            </w:r>
          </w:p>
        </w:tc>
      </w:tr>
      <w:tr w:rsidR="00141077" w:rsidRPr="00834CDC" w14:paraId="52018F53" w14:textId="77777777" w:rsidTr="00141077">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3F8F09" w14:textId="77777777" w:rsidR="00141077" w:rsidRPr="00834CDC" w:rsidRDefault="00141077" w:rsidP="00141077">
            <w:pPr>
              <w:jc w:val="left"/>
              <w:rPr>
                <w:sz w:val="18"/>
                <w:szCs w:val="18"/>
              </w:rPr>
            </w:pP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5F3399" w14:textId="77777777" w:rsidR="00141077" w:rsidRPr="00834CDC" w:rsidRDefault="00141077" w:rsidP="003058F5">
            <w:pPr>
              <w:pStyle w:val="NormalWeb"/>
              <w:rPr>
                <w:sz w:val="18"/>
                <w:szCs w:val="18"/>
              </w:rPr>
            </w:pPr>
            <w:r w:rsidRPr="00834CDC">
              <w:rPr>
                <w:sz w:val="18"/>
                <w:szCs w:val="18"/>
              </w:rPr>
              <w:t>Other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4B3AA4" w14:textId="77777777" w:rsidR="00141077" w:rsidRPr="00834CDC" w:rsidRDefault="00141077" w:rsidP="003058F5">
            <w:pPr>
              <w:pStyle w:val="NormalWeb"/>
              <w:rPr>
                <w:sz w:val="18"/>
                <w:szCs w:val="18"/>
              </w:rPr>
            </w:pPr>
            <w:r w:rsidRPr="00834CDC">
              <w:rPr>
                <w:sz w:val="18"/>
                <w:szCs w:val="18"/>
              </w:rPr>
              <w:t>2,218</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15790C" w14:textId="77777777" w:rsidR="00141077" w:rsidRPr="00834CDC" w:rsidRDefault="00141077" w:rsidP="003058F5">
            <w:pPr>
              <w:pStyle w:val="NormalWeb"/>
              <w:rPr>
                <w:sz w:val="18"/>
                <w:szCs w:val="18"/>
              </w:rPr>
            </w:pPr>
            <w:r w:rsidRPr="00834CDC">
              <w:rPr>
                <w:sz w:val="18"/>
                <w:szCs w:val="18"/>
              </w:rPr>
              <w:t>11.65</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D1A88A" w14:textId="77777777" w:rsidR="00141077" w:rsidRPr="00834CDC" w:rsidRDefault="00141077" w:rsidP="003058F5">
            <w:pPr>
              <w:rPr>
                <w:sz w:val="18"/>
                <w:szCs w:val="18"/>
              </w:rPr>
            </w:pPr>
          </w:p>
        </w:tc>
        <w:tc>
          <w:tcPr>
            <w:tcW w:w="12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3B6E42" w14:textId="77777777" w:rsidR="00141077" w:rsidRPr="00834CDC" w:rsidRDefault="00141077" w:rsidP="003058F5">
            <w:pPr>
              <w:rPr>
                <w:sz w:val="18"/>
                <w:szCs w:val="18"/>
              </w:rPr>
            </w:pPr>
          </w:p>
        </w:tc>
      </w:tr>
      <w:tr w:rsidR="00141077" w:rsidRPr="00834CDC" w14:paraId="22D23118" w14:textId="77777777" w:rsidTr="00E01006">
        <w:trPr>
          <w:divId w:val="1988506822"/>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0E44995" w14:textId="1C8F7369" w:rsidR="00141077" w:rsidRPr="00834CDC" w:rsidRDefault="00141077" w:rsidP="00141077">
            <w:pPr>
              <w:pStyle w:val="NormalWeb"/>
              <w:jc w:val="left"/>
              <w:rPr>
                <w:b/>
                <w:bCs/>
                <w:sz w:val="18"/>
                <w:szCs w:val="18"/>
              </w:rPr>
            </w:pPr>
            <w:r w:rsidRPr="00834CDC">
              <w:rPr>
                <w:b/>
                <w:bCs/>
                <w:sz w:val="18"/>
                <w:szCs w:val="18"/>
              </w:rPr>
              <w:t>All ages</w:t>
            </w:r>
            <w:r w:rsidR="0071498B" w:rsidRPr="00834CDC">
              <w:rPr>
                <w:b/>
                <w:bCs/>
                <w:sz w:val="18"/>
                <w:szCs w:val="18"/>
              </w:rPr>
              <w:t xml:space="preserve"> </w:t>
            </w:r>
            <w:r w:rsidRPr="00834CDC">
              <w:rPr>
                <w:b/>
                <w:bCs/>
                <w:sz w:val="18"/>
                <w:szCs w:val="18"/>
                <w:vertAlign w:val="superscript"/>
              </w:rPr>
              <w:t>d</w:t>
            </w: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0E79837" w14:textId="77777777" w:rsidR="00141077" w:rsidRPr="00834CDC" w:rsidRDefault="00141077" w:rsidP="003058F5">
            <w:pPr>
              <w:pStyle w:val="NormalWeb"/>
              <w:rPr>
                <w:b/>
                <w:bCs/>
                <w:sz w:val="18"/>
                <w:szCs w:val="18"/>
              </w:rPr>
            </w:pPr>
            <w:r w:rsidRPr="00834CDC">
              <w:rPr>
                <w:b/>
                <w:bCs/>
                <w:sz w:val="18"/>
                <w:szCs w:val="18"/>
              </w:rPr>
              <w:t>Aboriginal and Torres Strait Islander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FC773EE" w14:textId="77777777" w:rsidR="00141077" w:rsidRPr="00834CDC" w:rsidRDefault="00141077" w:rsidP="003058F5">
            <w:pPr>
              <w:pStyle w:val="NormalWeb"/>
              <w:rPr>
                <w:b/>
                <w:bCs/>
                <w:sz w:val="18"/>
                <w:szCs w:val="18"/>
              </w:rPr>
            </w:pPr>
            <w:r w:rsidRPr="00834CDC">
              <w:rPr>
                <w:b/>
                <w:bCs/>
                <w:sz w:val="18"/>
                <w:szCs w:val="18"/>
              </w:rPr>
              <w:t>102</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1B77EB4" w14:textId="77777777" w:rsidR="00141077" w:rsidRPr="00834CDC" w:rsidRDefault="00141077" w:rsidP="003058F5">
            <w:pPr>
              <w:pStyle w:val="NormalWeb"/>
              <w:rPr>
                <w:b/>
                <w:bCs/>
                <w:sz w:val="18"/>
                <w:szCs w:val="18"/>
              </w:rPr>
            </w:pPr>
            <w:r w:rsidRPr="00834CDC">
              <w:rPr>
                <w:b/>
                <w:bCs/>
                <w:sz w:val="18"/>
                <w:szCs w:val="18"/>
              </w:rPr>
              <w:t>7.12</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7848201" w14:textId="77777777" w:rsidR="00141077" w:rsidRPr="00834CDC" w:rsidRDefault="00141077" w:rsidP="003058F5">
            <w:pPr>
              <w:pStyle w:val="NormalWeb"/>
              <w:rPr>
                <w:b/>
                <w:bCs/>
                <w:sz w:val="18"/>
                <w:szCs w:val="18"/>
              </w:rPr>
            </w:pPr>
            <w:r w:rsidRPr="00834CDC">
              <w:rPr>
                <w:b/>
                <w:bCs/>
                <w:sz w:val="18"/>
                <w:szCs w:val="18"/>
              </w:rPr>
              <w:t>0.8</w:t>
            </w:r>
          </w:p>
        </w:tc>
        <w:tc>
          <w:tcPr>
            <w:tcW w:w="12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17C2632" w14:textId="77777777" w:rsidR="00141077" w:rsidRPr="00834CDC" w:rsidRDefault="00141077" w:rsidP="003058F5">
            <w:pPr>
              <w:pStyle w:val="NormalWeb"/>
              <w:rPr>
                <w:b/>
                <w:bCs/>
                <w:sz w:val="18"/>
                <w:szCs w:val="18"/>
              </w:rPr>
            </w:pPr>
            <w:r w:rsidRPr="00834CDC">
              <w:rPr>
                <w:b/>
                <w:bCs/>
                <w:sz w:val="18"/>
                <w:szCs w:val="18"/>
              </w:rPr>
              <w:t>0.6–0.95</w:t>
            </w:r>
          </w:p>
        </w:tc>
      </w:tr>
      <w:tr w:rsidR="00141077" w:rsidRPr="00834CDC" w14:paraId="15AB2493" w14:textId="77777777" w:rsidTr="00E01006">
        <w:trPr>
          <w:cnfStyle w:val="000000010000" w:firstRow="0" w:lastRow="0" w:firstColumn="0" w:lastColumn="0" w:oddVBand="0" w:evenVBand="0" w:oddHBand="0" w:evenHBand="1" w:firstRowFirstColumn="0" w:firstRowLastColumn="0" w:lastRowFirstColumn="0" w:lastRowLastColumn="0"/>
          <w:divId w:val="1988506822"/>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4B232E4" w14:textId="77777777" w:rsidR="00141077" w:rsidRPr="00834CDC" w:rsidRDefault="00141077" w:rsidP="00141077">
            <w:pPr>
              <w:jc w:val="left"/>
              <w:rPr>
                <w:b/>
                <w:bCs/>
                <w:sz w:val="18"/>
                <w:szCs w:val="18"/>
              </w:rPr>
            </w:pPr>
          </w:p>
        </w:tc>
        <w:tc>
          <w:tcPr>
            <w:tcW w:w="382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3575879" w14:textId="77777777" w:rsidR="00141077" w:rsidRPr="00834CDC" w:rsidRDefault="00141077" w:rsidP="003058F5">
            <w:pPr>
              <w:pStyle w:val="NormalWeb"/>
              <w:rPr>
                <w:b/>
                <w:bCs/>
                <w:sz w:val="18"/>
                <w:szCs w:val="18"/>
              </w:rPr>
            </w:pPr>
            <w:r w:rsidRPr="00834CDC">
              <w:rPr>
                <w:b/>
                <w:bCs/>
                <w:sz w:val="18"/>
                <w:szCs w:val="18"/>
              </w:rPr>
              <w:t>Other</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8EA1FB3" w14:textId="77777777" w:rsidR="00141077" w:rsidRPr="00834CDC" w:rsidRDefault="00141077" w:rsidP="003058F5">
            <w:pPr>
              <w:pStyle w:val="NormalWeb"/>
              <w:rPr>
                <w:b/>
                <w:bCs/>
                <w:sz w:val="18"/>
                <w:szCs w:val="18"/>
              </w:rPr>
            </w:pPr>
            <w:r w:rsidRPr="00834CDC">
              <w:rPr>
                <w:b/>
                <w:bCs/>
                <w:sz w:val="18"/>
                <w:szCs w:val="18"/>
              </w:rPr>
              <w:t>3,789</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8CF1F12" w14:textId="77777777" w:rsidR="00141077" w:rsidRPr="00834CDC" w:rsidRDefault="00141077" w:rsidP="003058F5">
            <w:pPr>
              <w:pStyle w:val="NormalWeb"/>
              <w:rPr>
                <w:b/>
                <w:bCs/>
                <w:sz w:val="18"/>
                <w:szCs w:val="18"/>
              </w:rPr>
            </w:pPr>
            <w:r w:rsidRPr="00834CDC">
              <w:rPr>
                <w:b/>
                <w:bCs/>
                <w:sz w:val="18"/>
                <w:szCs w:val="18"/>
              </w:rPr>
              <w:t>9.14</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CE7D7EB" w14:textId="77777777" w:rsidR="00141077" w:rsidRPr="00834CDC" w:rsidRDefault="00141077" w:rsidP="003058F5">
            <w:pPr>
              <w:rPr>
                <w:b/>
                <w:bCs/>
                <w:sz w:val="18"/>
                <w:szCs w:val="18"/>
              </w:rPr>
            </w:pPr>
          </w:p>
        </w:tc>
        <w:tc>
          <w:tcPr>
            <w:tcW w:w="12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5533F2A" w14:textId="77777777" w:rsidR="00141077" w:rsidRPr="00834CDC" w:rsidRDefault="00141077" w:rsidP="003058F5">
            <w:pPr>
              <w:rPr>
                <w:b/>
                <w:bCs/>
                <w:sz w:val="18"/>
                <w:szCs w:val="18"/>
              </w:rPr>
            </w:pPr>
          </w:p>
        </w:tc>
      </w:tr>
    </w:tbl>
    <w:p w14:paraId="61A6C7AF" w14:textId="77777777" w:rsidR="00141077" w:rsidRPr="00834CDC" w:rsidRDefault="00141077" w:rsidP="00141077">
      <w:pPr>
        <w:pStyle w:val="CDIfootnotes"/>
        <w:divId w:val="1988506822"/>
      </w:pPr>
      <w:r w:rsidRPr="00834CDC">
        <w:t>a</w:t>
      </w:r>
      <w:r w:rsidRPr="00834CDC">
        <w:tab/>
      </w:r>
      <w:proofErr w:type="gramStart"/>
      <w:r w:rsidRPr="00834CDC">
        <w:t>Hospital admissions</w:t>
      </w:r>
      <w:proofErr w:type="gramEnd"/>
      <w:r w:rsidRPr="00834CDC">
        <w:t xml:space="preserve"> where the date of admission was between 1 January 2016 and 30 June 2019. 2019 hospitalisation data was annualised.</w:t>
      </w:r>
    </w:p>
    <w:p w14:paraId="56476BD3" w14:textId="77777777" w:rsidR="00141077" w:rsidRPr="00834CDC" w:rsidRDefault="00141077" w:rsidP="00141077">
      <w:pPr>
        <w:pStyle w:val="CDIfootnotes"/>
        <w:divId w:val="1988506822"/>
      </w:pPr>
      <w:r w:rsidRPr="00834CDC">
        <w:t>b</w:t>
      </w:r>
      <w:r w:rsidRPr="00834CDC">
        <w:tab/>
        <w:t>Average annual age-specific rate per 100,000 population.</w:t>
      </w:r>
    </w:p>
    <w:p w14:paraId="0D006309" w14:textId="77777777" w:rsidR="00141077" w:rsidRPr="00834CDC" w:rsidRDefault="00141077" w:rsidP="00141077">
      <w:pPr>
        <w:pStyle w:val="CDIfootnotes"/>
        <w:divId w:val="1988506822"/>
      </w:pPr>
      <w:r w:rsidRPr="00834CDC">
        <w:t>c</w:t>
      </w:r>
      <w:r w:rsidRPr="00834CDC">
        <w:tab/>
      </w:r>
      <w:proofErr w:type="gramStart"/>
      <w:r w:rsidRPr="00834CDC">
        <w:t>To</w:t>
      </w:r>
      <w:proofErr w:type="gramEnd"/>
      <w:r w:rsidRPr="00834CDC">
        <w:t xml:space="preserve"> comply with the AIHW’s data release condition that hospitalisation counts &lt; 5 be suppressed in published reports, counts between 1 and 4 are reported as a range; other cell counts may be reported at NP (not published) to avoid potential for back calculation of counts &lt; 5.</w:t>
      </w:r>
    </w:p>
    <w:p w14:paraId="62E3FA87" w14:textId="77777777" w:rsidR="00141077" w:rsidRPr="00834CDC" w:rsidRDefault="00141077" w:rsidP="00141077">
      <w:pPr>
        <w:pStyle w:val="CDIfootnotes"/>
        <w:divId w:val="1988506822"/>
      </w:pPr>
      <w:r w:rsidRPr="00834CDC">
        <w:t>d</w:t>
      </w:r>
      <w:r w:rsidRPr="00834CDC">
        <w:tab/>
        <w:t>Rates for all ages combined are age-standardised to the ABS Australian population estimates for 2016.</w:t>
      </w:r>
    </w:p>
    <w:p w14:paraId="4B209BE7" w14:textId="77777777" w:rsidR="0033445F" w:rsidRPr="00834CDC" w:rsidRDefault="0033445F" w:rsidP="0033445F">
      <w:pPr>
        <w:pStyle w:val="Heading2"/>
        <w:divId w:val="1988506822"/>
      </w:pPr>
      <w:r w:rsidRPr="00834CDC">
        <w:lastRenderedPageBreak/>
        <w:t xml:space="preserve">Cervical pre-cancer </w:t>
      </w:r>
    </w:p>
    <w:p w14:paraId="3D09DD03" w14:textId="77777777" w:rsidR="0033445F" w:rsidRPr="00834CDC" w:rsidRDefault="0033445F" w:rsidP="0033445F">
      <w:pPr>
        <w:divId w:val="1988506822"/>
      </w:pPr>
      <w:r w:rsidRPr="00834CDC">
        <w:t xml:space="preserve">Cervical screening aims to detect and then treat lesions of the cervix (known as high-grade cervical intraepithelial neoplasia [CIN]) before they develop into cervical cancer. </w:t>
      </w:r>
    </w:p>
    <w:p w14:paraId="3E708BBD" w14:textId="77777777" w:rsidR="0033445F" w:rsidRPr="00834CDC" w:rsidRDefault="0033445F" w:rsidP="0033445F">
      <w:pPr>
        <w:divId w:val="1988506822"/>
      </w:pPr>
      <w:r w:rsidRPr="00834CDC">
        <w:t xml:space="preserve">Historically, Australia’s cervical screening registers have not routinely received information about the Aboriginal and Torres Strait Islander status of women </w:t>
      </w:r>
      <w:proofErr w:type="gramStart"/>
      <w:r w:rsidRPr="00834CDC">
        <w:t>participating</w:t>
      </w:r>
      <w:proofErr w:type="gramEnd"/>
      <w:r w:rsidRPr="00834CDC">
        <w:t xml:space="preserve"> in screening. However, the decline seen in cervical pre-cancer rates in the Northern Territory, where 31% of the female population is Aboriginal and Torres Strait Islander,</w:t>
      </w:r>
      <w:r w:rsidRPr="00834CDC">
        <w:rPr>
          <w:vertAlign w:val="superscript"/>
        </w:rPr>
        <w:t>95</w:t>
      </w:r>
      <w:r w:rsidRPr="00834CDC">
        <w:t xml:space="preserve"> is similar to that observed nationally.</w:t>
      </w:r>
      <w:r w:rsidRPr="00834CDC">
        <w:rPr>
          <w:vertAlign w:val="superscript"/>
        </w:rPr>
        <w:t>96</w:t>
      </w:r>
      <w:r w:rsidRPr="00834CDC">
        <w:t xml:space="preserve"> Between 2006 (the year before the vaccine program was introduced) and June 2017 (final year of the cytology-based screening program), the rate of detection of high-grade CIN decreased in the Northern Territory among women aged &lt; 20 and 20–24 years by 100% and 53%, respectively, compared to decreases seen Australia-wide of 70% and 50% among these age groups. Vaccine coverage achieved in the Northern Territory has been comparable to the coverage in other jurisdictions.</w:t>
      </w:r>
      <w:r w:rsidRPr="00834CDC">
        <w:rPr>
          <w:vertAlign w:val="superscript"/>
        </w:rPr>
        <w:t>97</w:t>
      </w:r>
      <w:r w:rsidRPr="00834CDC">
        <w:t xml:space="preserve"> As yet, no screening data are available from the HPV-based screening program by Aboriginal and Torres Strait Islander status from the National Cancer Screening Register (which replaced the eight jurisdictional cervical screening registers following transition to HPV-based screening in December 2017). This is due to as yet insufficiently complete data on Aboriginal and Torres Strait Islander status from either cervical screening tests or Medicare enrolment data (as completion of the Medicare Voluntary Indigenous Identifier is lower in older age groups than in childhood: 28% of people aged 25–74 who had a screening HPV test in 2018–2020 had not stated their Indigenous status.</w:t>
      </w:r>
      <w:r w:rsidRPr="00834CDC">
        <w:rPr>
          <w:vertAlign w:val="superscript"/>
        </w:rPr>
        <w:t>82</w:t>
      </w:r>
      <w:r w:rsidRPr="00834CDC">
        <w:t xml:space="preserve"> </w:t>
      </w:r>
    </w:p>
    <w:p w14:paraId="7EADAEB8" w14:textId="77777777" w:rsidR="0033445F" w:rsidRPr="00834CDC" w:rsidRDefault="0033445F" w:rsidP="0033445F">
      <w:pPr>
        <w:pStyle w:val="Heading2"/>
        <w:divId w:val="1988506822"/>
      </w:pPr>
      <w:r w:rsidRPr="00834CDC">
        <w:t xml:space="preserve">Cervical cancer incidence </w:t>
      </w:r>
    </w:p>
    <w:p w14:paraId="6814B99C" w14:textId="77777777" w:rsidR="0033445F" w:rsidRPr="00834CDC" w:rsidRDefault="0033445F" w:rsidP="0033445F">
      <w:pPr>
        <w:divId w:val="1988506822"/>
      </w:pPr>
      <w:r w:rsidRPr="00834CDC">
        <w:t xml:space="preserve">HPV </w:t>
      </w:r>
      <w:proofErr w:type="gramStart"/>
      <w:r w:rsidRPr="00834CDC">
        <w:t>is responsible for</w:t>
      </w:r>
      <w:proofErr w:type="gramEnd"/>
      <w:r w:rsidRPr="00834CDC">
        <w:t xml:space="preserve"> almost all cervical cancers. The latest available Australian cervical cancer incidence data from 2016 </w:t>
      </w:r>
      <w:proofErr w:type="gramStart"/>
      <w:r w:rsidRPr="00834CDC">
        <w:t>demonstrates</w:t>
      </w:r>
      <w:proofErr w:type="gramEnd"/>
      <w:r w:rsidRPr="00834CDC">
        <w:t xml:space="preserve"> an incidence rate of 7.3 new cases per 100,000 women per year.</w:t>
      </w:r>
      <w:r w:rsidRPr="00834CDC">
        <w:rPr>
          <w:vertAlign w:val="superscript"/>
        </w:rPr>
        <w:t>98</w:t>
      </w:r>
      <w:r w:rsidRPr="00834CDC">
        <w:t xml:space="preserve"> The incidence rate was 10.6 new cases per 100,000 per year for women aged 25–74 years, the age group eligible for cervical screening. From the most reliable, available data for 2011–2015 from New South Wales, Queensland, Western Australia and the Northern Territory, incidence for Aboriginal and Torres Strait Islander women was 19.3 new cases per 100,000 women per year. The incidence rate for Aboriginal and Torres Strait Islander women in the screening age group of 25–74 years was 19.9 new cases per 100,000 women per year. </w:t>
      </w:r>
    </w:p>
    <w:p w14:paraId="7E217DBE" w14:textId="77777777" w:rsidR="0033445F" w:rsidRPr="00834CDC" w:rsidRDefault="0033445F" w:rsidP="0033445F">
      <w:pPr>
        <w:divId w:val="1988506822"/>
      </w:pPr>
      <w:r w:rsidRPr="00834CDC">
        <w:t xml:space="preserve">There is currently no data link between Australian Immunisation Register vaccination status and cancer registry data. Linking these datasets would allow cervical cancer incidence to </w:t>
      </w:r>
      <w:proofErr w:type="gramStart"/>
      <w:r w:rsidRPr="00834CDC">
        <w:t>be reported</w:t>
      </w:r>
      <w:proofErr w:type="gramEnd"/>
      <w:r w:rsidRPr="00834CDC">
        <w:t xml:space="preserve"> by vaccination status. </w:t>
      </w:r>
    </w:p>
    <w:p w14:paraId="65E1EDB0" w14:textId="77777777" w:rsidR="0033445F" w:rsidRPr="00834CDC" w:rsidRDefault="0033445F" w:rsidP="0033445F">
      <w:pPr>
        <w:pStyle w:val="Heading2"/>
        <w:divId w:val="1988506822"/>
      </w:pPr>
      <w:r w:rsidRPr="00834CDC">
        <w:t xml:space="preserve">Discussion </w:t>
      </w:r>
    </w:p>
    <w:p w14:paraId="276868F5" w14:textId="77777777" w:rsidR="0033445F" w:rsidRPr="00834CDC" w:rsidRDefault="0033445F" w:rsidP="0033445F">
      <w:pPr>
        <w:divId w:val="1988506822"/>
      </w:pPr>
      <w:r w:rsidRPr="00834CDC">
        <w:t>Since the introduction of the HPV vaccination program, Australia has observed remarkable reductions in HPV infection, genital warts, cervical precancers and, most recently, recurrent respiratory papillomatosis.</w:t>
      </w:r>
      <w:r w:rsidRPr="00834CDC">
        <w:rPr>
          <w:vertAlign w:val="superscript"/>
        </w:rPr>
        <w:t>99</w:t>
      </w:r>
      <w:r w:rsidRPr="00834CDC">
        <w:t xml:space="preserve"> Available data suggest that Aboriginal and Torres Strait Islander people are benefitting as much as non-Indigenous Australians from the program, with substantial reductions in disease burden observed in vaccine-targeted age groups and leading to the reduction of previous inequity gaps. </w:t>
      </w:r>
    </w:p>
    <w:p w14:paraId="6B8F47AF" w14:textId="77777777" w:rsidR="0033445F" w:rsidRPr="00834CDC" w:rsidRDefault="0033445F" w:rsidP="0033445F">
      <w:pPr>
        <w:divId w:val="1988506822"/>
      </w:pPr>
      <w:r w:rsidRPr="00834CDC">
        <w:t>The speed and size of reduction in HPV disease burden likely reflects the large-scale primary vaccination age cohort and catch-up program,</w:t>
      </w:r>
      <w:r w:rsidRPr="00834CDC">
        <w:rPr>
          <w:vertAlign w:val="superscript"/>
        </w:rPr>
        <w:t>100</w:t>
      </w:r>
      <w:r w:rsidRPr="00834CDC">
        <w:t xml:space="preserve"> high vaccine efficacy with accumulating evidence that fewer than three doses provide a high degree of protection,</w:t>
      </w:r>
      <w:r w:rsidRPr="00834CDC">
        <w:rPr>
          <w:vertAlign w:val="superscript"/>
        </w:rPr>
        <w:t>101</w:t>
      </w:r>
      <w:r w:rsidRPr="00834CDC">
        <w:t xml:space="preserve"> and greater than expected herd protection.</w:t>
      </w:r>
      <w:r w:rsidRPr="00834CDC">
        <w:rPr>
          <w:vertAlign w:val="superscript"/>
        </w:rPr>
        <w:t>102</w:t>
      </w:r>
      <w:r w:rsidRPr="00834CDC">
        <w:t xml:space="preserve"> Modelling has suggested that even 30% coverage may generate herd protection and that sustained coverage above 80%, when vaccinating both males and females, is sufficient for long-term elimination of vaccine-targeted HPV types in the population.</w:t>
      </w:r>
      <w:r w:rsidRPr="00834CDC">
        <w:rPr>
          <w:vertAlign w:val="superscript"/>
        </w:rPr>
        <w:t>102</w:t>
      </w:r>
      <w:r w:rsidRPr="00834CDC">
        <w:t xml:space="preserve"> All these factors may explain why reduction in disease burden and infection is as substantial among Aboriginal and Torres Strait Islander people as among non-Indigenous Australians despite somewhat lower rates of vaccine course completion. </w:t>
      </w:r>
    </w:p>
    <w:p w14:paraId="72BDE5C1" w14:textId="77777777" w:rsidR="0033445F" w:rsidRPr="00834CDC" w:rsidRDefault="0033445F" w:rsidP="0033445F">
      <w:pPr>
        <w:divId w:val="1988506822"/>
      </w:pPr>
      <w:r w:rsidRPr="00834CDC">
        <w:t xml:space="preserve">It is important that Aboriginal and Torres Strait Islander status is asked about and recorded for all women </w:t>
      </w:r>
      <w:proofErr w:type="gramStart"/>
      <w:r w:rsidRPr="00834CDC">
        <w:t>participating</w:t>
      </w:r>
      <w:proofErr w:type="gramEnd"/>
      <w:r w:rsidRPr="00834CDC">
        <w:t xml:space="preserve"> in cervical screening. The new cervical screening program, which is now based on detection of HPV </w:t>
      </w:r>
      <w:r w:rsidRPr="00834CDC">
        <w:lastRenderedPageBreak/>
        <w:t xml:space="preserve">rather than cervical cellular changes, combined with a new national screening register, should provide the vehicle for a national system of </w:t>
      </w:r>
      <w:proofErr w:type="spellStart"/>
      <w:r w:rsidRPr="00834CDC">
        <w:t>highquality</w:t>
      </w:r>
      <w:proofErr w:type="spellEnd"/>
      <w:r w:rsidRPr="00834CDC">
        <w:t xml:space="preserve"> reporting, though to date no reporting by Aboriginal and Torres Strait Islander status has occurred.</w:t>
      </w:r>
      <w:r w:rsidRPr="00834CDC">
        <w:rPr>
          <w:vertAlign w:val="superscript"/>
        </w:rPr>
        <w:t>103</w:t>
      </w:r>
      <w:r w:rsidRPr="00834CDC">
        <w:t xml:space="preserve"> Laboratory accreditation standards now require all pathology providers to transmit Aboriginal and Torres Strait Islander status to the register when reported to them, but do not currently mandate the inclusion of this field on pathology request forms.</w:t>
      </w:r>
      <w:r w:rsidRPr="00834CDC">
        <w:rPr>
          <w:vertAlign w:val="superscript"/>
        </w:rPr>
        <w:t>104</w:t>
      </w:r>
      <w:r w:rsidRPr="00834CDC">
        <w:t xml:space="preserve"> It will also be important to ensure high-quality Aboriginal and Torres Strait Islander status reporting to cancer registers as the impact of vaccination on cervical cancer, and in future decades other HPV-related cancers, begins to materialise. </w:t>
      </w:r>
    </w:p>
    <w:p w14:paraId="7A240D94" w14:textId="77777777" w:rsidR="0033445F" w:rsidRPr="00834CDC" w:rsidRDefault="0033445F" w:rsidP="0033445F">
      <w:pPr>
        <w:divId w:val="1988506822"/>
      </w:pPr>
      <w:r w:rsidRPr="00834CDC">
        <w:t>As we look to the future, Australia’s leadership in cervical cancer prevention and control via the HPV vaccination program, coupled with our HPV-based cervical screening program, means that Australia is likely to be the first country to achieve cervical cancer elimination as a public health problem as defined by the World Health Organization (WHO) (&lt; 4 cases per 100,000 women per year).</w:t>
      </w:r>
      <w:r w:rsidRPr="00834CDC">
        <w:rPr>
          <w:vertAlign w:val="superscript"/>
        </w:rPr>
        <w:t>105,106</w:t>
      </w:r>
      <w:r w:rsidRPr="00834CDC">
        <w:t xml:space="preserve"> Key scale-up targets for countries outlined by the WHO to achieve by 2030 include: </w:t>
      </w:r>
    </w:p>
    <w:p w14:paraId="5429D955" w14:textId="77777777" w:rsidR="0033445F" w:rsidRPr="00834CDC" w:rsidRDefault="0033445F" w:rsidP="00DC40E1">
      <w:pPr>
        <w:pStyle w:val="ListParagraph"/>
        <w:numPr>
          <w:ilvl w:val="0"/>
          <w:numId w:val="4"/>
        </w:numPr>
        <w:divId w:val="1988506822"/>
        <w:rPr>
          <w:rFonts w:eastAsia="Times New Roman"/>
        </w:rPr>
      </w:pPr>
      <w:r w:rsidRPr="00834CDC">
        <w:rPr>
          <w:rFonts w:eastAsia="Times New Roman"/>
        </w:rPr>
        <w:t xml:space="preserve">90% of girls fully vaccinated with HPV vaccine by age 15 </w:t>
      </w:r>
      <w:proofErr w:type="gramStart"/>
      <w:r w:rsidRPr="00834CDC">
        <w:rPr>
          <w:rFonts w:eastAsia="Times New Roman"/>
        </w:rPr>
        <w:t>years;</w:t>
      </w:r>
      <w:proofErr w:type="gramEnd"/>
      <w:r w:rsidRPr="00834CDC">
        <w:rPr>
          <w:rFonts w:eastAsia="Times New Roman"/>
        </w:rPr>
        <w:t xml:space="preserve"> </w:t>
      </w:r>
    </w:p>
    <w:p w14:paraId="64836160" w14:textId="77777777" w:rsidR="0033445F" w:rsidRPr="00834CDC" w:rsidRDefault="0033445F" w:rsidP="00DC40E1">
      <w:pPr>
        <w:pStyle w:val="ListParagraph"/>
        <w:numPr>
          <w:ilvl w:val="0"/>
          <w:numId w:val="4"/>
        </w:numPr>
        <w:divId w:val="1988506822"/>
        <w:rPr>
          <w:rFonts w:eastAsia="Times New Roman"/>
        </w:rPr>
      </w:pPr>
      <w:r w:rsidRPr="00834CDC">
        <w:rPr>
          <w:rFonts w:eastAsia="Times New Roman"/>
        </w:rPr>
        <w:t xml:space="preserve">70%+ of women screened with a high-performance test (such as HPV DNA testing) by age 35 years and again by 45 years; and </w:t>
      </w:r>
    </w:p>
    <w:p w14:paraId="1F3B955D" w14:textId="77777777" w:rsidR="0033445F" w:rsidRPr="00834CDC" w:rsidRDefault="0033445F" w:rsidP="00DC40E1">
      <w:pPr>
        <w:pStyle w:val="ListParagraph"/>
        <w:numPr>
          <w:ilvl w:val="0"/>
          <w:numId w:val="4"/>
        </w:numPr>
        <w:divId w:val="1988506822"/>
        <w:rPr>
          <w:rFonts w:eastAsia="Times New Roman"/>
        </w:rPr>
      </w:pPr>
      <w:r w:rsidRPr="00834CDC">
        <w:rPr>
          <w:rFonts w:eastAsia="Times New Roman"/>
        </w:rPr>
        <w:t xml:space="preserve">90%+ of women with screen-detected precancer and 90%+ of women with cervical cancer receiving treatment. </w:t>
      </w:r>
    </w:p>
    <w:p w14:paraId="4BDDE36E" w14:textId="77777777" w:rsidR="0033445F" w:rsidRPr="00834CDC" w:rsidRDefault="0033445F" w:rsidP="0033445F">
      <w:pPr>
        <w:divId w:val="1988506822"/>
      </w:pPr>
      <w:r w:rsidRPr="00834CDC">
        <w:t>HPV vaccine coverage in adolescents aged 15 years in 2019 was 78.2% (79.6% in females and 76.8% in males).</w:t>
      </w:r>
      <w:r w:rsidRPr="00834CDC">
        <w:rPr>
          <w:vertAlign w:val="superscript"/>
        </w:rPr>
        <w:t>86</w:t>
      </w:r>
      <w:r w:rsidRPr="00834CDC">
        <w:t xml:space="preserve"> For Aboriginal and Torres Strait Islander adolescents, it was lower (68.5% overall; 71.6% in females and 65.4% in males). HPV vaccine coverage among other Indigenous populations appears to also be less than among their non-Indigenous counterparts.</w:t>
      </w:r>
      <w:r w:rsidRPr="00834CDC">
        <w:rPr>
          <w:vertAlign w:val="superscript"/>
        </w:rPr>
        <w:t>107</w:t>
      </w:r>
      <w:r w:rsidRPr="00834CDC">
        <w:t xml:space="preserve"> Here in Australia</w:t>
      </w:r>
      <w:r w:rsidRPr="00834CDC">
        <w:rPr>
          <w:vertAlign w:val="superscript"/>
        </w:rPr>
        <w:t>86</w:t>
      </w:r>
      <w:r w:rsidRPr="00834CDC">
        <w:t xml:space="preserve">—and similarly in New Zealand, </w:t>
      </w:r>
      <w:proofErr w:type="gramStart"/>
      <w:r w:rsidRPr="00834CDC">
        <w:t>Canada</w:t>
      </w:r>
      <w:proofErr w:type="gramEnd"/>
      <w:r w:rsidRPr="00834CDC">
        <w:t xml:space="preserve"> and the United States of America—Indigenous populations are not on track to reach elimination and risk being left behind.</w:t>
      </w:r>
      <w:r w:rsidRPr="00834CDC">
        <w:rPr>
          <w:vertAlign w:val="superscript"/>
        </w:rPr>
        <w:t>107</w:t>
      </w:r>
    </w:p>
    <w:p w14:paraId="52377DE4" w14:textId="17926227" w:rsidR="00080F12" w:rsidRPr="00834CDC" w:rsidRDefault="00080F12">
      <w:pPr>
        <w:rPr>
          <w:rFonts w:asciiTheme="majorHAnsi" w:eastAsiaTheme="majorEastAsia" w:hAnsiTheme="majorHAnsi" w:cstheme="majorBidi"/>
          <w:b/>
          <w:bCs/>
          <w:sz w:val="26"/>
          <w:szCs w:val="26"/>
        </w:rPr>
      </w:pPr>
      <w:r w:rsidRPr="00834CDC">
        <w:br w:type="page"/>
      </w:r>
    </w:p>
    <w:p w14:paraId="65CC4171" w14:textId="77777777" w:rsidR="00080F12" w:rsidRPr="00834CDC" w:rsidRDefault="00080F12" w:rsidP="0033445F">
      <w:pPr>
        <w:pStyle w:val="Heading2"/>
        <w:divId w:val="1988506822"/>
      </w:pPr>
    </w:p>
    <w:p w14:paraId="4B8A66B1" w14:textId="77777777" w:rsidR="00080F12" w:rsidRPr="00834CDC" w:rsidRDefault="00080F12" w:rsidP="0033445F">
      <w:pPr>
        <w:pStyle w:val="Heading2"/>
        <w:divId w:val="1988506822"/>
        <w:rPr>
          <w:rFonts w:cs="Myriad Variable Concept"/>
          <w:color w:val="211D1E"/>
          <w:sz w:val="27"/>
          <w:szCs w:val="27"/>
        </w:rPr>
      </w:pPr>
      <w:r w:rsidRPr="00834CDC">
        <w:rPr>
          <w:rFonts w:cs="Myriad Variable Concept"/>
          <w:color w:val="211D1E"/>
          <w:sz w:val="27"/>
          <w:szCs w:val="27"/>
        </w:rPr>
        <w:t xml:space="preserve">6. Seasonal influenza </w:t>
      </w:r>
    </w:p>
    <w:p w14:paraId="1A6ADA37" w14:textId="42FEFF06" w:rsidR="0033445F" w:rsidRPr="00834CDC" w:rsidRDefault="0033445F" w:rsidP="0033445F">
      <w:pPr>
        <w:pStyle w:val="Heading2"/>
        <w:divId w:val="1988506822"/>
      </w:pPr>
      <w:r w:rsidRPr="00834CDC">
        <w:t>Relevant vaccine history</w:t>
      </w:r>
    </w:p>
    <w:p w14:paraId="71E8756E" w14:textId="391F8735" w:rsidR="00A1547C" w:rsidRPr="00834CDC" w:rsidRDefault="00A1547C" w:rsidP="00E02455">
      <w:pPr>
        <w:spacing w:line="240" w:lineRule="auto"/>
        <w:divId w:val="1988506822"/>
        <w:rPr>
          <w:rFonts w:eastAsia="Times New Roman"/>
        </w:rPr>
      </w:pPr>
      <w:r w:rsidRPr="00834CDC">
        <w:rPr>
          <w:rFonts w:eastAsia="Times New Roman"/>
          <w:noProof/>
        </w:rPr>
        <mc:AlternateContent>
          <mc:Choice Requires="wps">
            <w:drawing>
              <wp:inline distT="0" distB="0" distL="0" distR="0" wp14:anchorId="0992D4F9" wp14:editId="089D3EB3">
                <wp:extent cx="6625424" cy="1404620"/>
                <wp:effectExtent l="0" t="0" r="4445"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1404620"/>
                        </a:xfrm>
                        <a:prstGeom prst="rect">
                          <a:avLst/>
                        </a:prstGeom>
                        <a:solidFill>
                          <a:srgbClr val="F7ECDD"/>
                        </a:solidFill>
                        <a:ln w="9525">
                          <a:noFill/>
                          <a:miter lim="800000"/>
                          <a:headEnd/>
                          <a:tailEnd/>
                        </a:ln>
                      </wps:spPr>
                      <wps:txbx>
                        <w:txbxContent>
                          <w:p w14:paraId="7B4A424D" w14:textId="77777777" w:rsidR="00DC40E1" w:rsidRPr="00BE4DDE" w:rsidRDefault="00DC40E1" w:rsidP="00831B33">
                            <w:pPr>
                              <w:spacing w:after="0" w:line="240" w:lineRule="auto"/>
                              <w:rPr>
                                <w:b/>
                                <w:bCs/>
                                <w:lang w:val="en-GB"/>
                              </w:rPr>
                            </w:pPr>
                            <w:r w:rsidRPr="00BE4DDE">
                              <w:rPr>
                                <w:b/>
                                <w:bCs/>
                                <w:lang w:val="en-GB"/>
                              </w:rPr>
                              <w:t>1986</w:t>
                            </w:r>
                          </w:p>
                          <w:p w14:paraId="6ADE7CD4" w14:textId="77777777" w:rsidR="00DC40E1" w:rsidRPr="00DC40E1" w:rsidRDefault="00DC40E1" w:rsidP="00831B33">
                            <w:pPr>
                              <w:pStyle w:val="ListParagraph"/>
                              <w:numPr>
                                <w:ilvl w:val="0"/>
                                <w:numId w:val="14"/>
                              </w:numPr>
                              <w:spacing w:after="0" w:line="240" w:lineRule="auto"/>
                              <w:ind w:left="714" w:hanging="357"/>
                              <w:rPr>
                                <w:rFonts w:eastAsia="Times New Roman"/>
                                <w:lang w:val="en-GB"/>
                              </w:rPr>
                            </w:pPr>
                            <w:r w:rsidRPr="00DC40E1">
                              <w:rPr>
                                <w:rFonts w:eastAsia="Times New Roman"/>
                                <w:lang w:val="en-GB"/>
                              </w:rPr>
                              <w:t>Seasonal influenza vaccination recommended for individuals at risk of complications or death from influenza</w:t>
                            </w:r>
                          </w:p>
                          <w:p w14:paraId="7467D0C4" w14:textId="77777777" w:rsidR="00DC40E1" w:rsidRPr="00BE4DDE" w:rsidRDefault="00DC40E1" w:rsidP="00831B33">
                            <w:pPr>
                              <w:spacing w:after="0" w:line="240" w:lineRule="auto"/>
                              <w:rPr>
                                <w:b/>
                                <w:bCs/>
                                <w:lang w:val="en-GB"/>
                              </w:rPr>
                            </w:pPr>
                            <w:r w:rsidRPr="00BE4DDE">
                              <w:rPr>
                                <w:b/>
                                <w:bCs/>
                                <w:lang w:val="en-GB"/>
                              </w:rPr>
                              <w:t>1994</w:t>
                            </w:r>
                          </w:p>
                          <w:p w14:paraId="4DC0E3DE" w14:textId="77777777" w:rsidR="00DC40E1" w:rsidRPr="00DC40E1" w:rsidRDefault="00DC40E1" w:rsidP="00831B33">
                            <w:pPr>
                              <w:pStyle w:val="ListParagraph"/>
                              <w:numPr>
                                <w:ilvl w:val="0"/>
                                <w:numId w:val="14"/>
                              </w:numPr>
                              <w:spacing w:after="0" w:line="240" w:lineRule="auto"/>
                              <w:rPr>
                                <w:rFonts w:eastAsia="Times New Roman"/>
                                <w:lang w:val="en-GB"/>
                              </w:rPr>
                            </w:pPr>
                            <w:r w:rsidRPr="00DC40E1">
                              <w:rPr>
                                <w:rFonts w:eastAsia="Times New Roman"/>
                                <w:lang w:val="en-GB"/>
                              </w:rPr>
                              <w:t>Seasonal influenza vaccination recommended for Aboriginal and Torres Strait Islander people aged ≥ 50 years</w:t>
                            </w:r>
                          </w:p>
                          <w:p w14:paraId="7BF28E71" w14:textId="77777777" w:rsidR="00DC40E1" w:rsidRPr="00BE4DDE" w:rsidRDefault="00DC40E1" w:rsidP="00831B33">
                            <w:pPr>
                              <w:spacing w:after="0" w:line="240" w:lineRule="auto"/>
                              <w:rPr>
                                <w:b/>
                                <w:bCs/>
                                <w:lang w:val="en-GB"/>
                              </w:rPr>
                            </w:pPr>
                            <w:r w:rsidRPr="00BE4DDE">
                              <w:rPr>
                                <w:b/>
                                <w:bCs/>
                                <w:lang w:val="en-GB"/>
                              </w:rPr>
                              <w:t>1999</w:t>
                            </w:r>
                          </w:p>
                          <w:p w14:paraId="234F7A3E" w14:textId="77777777" w:rsidR="00DC40E1" w:rsidRPr="00DC40E1" w:rsidRDefault="00DC40E1" w:rsidP="00831B33">
                            <w:pPr>
                              <w:pStyle w:val="ListParagraph"/>
                              <w:numPr>
                                <w:ilvl w:val="0"/>
                                <w:numId w:val="14"/>
                              </w:numPr>
                              <w:spacing w:after="0" w:line="240" w:lineRule="auto"/>
                              <w:rPr>
                                <w:rFonts w:eastAsia="Times New Roman"/>
                                <w:lang w:val="en-GB"/>
                              </w:rPr>
                            </w:pPr>
                            <w:r w:rsidRPr="00DC40E1">
                              <w:rPr>
                                <w:rFonts w:eastAsia="Times New Roman"/>
                                <w:lang w:val="en-GB"/>
                              </w:rPr>
                              <w:t>Seasonal influenza vaccine funded nationally for all Australians aged ≥ 65 years and Aboriginal and Torres Strait Islander people aged ≥ 50 years and 15–49 years with medical risk factors</w:t>
                            </w:r>
                          </w:p>
                          <w:p w14:paraId="3B11534C" w14:textId="77777777" w:rsidR="00DC40E1" w:rsidRPr="00BE4DDE" w:rsidRDefault="00DC40E1" w:rsidP="00831B33">
                            <w:pPr>
                              <w:pStyle w:val="NormalWeb"/>
                              <w:spacing w:before="0" w:beforeAutospacing="0" w:after="0" w:afterAutospacing="0" w:line="240" w:lineRule="auto"/>
                              <w:rPr>
                                <w:b/>
                                <w:bCs/>
                                <w:lang w:val="en-GB"/>
                              </w:rPr>
                            </w:pPr>
                            <w:r w:rsidRPr="00BE4DDE">
                              <w:rPr>
                                <w:b/>
                                <w:bCs/>
                                <w:lang w:val="en-GB"/>
                              </w:rPr>
                              <w:t>2008</w:t>
                            </w:r>
                          </w:p>
                          <w:p w14:paraId="22B55BFC" w14:textId="77777777" w:rsidR="00DC40E1" w:rsidRPr="00DC40E1" w:rsidRDefault="00DC40E1" w:rsidP="00831B33">
                            <w:pPr>
                              <w:pStyle w:val="ListParagraph"/>
                              <w:numPr>
                                <w:ilvl w:val="0"/>
                                <w:numId w:val="14"/>
                              </w:numPr>
                              <w:spacing w:after="0" w:line="240" w:lineRule="auto"/>
                              <w:rPr>
                                <w:rFonts w:eastAsia="Times New Roman"/>
                                <w:lang w:val="en-GB"/>
                              </w:rPr>
                            </w:pPr>
                            <w:r w:rsidRPr="00DC40E1">
                              <w:rPr>
                                <w:rFonts w:eastAsia="Times New Roman"/>
                                <w:lang w:val="en-GB"/>
                              </w:rPr>
                              <w:t>Seasonal influenza vaccine recommended annually for all Aboriginal and Torres Strait Islander people aged ≥ 15 years</w:t>
                            </w:r>
                          </w:p>
                          <w:p w14:paraId="22969011" w14:textId="77777777" w:rsidR="00DC40E1" w:rsidRPr="00BE4DDE" w:rsidRDefault="00DC40E1" w:rsidP="00831B33">
                            <w:pPr>
                              <w:pStyle w:val="NormalWeb"/>
                              <w:spacing w:before="0" w:beforeAutospacing="0" w:after="0" w:afterAutospacing="0" w:line="240" w:lineRule="auto"/>
                              <w:rPr>
                                <w:b/>
                                <w:bCs/>
                                <w:lang w:val="en-GB"/>
                              </w:rPr>
                            </w:pPr>
                            <w:r w:rsidRPr="00BE4DDE">
                              <w:rPr>
                                <w:b/>
                                <w:bCs/>
                                <w:lang w:val="en-GB"/>
                              </w:rPr>
                              <w:t>2009</w:t>
                            </w:r>
                          </w:p>
                          <w:p w14:paraId="05219487" w14:textId="77777777" w:rsidR="00DC40E1" w:rsidRPr="00DC40E1" w:rsidRDefault="00DC40E1" w:rsidP="00831B33">
                            <w:pPr>
                              <w:pStyle w:val="ListParagraph"/>
                              <w:numPr>
                                <w:ilvl w:val="0"/>
                                <w:numId w:val="14"/>
                              </w:numPr>
                              <w:spacing w:after="0" w:line="240" w:lineRule="auto"/>
                              <w:rPr>
                                <w:rFonts w:eastAsia="Times New Roman"/>
                                <w:lang w:val="en-GB"/>
                              </w:rPr>
                            </w:pPr>
                            <w:r w:rsidRPr="00DC40E1">
                              <w:rPr>
                                <w:rFonts w:eastAsia="Times New Roman"/>
                                <w:lang w:val="en-GB"/>
                              </w:rPr>
                              <w:t>Pandemic influenza A (H1N1) 2009 vaccine registered, recommended and funded</w:t>
                            </w:r>
                          </w:p>
                          <w:p w14:paraId="744BA2EE" w14:textId="77777777" w:rsidR="00DC40E1" w:rsidRPr="00BE4DDE" w:rsidRDefault="00DC40E1" w:rsidP="00831B33">
                            <w:pPr>
                              <w:pStyle w:val="NormalWeb"/>
                              <w:spacing w:before="0" w:beforeAutospacing="0" w:after="0" w:afterAutospacing="0" w:line="240" w:lineRule="auto"/>
                              <w:rPr>
                                <w:b/>
                                <w:bCs/>
                                <w:lang w:val="en-GB"/>
                              </w:rPr>
                            </w:pPr>
                            <w:r w:rsidRPr="00BE4DDE">
                              <w:rPr>
                                <w:b/>
                                <w:bCs/>
                                <w:lang w:val="en-GB"/>
                              </w:rPr>
                              <w:t>2010</w:t>
                            </w:r>
                          </w:p>
                          <w:p w14:paraId="0CA8A17D" w14:textId="77777777" w:rsidR="00DC40E1" w:rsidRDefault="00DC40E1" w:rsidP="00831B33">
                            <w:pPr>
                              <w:pStyle w:val="ListParagraph"/>
                              <w:numPr>
                                <w:ilvl w:val="0"/>
                                <w:numId w:val="14"/>
                              </w:numPr>
                              <w:spacing w:after="0" w:line="240" w:lineRule="auto"/>
                              <w:rPr>
                                <w:rFonts w:eastAsia="Times New Roman"/>
                                <w:lang w:val="en-GB"/>
                              </w:rPr>
                            </w:pPr>
                            <w:r w:rsidRPr="00DC40E1">
                              <w:rPr>
                                <w:rFonts w:eastAsia="Times New Roman"/>
                                <w:lang w:val="en-GB"/>
                              </w:rPr>
                              <w:t>Seasonal influenza vaccine funded for:</w:t>
                            </w:r>
                          </w:p>
                          <w:p w14:paraId="73638D30" w14:textId="1BB4D06C" w:rsidR="00DC40E1" w:rsidRDefault="00DC40E1" w:rsidP="00831B33">
                            <w:pPr>
                              <w:pStyle w:val="ListParagraph"/>
                              <w:numPr>
                                <w:ilvl w:val="1"/>
                                <w:numId w:val="14"/>
                              </w:numPr>
                              <w:spacing w:after="0" w:line="240" w:lineRule="auto"/>
                              <w:rPr>
                                <w:rFonts w:eastAsia="Times New Roman"/>
                                <w:lang w:val="en-GB"/>
                              </w:rPr>
                            </w:pPr>
                            <w:r w:rsidRPr="00DC40E1">
                              <w:rPr>
                                <w:rFonts w:eastAsia="Times New Roman"/>
                                <w:lang w:val="en-GB"/>
                              </w:rPr>
                              <w:t>all Aboriginal and Torres Strait Islander people aged ≥ 15 years</w:t>
                            </w:r>
                          </w:p>
                          <w:p w14:paraId="65249EDD" w14:textId="260B547C" w:rsidR="00DC40E1" w:rsidRDefault="00DC40E1" w:rsidP="00831B33">
                            <w:pPr>
                              <w:pStyle w:val="ListParagraph"/>
                              <w:numPr>
                                <w:ilvl w:val="1"/>
                                <w:numId w:val="14"/>
                              </w:numPr>
                              <w:spacing w:after="0" w:line="240" w:lineRule="auto"/>
                              <w:rPr>
                                <w:rFonts w:eastAsia="Times New Roman"/>
                                <w:lang w:val="en-GB"/>
                              </w:rPr>
                            </w:pPr>
                            <w:r w:rsidRPr="00DC40E1">
                              <w:rPr>
                                <w:rFonts w:eastAsia="Times New Roman"/>
                                <w:lang w:val="en-GB"/>
                              </w:rPr>
                              <w:t>all persons aged ≥ 6 months with medical conditions predisposing to severe influenza</w:t>
                            </w:r>
                          </w:p>
                          <w:p w14:paraId="14B684E4" w14:textId="48EF793F" w:rsidR="00DC40E1" w:rsidRPr="00DC40E1" w:rsidRDefault="00DC40E1" w:rsidP="00831B33">
                            <w:pPr>
                              <w:pStyle w:val="ListParagraph"/>
                              <w:numPr>
                                <w:ilvl w:val="1"/>
                                <w:numId w:val="14"/>
                              </w:numPr>
                              <w:spacing w:after="0" w:line="240" w:lineRule="auto"/>
                              <w:rPr>
                                <w:rFonts w:eastAsia="Times New Roman"/>
                                <w:lang w:val="en-GB"/>
                              </w:rPr>
                            </w:pPr>
                            <w:r w:rsidRPr="00DC40E1">
                              <w:rPr>
                                <w:rFonts w:eastAsia="Times New Roman"/>
                                <w:lang w:val="en-GB"/>
                              </w:rPr>
                              <w:t>pregnant women</w:t>
                            </w:r>
                          </w:p>
                          <w:p w14:paraId="3914DF31" w14:textId="77777777" w:rsidR="00DC40E1" w:rsidRPr="00BE4DDE" w:rsidRDefault="00DC40E1" w:rsidP="00831B33">
                            <w:pPr>
                              <w:spacing w:after="0" w:line="240" w:lineRule="auto"/>
                              <w:rPr>
                                <w:b/>
                                <w:bCs/>
                                <w:lang w:val="en-GB"/>
                              </w:rPr>
                            </w:pPr>
                            <w:r w:rsidRPr="00BE4DDE">
                              <w:rPr>
                                <w:b/>
                                <w:bCs/>
                                <w:lang w:val="en-GB"/>
                              </w:rPr>
                              <w:t>2013</w:t>
                            </w:r>
                          </w:p>
                          <w:p w14:paraId="70C335C3" w14:textId="77777777" w:rsidR="00DC40E1" w:rsidRPr="00DC40E1" w:rsidRDefault="00DC40E1" w:rsidP="00831B33">
                            <w:pPr>
                              <w:pStyle w:val="ListParagraph"/>
                              <w:numPr>
                                <w:ilvl w:val="0"/>
                                <w:numId w:val="14"/>
                              </w:numPr>
                              <w:spacing w:after="0" w:line="240" w:lineRule="auto"/>
                              <w:rPr>
                                <w:rFonts w:eastAsia="Times New Roman"/>
                                <w:lang w:val="en-GB"/>
                              </w:rPr>
                            </w:pPr>
                            <w:r w:rsidRPr="00DC40E1">
                              <w:rPr>
                                <w:rFonts w:eastAsia="Times New Roman"/>
                                <w:lang w:val="en-GB"/>
                              </w:rPr>
                              <w:t>Seasonal influenza vaccine recommended for children aged 6 months to &lt; 5 years</w:t>
                            </w:r>
                          </w:p>
                          <w:p w14:paraId="0BF26750" w14:textId="77777777" w:rsidR="00DC40E1" w:rsidRPr="00DC40E1" w:rsidRDefault="00DC40E1" w:rsidP="00831B33">
                            <w:pPr>
                              <w:pStyle w:val="ListParagraph"/>
                              <w:numPr>
                                <w:ilvl w:val="0"/>
                                <w:numId w:val="14"/>
                              </w:numPr>
                              <w:spacing w:after="0" w:line="240" w:lineRule="auto"/>
                              <w:rPr>
                                <w:rFonts w:eastAsia="Times New Roman"/>
                                <w:lang w:val="en-GB"/>
                              </w:rPr>
                            </w:pPr>
                            <w:r w:rsidRPr="00DC40E1">
                              <w:rPr>
                                <w:rFonts w:eastAsia="Times New Roman"/>
                                <w:lang w:val="en-GB"/>
                              </w:rPr>
                              <w:t>First inactivated quadrivalent influenza vaccine registered for use in individuals aged ≥ 3 years</w:t>
                            </w:r>
                          </w:p>
                          <w:p w14:paraId="6D722A12" w14:textId="77777777" w:rsidR="00DC40E1" w:rsidRPr="00BE4DDE" w:rsidRDefault="00DC40E1" w:rsidP="00831B33">
                            <w:pPr>
                              <w:spacing w:after="0" w:line="240" w:lineRule="auto"/>
                              <w:rPr>
                                <w:b/>
                                <w:bCs/>
                                <w:lang w:val="en-GB"/>
                              </w:rPr>
                            </w:pPr>
                            <w:r w:rsidRPr="00BE4DDE">
                              <w:rPr>
                                <w:b/>
                                <w:bCs/>
                                <w:lang w:val="en-GB"/>
                              </w:rPr>
                              <w:t>2014</w:t>
                            </w:r>
                          </w:p>
                          <w:p w14:paraId="4FC4F5B7" w14:textId="77777777" w:rsidR="00DC40E1" w:rsidRPr="00DC40E1" w:rsidRDefault="00DC40E1" w:rsidP="00831B33">
                            <w:pPr>
                              <w:pStyle w:val="ListParagraph"/>
                              <w:numPr>
                                <w:ilvl w:val="0"/>
                                <w:numId w:val="15"/>
                              </w:numPr>
                              <w:spacing w:after="0" w:line="240" w:lineRule="auto"/>
                              <w:rPr>
                                <w:rFonts w:eastAsia="Times New Roman"/>
                                <w:lang w:val="en-GB"/>
                              </w:rPr>
                            </w:pPr>
                            <w:r w:rsidRPr="00DC40E1">
                              <w:rPr>
                                <w:rFonts w:eastAsia="Times New Roman"/>
                                <w:lang w:val="en-GB"/>
                              </w:rPr>
                              <w:t>Second inactivated quadrivalent influenza vaccine registered for use in individuals aged ≥ 6 months</w:t>
                            </w:r>
                          </w:p>
                          <w:p w14:paraId="52134D03" w14:textId="77777777" w:rsidR="00DC40E1" w:rsidRPr="00BE4DDE" w:rsidRDefault="00DC40E1" w:rsidP="00831B33">
                            <w:pPr>
                              <w:spacing w:after="0" w:line="240" w:lineRule="auto"/>
                              <w:rPr>
                                <w:b/>
                                <w:bCs/>
                                <w:lang w:val="en-GB"/>
                              </w:rPr>
                            </w:pPr>
                            <w:r w:rsidRPr="00BE4DDE">
                              <w:rPr>
                                <w:b/>
                                <w:bCs/>
                                <w:lang w:val="en-GB"/>
                              </w:rPr>
                              <w:t>2015</w:t>
                            </w:r>
                          </w:p>
                          <w:p w14:paraId="497E5CA2" w14:textId="77777777" w:rsidR="00DC40E1" w:rsidRPr="00DC40E1" w:rsidRDefault="00DC40E1" w:rsidP="00831B33">
                            <w:pPr>
                              <w:pStyle w:val="ListParagraph"/>
                              <w:numPr>
                                <w:ilvl w:val="0"/>
                                <w:numId w:val="15"/>
                              </w:numPr>
                              <w:spacing w:after="0" w:line="240" w:lineRule="auto"/>
                              <w:rPr>
                                <w:rFonts w:eastAsia="Times New Roman"/>
                                <w:lang w:val="en-GB"/>
                              </w:rPr>
                            </w:pPr>
                            <w:r w:rsidRPr="00DC40E1">
                              <w:rPr>
                                <w:rFonts w:eastAsia="Times New Roman"/>
                                <w:lang w:val="en-GB"/>
                              </w:rPr>
                              <w:t>Seasonal influenza vaccine funded for Aboriginal and Torres Strait Islander children aged 6 months to &lt; 5 years</w:t>
                            </w:r>
                          </w:p>
                          <w:p w14:paraId="0FB485F3" w14:textId="77777777" w:rsidR="00DC40E1" w:rsidRPr="00DC40E1" w:rsidRDefault="00DC40E1" w:rsidP="00831B33">
                            <w:pPr>
                              <w:pStyle w:val="ListParagraph"/>
                              <w:numPr>
                                <w:ilvl w:val="0"/>
                                <w:numId w:val="15"/>
                              </w:numPr>
                              <w:spacing w:after="0" w:line="240" w:lineRule="auto"/>
                              <w:rPr>
                                <w:rFonts w:eastAsia="Times New Roman"/>
                                <w:lang w:val="en-GB"/>
                              </w:rPr>
                            </w:pPr>
                            <w:r w:rsidRPr="00DC40E1">
                              <w:rPr>
                                <w:rFonts w:eastAsia="Times New Roman"/>
                                <w:lang w:val="en-GB"/>
                              </w:rPr>
                              <w:t>List of population groups for which seasonal influenza vaccination recommended further expanded to include Aboriginal and Torres Strait Islander children aged 5–14 years</w:t>
                            </w:r>
                          </w:p>
                          <w:p w14:paraId="1B837F9D" w14:textId="77777777" w:rsidR="00DC40E1" w:rsidRPr="00BE4DDE" w:rsidRDefault="00DC40E1" w:rsidP="00831B33">
                            <w:pPr>
                              <w:spacing w:after="0" w:line="240" w:lineRule="auto"/>
                              <w:rPr>
                                <w:b/>
                                <w:bCs/>
                                <w:lang w:val="en-GB"/>
                              </w:rPr>
                            </w:pPr>
                            <w:r w:rsidRPr="00BE4DDE">
                              <w:rPr>
                                <w:b/>
                                <w:bCs/>
                                <w:lang w:val="en-GB"/>
                              </w:rPr>
                              <w:t>2016</w:t>
                            </w:r>
                          </w:p>
                          <w:p w14:paraId="1EC376B0" w14:textId="77777777" w:rsidR="00DC40E1" w:rsidRPr="00DC40E1" w:rsidRDefault="00DC40E1" w:rsidP="00831B33">
                            <w:pPr>
                              <w:pStyle w:val="ListParagraph"/>
                              <w:numPr>
                                <w:ilvl w:val="0"/>
                                <w:numId w:val="16"/>
                              </w:numPr>
                              <w:spacing w:after="0" w:line="240" w:lineRule="auto"/>
                              <w:rPr>
                                <w:rFonts w:eastAsia="Times New Roman"/>
                                <w:lang w:val="en-GB"/>
                              </w:rPr>
                            </w:pPr>
                            <w:r w:rsidRPr="00DC40E1">
                              <w:rPr>
                                <w:rFonts w:eastAsia="Times New Roman"/>
                                <w:lang w:val="en-GB"/>
                              </w:rPr>
                              <w:t>Quadrivalent influenza vaccines funded for use in those groups for which trivalent vaccine had been previously funded</w:t>
                            </w:r>
                          </w:p>
                          <w:p w14:paraId="4BAD10CF" w14:textId="77777777" w:rsidR="00DC40E1" w:rsidRPr="00BE4DDE" w:rsidRDefault="00DC40E1" w:rsidP="00831B33">
                            <w:pPr>
                              <w:spacing w:after="0" w:line="240" w:lineRule="auto"/>
                              <w:rPr>
                                <w:b/>
                                <w:bCs/>
                                <w:lang w:val="en-GB"/>
                              </w:rPr>
                            </w:pPr>
                            <w:r w:rsidRPr="00BE4DDE">
                              <w:rPr>
                                <w:b/>
                                <w:bCs/>
                                <w:lang w:val="en-GB"/>
                              </w:rPr>
                              <w:t>2018</w:t>
                            </w:r>
                          </w:p>
                          <w:p w14:paraId="496AAAFE" w14:textId="77777777" w:rsidR="00DC40E1" w:rsidRDefault="00DC40E1" w:rsidP="00831B33">
                            <w:pPr>
                              <w:numPr>
                                <w:ilvl w:val="0"/>
                                <w:numId w:val="12"/>
                              </w:numPr>
                              <w:spacing w:after="0" w:line="240" w:lineRule="auto"/>
                              <w:rPr>
                                <w:rFonts w:eastAsia="Times New Roman"/>
                                <w:lang w:val="en-GB"/>
                              </w:rPr>
                            </w:pPr>
                            <w:r>
                              <w:rPr>
                                <w:rFonts w:eastAsia="Times New Roman"/>
                                <w:lang w:val="en-GB"/>
                              </w:rPr>
                              <w:t>Enhanced trivalent influenza vaccines (high-dose and adjuvanted) funded for all adults aged ≥ 65 years</w:t>
                            </w:r>
                          </w:p>
                          <w:p w14:paraId="1C2EAB4A" w14:textId="77777777" w:rsidR="00DC40E1" w:rsidRDefault="00DC40E1" w:rsidP="00831B33">
                            <w:pPr>
                              <w:numPr>
                                <w:ilvl w:val="0"/>
                                <w:numId w:val="12"/>
                              </w:numPr>
                              <w:spacing w:after="0" w:line="240" w:lineRule="auto"/>
                              <w:rPr>
                                <w:rFonts w:eastAsia="Times New Roman"/>
                                <w:lang w:val="en-GB"/>
                              </w:rPr>
                            </w:pPr>
                            <w:r>
                              <w:rPr>
                                <w:rFonts w:eastAsia="Times New Roman"/>
                                <w:lang w:val="en-GB"/>
                              </w:rPr>
                              <w:t>ACT, NSW, Qld, SA, Tas, Vic: annual seasonal influenza vaccination program funded for all children aged 6 months to &lt; 5 years</w:t>
                            </w:r>
                          </w:p>
                          <w:p w14:paraId="456E07A1" w14:textId="77777777" w:rsidR="00DC40E1" w:rsidRPr="00BE4DDE" w:rsidRDefault="00DC40E1" w:rsidP="00831B33">
                            <w:pPr>
                              <w:pStyle w:val="NormalWeb"/>
                              <w:spacing w:before="0" w:beforeAutospacing="0" w:after="0" w:afterAutospacing="0" w:line="240" w:lineRule="auto"/>
                              <w:rPr>
                                <w:b/>
                                <w:bCs/>
                                <w:lang w:val="en-GB"/>
                              </w:rPr>
                            </w:pPr>
                            <w:r w:rsidRPr="00BE4DDE">
                              <w:rPr>
                                <w:b/>
                                <w:bCs/>
                                <w:lang w:val="en-GB"/>
                              </w:rPr>
                              <w:t>2019</w:t>
                            </w:r>
                          </w:p>
                          <w:p w14:paraId="634A0AD5" w14:textId="0C06A1A9" w:rsidR="00A1547C" w:rsidRPr="00831B33" w:rsidRDefault="00DC40E1" w:rsidP="00BE4DDE">
                            <w:pPr>
                              <w:numPr>
                                <w:ilvl w:val="0"/>
                                <w:numId w:val="13"/>
                              </w:numPr>
                              <w:spacing w:after="0" w:line="240" w:lineRule="auto"/>
                              <w:rPr>
                                <w:rFonts w:eastAsia="Times New Roman"/>
                                <w:lang w:val="en-GB"/>
                              </w:rPr>
                            </w:pPr>
                            <w:r>
                              <w:rPr>
                                <w:rFonts w:eastAsia="Times New Roman"/>
                                <w:lang w:val="en-GB"/>
                              </w:rPr>
                              <w:t>Seasonal influenza vaccine funded for Aboriginal and Torres Strait Islander children and adolescents aged 5–14 years (now covering all Aboriginal and Torres Strait Islander people aged ≥ 6 months)</w:t>
                            </w:r>
                          </w:p>
                        </w:txbxContent>
                      </wps:txbx>
                      <wps:bodyPr rot="0" vert="horz" wrap="square" lIns="91440" tIns="45720" rIns="91440" bIns="45720" anchor="t" anchorCtr="0">
                        <a:spAutoFit/>
                      </wps:bodyPr>
                    </wps:wsp>
                  </a:graphicData>
                </a:graphic>
              </wp:inline>
            </w:drawing>
          </mc:Choice>
          <mc:Fallback>
            <w:pict>
              <v:shape w14:anchorId="0992D4F9" id="_x0000_s1030"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" fillcolor="#f7ecdd" stroked="f">
                <v:textbox style="mso-fit-shape-to-text:t">
                  <w:txbxContent>
                    <w:p w14:paraId="7B4A424D" w14:textId="77777777" w:rsidR="00DC40E1" w:rsidRPr="00BE4DDE" w:rsidRDefault="00DC40E1" w:rsidP="00831B33">
                      <w:pPr>
                        <w:spacing w:after="0" w:line="240" w:lineRule="auto"/>
                        <w:rPr>
                          <w:b/>
                          <w:bCs/>
                          <w:lang w:val="en-GB"/>
                        </w:rPr>
                      </w:pPr>
                      <w:r w:rsidRPr="00BE4DDE">
                        <w:rPr>
                          <w:b/>
                          <w:bCs/>
                          <w:lang w:val="en-GB"/>
                        </w:rPr>
                        <w:t>1986</w:t>
                      </w:r>
                    </w:p>
                    <w:p w14:paraId="6ADE7CD4" w14:textId="77777777" w:rsidR="00DC40E1" w:rsidRPr="00DC40E1" w:rsidRDefault="00DC40E1" w:rsidP="00831B33">
                      <w:pPr>
                        <w:pStyle w:val="ListParagraph"/>
                        <w:numPr>
                          <w:ilvl w:val="0"/>
                          <w:numId w:val="14"/>
                        </w:numPr>
                        <w:spacing w:after="0" w:line="240" w:lineRule="auto"/>
                        <w:ind w:left="714" w:hanging="357"/>
                        <w:rPr>
                          <w:rFonts w:eastAsia="Times New Roman"/>
                          <w:lang w:val="en-GB"/>
                        </w:rPr>
                      </w:pPr>
                      <w:r w:rsidRPr="00DC40E1">
                        <w:rPr>
                          <w:rFonts w:eastAsia="Times New Roman"/>
                          <w:lang w:val="en-GB"/>
                        </w:rPr>
                        <w:t>Seasonal influenza vaccination recommended for individuals at risk of complications or death from influenza</w:t>
                      </w:r>
                    </w:p>
                    <w:p w14:paraId="7467D0C4" w14:textId="77777777" w:rsidR="00DC40E1" w:rsidRPr="00BE4DDE" w:rsidRDefault="00DC40E1" w:rsidP="00831B33">
                      <w:pPr>
                        <w:spacing w:after="0" w:line="240" w:lineRule="auto"/>
                        <w:rPr>
                          <w:b/>
                          <w:bCs/>
                          <w:lang w:val="en-GB"/>
                        </w:rPr>
                      </w:pPr>
                      <w:r w:rsidRPr="00BE4DDE">
                        <w:rPr>
                          <w:b/>
                          <w:bCs/>
                          <w:lang w:val="en-GB"/>
                        </w:rPr>
                        <w:t>1994</w:t>
                      </w:r>
                    </w:p>
                    <w:p w14:paraId="4DC0E3DE" w14:textId="77777777" w:rsidR="00DC40E1" w:rsidRPr="00DC40E1" w:rsidRDefault="00DC40E1" w:rsidP="00831B33">
                      <w:pPr>
                        <w:pStyle w:val="ListParagraph"/>
                        <w:numPr>
                          <w:ilvl w:val="0"/>
                          <w:numId w:val="14"/>
                        </w:numPr>
                        <w:spacing w:after="0" w:line="240" w:lineRule="auto"/>
                        <w:rPr>
                          <w:rFonts w:eastAsia="Times New Roman"/>
                          <w:lang w:val="en-GB"/>
                        </w:rPr>
                      </w:pPr>
                      <w:r w:rsidRPr="00DC40E1">
                        <w:rPr>
                          <w:rFonts w:eastAsia="Times New Roman"/>
                          <w:lang w:val="en-GB"/>
                        </w:rPr>
                        <w:t>Seasonal influenza vaccination recommended for Aboriginal and Torres Strait Islander people aged ≥ 50 years</w:t>
                      </w:r>
                    </w:p>
                    <w:p w14:paraId="7BF28E71" w14:textId="77777777" w:rsidR="00DC40E1" w:rsidRPr="00BE4DDE" w:rsidRDefault="00DC40E1" w:rsidP="00831B33">
                      <w:pPr>
                        <w:spacing w:after="0" w:line="240" w:lineRule="auto"/>
                        <w:rPr>
                          <w:b/>
                          <w:bCs/>
                          <w:lang w:val="en-GB"/>
                        </w:rPr>
                      </w:pPr>
                      <w:r w:rsidRPr="00BE4DDE">
                        <w:rPr>
                          <w:b/>
                          <w:bCs/>
                          <w:lang w:val="en-GB"/>
                        </w:rPr>
                        <w:t>1999</w:t>
                      </w:r>
                    </w:p>
                    <w:p w14:paraId="234F7A3E" w14:textId="77777777" w:rsidR="00DC40E1" w:rsidRPr="00DC40E1" w:rsidRDefault="00DC40E1" w:rsidP="00831B33">
                      <w:pPr>
                        <w:pStyle w:val="ListParagraph"/>
                        <w:numPr>
                          <w:ilvl w:val="0"/>
                          <w:numId w:val="14"/>
                        </w:numPr>
                        <w:spacing w:after="0" w:line="240" w:lineRule="auto"/>
                        <w:rPr>
                          <w:rFonts w:eastAsia="Times New Roman"/>
                          <w:lang w:val="en-GB"/>
                        </w:rPr>
                      </w:pPr>
                      <w:r w:rsidRPr="00DC40E1">
                        <w:rPr>
                          <w:rFonts w:eastAsia="Times New Roman"/>
                          <w:lang w:val="en-GB"/>
                        </w:rPr>
                        <w:t>Seasonal influenza vaccine funded nationally for all Australians aged ≥ 65 years and Aboriginal and Torres Strait Islander people aged ≥ 50 years and 15–49 years with medical risk factors</w:t>
                      </w:r>
                    </w:p>
                    <w:p w14:paraId="3B11534C" w14:textId="77777777" w:rsidR="00DC40E1" w:rsidRPr="00BE4DDE" w:rsidRDefault="00DC40E1" w:rsidP="00831B33">
                      <w:pPr>
                        <w:pStyle w:val="NormalWeb"/>
                        <w:spacing w:before="0" w:beforeAutospacing="0" w:after="0" w:afterAutospacing="0" w:line="240" w:lineRule="auto"/>
                        <w:rPr>
                          <w:b/>
                          <w:bCs/>
                          <w:lang w:val="en-GB"/>
                        </w:rPr>
                      </w:pPr>
                      <w:r w:rsidRPr="00BE4DDE">
                        <w:rPr>
                          <w:b/>
                          <w:bCs/>
                          <w:lang w:val="en-GB"/>
                        </w:rPr>
                        <w:t>2008</w:t>
                      </w:r>
                    </w:p>
                    <w:p w14:paraId="22B55BFC" w14:textId="77777777" w:rsidR="00DC40E1" w:rsidRPr="00DC40E1" w:rsidRDefault="00DC40E1" w:rsidP="00831B33">
                      <w:pPr>
                        <w:pStyle w:val="ListParagraph"/>
                        <w:numPr>
                          <w:ilvl w:val="0"/>
                          <w:numId w:val="14"/>
                        </w:numPr>
                        <w:spacing w:after="0" w:line="240" w:lineRule="auto"/>
                        <w:rPr>
                          <w:rFonts w:eastAsia="Times New Roman"/>
                          <w:lang w:val="en-GB"/>
                        </w:rPr>
                      </w:pPr>
                      <w:r w:rsidRPr="00DC40E1">
                        <w:rPr>
                          <w:rFonts w:eastAsia="Times New Roman"/>
                          <w:lang w:val="en-GB"/>
                        </w:rPr>
                        <w:t>Seasonal influenza vaccine recommended annually for all Aboriginal and Torres Strait Islander people aged ≥ 15 years</w:t>
                      </w:r>
                    </w:p>
                    <w:p w14:paraId="22969011" w14:textId="77777777" w:rsidR="00DC40E1" w:rsidRPr="00BE4DDE" w:rsidRDefault="00DC40E1" w:rsidP="00831B33">
                      <w:pPr>
                        <w:pStyle w:val="NormalWeb"/>
                        <w:spacing w:before="0" w:beforeAutospacing="0" w:after="0" w:afterAutospacing="0" w:line="240" w:lineRule="auto"/>
                        <w:rPr>
                          <w:b/>
                          <w:bCs/>
                          <w:lang w:val="en-GB"/>
                        </w:rPr>
                      </w:pPr>
                      <w:r w:rsidRPr="00BE4DDE">
                        <w:rPr>
                          <w:b/>
                          <w:bCs/>
                          <w:lang w:val="en-GB"/>
                        </w:rPr>
                        <w:t>2009</w:t>
                      </w:r>
                    </w:p>
                    <w:p w14:paraId="05219487" w14:textId="77777777" w:rsidR="00DC40E1" w:rsidRPr="00DC40E1" w:rsidRDefault="00DC40E1" w:rsidP="00831B33">
                      <w:pPr>
                        <w:pStyle w:val="ListParagraph"/>
                        <w:numPr>
                          <w:ilvl w:val="0"/>
                          <w:numId w:val="14"/>
                        </w:numPr>
                        <w:spacing w:after="0" w:line="240" w:lineRule="auto"/>
                        <w:rPr>
                          <w:rFonts w:eastAsia="Times New Roman"/>
                          <w:lang w:val="en-GB"/>
                        </w:rPr>
                      </w:pPr>
                      <w:r w:rsidRPr="00DC40E1">
                        <w:rPr>
                          <w:rFonts w:eastAsia="Times New Roman"/>
                          <w:lang w:val="en-GB"/>
                        </w:rPr>
                        <w:t>Pandemic influenza A (H1N1) 2009 vaccine registered, recommended and funded</w:t>
                      </w:r>
                    </w:p>
                    <w:p w14:paraId="744BA2EE" w14:textId="77777777" w:rsidR="00DC40E1" w:rsidRPr="00BE4DDE" w:rsidRDefault="00DC40E1" w:rsidP="00831B33">
                      <w:pPr>
                        <w:pStyle w:val="NormalWeb"/>
                        <w:spacing w:before="0" w:beforeAutospacing="0" w:after="0" w:afterAutospacing="0" w:line="240" w:lineRule="auto"/>
                        <w:rPr>
                          <w:b/>
                          <w:bCs/>
                          <w:lang w:val="en-GB"/>
                        </w:rPr>
                      </w:pPr>
                      <w:r w:rsidRPr="00BE4DDE">
                        <w:rPr>
                          <w:b/>
                          <w:bCs/>
                          <w:lang w:val="en-GB"/>
                        </w:rPr>
                        <w:t>2010</w:t>
                      </w:r>
                    </w:p>
                    <w:p w14:paraId="0CA8A17D" w14:textId="77777777" w:rsidR="00DC40E1" w:rsidRDefault="00DC40E1" w:rsidP="00831B33">
                      <w:pPr>
                        <w:pStyle w:val="ListParagraph"/>
                        <w:numPr>
                          <w:ilvl w:val="0"/>
                          <w:numId w:val="14"/>
                        </w:numPr>
                        <w:spacing w:after="0" w:line="240" w:lineRule="auto"/>
                        <w:rPr>
                          <w:rFonts w:eastAsia="Times New Roman"/>
                          <w:lang w:val="en-GB"/>
                        </w:rPr>
                      </w:pPr>
                      <w:r w:rsidRPr="00DC40E1">
                        <w:rPr>
                          <w:rFonts w:eastAsia="Times New Roman"/>
                          <w:lang w:val="en-GB"/>
                        </w:rPr>
                        <w:t>Seasonal influenza vaccine funded for:</w:t>
                      </w:r>
                    </w:p>
                    <w:p w14:paraId="73638D30" w14:textId="1BB4D06C" w:rsidR="00DC40E1" w:rsidRDefault="00DC40E1" w:rsidP="00831B33">
                      <w:pPr>
                        <w:pStyle w:val="ListParagraph"/>
                        <w:numPr>
                          <w:ilvl w:val="1"/>
                          <w:numId w:val="14"/>
                        </w:numPr>
                        <w:spacing w:after="0" w:line="240" w:lineRule="auto"/>
                        <w:rPr>
                          <w:rFonts w:eastAsia="Times New Roman"/>
                          <w:lang w:val="en-GB"/>
                        </w:rPr>
                      </w:pPr>
                      <w:r w:rsidRPr="00DC40E1">
                        <w:rPr>
                          <w:rFonts w:eastAsia="Times New Roman"/>
                          <w:lang w:val="en-GB"/>
                        </w:rPr>
                        <w:t>all Aboriginal and Torres Strait Islander people aged ≥ 15 years</w:t>
                      </w:r>
                    </w:p>
                    <w:p w14:paraId="65249EDD" w14:textId="260B547C" w:rsidR="00DC40E1" w:rsidRDefault="00DC40E1" w:rsidP="00831B33">
                      <w:pPr>
                        <w:pStyle w:val="ListParagraph"/>
                        <w:numPr>
                          <w:ilvl w:val="1"/>
                          <w:numId w:val="14"/>
                        </w:numPr>
                        <w:spacing w:after="0" w:line="240" w:lineRule="auto"/>
                        <w:rPr>
                          <w:rFonts w:eastAsia="Times New Roman"/>
                          <w:lang w:val="en-GB"/>
                        </w:rPr>
                      </w:pPr>
                      <w:r w:rsidRPr="00DC40E1">
                        <w:rPr>
                          <w:rFonts w:eastAsia="Times New Roman"/>
                          <w:lang w:val="en-GB"/>
                        </w:rPr>
                        <w:t>all persons aged ≥ 6 months with medical conditions predisposing to severe influenza</w:t>
                      </w:r>
                    </w:p>
                    <w:p w14:paraId="14B684E4" w14:textId="48EF793F" w:rsidR="00DC40E1" w:rsidRPr="00DC40E1" w:rsidRDefault="00DC40E1" w:rsidP="00831B33">
                      <w:pPr>
                        <w:pStyle w:val="ListParagraph"/>
                        <w:numPr>
                          <w:ilvl w:val="1"/>
                          <w:numId w:val="14"/>
                        </w:numPr>
                        <w:spacing w:after="0" w:line="240" w:lineRule="auto"/>
                        <w:rPr>
                          <w:rFonts w:eastAsia="Times New Roman"/>
                          <w:lang w:val="en-GB"/>
                        </w:rPr>
                      </w:pPr>
                      <w:r w:rsidRPr="00DC40E1">
                        <w:rPr>
                          <w:rFonts w:eastAsia="Times New Roman"/>
                          <w:lang w:val="en-GB"/>
                        </w:rPr>
                        <w:t>pregnant women</w:t>
                      </w:r>
                    </w:p>
                    <w:p w14:paraId="3914DF31" w14:textId="77777777" w:rsidR="00DC40E1" w:rsidRPr="00BE4DDE" w:rsidRDefault="00DC40E1" w:rsidP="00831B33">
                      <w:pPr>
                        <w:spacing w:after="0" w:line="240" w:lineRule="auto"/>
                        <w:rPr>
                          <w:b/>
                          <w:bCs/>
                          <w:lang w:val="en-GB"/>
                        </w:rPr>
                      </w:pPr>
                      <w:r w:rsidRPr="00BE4DDE">
                        <w:rPr>
                          <w:b/>
                          <w:bCs/>
                          <w:lang w:val="en-GB"/>
                        </w:rPr>
                        <w:t>2013</w:t>
                      </w:r>
                    </w:p>
                    <w:p w14:paraId="70C335C3" w14:textId="77777777" w:rsidR="00DC40E1" w:rsidRPr="00DC40E1" w:rsidRDefault="00DC40E1" w:rsidP="00831B33">
                      <w:pPr>
                        <w:pStyle w:val="ListParagraph"/>
                        <w:numPr>
                          <w:ilvl w:val="0"/>
                          <w:numId w:val="14"/>
                        </w:numPr>
                        <w:spacing w:after="0" w:line="240" w:lineRule="auto"/>
                        <w:rPr>
                          <w:rFonts w:eastAsia="Times New Roman"/>
                          <w:lang w:val="en-GB"/>
                        </w:rPr>
                      </w:pPr>
                      <w:r w:rsidRPr="00DC40E1">
                        <w:rPr>
                          <w:rFonts w:eastAsia="Times New Roman"/>
                          <w:lang w:val="en-GB"/>
                        </w:rPr>
                        <w:t>Seasonal influenza vaccine recommended for children aged 6 months to &lt; 5 years</w:t>
                      </w:r>
                    </w:p>
                    <w:p w14:paraId="0BF26750" w14:textId="77777777" w:rsidR="00DC40E1" w:rsidRPr="00DC40E1" w:rsidRDefault="00DC40E1" w:rsidP="00831B33">
                      <w:pPr>
                        <w:pStyle w:val="ListParagraph"/>
                        <w:numPr>
                          <w:ilvl w:val="0"/>
                          <w:numId w:val="14"/>
                        </w:numPr>
                        <w:spacing w:after="0" w:line="240" w:lineRule="auto"/>
                        <w:rPr>
                          <w:rFonts w:eastAsia="Times New Roman"/>
                          <w:lang w:val="en-GB"/>
                        </w:rPr>
                      </w:pPr>
                      <w:r w:rsidRPr="00DC40E1">
                        <w:rPr>
                          <w:rFonts w:eastAsia="Times New Roman"/>
                          <w:lang w:val="en-GB"/>
                        </w:rPr>
                        <w:t>First inactivated quadrivalent influenza vaccine registered for use in individuals aged ≥ 3 years</w:t>
                      </w:r>
                    </w:p>
                    <w:p w14:paraId="6D722A12" w14:textId="77777777" w:rsidR="00DC40E1" w:rsidRPr="00BE4DDE" w:rsidRDefault="00DC40E1" w:rsidP="00831B33">
                      <w:pPr>
                        <w:spacing w:after="0" w:line="240" w:lineRule="auto"/>
                        <w:rPr>
                          <w:b/>
                          <w:bCs/>
                          <w:lang w:val="en-GB"/>
                        </w:rPr>
                      </w:pPr>
                      <w:r w:rsidRPr="00BE4DDE">
                        <w:rPr>
                          <w:b/>
                          <w:bCs/>
                          <w:lang w:val="en-GB"/>
                        </w:rPr>
                        <w:t>2014</w:t>
                      </w:r>
                    </w:p>
                    <w:p w14:paraId="4FC4F5B7" w14:textId="77777777" w:rsidR="00DC40E1" w:rsidRPr="00DC40E1" w:rsidRDefault="00DC40E1" w:rsidP="00831B33">
                      <w:pPr>
                        <w:pStyle w:val="ListParagraph"/>
                        <w:numPr>
                          <w:ilvl w:val="0"/>
                          <w:numId w:val="15"/>
                        </w:numPr>
                        <w:spacing w:after="0" w:line="240" w:lineRule="auto"/>
                        <w:rPr>
                          <w:rFonts w:eastAsia="Times New Roman"/>
                          <w:lang w:val="en-GB"/>
                        </w:rPr>
                      </w:pPr>
                      <w:r w:rsidRPr="00DC40E1">
                        <w:rPr>
                          <w:rFonts w:eastAsia="Times New Roman"/>
                          <w:lang w:val="en-GB"/>
                        </w:rPr>
                        <w:t>Second inactivated quadrivalent influenza vaccine registered for use in individuals aged ≥ 6 months</w:t>
                      </w:r>
                    </w:p>
                    <w:p w14:paraId="52134D03" w14:textId="77777777" w:rsidR="00DC40E1" w:rsidRPr="00BE4DDE" w:rsidRDefault="00DC40E1" w:rsidP="00831B33">
                      <w:pPr>
                        <w:spacing w:after="0" w:line="240" w:lineRule="auto"/>
                        <w:rPr>
                          <w:b/>
                          <w:bCs/>
                          <w:lang w:val="en-GB"/>
                        </w:rPr>
                      </w:pPr>
                      <w:r w:rsidRPr="00BE4DDE">
                        <w:rPr>
                          <w:b/>
                          <w:bCs/>
                          <w:lang w:val="en-GB"/>
                        </w:rPr>
                        <w:t>2015</w:t>
                      </w:r>
                    </w:p>
                    <w:p w14:paraId="497E5CA2" w14:textId="77777777" w:rsidR="00DC40E1" w:rsidRPr="00DC40E1" w:rsidRDefault="00DC40E1" w:rsidP="00831B33">
                      <w:pPr>
                        <w:pStyle w:val="ListParagraph"/>
                        <w:numPr>
                          <w:ilvl w:val="0"/>
                          <w:numId w:val="15"/>
                        </w:numPr>
                        <w:spacing w:after="0" w:line="240" w:lineRule="auto"/>
                        <w:rPr>
                          <w:rFonts w:eastAsia="Times New Roman"/>
                          <w:lang w:val="en-GB"/>
                        </w:rPr>
                      </w:pPr>
                      <w:r w:rsidRPr="00DC40E1">
                        <w:rPr>
                          <w:rFonts w:eastAsia="Times New Roman"/>
                          <w:lang w:val="en-GB"/>
                        </w:rPr>
                        <w:t>Seasonal influenza vaccine funded for Aboriginal and Torres Strait Islander children aged 6 months to &lt; 5 years</w:t>
                      </w:r>
                    </w:p>
                    <w:p w14:paraId="0FB485F3" w14:textId="77777777" w:rsidR="00DC40E1" w:rsidRPr="00DC40E1" w:rsidRDefault="00DC40E1" w:rsidP="00831B33">
                      <w:pPr>
                        <w:pStyle w:val="ListParagraph"/>
                        <w:numPr>
                          <w:ilvl w:val="0"/>
                          <w:numId w:val="15"/>
                        </w:numPr>
                        <w:spacing w:after="0" w:line="240" w:lineRule="auto"/>
                        <w:rPr>
                          <w:rFonts w:eastAsia="Times New Roman"/>
                          <w:lang w:val="en-GB"/>
                        </w:rPr>
                      </w:pPr>
                      <w:r w:rsidRPr="00DC40E1">
                        <w:rPr>
                          <w:rFonts w:eastAsia="Times New Roman"/>
                          <w:lang w:val="en-GB"/>
                        </w:rPr>
                        <w:t>List of population groups for which seasonal influenza vaccination recommended further expanded to include Aboriginal and Torres Strait Islander children aged 5–14 years</w:t>
                      </w:r>
                    </w:p>
                    <w:p w14:paraId="1B837F9D" w14:textId="77777777" w:rsidR="00DC40E1" w:rsidRPr="00BE4DDE" w:rsidRDefault="00DC40E1" w:rsidP="00831B33">
                      <w:pPr>
                        <w:spacing w:after="0" w:line="240" w:lineRule="auto"/>
                        <w:rPr>
                          <w:b/>
                          <w:bCs/>
                          <w:lang w:val="en-GB"/>
                        </w:rPr>
                      </w:pPr>
                      <w:r w:rsidRPr="00BE4DDE">
                        <w:rPr>
                          <w:b/>
                          <w:bCs/>
                          <w:lang w:val="en-GB"/>
                        </w:rPr>
                        <w:t>2016</w:t>
                      </w:r>
                    </w:p>
                    <w:p w14:paraId="1EC376B0" w14:textId="77777777" w:rsidR="00DC40E1" w:rsidRPr="00DC40E1" w:rsidRDefault="00DC40E1" w:rsidP="00831B33">
                      <w:pPr>
                        <w:pStyle w:val="ListParagraph"/>
                        <w:numPr>
                          <w:ilvl w:val="0"/>
                          <w:numId w:val="16"/>
                        </w:numPr>
                        <w:spacing w:after="0" w:line="240" w:lineRule="auto"/>
                        <w:rPr>
                          <w:rFonts w:eastAsia="Times New Roman"/>
                          <w:lang w:val="en-GB"/>
                        </w:rPr>
                      </w:pPr>
                      <w:r w:rsidRPr="00DC40E1">
                        <w:rPr>
                          <w:rFonts w:eastAsia="Times New Roman"/>
                          <w:lang w:val="en-GB"/>
                        </w:rPr>
                        <w:t>Quadrivalent influenza vaccines funded for use in those groups for which trivalent vaccine had been previously funded</w:t>
                      </w:r>
                    </w:p>
                    <w:p w14:paraId="4BAD10CF" w14:textId="77777777" w:rsidR="00DC40E1" w:rsidRPr="00BE4DDE" w:rsidRDefault="00DC40E1" w:rsidP="00831B33">
                      <w:pPr>
                        <w:spacing w:after="0" w:line="240" w:lineRule="auto"/>
                        <w:rPr>
                          <w:b/>
                          <w:bCs/>
                          <w:lang w:val="en-GB"/>
                        </w:rPr>
                      </w:pPr>
                      <w:r w:rsidRPr="00BE4DDE">
                        <w:rPr>
                          <w:b/>
                          <w:bCs/>
                          <w:lang w:val="en-GB"/>
                        </w:rPr>
                        <w:t>2018</w:t>
                      </w:r>
                    </w:p>
                    <w:p w14:paraId="496AAAFE" w14:textId="77777777" w:rsidR="00DC40E1" w:rsidRDefault="00DC40E1" w:rsidP="00831B33">
                      <w:pPr>
                        <w:numPr>
                          <w:ilvl w:val="0"/>
                          <w:numId w:val="12"/>
                        </w:numPr>
                        <w:spacing w:after="0" w:line="240" w:lineRule="auto"/>
                        <w:rPr>
                          <w:rFonts w:eastAsia="Times New Roman"/>
                          <w:lang w:val="en-GB"/>
                        </w:rPr>
                      </w:pPr>
                      <w:r>
                        <w:rPr>
                          <w:rFonts w:eastAsia="Times New Roman"/>
                          <w:lang w:val="en-GB"/>
                        </w:rPr>
                        <w:t>Enhanced trivalent influenza vaccines (high-dose and adjuvanted) funded for all adults aged ≥ 65 years</w:t>
                      </w:r>
                    </w:p>
                    <w:p w14:paraId="1C2EAB4A" w14:textId="77777777" w:rsidR="00DC40E1" w:rsidRDefault="00DC40E1" w:rsidP="00831B33">
                      <w:pPr>
                        <w:numPr>
                          <w:ilvl w:val="0"/>
                          <w:numId w:val="12"/>
                        </w:numPr>
                        <w:spacing w:after="0" w:line="240" w:lineRule="auto"/>
                        <w:rPr>
                          <w:rFonts w:eastAsia="Times New Roman"/>
                          <w:lang w:val="en-GB"/>
                        </w:rPr>
                      </w:pPr>
                      <w:r>
                        <w:rPr>
                          <w:rFonts w:eastAsia="Times New Roman"/>
                          <w:lang w:val="en-GB"/>
                        </w:rPr>
                        <w:t>ACT, NSW, Qld, SA, Tas, Vic: annual seasonal influenza vaccination program funded for all children aged 6 months to &lt; 5 years</w:t>
                      </w:r>
                    </w:p>
                    <w:p w14:paraId="456E07A1" w14:textId="77777777" w:rsidR="00DC40E1" w:rsidRPr="00BE4DDE" w:rsidRDefault="00DC40E1" w:rsidP="00831B33">
                      <w:pPr>
                        <w:pStyle w:val="NormalWeb"/>
                        <w:spacing w:before="0" w:beforeAutospacing="0" w:after="0" w:afterAutospacing="0" w:line="240" w:lineRule="auto"/>
                        <w:rPr>
                          <w:b/>
                          <w:bCs/>
                          <w:lang w:val="en-GB"/>
                        </w:rPr>
                      </w:pPr>
                      <w:r w:rsidRPr="00BE4DDE">
                        <w:rPr>
                          <w:b/>
                          <w:bCs/>
                          <w:lang w:val="en-GB"/>
                        </w:rPr>
                        <w:t>2019</w:t>
                      </w:r>
                    </w:p>
                    <w:p w14:paraId="634A0AD5" w14:textId="0C06A1A9" w:rsidR="00A1547C" w:rsidRPr="00831B33" w:rsidRDefault="00DC40E1" w:rsidP="00BE4DDE">
                      <w:pPr>
                        <w:numPr>
                          <w:ilvl w:val="0"/>
                          <w:numId w:val="13"/>
                        </w:numPr>
                        <w:spacing w:after="0" w:line="240" w:lineRule="auto"/>
                        <w:rPr>
                          <w:rFonts w:eastAsia="Times New Roman"/>
                          <w:lang w:val="en-GB"/>
                        </w:rPr>
                      </w:pPr>
                      <w:r>
                        <w:rPr>
                          <w:rFonts w:eastAsia="Times New Roman"/>
                          <w:lang w:val="en-GB"/>
                        </w:rPr>
                        <w:t>Seasonal influenza vaccine funded for Aboriginal and Torres Strait Islander children and adolescents aged 5–14 years (now covering all Aboriginal and Torres Strait Islander people aged ≥ 6 months)</w:t>
                      </w:r>
                    </w:p>
                  </w:txbxContent>
                </v:textbox>
                <w10:anchorlock/>
              </v:shape>
            </w:pict>
          </mc:Fallback>
        </mc:AlternateContent>
      </w:r>
    </w:p>
    <w:p w14:paraId="4F8FC4D2" w14:textId="77777777" w:rsidR="0033445F" w:rsidRPr="00834CDC" w:rsidRDefault="0033445F" w:rsidP="0033445F">
      <w:pPr>
        <w:divId w:val="1988506822"/>
      </w:pPr>
      <w:r w:rsidRPr="00834CDC">
        <w:t>Influenza is an acute respiratory tract infection caused almost exclusively by influenza type A and type B viruses.</w:t>
      </w:r>
      <w:r w:rsidRPr="00834CDC">
        <w:rPr>
          <w:vertAlign w:val="superscript"/>
        </w:rPr>
        <w:t>108</w:t>
      </w:r>
      <w:r w:rsidRPr="00834CDC">
        <w:t xml:space="preserve"> The most common serious complications from influenza include pneumonia (primary viral or bacterial co-infection) and exacerbation of underlying chronic lung or heart disease, such as chronic obstructive pulmonary disease, asthma and congestive heart failure.</w:t>
      </w:r>
      <w:r w:rsidRPr="00834CDC">
        <w:rPr>
          <w:vertAlign w:val="superscript"/>
        </w:rPr>
        <w:t>109</w:t>
      </w:r>
      <w:r w:rsidRPr="00834CDC">
        <w:t xml:space="preserve"> The risk of developing serious complications is higher at both extremes of age (young children and older adults); in those with certain underlying medical conditions; and in pregnant women.</w:t>
      </w:r>
      <w:r w:rsidRPr="00834CDC">
        <w:rPr>
          <w:vertAlign w:val="superscript"/>
        </w:rPr>
        <w:t>110–112</w:t>
      </w:r>
      <w:r w:rsidRPr="00834CDC">
        <w:t xml:space="preserve"> Vaccination is the main preventive strategy against influenza, but protection provided by vaccination varies from </w:t>
      </w:r>
      <w:r w:rsidRPr="00834CDC">
        <w:lastRenderedPageBreak/>
        <w:t>year to year, due to the propensity of influenza A and B viruses to undergo frequent antigenic changes in two surface antigens, haemagglutinin and neuraminidase, producing variants against which vaccines may not be as effective.</w:t>
      </w:r>
      <w:r w:rsidRPr="00834CDC">
        <w:rPr>
          <w:vertAlign w:val="superscript"/>
        </w:rPr>
        <w:t>113</w:t>
      </w:r>
      <w:r w:rsidRPr="00834CDC">
        <w:t xml:space="preserve"> Annual seasonal influenza vaccination is required, with vaccine formulation often changing from year to year.</w:t>
      </w:r>
      <w:r w:rsidRPr="00834CDC">
        <w:rPr>
          <w:vertAlign w:val="superscript"/>
        </w:rPr>
        <w:t>114</w:t>
      </w:r>
      <w:r w:rsidRPr="00834CDC">
        <w:t xml:space="preserve"> </w:t>
      </w:r>
    </w:p>
    <w:p w14:paraId="597E9410" w14:textId="77777777" w:rsidR="0033445F" w:rsidRPr="00834CDC" w:rsidRDefault="0033445F" w:rsidP="0033445F">
      <w:pPr>
        <w:pStyle w:val="Heading2"/>
        <w:divId w:val="1988506822"/>
      </w:pPr>
      <w:r w:rsidRPr="00834CDC">
        <w:t xml:space="preserve">Results </w:t>
      </w:r>
    </w:p>
    <w:p w14:paraId="6803199A" w14:textId="77777777" w:rsidR="0033445F" w:rsidRPr="00834CDC" w:rsidRDefault="0033445F" w:rsidP="0033445F">
      <w:pPr>
        <w:divId w:val="1988506822"/>
      </w:pPr>
      <w:r w:rsidRPr="00834CDC">
        <w:t xml:space="preserve">A total of 714,488 influenza notifications </w:t>
      </w:r>
      <w:proofErr w:type="gramStart"/>
      <w:r w:rsidRPr="00834CDC">
        <w:t>were recorded</w:t>
      </w:r>
      <w:proofErr w:type="gramEnd"/>
      <w:r w:rsidRPr="00834CDC">
        <w:t xml:space="preserve"> for all ages combined between 2016 and 2019 across all states and territories, with Aboriginal and Torres Strait Islander status reported for 267,225 (37.4%). When restricting analyses to notifications with a reported Aboriginal and Torres Strait Islander status (i.e., omitting those with an unknown status), 16,163 influenza notifications (6.0%) were among Aboriginal and Torres Strait Islander people. </w:t>
      </w:r>
    </w:p>
    <w:p w14:paraId="59FA2972" w14:textId="77777777" w:rsidR="0033445F" w:rsidRPr="00834CDC" w:rsidRDefault="0033445F" w:rsidP="0033445F">
      <w:pPr>
        <w:divId w:val="1988506822"/>
      </w:pPr>
      <w:r w:rsidRPr="00834CDC">
        <w:t xml:space="preserve">Notification data for laboratory confirmed cases of influenza </w:t>
      </w:r>
      <w:proofErr w:type="gramStart"/>
      <w:r w:rsidRPr="00834CDC">
        <w:t>are presented</w:t>
      </w:r>
      <w:proofErr w:type="gramEnd"/>
      <w:r w:rsidRPr="00834CDC">
        <w:t xml:space="preserve"> in Table 9 for the two jurisdictions—Western Australia and the Northern Territory—with adequate completeness of Aboriginal and Torres Strait Islander status (≥ 87%, compared to ≤ 68% for all other states and territories) for the 2016</w:t>
      </w:r>
      <w:r w:rsidRPr="00834CDC">
        <w:rPr>
          <w:rStyle w:val="Strong"/>
        </w:rPr>
        <w:t>–</w:t>
      </w:r>
      <w:r w:rsidRPr="00834CDC">
        <w:t xml:space="preserve">2019 period. A total of 48,073 notifications were recorded in these two jurisdictions in the reporting period, of which 4,555 (9.5%) were in Aboriginal and Torres Strait Islander people, an overall Aboriginal and Torres Strait Islander versus </w:t>
      </w:r>
      <w:proofErr w:type="gramStart"/>
      <w:r w:rsidRPr="00834CDC">
        <w:t>other</w:t>
      </w:r>
      <w:proofErr w:type="gramEnd"/>
      <w:r w:rsidRPr="00834CDC">
        <w:t xml:space="preserve"> rate ratio of 1.5 (95% CI: 1.5–1.6). The highest age-specific notification rates were seen in the 6 months – &lt; 1 year age group (1,307.8 per 100,000 population per year in Aboriginal and Torres Strait Islander infants, 536.9 per 100,000 per year in other infants; RR: 2.4; 95% CI: 1.9–3.1), followed by the &lt; 6 months age group (1,134.3 per 100,000 per year in Aboriginal and Torres Strait Islander infants, 320.1 per 100,000 per year in other infants; RR: 3.5; 95% CI: 2.7–4.6) and the ≥ 50 years age group (1,128.9 per 100,000 per year in Aboriginal and Torres Strait Islander people, 424.5 per 100,000 per year in other people; RR: 2.7; 95% CI: 2.5–2.8). The notification rate was slightly lower in Aboriginal and Torres Strait Islander children and adolescents aged 5–14 years than other Australians in the same age group (RR: 0.8; 95% CI: 0.7–0.8), and similar in those aged 1–4 years (RR: 1.1; 95% CI: 0.95–1.2) and 15–24 years (RR: 1.1; 95% CI: 0.97–1.2). </w:t>
      </w:r>
    </w:p>
    <w:p w14:paraId="6D14E7F5" w14:textId="1E6F9372" w:rsidR="00D166AD" w:rsidRPr="00834CDC" w:rsidRDefault="0033445F" w:rsidP="0033445F">
      <w:pPr>
        <w:divId w:val="1988506822"/>
      </w:pPr>
      <w:r w:rsidRPr="00834CDC">
        <w:t xml:space="preserve">Data on hospital admissions coded as due to influenza </w:t>
      </w:r>
      <w:proofErr w:type="gramStart"/>
      <w:r w:rsidRPr="00834CDC">
        <w:t>are presented</w:t>
      </w:r>
      <w:proofErr w:type="gramEnd"/>
      <w:r w:rsidRPr="00834CDC">
        <w:t xml:space="preserve"> for all jurisdictions for the 2016</w:t>
      </w:r>
      <w:r w:rsidRPr="00834CDC">
        <w:rPr>
          <w:rStyle w:val="Strong"/>
        </w:rPr>
        <w:t>–</w:t>
      </w:r>
      <w:r w:rsidRPr="00834CDC">
        <w:t xml:space="preserve">2019 period in Table 10. The highest age-specific hospitalisation rates were in the &lt; 6 months age group (744.7 per 100,000 per year in Aboriginal and Torres Strait Islander infants; 304.5 per 100,000 per year in other infants), 6 months to &lt; 1 year (652.0 per 100,000 per year in Aboriginal and Torres Strait Islander infants; 235.6 per 100,000 per year in other infants), and ≥ 50 years age group (500.4 per 100,000 per year in Aboriginal and Torres Strait Islander people compared to 260.9 per 100,000 per year in other Australians). Hospitalisation rates were significantly higher for Aboriginal and Torres Strait Islander people across all age groups, with the all-age Aboriginal and Torres Strait Islander versus other hospitalisation RR = 2.1 (95% CI: 2.0–2.1) and highest age-specific rate ratio in the 25–49 years age group RR = 3.1 (95% CI: 3.0–3.3). </w:t>
      </w:r>
    </w:p>
    <w:p w14:paraId="39784312" w14:textId="77777777" w:rsidR="00D166AD" w:rsidRPr="00834CDC" w:rsidRDefault="00D166AD">
      <w:r w:rsidRPr="00834CDC">
        <w:br w:type="page"/>
      </w:r>
    </w:p>
    <w:p w14:paraId="1325187F" w14:textId="77777777" w:rsidR="00E6453B" w:rsidRPr="00834CDC" w:rsidRDefault="00E6453B" w:rsidP="00E6453B">
      <w:pPr>
        <w:pStyle w:val="NormalWeb"/>
      </w:pPr>
      <w:r w:rsidRPr="00834CDC">
        <w:rPr>
          <w:rStyle w:val="Strong"/>
        </w:rPr>
        <w:lastRenderedPageBreak/>
        <w:t>Table 9: Influenza notifications, Australia (selected states and territories</w:t>
      </w:r>
      <w:proofErr w:type="gramStart"/>
      <w:r w:rsidRPr="00834CDC">
        <w:rPr>
          <w:rStyle w:val="Strong"/>
        </w:rPr>
        <w:t>),</w:t>
      </w:r>
      <w:r w:rsidRPr="00834CDC">
        <w:rPr>
          <w:rStyle w:val="Strong"/>
          <w:vertAlign w:val="superscript"/>
        </w:rPr>
        <w:t>a</w:t>
      </w:r>
      <w:proofErr w:type="gramEnd"/>
      <w:r w:rsidRPr="00834CDC">
        <w:rPr>
          <w:rStyle w:val="Strong"/>
        </w:rPr>
        <w:t xml:space="preserve"> 2016–2019, by age and Aboriginal and Torres Strait Islander status</w:t>
      </w:r>
    </w:p>
    <w:tbl>
      <w:tblPr>
        <w:tblStyle w:val="CDI-StandardTable"/>
        <w:tblW w:w="0" w:type="auto"/>
        <w:tblLook w:val="04A0" w:firstRow="1" w:lastRow="0" w:firstColumn="1" w:lastColumn="0" w:noHBand="0" w:noVBand="1"/>
        <w:tblDescription w:val="Table 9 shows the number and rates per 100,000 population of influenza notifications by age and Aboriginal and Torres Strait Islander status for selected jurisdictions (Western Australia and Northern Territory), 2016 to 2019.&#10;"/>
      </w:tblPr>
      <w:tblGrid>
        <w:gridCol w:w="2694"/>
        <w:gridCol w:w="3402"/>
        <w:gridCol w:w="708"/>
        <w:gridCol w:w="993"/>
        <w:gridCol w:w="1134"/>
        <w:gridCol w:w="1519"/>
      </w:tblGrid>
      <w:tr w:rsidR="00E6453B" w:rsidRPr="00834CDC" w14:paraId="01065995" w14:textId="77777777" w:rsidTr="004D76E5">
        <w:trPr>
          <w:cnfStyle w:val="100000000000" w:firstRow="1" w:lastRow="0" w:firstColumn="0" w:lastColumn="0" w:oddVBand="0" w:evenVBand="0" w:oddHBand="0" w:evenHBand="0" w:firstRowFirstColumn="0" w:firstRowLastColumn="0" w:lastRowFirstColumn="0" w:lastRowLastColumn="0"/>
          <w:tblHeader/>
        </w:trPr>
        <w:tc>
          <w:tcPr>
            <w:tcW w:w="2694" w:type="dxa"/>
            <w:vMerge w:val="restart"/>
            <w:hideMark/>
          </w:tcPr>
          <w:p w14:paraId="112986CC" w14:textId="25E1F393" w:rsidR="00E6453B" w:rsidRPr="00834CDC" w:rsidRDefault="00E6453B" w:rsidP="003058F5">
            <w:pPr>
              <w:pStyle w:val="NormalWeb"/>
              <w:rPr>
                <w:sz w:val="18"/>
                <w:szCs w:val="18"/>
              </w:rPr>
            </w:pPr>
            <w:r w:rsidRPr="00834CDC">
              <w:rPr>
                <w:sz w:val="18"/>
                <w:szCs w:val="18"/>
              </w:rPr>
              <w:t>Age group</w:t>
            </w:r>
            <w:r w:rsidR="00F14186" w:rsidRPr="00834CDC">
              <w:rPr>
                <w:sz w:val="18"/>
                <w:szCs w:val="18"/>
              </w:rPr>
              <w:t xml:space="preserve"> </w:t>
            </w:r>
            <w:r w:rsidRPr="00834CDC">
              <w:rPr>
                <w:sz w:val="18"/>
                <w:szCs w:val="18"/>
                <w:vertAlign w:val="superscript"/>
              </w:rPr>
              <w:t>b</w:t>
            </w:r>
            <w:r w:rsidRPr="00834CDC">
              <w:rPr>
                <w:sz w:val="18"/>
                <w:szCs w:val="18"/>
              </w:rPr>
              <w:t xml:space="preserve"> (years)</w:t>
            </w:r>
          </w:p>
        </w:tc>
        <w:tc>
          <w:tcPr>
            <w:tcW w:w="3402" w:type="dxa"/>
            <w:vMerge w:val="restart"/>
            <w:hideMark/>
          </w:tcPr>
          <w:p w14:paraId="0124FE9B" w14:textId="77777777" w:rsidR="00E6453B" w:rsidRPr="00834CDC" w:rsidRDefault="00E6453B" w:rsidP="003058F5">
            <w:pPr>
              <w:pStyle w:val="NormalWeb"/>
              <w:rPr>
                <w:sz w:val="18"/>
                <w:szCs w:val="18"/>
              </w:rPr>
            </w:pPr>
            <w:r w:rsidRPr="00834CDC">
              <w:rPr>
                <w:sz w:val="18"/>
                <w:szCs w:val="18"/>
              </w:rPr>
              <w:t>Aboriginal and Torres Strait Islander status</w:t>
            </w:r>
          </w:p>
        </w:tc>
        <w:tc>
          <w:tcPr>
            <w:tcW w:w="4354" w:type="dxa"/>
            <w:gridSpan w:val="4"/>
            <w:hideMark/>
          </w:tcPr>
          <w:p w14:paraId="03482028" w14:textId="6ECF6852" w:rsidR="00E6453B" w:rsidRPr="00834CDC" w:rsidRDefault="00E6453B" w:rsidP="003058F5">
            <w:pPr>
              <w:pStyle w:val="NormalWeb"/>
              <w:rPr>
                <w:sz w:val="18"/>
                <w:szCs w:val="18"/>
              </w:rPr>
            </w:pPr>
            <w:r w:rsidRPr="00834CDC">
              <w:rPr>
                <w:sz w:val="18"/>
                <w:szCs w:val="18"/>
              </w:rPr>
              <w:t>Notifications</w:t>
            </w:r>
            <w:r w:rsidR="00F14186" w:rsidRPr="00834CDC">
              <w:rPr>
                <w:sz w:val="18"/>
                <w:szCs w:val="18"/>
              </w:rPr>
              <w:t xml:space="preserve"> </w:t>
            </w:r>
            <w:r w:rsidRPr="00834CDC">
              <w:rPr>
                <w:sz w:val="18"/>
                <w:szCs w:val="18"/>
                <w:vertAlign w:val="superscript"/>
              </w:rPr>
              <w:t>c</w:t>
            </w:r>
            <w:r w:rsidRPr="00834CDC">
              <w:rPr>
                <w:sz w:val="18"/>
                <w:szCs w:val="18"/>
              </w:rPr>
              <w:t xml:space="preserve"> (2016–2019)</w:t>
            </w:r>
          </w:p>
        </w:tc>
      </w:tr>
      <w:tr w:rsidR="00FF238D" w:rsidRPr="00834CDC" w14:paraId="25FA8798" w14:textId="77777777" w:rsidTr="004D76E5">
        <w:trPr>
          <w:cnfStyle w:val="100000000000" w:firstRow="1" w:lastRow="0" w:firstColumn="0" w:lastColumn="0" w:oddVBand="0" w:evenVBand="0" w:oddHBand="0" w:evenHBand="0" w:firstRowFirstColumn="0" w:firstRowLastColumn="0" w:lastRowFirstColumn="0" w:lastRowLastColumn="0"/>
          <w:tblHeader/>
        </w:trPr>
        <w:tc>
          <w:tcPr>
            <w:tcW w:w="2694" w:type="dxa"/>
            <w:vMerge/>
            <w:tcBorders>
              <w:bottom w:val="single" w:sz="2" w:space="0" w:color="808080" w:themeColor="background1" w:themeShade="80"/>
            </w:tcBorders>
            <w:hideMark/>
          </w:tcPr>
          <w:p w14:paraId="6BA746D5" w14:textId="77777777" w:rsidR="00E6453B" w:rsidRPr="00834CDC" w:rsidRDefault="00E6453B" w:rsidP="003058F5">
            <w:pPr>
              <w:rPr>
                <w:sz w:val="18"/>
                <w:szCs w:val="18"/>
              </w:rPr>
            </w:pPr>
          </w:p>
        </w:tc>
        <w:tc>
          <w:tcPr>
            <w:tcW w:w="3402" w:type="dxa"/>
            <w:vMerge/>
            <w:tcBorders>
              <w:bottom w:val="single" w:sz="2" w:space="0" w:color="808080" w:themeColor="background1" w:themeShade="80"/>
            </w:tcBorders>
            <w:hideMark/>
          </w:tcPr>
          <w:p w14:paraId="0B55568F" w14:textId="77777777" w:rsidR="00E6453B" w:rsidRPr="00834CDC" w:rsidRDefault="00E6453B" w:rsidP="003058F5">
            <w:pPr>
              <w:rPr>
                <w:sz w:val="18"/>
                <w:szCs w:val="18"/>
              </w:rPr>
            </w:pPr>
          </w:p>
        </w:tc>
        <w:tc>
          <w:tcPr>
            <w:tcW w:w="708" w:type="dxa"/>
            <w:tcBorders>
              <w:bottom w:val="single" w:sz="2" w:space="0" w:color="808080" w:themeColor="background1" w:themeShade="80"/>
            </w:tcBorders>
            <w:hideMark/>
          </w:tcPr>
          <w:p w14:paraId="63E6609F" w14:textId="77777777" w:rsidR="00E6453B" w:rsidRPr="00834CDC" w:rsidRDefault="00E6453B" w:rsidP="003058F5">
            <w:pPr>
              <w:pStyle w:val="NormalWeb"/>
              <w:rPr>
                <w:sz w:val="18"/>
                <w:szCs w:val="18"/>
              </w:rPr>
            </w:pPr>
            <w:r w:rsidRPr="00834CDC">
              <w:rPr>
                <w:sz w:val="18"/>
                <w:szCs w:val="18"/>
              </w:rPr>
              <w:t>n</w:t>
            </w:r>
          </w:p>
        </w:tc>
        <w:tc>
          <w:tcPr>
            <w:tcW w:w="993" w:type="dxa"/>
            <w:tcBorders>
              <w:bottom w:val="single" w:sz="2" w:space="0" w:color="808080" w:themeColor="background1" w:themeShade="80"/>
            </w:tcBorders>
            <w:hideMark/>
          </w:tcPr>
          <w:p w14:paraId="1815A834" w14:textId="7B64E70A" w:rsidR="00E6453B" w:rsidRPr="00834CDC" w:rsidRDefault="00E6453B" w:rsidP="003058F5">
            <w:pPr>
              <w:pStyle w:val="NormalWeb"/>
              <w:rPr>
                <w:sz w:val="18"/>
                <w:szCs w:val="18"/>
              </w:rPr>
            </w:pPr>
            <w:r w:rsidRPr="00834CDC">
              <w:rPr>
                <w:sz w:val="18"/>
                <w:szCs w:val="18"/>
              </w:rPr>
              <w:t>Rate</w:t>
            </w:r>
            <w:r w:rsidR="00D24B47">
              <w:rPr>
                <w:sz w:val="18"/>
                <w:szCs w:val="18"/>
              </w:rPr>
              <w:t xml:space="preserve"> </w:t>
            </w:r>
            <w:r w:rsidRPr="00D24B47">
              <w:rPr>
                <w:sz w:val="18"/>
                <w:szCs w:val="18"/>
                <w:vertAlign w:val="superscript"/>
              </w:rPr>
              <w:t>d</w:t>
            </w:r>
          </w:p>
        </w:tc>
        <w:tc>
          <w:tcPr>
            <w:tcW w:w="1134" w:type="dxa"/>
            <w:tcBorders>
              <w:bottom w:val="single" w:sz="2" w:space="0" w:color="808080" w:themeColor="background1" w:themeShade="80"/>
            </w:tcBorders>
            <w:hideMark/>
          </w:tcPr>
          <w:p w14:paraId="11E290B6" w14:textId="77777777" w:rsidR="00E6453B" w:rsidRPr="00834CDC" w:rsidRDefault="00E6453B" w:rsidP="003058F5">
            <w:pPr>
              <w:pStyle w:val="NormalWeb"/>
              <w:rPr>
                <w:sz w:val="18"/>
                <w:szCs w:val="18"/>
              </w:rPr>
            </w:pPr>
            <w:r w:rsidRPr="00834CDC">
              <w:rPr>
                <w:sz w:val="18"/>
                <w:szCs w:val="18"/>
              </w:rPr>
              <w:t>Rate ratio</w:t>
            </w:r>
          </w:p>
        </w:tc>
        <w:tc>
          <w:tcPr>
            <w:tcW w:w="1519" w:type="dxa"/>
            <w:tcBorders>
              <w:bottom w:val="single" w:sz="2" w:space="0" w:color="808080" w:themeColor="background1" w:themeShade="80"/>
            </w:tcBorders>
            <w:hideMark/>
          </w:tcPr>
          <w:p w14:paraId="3BD643F9" w14:textId="77777777" w:rsidR="00E6453B" w:rsidRPr="00834CDC" w:rsidRDefault="00E6453B" w:rsidP="003058F5">
            <w:pPr>
              <w:pStyle w:val="NormalWeb"/>
              <w:rPr>
                <w:sz w:val="18"/>
                <w:szCs w:val="18"/>
              </w:rPr>
            </w:pPr>
            <w:proofErr w:type="gramStart"/>
            <w:r w:rsidRPr="00834CDC">
              <w:rPr>
                <w:sz w:val="18"/>
                <w:szCs w:val="18"/>
              </w:rPr>
              <w:t>95%</w:t>
            </w:r>
            <w:proofErr w:type="gramEnd"/>
            <w:r w:rsidRPr="00834CDC">
              <w:rPr>
                <w:sz w:val="18"/>
                <w:szCs w:val="18"/>
              </w:rPr>
              <w:t xml:space="preserve"> CI for rate ratio</w:t>
            </w:r>
          </w:p>
        </w:tc>
      </w:tr>
      <w:tr w:rsidR="00E6453B" w:rsidRPr="00834CDC" w14:paraId="26CE6439" w14:textId="77777777" w:rsidTr="004D76E5">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30876C" w14:textId="77777777" w:rsidR="00E6453B" w:rsidRPr="00834CDC" w:rsidRDefault="00E6453B" w:rsidP="003058F5">
            <w:pPr>
              <w:pStyle w:val="NormalWeb"/>
              <w:rPr>
                <w:sz w:val="18"/>
                <w:szCs w:val="18"/>
              </w:rPr>
            </w:pPr>
            <w:r w:rsidRPr="00834CDC">
              <w:rPr>
                <w:sz w:val="18"/>
                <w:szCs w:val="18"/>
              </w:rPr>
              <w:t>0–4</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C7EC5D" w14:textId="77777777" w:rsidR="00E6453B" w:rsidRPr="00834CDC" w:rsidRDefault="00E6453B" w:rsidP="003058F5">
            <w:pPr>
              <w:pStyle w:val="NormalWeb"/>
              <w:rPr>
                <w:sz w:val="18"/>
                <w:szCs w:val="18"/>
              </w:rPr>
            </w:pPr>
            <w:r w:rsidRPr="00834CDC">
              <w:rPr>
                <w:sz w:val="18"/>
                <w:szCs w:val="18"/>
              </w:rPr>
              <w:t>Aboriginal and Torres Strait Islander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C3731D" w14:textId="77777777" w:rsidR="00E6453B" w:rsidRPr="00834CDC" w:rsidRDefault="00E6453B" w:rsidP="003058F5">
            <w:pPr>
              <w:pStyle w:val="NormalWeb"/>
              <w:rPr>
                <w:sz w:val="18"/>
                <w:szCs w:val="18"/>
              </w:rPr>
            </w:pPr>
            <w:r w:rsidRPr="00834CDC">
              <w:rPr>
                <w:sz w:val="18"/>
                <w:szCs w:val="18"/>
              </w:rPr>
              <w:t>566</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241CBE" w14:textId="77777777" w:rsidR="00E6453B" w:rsidRPr="00834CDC" w:rsidRDefault="00E6453B" w:rsidP="003058F5">
            <w:pPr>
              <w:pStyle w:val="NormalWeb"/>
              <w:rPr>
                <w:sz w:val="18"/>
                <w:szCs w:val="18"/>
              </w:rPr>
            </w:pPr>
            <w:r w:rsidRPr="00834CDC">
              <w:rPr>
                <w:sz w:val="18"/>
                <w:szCs w:val="18"/>
              </w:rPr>
              <w:t>757.7</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6F6C94" w14:textId="77777777" w:rsidR="00E6453B" w:rsidRPr="00834CDC" w:rsidRDefault="00E6453B" w:rsidP="003058F5">
            <w:pPr>
              <w:pStyle w:val="NormalWeb"/>
              <w:rPr>
                <w:sz w:val="18"/>
                <w:szCs w:val="18"/>
              </w:rPr>
            </w:pPr>
            <w:r w:rsidRPr="00834CDC">
              <w:rPr>
                <w:sz w:val="18"/>
                <w:szCs w:val="18"/>
              </w:rPr>
              <w:t>1.3</w:t>
            </w:r>
          </w:p>
        </w:tc>
        <w:tc>
          <w:tcPr>
            <w:tcW w:w="151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A55584" w14:textId="77777777" w:rsidR="00E6453B" w:rsidRPr="00834CDC" w:rsidRDefault="00E6453B" w:rsidP="003058F5">
            <w:pPr>
              <w:pStyle w:val="NormalWeb"/>
              <w:rPr>
                <w:sz w:val="18"/>
                <w:szCs w:val="18"/>
              </w:rPr>
            </w:pPr>
            <w:r w:rsidRPr="00834CDC">
              <w:rPr>
                <w:sz w:val="18"/>
                <w:szCs w:val="18"/>
              </w:rPr>
              <w:t>1.2–1.4</w:t>
            </w:r>
          </w:p>
        </w:tc>
      </w:tr>
      <w:tr w:rsidR="0012702A" w:rsidRPr="00834CDC" w14:paraId="79085E52" w14:textId="77777777" w:rsidTr="004D76E5">
        <w:trPr>
          <w:cnfStyle w:val="000000010000" w:firstRow="0" w:lastRow="0" w:firstColumn="0" w:lastColumn="0" w:oddVBand="0" w:evenVBand="0" w:oddHBand="0" w:evenHBand="1" w:firstRowFirstColumn="0" w:firstRowLastColumn="0" w:lastRowFirstColumn="0" w:lastRowLastColumn="0"/>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E7AC2F" w14:textId="77777777" w:rsidR="00E6453B" w:rsidRPr="00834CDC" w:rsidRDefault="00E6453B" w:rsidP="003058F5">
            <w:pPr>
              <w:rPr>
                <w:sz w:val="18"/>
                <w:szCs w:val="18"/>
              </w:rPr>
            </w:pP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C559E0" w14:textId="77777777" w:rsidR="00E6453B" w:rsidRPr="00834CDC" w:rsidRDefault="00E6453B" w:rsidP="003058F5">
            <w:pPr>
              <w:pStyle w:val="NormalWeb"/>
              <w:rPr>
                <w:sz w:val="18"/>
                <w:szCs w:val="18"/>
              </w:rPr>
            </w:pPr>
            <w:r w:rsidRPr="00834CDC">
              <w:rPr>
                <w:sz w:val="18"/>
                <w:szCs w:val="18"/>
              </w:rPr>
              <w:t>Other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158ED5" w14:textId="77777777" w:rsidR="00E6453B" w:rsidRPr="00834CDC" w:rsidRDefault="00E6453B" w:rsidP="003058F5">
            <w:pPr>
              <w:pStyle w:val="NormalWeb"/>
              <w:rPr>
                <w:sz w:val="18"/>
                <w:szCs w:val="18"/>
              </w:rPr>
            </w:pPr>
            <w:r w:rsidRPr="00834CDC">
              <w:rPr>
                <w:sz w:val="18"/>
                <w:szCs w:val="18"/>
              </w:rPr>
              <w:t>3,968</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1584E1" w14:textId="77777777" w:rsidR="00E6453B" w:rsidRPr="00834CDC" w:rsidRDefault="00E6453B" w:rsidP="003058F5">
            <w:pPr>
              <w:pStyle w:val="NormalWeb"/>
              <w:rPr>
                <w:sz w:val="18"/>
                <w:szCs w:val="18"/>
              </w:rPr>
            </w:pPr>
            <w:r w:rsidRPr="00834CDC">
              <w:rPr>
                <w:sz w:val="18"/>
                <w:szCs w:val="18"/>
              </w:rPr>
              <w:t>572.9</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977D31" w14:textId="77777777" w:rsidR="00E6453B" w:rsidRPr="00834CDC" w:rsidRDefault="00E6453B" w:rsidP="003058F5">
            <w:pPr>
              <w:rPr>
                <w:sz w:val="18"/>
                <w:szCs w:val="18"/>
              </w:rPr>
            </w:pPr>
          </w:p>
        </w:tc>
        <w:tc>
          <w:tcPr>
            <w:tcW w:w="151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AA5EEC" w14:textId="77777777" w:rsidR="00E6453B" w:rsidRPr="00834CDC" w:rsidRDefault="00E6453B" w:rsidP="003058F5">
            <w:pPr>
              <w:rPr>
                <w:sz w:val="18"/>
                <w:szCs w:val="18"/>
              </w:rPr>
            </w:pPr>
          </w:p>
        </w:tc>
      </w:tr>
      <w:tr w:rsidR="00E6453B" w:rsidRPr="00834CDC" w14:paraId="776A133B" w14:textId="77777777" w:rsidTr="004D76E5">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176C3F" w14:textId="77777777" w:rsidR="00E6453B" w:rsidRPr="00834CDC" w:rsidRDefault="00E6453B" w:rsidP="00FF238D">
            <w:pPr>
              <w:pStyle w:val="NormalWeb"/>
              <w:jc w:val="right"/>
              <w:rPr>
                <w:sz w:val="18"/>
                <w:szCs w:val="18"/>
              </w:rPr>
            </w:pPr>
            <w:r w:rsidRPr="00834CDC">
              <w:rPr>
                <w:sz w:val="18"/>
                <w:szCs w:val="18"/>
              </w:rPr>
              <w:t>0 –&lt; 6 months</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A07B7D" w14:textId="77777777" w:rsidR="00E6453B" w:rsidRPr="00834CDC" w:rsidRDefault="00E6453B" w:rsidP="003058F5">
            <w:pPr>
              <w:pStyle w:val="NormalWeb"/>
              <w:rPr>
                <w:sz w:val="18"/>
                <w:szCs w:val="18"/>
              </w:rPr>
            </w:pPr>
            <w:r w:rsidRPr="00834CDC">
              <w:rPr>
                <w:sz w:val="18"/>
                <w:szCs w:val="18"/>
              </w:rPr>
              <w:t>Aboriginal and Torres Strait Islander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AE32A4" w14:textId="77777777" w:rsidR="00E6453B" w:rsidRPr="00834CDC" w:rsidRDefault="00E6453B" w:rsidP="003058F5">
            <w:pPr>
              <w:pStyle w:val="NormalWeb"/>
              <w:rPr>
                <w:sz w:val="18"/>
                <w:szCs w:val="18"/>
              </w:rPr>
            </w:pPr>
            <w:r w:rsidRPr="00834CDC">
              <w:rPr>
                <w:sz w:val="18"/>
                <w:szCs w:val="18"/>
              </w:rPr>
              <w:t>85</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D99B50" w14:textId="77777777" w:rsidR="00E6453B" w:rsidRPr="00834CDC" w:rsidRDefault="00E6453B" w:rsidP="003058F5">
            <w:pPr>
              <w:pStyle w:val="NormalWeb"/>
              <w:rPr>
                <w:sz w:val="18"/>
                <w:szCs w:val="18"/>
              </w:rPr>
            </w:pPr>
            <w:r w:rsidRPr="00834CDC">
              <w:rPr>
                <w:sz w:val="18"/>
                <w:szCs w:val="18"/>
              </w:rPr>
              <w:t>1,134.3</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282ED1" w14:textId="77777777" w:rsidR="00E6453B" w:rsidRPr="00834CDC" w:rsidRDefault="00E6453B" w:rsidP="003058F5">
            <w:pPr>
              <w:pStyle w:val="NormalWeb"/>
              <w:rPr>
                <w:sz w:val="18"/>
                <w:szCs w:val="18"/>
              </w:rPr>
            </w:pPr>
            <w:r w:rsidRPr="00834CDC">
              <w:rPr>
                <w:sz w:val="18"/>
                <w:szCs w:val="18"/>
              </w:rPr>
              <w:t>3.5</w:t>
            </w:r>
          </w:p>
        </w:tc>
        <w:tc>
          <w:tcPr>
            <w:tcW w:w="151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98F134" w14:textId="77777777" w:rsidR="00E6453B" w:rsidRPr="00834CDC" w:rsidRDefault="00E6453B" w:rsidP="003058F5">
            <w:pPr>
              <w:pStyle w:val="NormalWeb"/>
              <w:rPr>
                <w:sz w:val="18"/>
                <w:szCs w:val="18"/>
              </w:rPr>
            </w:pPr>
            <w:r w:rsidRPr="00834CDC">
              <w:rPr>
                <w:sz w:val="18"/>
                <w:szCs w:val="18"/>
              </w:rPr>
              <w:t>2.7–4.6</w:t>
            </w:r>
          </w:p>
        </w:tc>
      </w:tr>
      <w:tr w:rsidR="0012702A" w:rsidRPr="00834CDC" w14:paraId="3491EE5B" w14:textId="77777777" w:rsidTr="004D76E5">
        <w:trPr>
          <w:cnfStyle w:val="000000010000" w:firstRow="0" w:lastRow="0" w:firstColumn="0" w:lastColumn="0" w:oddVBand="0" w:evenVBand="0" w:oddHBand="0" w:evenHBand="1" w:firstRowFirstColumn="0" w:firstRowLastColumn="0" w:lastRowFirstColumn="0" w:lastRowLastColumn="0"/>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70B93E" w14:textId="77777777" w:rsidR="00E6453B" w:rsidRPr="00834CDC" w:rsidRDefault="00E6453B" w:rsidP="00FF238D">
            <w:pPr>
              <w:jc w:val="right"/>
              <w:rPr>
                <w:sz w:val="18"/>
                <w:szCs w:val="18"/>
              </w:rPr>
            </w:pP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7F4E45" w14:textId="77777777" w:rsidR="00E6453B" w:rsidRPr="00834CDC" w:rsidRDefault="00E6453B" w:rsidP="003058F5">
            <w:pPr>
              <w:pStyle w:val="NormalWeb"/>
              <w:rPr>
                <w:sz w:val="18"/>
                <w:szCs w:val="18"/>
              </w:rPr>
            </w:pPr>
            <w:r w:rsidRPr="00834CDC">
              <w:rPr>
                <w:sz w:val="18"/>
                <w:szCs w:val="18"/>
              </w:rPr>
              <w:t>Other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EAA999" w14:textId="77777777" w:rsidR="00E6453B" w:rsidRPr="00834CDC" w:rsidRDefault="00E6453B" w:rsidP="003058F5">
            <w:pPr>
              <w:pStyle w:val="NormalWeb"/>
              <w:rPr>
                <w:sz w:val="18"/>
                <w:szCs w:val="18"/>
              </w:rPr>
            </w:pPr>
            <w:r w:rsidRPr="00834CDC">
              <w:rPr>
                <w:sz w:val="18"/>
                <w:szCs w:val="18"/>
              </w:rPr>
              <w:t>220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792839" w14:textId="77777777" w:rsidR="00E6453B" w:rsidRPr="00834CDC" w:rsidRDefault="00E6453B" w:rsidP="003058F5">
            <w:pPr>
              <w:pStyle w:val="NormalWeb"/>
              <w:rPr>
                <w:sz w:val="18"/>
                <w:szCs w:val="18"/>
              </w:rPr>
            </w:pPr>
            <w:r w:rsidRPr="00834CDC">
              <w:rPr>
                <w:sz w:val="18"/>
                <w:szCs w:val="18"/>
              </w:rPr>
              <w:t>320.1</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090427" w14:textId="77777777" w:rsidR="00E6453B" w:rsidRPr="00834CDC" w:rsidRDefault="00E6453B" w:rsidP="003058F5">
            <w:pPr>
              <w:rPr>
                <w:sz w:val="18"/>
                <w:szCs w:val="18"/>
              </w:rPr>
            </w:pPr>
          </w:p>
        </w:tc>
        <w:tc>
          <w:tcPr>
            <w:tcW w:w="151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F0FFCC" w14:textId="77777777" w:rsidR="00E6453B" w:rsidRPr="00834CDC" w:rsidRDefault="00E6453B" w:rsidP="003058F5">
            <w:pPr>
              <w:rPr>
                <w:sz w:val="18"/>
                <w:szCs w:val="18"/>
              </w:rPr>
            </w:pPr>
          </w:p>
        </w:tc>
      </w:tr>
      <w:tr w:rsidR="00E6453B" w:rsidRPr="00834CDC" w14:paraId="18B1DEFF" w14:textId="77777777" w:rsidTr="004D76E5">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71EA34" w14:textId="77777777" w:rsidR="00E6453B" w:rsidRPr="00834CDC" w:rsidRDefault="00E6453B" w:rsidP="00FF238D">
            <w:pPr>
              <w:pStyle w:val="NormalWeb"/>
              <w:jc w:val="right"/>
              <w:rPr>
                <w:sz w:val="18"/>
                <w:szCs w:val="18"/>
              </w:rPr>
            </w:pPr>
            <w:r w:rsidRPr="00834CDC">
              <w:rPr>
                <w:sz w:val="18"/>
                <w:szCs w:val="18"/>
              </w:rPr>
              <w:t>6 months –&lt; 1 year</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32C23A" w14:textId="77777777" w:rsidR="00E6453B" w:rsidRPr="00834CDC" w:rsidRDefault="00E6453B" w:rsidP="003058F5">
            <w:pPr>
              <w:pStyle w:val="NormalWeb"/>
              <w:rPr>
                <w:sz w:val="18"/>
                <w:szCs w:val="18"/>
              </w:rPr>
            </w:pPr>
            <w:r w:rsidRPr="00834CDC">
              <w:rPr>
                <w:sz w:val="18"/>
                <w:szCs w:val="18"/>
              </w:rPr>
              <w:t>Aboriginal and Torres Strait Islander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521625" w14:textId="77777777" w:rsidR="00E6453B" w:rsidRPr="00834CDC" w:rsidRDefault="00E6453B" w:rsidP="003058F5">
            <w:pPr>
              <w:pStyle w:val="NormalWeb"/>
              <w:rPr>
                <w:sz w:val="18"/>
                <w:szCs w:val="18"/>
              </w:rPr>
            </w:pPr>
            <w:r w:rsidRPr="00834CDC">
              <w:rPr>
                <w:sz w:val="18"/>
                <w:szCs w:val="18"/>
              </w:rPr>
              <w:t>98</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2852A6" w14:textId="77777777" w:rsidR="00E6453B" w:rsidRPr="00834CDC" w:rsidRDefault="00E6453B" w:rsidP="003058F5">
            <w:pPr>
              <w:pStyle w:val="NormalWeb"/>
              <w:rPr>
                <w:sz w:val="18"/>
                <w:szCs w:val="18"/>
              </w:rPr>
            </w:pPr>
            <w:r w:rsidRPr="00834CDC">
              <w:rPr>
                <w:sz w:val="18"/>
                <w:szCs w:val="18"/>
              </w:rPr>
              <w:t>1,307.8</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F76F8A" w14:textId="77777777" w:rsidR="00E6453B" w:rsidRPr="00834CDC" w:rsidRDefault="00E6453B" w:rsidP="003058F5">
            <w:pPr>
              <w:pStyle w:val="NormalWeb"/>
              <w:rPr>
                <w:sz w:val="18"/>
                <w:szCs w:val="18"/>
              </w:rPr>
            </w:pPr>
            <w:r w:rsidRPr="00834CDC">
              <w:rPr>
                <w:sz w:val="18"/>
                <w:szCs w:val="18"/>
              </w:rPr>
              <w:t>2.4</w:t>
            </w:r>
          </w:p>
        </w:tc>
        <w:tc>
          <w:tcPr>
            <w:tcW w:w="151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7ED4AE" w14:textId="77777777" w:rsidR="00E6453B" w:rsidRPr="00834CDC" w:rsidRDefault="00E6453B" w:rsidP="003058F5">
            <w:pPr>
              <w:pStyle w:val="NormalWeb"/>
              <w:rPr>
                <w:sz w:val="18"/>
                <w:szCs w:val="18"/>
              </w:rPr>
            </w:pPr>
            <w:r w:rsidRPr="00834CDC">
              <w:rPr>
                <w:sz w:val="18"/>
                <w:szCs w:val="18"/>
              </w:rPr>
              <w:t>1.9–3.1</w:t>
            </w:r>
          </w:p>
        </w:tc>
      </w:tr>
      <w:tr w:rsidR="0012702A" w:rsidRPr="00834CDC" w14:paraId="3BAA2C01" w14:textId="77777777" w:rsidTr="004D76E5">
        <w:trPr>
          <w:cnfStyle w:val="000000010000" w:firstRow="0" w:lastRow="0" w:firstColumn="0" w:lastColumn="0" w:oddVBand="0" w:evenVBand="0" w:oddHBand="0" w:evenHBand="1" w:firstRowFirstColumn="0" w:firstRowLastColumn="0" w:lastRowFirstColumn="0" w:lastRowLastColumn="0"/>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C4908F" w14:textId="77777777" w:rsidR="00E6453B" w:rsidRPr="00834CDC" w:rsidRDefault="00E6453B" w:rsidP="00FF238D">
            <w:pPr>
              <w:jc w:val="right"/>
              <w:rPr>
                <w:sz w:val="18"/>
                <w:szCs w:val="18"/>
              </w:rPr>
            </w:pP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EAB96E" w14:textId="77777777" w:rsidR="00E6453B" w:rsidRPr="00834CDC" w:rsidRDefault="00E6453B" w:rsidP="003058F5">
            <w:pPr>
              <w:pStyle w:val="NormalWeb"/>
              <w:rPr>
                <w:sz w:val="18"/>
                <w:szCs w:val="18"/>
              </w:rPr>
            </w:pPr>
            <w:r w:rsidRPr="00834CDC">
              <w:rPr>
                <w:sz w:val="18"/>
                <w:szCs w:val="18"/>
              </w:rPr>
              <w:t>Other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D897FE" w14:textId="77777777" w:rsidR="00E6453B" w:rsidRPr="00834CDC" w:rsidRDefault="00E6453B" w:rsidP="003058F5">
            <w:pPr>
              <w:pStyle w:val="NormalWeb"/>
              <w:rPr>
                <w:sz w:val="18"/>
                <w:szCs w:val="18"/>
              </w:rPr>
            </w:pPr>
            <w:r w:rsidRPr="00834CDC">
              <w:rPr>
                <w:sz w:val="18"/>
                <w:szCs w:val="18"/>
              </w:rPr>
              <w:t>369</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4B9563" w14:textId="77777777" w:rsidR="00E6453B" w:rsidRPr="00834CDC" w:rsidRDefault="00E6453B" w:rsidP="003058F5">
            <w:pPr>
              <w:pStyle w:val="NormalWeb"/>
              <w:rPr>
                <w:sz w:val="18"/>
                <w:szCs w:val="18"/>
              </w:rPr>
            </w:pPr>
            <w:r w:rsidRPr="00834CDC">
              <w:rPr>
                <w:sz w:val="18"/>
                <w:szCs w:val="18"/>
              </w:rPr>
              <w:t>536.9</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AEAD96" w14:textId="77777777" w:rsidR="00E6453B" w:rsidRPr="00834CDC" w:rsidRDefault="00E6453B" w:rsidP="003058F5">
            <w:pPr>
              <w:rPr>
                <w:sz w:val="18"/>
                <w:szCs w:val="18"/>
              </w:rPr>
            </w:pPr>
          </w:p>
        </w:tc>
        <w:tc>
          <w:tcPr>
            <w:tcW w:w="151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463D4A" w14:textId="77777777" w:rsidR="00E6453B" w:rsidRPr="00834CDC" w:rsidRDefault="00E6453B" w:rsidP="003058F5">
            <w:pPr>
              <w:rPr>
                <w:sz w:val="18"/>
                <w:szCs w:val="18"/>
              </w:rPr>
            </w:pPr>
          </w:p>
        </w:tc>
      </w:tr>
      <w:tr w:rsidR="00E6453B" w:rsidRPr="00834CDC" w14:paraId="454531E5" w14:textId="77777777" w:rsidTr="004D76E5">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670054" w14:textId="77777777" w:rsidR="00E6453B" w:rsidRPr="00834CDC" w:rsidRDefault="00E6453B" w:rsidP="00FF238D">
            <w:pPr>
              <w:pStyle w:val="NormalWeb"/>
              <w:jc w:val="right"/>
              <w:rPr>
                <w:sz w:val="18"/>
                <w:szCs w:val="18"/>
              </w:rPr>
            </w:pPr>
            <w:r w:rsidRPr="00834CDC">
              <w:rPr>
                <w:sz w:val="18"/>
                <w:szCs w:val="18"/>
              </w:rPr>
              <w:t>1–4 years</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844173" w14:textId="77777777" w:rsidR="00E6453B" w:rsidRPr="00834CDC" w:rsidRDefault="00E6453B" w:rsidP="003058F5">
            <w:pPr>
              <w:pStyle w:val="NormalWeb"/>
              <w:rPr>
                <w:sz w:val="18"/>
                <w:szCs w:val="18"/>
              </w:rPr>
            </w:pPr>
            <w:r w:rsidRPr="00834CDC">
              <w:rPr>
                <w:sz w:val="18"/>
                <w:szCs w:val="18"/>
              </w:rPr>
              <w:t>Aboriginal and Torres Strait Islander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CFB5B0" w14:textId="77777777" w:rsidR="00E6453B" w:rsidRPr="00834CDC" w:rsidRDefault="00E6453B" w:rsidP="003058F5">
            <w:pPr>
              <w:pStyle w:val="NormalWeb"/>
              <w:rPr>
                <w:sz w:val="18"/>
                <w:szCs w:val="18"/>
              </w:rPr>
            </w:pPr>
            <w:r w:rsidRPr="00834CDC">
              <w:rPr>
                <w:sz w:val="18"/>
                <w:szCs w:val="18"/>
              </w:rPr>
              <w:t>383</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7A03C6" w14:textId="77777777" w:rsidR="00E6453B" w:rsidRPr="00834CDC" w:rsidRDefault="00E6453B" w:rsidP="003058F5">
            <w:pPr>
              <w:pStyle w:val="NormalWeb"/>
              <w:rPr>
                <w:sz w:val="18"/>
                <w:szCs w:val="18"/>
              </w:rPr>
            </w:pPr>
            <w:r w:rsidRPr="00834CDC">
              <w:rPr>
                <w:sz w:val="18"/>
                <w:szCs w:val="18"/>
              </w:rPr>
              <w:t>641.3</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EF6671" w14:textId="77777777" w:rsidR="00E6453B" w:rsidRPr="00834CDC" w:rsidRDefault="00E6453B" w:rsidP="003058F5">
            <w:pPr>
              <w:pStyle w:val="NormalWeb"/>
              <w:rPr>
                <w:sz w:val="18"/>
                <w:szCs w:val="18"/>
              </w:rPr>
            </w:pPr>
            <w:r w:rsidRPr="00834CDC">
              <w:rPr>
                <w:sz w:val="18"/>
                <w:szCs w:val="18"/>
              </w:rPr>
              <w:t>1.1</w:t>
            </w:r>
          </w:p>
        </w:tc>
        <w:tc>
          <w:tcPr>
            <w:tcW w:w="151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3A0100" w14:textId="77777777" w:rsidR="00E6453B" w:rsidRPr="00834CDC" w:rsidRDefault="00E6453B" w:rsidP="003058F5">
            <w:pPr>
              <w:pStyle w:val="NormalWeb"/>
              <w:rPr>
                <w:sz w:val="18"/>
                <w:szCs w:val="18"/>
              </w:rPr>
            </w:pPr>
            <w:r w:rsidRPr="00834CDC">
              <w:rPr>
                <w:sz w:val="18"/>
                <w:szCs w:val="18"/>
              </w:rPr>
              <w:t>0.95–1.17</w:t>
            </w:r>
          </w:p>
        </w:tc>
      </w:tr>
      <w:tr w:rsidR="0012702A" w:rsidRPr="00834CDC" w14:paraId="23706D8E" w14:textId="77777777" w:rsidTr="004D76E5">
        <w:trPr>
          <w:cnfStyle w:val="000000010000" w:firstRow="0" w:lastRow="0" w:firstColumn="0" w:lastColumn="0" w:oddVBand="0" w:evenVBand="0" w:oddHBand="0" w:evenHBand="1" w:firstRowFirstColumn="0" w:firstRowLastColumn="0" w:lastRowFirstColumn="0" w:lastRowLastColumn="0"/>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97F051" w14:textId="77777777" w:rsidR="00E6453B" w:rsidRPr="00834CDC" w:rsidRDefault="00E6453B" w:rsidP="003058F5">
            <w:pPr>
              <w:rPr>
                <w:sz w:val="18"/>
                <w:szCs w:val="18"/>
              </w:rPr>
            </w:pP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EB09E7" w14:textId="77777777" w:rsidR="00E6453B" w:rsidRPr="00834CDC" w:rsidRDefault="00E6453B" w:rsidP="003058F5">
            <w:pPr>
              <w:pStyle w:val="NormalWeb"/>
              <w:rPr>
                <w:sz w:val="18"/>
                <w:szCs w:val="18"/>
              </w:rPr>
            </w:pPr>
            <w:r w:rsidRPr="00834CDC">
              <w:rPr>
                <w:sz w:val="18"/>
                <w:szCs w:val="18"/>
              </w:rPr>
              <w:t>Other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E7986B" w14:textId="77777777" w:rsidR="00E6453B" w:rsidRPr="00834CDC" w:rsidRDefault="00E6453B" w:rsidP="003058F5">
            <w:pPr>
              <w:pStyle w:val="NormalWeb"/>
              <w:rPr>
                <w:sz w:val="18"/>
                <w:szCs w:val="18"/>
              </w:rPr>
            </w:pPr>
            <w:r w:rsidRPr="00834CDC">
              <w:rPr>
                <w:sz w:val="18"/>
                <w:szCs w:val="18"/>
              </w:rPr>
              <w:t>3,379</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CF0EE0" w14:textId="77777777" w:rsidR="00E6453B" w:rsidRPr="00834CDC" w:rsidRDefault="00E6453B" w:rsidP="003058F5">
            <w:pPr>
              <w:pStyle w:val="NormalWeb"/>
              <w:rPr>
                <w:sz w:val="18"/>
                <w:szCs w:val="18"/>
              </w:rPr>
            </w:pPr>
            <w:r w:rsidRPr="00834CDC">
              <w:rPr>
                <w:sz w:val="18"/>
                <w:szCs w:val="18"/>
              </w:rPr>
              <w:t>608.6</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7A753B" w14:textId="77777777" w:rsidR="00E6453B" w:rsidRPr="00834CDC" w:rsidRDefault="00E6453B" w:rsidP="003058F5">
            <w:pPr>
              <w:rPr>
                <w:sz w:val="18"/>
                <w:szCs w:val="18"/>
              </w:rPr>
            </w:pPr>
          </w:p>
        </w:tc>
        <w:tc>
          <w:tcPr>
            <w:tcW w:w="151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F00158" w14:textId="77777777" w:rsidR="00E6453B" w:rsidRPr="00834CDC" w:rsidRDefault="00E6453B" w:rsidP="003058F5">
            <w:pPr>
              <w:rPr>
                <w:sz w:val="18"/>
                <w:szCs w:val="18"/>
              </w:rPr>
            </w:pPr>
          </w:p>
        </w:tc>
      </w:tr>
      <w:tr w:rsidR="00E6453B" w:rsidRPr="00834CDC" w14:paraId="522BB25B" w14:textId="77777777" w:rsidTr="004D76E5">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27993C" w14:textId="77777777" w:rsidR="00E6453B" w:rsidRPr="00834CDC" w:rsidRDefault="00E6453B" w:rsidP="003058F5">
            <w:pPr>
              <w:pStyle w:val="NormalWeb"/>
              <w:rPr>
                <w:sz w:val="18"/>
                <w:szCs w:val="18"/>
              </w:rPr>
            </w:pPr>
            <w:r w:rsidRPr="00834CDC">
              <w:rPr>
                <w:sz w:val="18"/>
                <w:szCs w:val="18"/>
              </w:rPr>
              <w:t>5–14</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2E5290" w14:textId="77777777" w:rsidR="00E6453B" w:rsidRPr="00834CDC" w:rsidRDefault="00E6453B" w:rsidP="003058F5">
            <w:pPr>
              <w:pStyle w:val="NormalWeb"/>
              <w:rPr>
                <w:sz w:val="18"/>
                <w:szCs w:val="18"/>
              </w:rPr>
            </w:pPr>
            <w:r w:rsidRPr="00834CDC">
              <w:rPr>
                <w:sz w:val="18"/>
                <w:szCs w:val="18"/>
              </w:rPr>
              <w:t>Aboriginal and Torres Strait Islander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2227E4" w14:textId="77777777" w:rsidR="00E6453B" w:rsidRPr="00834CDC" w:rsidRDefault="00E6453B" w:rsidP="003058F5">
            <w:pPr>
              <w:pStyle w:val="NormalWeb"/>
              <w:rPr>
                <w:sz w:val="18"/>
                <w:szCs w:val="18"/>
              </w:rPr>
            </w:pPr>
            <w:r w:rsidRPr="00834CDC">
              <w:rPr>
                <w:sz w:val="18"/>
                <w:szCs w:val="18"/>
              </w:rPr>
              <w:t>734</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613DE7" w14:textId="77777777" w:rsidR="00E6453B" w:rsidRPr="00834CDC" w:rsidRDefault="00E6453B" w:rsidP="003058F5">
            <w:pPr>
              <w:pStyle w:val="NormalWeb"/>
              <w:rPr>
                <w:sz w:val="18"/>
                <w:szCs w:val="18"/>
              </w:rPr>
            </w:pPr>
            <w:r w:rsidRPr="00834CDC">
              <w:rPr>
                <w:sz w:val="18"/>
                <w:szCs w:val="18"/>
              </w:rPr>
              <w:t>493.7</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90AC4C" w14:textId="77777777" w:rsidR="00E6453B" w:rsidRPr="00834CDC" w:rsidRDefault="00E6453B" w:rsidP="003058F5">
            <w:pPr>
              <w:pStyle w:val="NormalWeb"/>
              <w:rPr>
                <w:sz w:val="18"/>
                <w:szCs w:val="18"/>
              </w:rPr>
            </w:pPr>
            <w:r w:rsidRPr="00834CDC">
              <w:rPr>
                <w:sz w:val="18"/>
                <w:szCs w:val="18"/>
              </w:rPr>
              <w:t>0.8</w:t>
            </w:r>
          </w:p>
        </w:tc>
        <w:tc>
          <w:tcPr>
            <w:tcW w:w="151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2EB03C" w14:textId="77777777" w:rsidR="00E6453B" w:rsidRPr="00834CDC" w:rsidRDefault="00E6453B" w:rsidP="003058F5">
            <w:pPr>
              <w:pStyle w:val="NormalWeb"/>
              <w:rPr>
                <w:sz w:val="18"/>
                <w:szCs w:val="18"/>
              </w:rPr>
            </w:pPr>
            <w:r w:rsidRPr="00834CDC">
              <w:rPr>
                <w:sz w:val="18"/>
                <w:szCs w:val="18"/>
              </w:rPr>
              <w:t>0.7–0.8</w:t>
            </w:r>
          </w:p>
        </w:tc>
      </w:tr>
      <w:tr w:rsidR="0012702A" w:rsidRPr="00834CDC" w14:paraId="4B2C2C30" w14:textId="77777777" w:rsidTr="004D76E5">
        <w:trPr>
          <w:cnfStyle w:val="000000010000" w:firstRow="0" w:lastRow="0" w:firstColumn="0" w:lastColumn="0" w:oddVBand="0" w:evenVBand="0" w:oddHBand="0" w:evenHBand="1" w:firstRowFirstColumn="0" w:firstRowLastColumn="0" w:lastRowFirstColumn="0" w:lastRowLastColumn="0"/>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662E9D" w14:textId="77777777" w:rsidR="00E6453B" w:rsidRPr="00834CDC" w:rsidRDefault="00E6453B" w:rsidP="003058F5">
            <w:pPr>
              <w:rPr>
                <w:sz w:val="18"/>
                <w:szCs w:val="18"/>
              </w:rPr>
            </w:pP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1729E7" w14:textId="77777777" w:rsidR="00E6453B" w:rsidRPr="00834CDC" w:rsidRDefault="00E6453B" w:rsidP="003058F5">
            <w:pPr>
              <w:pStyle w:val="NormalWeb"/>
              <w:rPr>
                <w:sz w:val="18"/>
                <w:szCs w:val="18"/>
              </w:rPr>
            </w:pPr>
            <w:r w:rsidRPr="00834CDC">
              <w:rPr>
                <w:sz w:val="18"/>
                <w:szCs w:val="18"/>
              </w:rPr>
              <w:t>Other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AF8046" w14:textId="77777777" w:rsidR="00E6453B" w:rsidRPr="00834CDC" w:rsidRDefault="00E6453B" w:rsidP="003058F5">
            <w:pPr>
              <w:pStyle w:val="NormalWeb"/>
              <w:rPr>
                <w:sz w:val="18"/>
                <w:szCs w:val="18"/>
              </w:rPr>
            </w:pPr>
            <w:r w:rsidRPr="00834CDC">
              <w:rPr>
                <w:sz w:val="18"/>
                <w:szCs w:val="18"/>
              </w:rPr>
              <w:t>8,465</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D8D2ED" w14:textId="77777777" w:rsidR="00E6453B" w:rsidRPr="00834CDC" w:rsidRDefault="00E6453B" w:rsidP="003058F5">
            <w:pPr>
              <w:pStyle w:val="NormalWeb"/>
              <w:rPr>
                <w:sz w:val="18"/>
                <w:szCs w:val="18"/>
              </w:rPr>
            </w:pPr>
            <w:r w:rsidRPr="00834CDC">
              <w:rPr>
                <w:sz w:val="18"/>
                <w:szCs w:val="18"/>
              </w:rPr>
              <w:t>643.6</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208B3D" w14:textId="77777777" w:rsidR="00E6453B" w:rsidRPr="00834CDC" w:rsidRDefault="00E6453B" w:rsidP="003058F5">
            <w:pPr>
              <w:rPr>
                <w:sz w:val="18"/>
                <w:szCs w:val="18"/>
              </w:rPr>
            </w:pPr>
          </w:p>
        </w:tc>
        <w:tc>
          <w:tcPr>
            <w:tcW w:w="151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8A8564" w14:textId="77777777" w:rsidR="00E6453B" w:rsidRPr="00834CDC" w:rsidRDefault="00E6453B" w:rsidP="003058F5">
            <w:pPr>
              <w:rPr>
                <w:sz w:val="18"/>
                <w:szCs w:val="18"/>
              </w:rPr>
            </w:pPr>
          </w:p>
        </w:tc>
      </w:tr>
      <w:tr w:rsidR="00E6453B" w:rsidRPr="00834CDC" w14:paraId="1ECCD591" w14:textId="77777777" w:rsidTr="004D76E5">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A805A0" w14:textId="77777777" w:rsidR="00E6453B" w:rsidRPr="00834CDC" w:rsidRDefault="00E6453B" w:rsidP="003058F5">
            <w:pPr>
              <w:pStyle w:val="NormalWeb"/>
              <w:rPr>
                <w:sz w:val="18"/>
                <w:szCs w:val="18"/>
              </w:rPr>
            </w:pPr>
            <w:r w:rsidRPr="00834CDC">
              <w:rPr>
                <w:sz w:val="18"/>
                <w:szCs w:val="18"/>
              </w:rPr>
              <w:t>15–24</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ECC34F" w14:textId="77777777" w:rsidR="00E6453B" w:rsidRPr="00834CDC" w:rsidRDefault="00E6453B" w:rsidP="003058F5">
            <w:pPr>
              <w:pStyle w:val="NormalWeb"/>
              <w:rPr>
                <w:sz w:val="18"/>
                <w:szCs w:val="18"/>
              </w:rPr>
            </w:pPr>
            <w:r w:rsidRPr="00834CDC">
              <w:rPr>
                <w:sz w:val="18"/>
                <w:szCs w:val="18"/>
              </w:rPr>
              <w:t>Aboriginal and Torres Strait Islander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0D9506" w14:textId="77777777" w:rsidR="00E6453B" w:rsidRPr="00834CDC" w:rsidRDefault="00E6453B" w:rsidP="003058F5">
            <w:pPr>
              <w:pStyle w:val="NormalWeb"/>
              <w:rPr>
                <w:sz w:val="18"/>
                <w:szCs w:val="18"/>
              </w:rPr>
            </w:pPr>
            <w:r w:rsidRPr="00834CDC">
              <w:rPr>
                <w:sz w:val="18"/>
                <w:szCs w:val="18"/>
              </w:rPr>
              <w:t>498</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1AF388" w14:textId="77777777" w:rsidR="00E6453B" w:rsidRPr="00834CDC" w:rsidRDefault="00E6453B" w:rsidP="003058F5">
            <w:pPr>
              <w:pStyle w:val="NormalWeb"/>
              <w:rPr>
                <w:sz w:val="18"/>
                <w:szCs w:val="18"/>
              </w:rPr>
            </w:pPr>
            <w:r w:rsidRPr="00834CDC">
              <w:rPr>
                <w:sz w:val="18"/>
                <w:szCs w:val="18"/>
              </w:rPr>
              <w:t>374.0</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FD4EB1" w14:textId="77777777" w:rsidR="00E6453B" w:rsidRPr="00834CDC" w:rsidRDefault="00E6453B" w:rsidP="003058F5">
            <w:pPr>
              <w:pStyle w:val="NormalWeb"/>
              <w:rPr>
                <w:sz w:val="18"/>
                <w:szCs w:val="18"/>
              </w:rPr>
            </w:pPr>
            <w:r w:rsidRPr="00834CDC">
              <w:rPr>
                <w:sz w:val="18"/>
                <w:szCs w:val="18"/>
              </w:rPr>
              <w:t>1.1</w:t>
            </w:r>
          </w:p>
        </w:tc>
        <w:tc>
          <w:tcPr>
            <w:tcW w:w="151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C0D58A" w14:textId="77777777" w:rsidR="00E6453B" w:rsidRPr="00834CDC" w:rsidRDefault="00E6453B" w:rsidP="003058F5">
            <w:pPr>
              <w:pStyle w:val="NormalWeb"/>
              <w:rPr>
                <w:sz w:val="18"/>
                <w:szCs w:val="18"/>
              </w:rPr>
            </w:pPr>
            <w:r w:rsidRPr="00834CDC">
              <w:rPr>
                <w:sz w:val="18"/>
                <w:szCs w:val="18"/>
              </w:rPr>
              <w:t>0.97–1.2</w:t>
            </w:r>
          </w:p>
        </w:tc>
      </w:tr>
      <w:tr w:rsidR="0012702A" w:rsidRPr="00834CDC" w14:paraId="094B0D9F" w14:textId="77777777" w:rsidTr="004D76E5">
        <w:trPr>
          <w:cnfStyle w:val="000000010000" w:firstRow="0" w:lastRow="0" w:firstColumn="0" w:lastColumn="0" w:oddVBand="0" w:evenVBand="0" w:oddHBand="0" w:evenHBand="1" w:firstRowFirstColumn="0" w:firstRowLastColumn="0" w:lastRowFirstColumn="0" w:lastRowLastColumn="0"/>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29EBA0" w14:textId="77777777" w:rsidR="00E6453B" w:rsidRPr="00834CDC" w:rsidRDefault="00E6453B" w:rsidP="003058F5">
            <w:pPr>
              <w:rPr>
                <w:sz w:val="18"/>
                <w:szCs w:val="18"/>
              </w:rPr>
            </w:pP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412BB2" w14:textId="77777777" w:rsidR="00E6453B" w:rsidRPr="00834CDC" w:rsidRDefault="00E6453B" w:rsidP="003058F5">
            <w:pPr>
              <w:pStyle w:val="NormalWeb"/>
              <w:rPr>
                <w:sz w:val="18"/>
                <w:szCs w:val="18"/>
              </w:rPr>
            </w:pPr>
            <w:r w:rsidRPr="00834CDC">
              <w:rPr>
                <w:sz w:val="18"/>
                <w:szCs w:val="18"/>
              </w:rPr>
              <w:t>Other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362BF2" w14:textId="77777777" w:rsidR="00E6453B" w:rsidRPr="00834CDC" w:rsidRDefault="00E6453B" w:rsidP="003058F5">
            <w:pPr>
              <w:pStyle w:val="NormalWeb"/>
              <w:rPr>
                <w:sz w:val="18"/>
                <w:szCs w:val="18"/>
              </w:rPr>
            </w:pPr>
            <w:r w:rsidRPr="00834CDC">
              <w:rPr>
                <w:sz w:val="18"/>
                <w:szCs w:val="18"/>
              </w:rPr>
              <w:t>4,524</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40CC69" w14:textId="77777777" w:rsidR="00E6453B" w:rsidRPr="00834CDC" w:rsidRDefault="00E6453B" w:rsidP="003058F5">
            <w:pPr>
              <w:pStyle w:val="NormalWeb"/>
              <w:rPr>
                <w:sz w:val="18"/>
                <w:szCs w:val="18"/>
              </w:rPr>
            </w:pPr>
            <w:r w:rsidRPr="00834CDC">
              <w:rPr>
                <w:sz w:val="18"/>
                <w:szCs w:val="18"/>
              </w:rPr>
              <w:t>349.9</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EECEC2" w14:textId="77777777" w:rsidR="00E6453B" w:rsidRPr="00834CDC" w:rsidRDefault="00E6453B" w:rsidP="003058F5">
            <w:pPr>
              <w:rPr>
                <w:sz w:val="18"/>
                <w:szCs w:val="18"/>
              </w:rPr>
            </w:pPr>
          </w:p>
        </w:tc>
        <w:tc>
          <w:tcPr>
            <w:tcW w:w="151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7EB0A3" w14:textId="77777777" w:rsidR="00E6453B" w:rsidRPr="00834CDC" w:rsidRDefault="00E6453B" w:rsidP="003058F5">
            <w:pPr>
              <w:rPr>
                <w:sz w:val="18"/>
                <w:szCs w:val="18"/>
              </w:rPr>
            </w:pPr>
          </w:p>
        </w:tc>
      </w:tr>
      <w:tr w:rsidR="00E6453B" w:rsidRPr="00834CDC" w14:paraId="733C7913" w14:textId="77777777" w:rsidTr="004D76E5">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564D47" w14:textId="77777777" w:rsidR="00E6453B" w:rsidRPr="00834CDC" w:rsidRDefault="00E6453B" w:rsidP="003058F5">
            <w:pPr>
              <w:pStyle w:val="NormalWeb"/>
              <w:rPr>
                <w:sz w:val="18"/>
                <w:szCs w:val="18"/>
              </w:rPr>
            </w:pPr>
            <w:r w:rsidRPr="00834CDC">
              <w:rPr>
                <w:sz w:val="18"/>
                <w:szCs w:val="18"/>
              </w:rPr>
              <w:t>25–49</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DF5F54" w14:textId="77777777" w:rsidR="00E6453B" w:rsidRPr="00834CDC" w:rsidRDefault="00E6453B" w:rsidP="003058F5">
            <w:pPr>
              <w:pStyle w:val="NormalWeb"/>
              <w:rPr>
                <w:sz w:val="18"/>
                <w:szCs w:val="18"/>
              </w:rPr>
            </w:pPr>
            <w:r w:rsidRPr="00834CDC">
              <w:rPr>
                <w:sz w:val="18"/>
                <w:szCs w:val="18"/>
              </w:rPr>
              <w:t>Aboriginal and Torres Strait Islander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58FEBF" w14:textId="77777777" w:rsidR="00E6453B" w:rsidRPr="00834CDC" w:rsidRDefault="00E6453B" w:rsidP="003058F5">
            <w:pPr>
              <w:pStyle w:val="NormalWeb"/>
              <w:rPr>
                <w:sz w:val="18"/>
                <w:szCs w:val="18"/>
              </w:rPr>
            </w:pPr>
            <w:r w:rsidRPr="00834CDC">
              <w:rPr>
                <w:sz w:val="18"/>
                <w:szCs w:val="18"/>
              </w:rPr>
              <w:t>1,472</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31A812" w14:textId="77777777" w:rsidR="00E6453B" w:rsidRPr="00834CDC" w:rsidRDefault="00E6453B" w:rsidP="003058F5">
            <w:pPr>
              <w:pStyle w:val="NormalWeb"/>
              <w:rPr>
                <w:sz w:val="18"/>
                <w:szCs w:val="18"/>
              </w:rPr>
            </w:pPr>
            <w:r w:rsidRPr="00834CDC">
              <w:rPr>
                <w:sz w:val="18"/>
                <w:szCs w:val="18"/>
              </w:rPr>
              <w:t>591.6</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09ADB4" w14:textId="77777777" w:rsidR="00E6453B" w:rsidRPr="00834CDC" w:rsidRDefault="00E6453B" w:rsidP="003058F5">
            <w:pPr>
              <w:pStyle w:val="NormalWeb"/>
              <w:rPr>
                <w:sz w:val="18"/>
                <w:szCs w:val="18"/>
              </w:rPr>
            </w:pPr>
            <w:r w:rsidRPr="00834CDC">
              <w:rPr>
                <w:sz w:val="18"/>
                <w:szCs w:val="18"/>
              </w:rPr>
              <w:t>1.9</w:t>
            </w:r>
          </w:p>
        </w:tc>
        <w:tc>
          <w:tcPr>
            <w:tcW w:w="151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59B333" w14:textId="77777777" w:rsidR="00E6453B" w:rsidRPr="00834CDC" w:rsidRDefault="00E6453B" w:rsidP="003058F5">
            <w:pPr>
              <w:pStyle w:val="NormalWeb"/>
              <w:rPr>
                <w:sz w:val="18"/>
                <w:szCs w:val="18"/>
              </w:rPr>
            </w:pPr>
            <w:r w:rsidRPr="00834CDC">
              <w:rPr>
                <w:sz w:val="18"/>
                <w:szCs w:val="18"/>
              </w:rPr>
              <w:t>1.8–2.0</w:t>
            </w:r>
          </w:p>
        </w:tc>
      </w:tr>
      <w:tr w:rsidR="0012702A" w:rsidRPr="00834CDC" w14:paraId="3971B5E9" w14:textId="77777777" w:rsidTr="004D76E5">
        <w:trPr>
          <w:cnfStyle w:val="000000010000" w:firstRow="0" w:lastRow="0" w:firstColumn="0" w:lastColumn="0" w:oddVBand="0" w:evenVBand="0" w:oddHBand="0" w:evenHBand="1" w:firstRowFirstColumn="0" w:firstRowLastColumn="0" w:lastRowFirstColumn="0" w:lastRowLastColumn="0"/>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FDCE07" w14:textId="77777777" w:rsidR="00E6453B" w:rsidRPr="00834CDC" w:rsidRDefault="00E6453B" w:rsidP="003058F5">
            <w:pPr>
              <w:rPr>
                <w:sz w:val="18"/>
                <w:szCs w:val="18"/>
              </w:rPr>
            </w:pP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D5D3C3" w14:textId="77777777" w:rsidR="00E6453B" w:rsidRPr="00834CDC" w:rsidRDefault="00E6453B" w:rsidP="003058F5">
            <w:pPr>
              <w:pStyle w:val="NormalWeb"/>
              <w:rPr>
                <w:sz w:val="18"/>
                <w:szCs w:val="18"/>
              </w:rPr>
            </w:pPr>
            <w:r w:rsidRPr="00834CDC">
              <w:rPr>
                <w:sz w:val="18"/>
                <w:szCs w:val="18"/>
              </w:rPr>
              <w:t>Other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29A500" w14:textId="77777777" w:rsidR="00E6453B" w:rsidRPr="00834CDC" w:rsidRDefault="00E6453B" w:rsidP="003058F5">
            <w:pPr>
              <w:pStyle w:val="NormalWeb"/>
              <w:rPr>
                <w:sz w:val="18"/>
                <w:szCs w:val="18"/>
              </w:rPr>
            </w:pPr>
            <w:r w:rsidRPr="00834CDC">
              <w:rPr>
                <w:sz w:val="18"/>
                <w:szCs w:val="18"/>
              </w:rPr>
              <w:t>12,025</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ABBD93" w14:textId="77777777" w:rsidR="00E6453B" w:rsidRPr="00834CDC" w:rsidRDefault="00E6453B" w:rsidP="003058F5">
            <w:pPr>
              <w:pStyle w:val="NormalWeb"/>
              <w:rPr>
                <w:sz w:val="18"/>
                <w:szCs w:val="18"/>
              </w:rPr>
            </w:pPr>
            <w:r w:rsidRPr="00834CDC">
              <w:rPr>
                <w:sz w:val="18"/>
                <w:szCs w:val="18"/>
              </w:rPr>
              <w:t>309.3</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94A2AC" w14:textId="77777777" w:rsidR="00E6453B" w:rsidRPr="00834CDC" w:rsidRDefault="00E6453B" w:rsidP="003058F5">
            <w:pPr>
              <w:rPr>
                <w:sz w:val="18"/>
                <w:szCs w:val="18"/>
              </w:rPr>
            </w:pPr>
          </w:p>
        </w:tc>
        <w:tc>
          <w:tcPr>
            <w:tcW w:w="151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31540A" w14:textId="77777777" w:rsidR="00E6453B" w:rsidRPr="00834CDC" w:rsidRDefault="00E6453B" w:rsidP="003058F5">
            <w:pPr>
              <w:rPr>
                <w:sz w:val="18"/>
                <w:szCs w:val="18"/>
              </w:rPr>
            </w:pPr>
          </w:p>
        </w:tc>
      </w:tr>
      <w:tr w:rsidR="00E6453B" w:rsidRPr="00834CDC" w14:paraId="536D4436" w14:textId="77777777" w:rsidTr="004D76E5">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5C80EA" w14:textId="77777777" w:rsidR="00E6453B" w:rsidRPr="00834CDC" w:rsidRDefault="00E6453B" w:rsidP="003058F5">
            <w:pPr>
              <w:pStyle w:val="NormalWeb"/>
              <w:rPr>
                <w:sz w:val="18"/>
                <w:szCs w:val="18"/>
              </w:rPr>
            </w:pPr>
            <w:r w:rsidRPr="00834CDC">
              <w:rPr>
                <w:sz w:val="18"/>
                <w:szCs w:val="18"/>
              </w:rPr>
              <w:t>≥ 50</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CA769D" w14:textId="77777777" w:rsidR="00E6453B" w:rsidRPr="00834CDC" w:rsidRDefault="00E6453B" w:rsidP="003058F5">
            <w:pPr>
              <w:pStyle w:val="NormalWeb"/>
              <w:rPr>
                <w:sz w:val="18"/>
                <w:szCs w:val="18"/>
              </w:rPr>
            </w:pPr>
            <w:r w:rsidRPr="00834CDC">
              <w:rPr>
                <w:sz w:val="18"/>
                <w:szCs w:val="18"/>
              </w:rPr>
              <w:t>Aboriginal and Torres Strait Islander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352433" w14:textId="77777777" w:rsidR="00E6453B" w:rsidRPr="00834CDC" w:rsidRDefault="00E6453B" w:rsidP="003058F5">
            <w:pPr>
              <w:pStyle w:val="NormalWeb"/>
              <w:rPr>
                <w:sz w:val="18"/>
                <w:szCs w:val="18"/>
              </w:rPr>
            </w:pPr>
            <w:r w:rsidRPr="00834CDC">
              <w:rPr>
                <w:sz w:val="18"/>
                <w:szCs w:val="18"/>
              </w:rPr>
              <w:t>1,285</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BA9717" w14:textId="77777777" w:rsidR="00E6453B" w:rsidRPr="00834CDC" w:rsidRDefault="00E6453B" w:rsidP="003058F5">
            <w:pPr>
              <w:pStyle w:val="NormalWeb"/>
              <w:rPr>
                <w:sz w:val="18"/>
                <w:szCs w:val="18"/>
              </w:rPr>
            </w:pPr>
            <w:r w:rsidRPr="00834CDC">
              <w:rPr>
                <w:sz w:val="18"/>
                <w:szCs w:val="18"/>
              </w:rPr>
              <w:t>1,128.9</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4309AD" w14:textId="77777777" w:rsidR="00E6453B" w:rsidRPr="00834CDC" w:rsidRDefault="00E6453B" w:rsidP="003058F5">
            <w:pPr>
              <w:pStyle w:val="NormalWeb"/>
              <w:rPr>
                <w:sz w:val="18"/>
                <w:szCs w:val="18"/>
              </w:rPr>
            </w:pPr>
            <w:r w:rsidRPr="00834CDC">
              <w:rPr>
                <w:sz w:val="18"/>
                <w:szCs w:val="18"/>
              </w:rPr>
              <w:t>2.7</w:t>
            </w:r>
          </w:p>
        </w:tc>
        <w:tc>
          <w:tcPr>
            <w:tcW w:w="151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D6EDCA" w14:textId="77777777" w:rsidR="00E6453B" w:rsidRPr="00834CDC" w:rsidRDefault="00E6453B" w:rsidP="003058F5">
            <w:pPr>
              <w:pStyle w:val="NormalWeb"/>
              <w:rPr>
                <w:sz w:val="18"/>
                <w:szCs w:val="18"/>
              </w:rPr>
            </w:pPr>
            <w:r w:rsidRPr="00834CDC">
              <w:rPr>
                <w:sz w:val="18"/>
                <w:szCs w:val="18"/>
              </w:rPr>
              <w:t>2.5–2.8</w:t>
            </w:r>
          </w:p>
        </w:tc>
      </w:tr>
      <w:tr w:rsidR="0012702A" w:rsidRPr="00834CDC" w14:paraId="0D8B74C8" w14:textId="77777777" w:rsidTr="004D76E5">
        <w:trPr>
          <w:cnfStyle w:val="000000010000" w:firstRow="0" w:lastRow="0" w:firstColumn="0" w:lastColumn="0" w:oddVBand="0" w:evenVBand="0" w:oddHBand="0" w:evenHBand="1" w:firstRowFirstColumn="0" w:firstRowLastColumn="0" w:lastRowFirstColumn="0" w:lastRowLastColumn="0"/>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DE9FB0" w14:textId="77777777" w:rsidR="00E6453B" w:rsidRPr="00834CDC" w:rsidRDefault="00E6453B" w:rsidP="003058F5">
            <w:pPr>
              <w:rPr>
                <w:sz w:val="18"/>
                <w:szCs w:val="18"/>
              </w:rPr>
            </w:pP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A0F522" w14:textId="77777777" w:rsidR="00E6453B" w:rsidRPr="00834CDC" w:rsidRDefault="00E6453B" w:rsidP="003058F5">
            <w:pPr>
              <w:pStyle w:val="NormalWeb"/>
              <w:rPr>
                <w:sz w:val="18"/>
                <w:szCs w:val="18"/>
              </w:rPr>
            </w:pPr>
            <w:r w:rsidRPr="00834CDC">
              <w:rPr>
                <w:sz w:val="18"/>
                <w:szCs w:val="18"/>
              </w:rPr>
              <w:t>Other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E8FD28" w14:textId="77777777" w:rsidR="00E6453B" w:rsidRPr="00834CDC" w:rsidRDefault="00E6453B" w:rsidP="003058F5">
            <w:pPr>
              <w:pStyle w:val="NormalWeb"/>
              <w:rPr>
                <w:sz w:val="18"/>
                <w:szCs w:val="18"/>
              </w:rPr>
            </w:pPr>
            <w:r w:rsidRPr="00834CDC">
              <w:rPr>
                <w:sz w:val="18"/>
                <w:szCs w:val="18"/>
              </w:rPr>
              <w:t>14,536</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44BF46" w14:textId="77777777" w:rsidR="00E6453B" w:rsidRPr="00834CDC" w:rsidRDefault="00E6453B" w:rsidP="003058F5">
            <w:pPr>
              <w:pStyle w:val="NormalWeb"/>
              <w:rPr>
                <w:sz w:val="18"/>
                <w:szCs w:val="18"/>
              </w:rPr>
            </w:pPr>
            <w:r w:rsidRPr="00834CDC">
              <w:rPr>
                <w:sz w:val="18"/>
                <w:szCs w:val="18"/>
              </w:rPr>
              <w:t>424.5</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6AAECE" w14:textId="77777777" w:rsidR="00E6453B" w:rsidRPr="00834CDC" w:rsidRDefault="00E6453B" w:rsidP="003058F5">
            <w:pPr>
              <w:rPr>
                <w:sz w:val="18"/>
                <w:szCs w:val="18"/>
              </w:rPr>
            </w:pPr>
          </w:p>
        </w:tc>
        <w:tc>
          <w:tcPr>
            <w:tcW w:w="151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C0EE87" w14:textId="77777777" w:rsidR="00E6453B" w:rsidRPr="00834CDC" w:rsidRDefault="00E6453B" w:rsidP="003058F5">
            <w:pPr>
              <w:rPr>
                <w:sz w:val="18"/>
                <w:szCs w:val="18"/>
              </w:rPr>
            </w:pPr>
          </w:p>
        </w:tc>
      </w:tr>
      <w:tr w:rsidR="00E6453B" w:rsidRPr="00834CDC" w14:paraId="2D7A5BD5" w14:textId="77777777" w:rsidTr="00A572B0">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A0BD7ED" w14:textId="749B0D94" w:rsidR="00E6453B" w:rsidRPr="00834CDC" w:rsidRDefault="00E6453B" w:rsidP="003058F5">
            <w:pPr>
              <w:pStyle w:val="NormalWeb"/>
              <w:rPr>
                <w:b/>
                <w:bCs/>
                <w:sz w:val="18"/>
                <w:szCs w:val="18"/>
              </w:rPr>
            </w:pPr>
            <w:r w:rsidRPr="00834CDC">
              <w:rPr>
                <w:b/>
                <w:bCs/>
                <w:sz w:val="18"/>
                <w:szCs w:val="18"/>
              </w:rPr>
              <w:t>All ages</w:t>
            </w:r>
            <w:r w:rsidR="00D24B47">
              <w:rPr>
                <w:b/>
                <w:bCs/>
                <w:sz w:val="18"/>
                <w:szCs w:val="18"/>
              </w:rPr>
              <w:t xml:space="preserve"> </w:t>
            </w:r>
            <w:r w:rsidRPr="00834CDC">
              <w:rPr>
                <w:b/>
                <w:bCs/>
                <w:sz w:val="18"/>
                <w:szCs w:val="18"/>
                <w:vertAlign w:val="superscript"/>
              </w:rPr>
              <w:t>e</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3676C92" w14:textId="77777777" w:rsidR="00E6453B" w:rsidRPr="00834CDC" w:rsidRDefault="00E6453B" w:rsidP="003058F5">
            <w:pPr>
              <w:pStyle w:val="NormalWeb"/>
              <w:rPr>
                <w:b/>
                <w:bCs/>
                <w:sz w:val="18"/>
                <w:szCs w:val="18"/>
              </w:rPr>
            </w:pPr>
            <w:r w:rsidRPr="00834CDC">
              <w:rPr>
                <w:b/>
                <w:bCs/>
                <w:sz w:val="18"/>
                <w:szCs w:val="18"/>
              </w:rPr>
              <w:t>Aboriginal and Torres Strait Islander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1BD1632" w14:textId="77777777" w:rsidR="00E6453B" w:rsidRPr="00834CDC" w:rsidRDefault="00E6453B" w:rsidP="003058F5">
            <w:pPr>
              <w:pStyle w:val="NormalWeb"/>
              <w:rPr>
                <w:b/>
                <w:bCs/>
                <w:sz w:val="18"/>
                <w:szCs w:val="18"/>
              </w:rPr>
            </w:pPr>
            <w:r w:rsidRPr="00834CDC">
              <w:rPr>
                <w:b/>
                <w:bCs/>
                <w:sz w:val="18"/>
                <w:szCs w:val="18"/>
              </w:rPr>
              <w:t>4,555</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E09716E" w14:textId="77777777" w:rsidR="00E6453B" w:rsidRPr="00834CDC" w:rsidRDefault="00E6453B" w:rsidP="003058F5">
            <w:pPr>
              <w:pStyle w:val="NormalWeb"/>
              <w:rPr>
                <w:b/>
                <w:bCs/>
                <w:sz w:val="18"/>
                <w:szCs w:val="18"/>
              </w:rPr>
            </w:pPr>
            <w:r w:rsidRPr="00834CDC">
              <w:rPr>
                <w:b/>
                <w:bCs/>
                <w:sz w:val="18"/>
                <w:szCs w:val="18"/>
              </w:rPr>
              <w:t>633.4</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B5146B4" w14:textId="77777777" w:rsidR="00E6453B" w:rsidRPr="00834CDC" w:rsidRDefault="00E6453B" w:rsidP="003058F5">
            <w:pPr>
              <w:pStyle w:val="NormalWeb"/>
              <w:rPr>
                <w:b/>
                <w:bCs/>
                <w:sz w:val="18"/>
                <w:szCs w:val="18"/>
              </w:rPr>
            </w:pPr>
            <w:r w:rsidRPr="00834CDC">
              <w:rPr>
                <w:b/>
                <w:bCs/>
                <w:sz w:val="18"/>
                <w:szCs w:val="18"/>
              </w:rPr>
              <w:t>1.5</w:t>
            </w:r>
          </w:p>
        </w:tc>
        <w:tc>
          <w:tcPr>
            <w:tcW w:w="151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81234A4" w14:textId="77777777" w:rsidR="00E6453B" w:rsidRPr="00834CDC" w:rsidRDefault="00E6453B" w:rsidP="003058F5">
            <w:pPr>
              <w:pStyle w:val="NormalWeb"/>
              <w:rPr>
                <w:b/>
                <w:bCs/>
                <w:sz w:val="18"/>
                <w:szCs w:val="18"/>
              </w:rPr>
            </w:pPr>
            <w:r w:rsidRPr="00834CDC">
              <w:rPr>
                <w:b/>
                <w:bCs/>
                <w:sz w:val="18"/>
                <w:szCs w:val="18"/>
              </w:rPr>
              <w:t>1.5–1.6</w:t>
            </w:r>
          </w:p>
        </w:tc>
      </w:tr>
      <w:tr w:rsidR="0012702A" w:rsidRPr="00834CDC" w14:paraId="6E1EA45D" w14:textId="77777777" w:rsidTr="00A572B0">
        <w:trPr>
          <w:cnfStyle w:val="000000010000" w:firstRow="0" w:lastRow="0" w:firstColumn="0" w:lastColumn="0" w:oddVBand="0" w:evenVBand="0" w:oddHBand="0" w:evenHBand="1" w:firstRowFirstColumn="0" w:firstRowLastColumn="0" w:lastRowFirstColumn="0" w:lastRowLastColumn="0"/>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A21D591" w14:textId="77777777" w:rsidR="00E6453B" w:rsidRPr="00834CDC" w:rsidRDefault="00E6453B" w:rsidP="003058F5">
            <w:pPr>
              <w:rPr>
                <w:b/>
                <w:bCs/>
                <w:sz w:val="18"/>
                <w:szCs w:val="18"/>
              </w:rPr>
            </w:pP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F0AF7B1" w14:textId="77777777" w:rsidR="00E6453B" w:rsidRPr="00834CDC" w:rsidRDefault="00E6453B" w:rsidP="003058F5">
            <w:pPr>
              <w:pStyle w:val="NormalWeb"/>
              <w:rPr>
                <w:b/>
                <w:bCs/>
                <w:sz w:val="18"/>
                <w:szCs w:val="18"/>
              </w:rPr>
            </w:pPr>
            <w:r w:rsidRPr="00834CDC">
              <w:rPr>
                <w:b/>
                <w:bCs/>
                <w:sz w:val="18"/>
                <w:szCs w:val="18"/>
              </w:rPr>
              <w:t>Other</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2CCF6E0" w14:textId="77777777" w:rsidR="00E6453B" w:rsidRPr="00834CDC" w:rsidRDefault="00E6453B" w:rsidP="003058F5">
            <w:pPr>
              <w:pStyle w:val="NormalWeb"/>
              <w:rPr>
                <w:b/>
                <w:bCs/>
                <w:sz w:val="18"/>
                <w:szCs w:val="18"/>
              </w:rPr>
            </w:pPr>
            <w:r w:rsidRPr="00834CDC">
              <w:rPr>
                <w:b/>
                <w:bCs/>
                <w:sz w:val="18"/>
                <w:szCs w:val="18"/>
              </w:rPr>
              <w:t>43,518</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C27C457" w14:textId="77777777" w:rsidR="00E6453B" w:rsidRPr="00834CDC" w:rsidRDefault="00E6453B" w:rsidP="003058F5">
            <w:pPr>
              <w:pStyle w:val="NormalWeb"/>
              <w:rPr>
                <w:b/>
                <w:bCs/>
                <w:sz w:val="18"/>
                <w:szCs w:val="18"/>
              </w:rPr>
            </w:pPr>
            <w:r w:rsidRPr="00834CDC">
              <w:rPr>
                <w:b/>
                <w:bCs/>
                <w:sz w:val="18"/>
                <w:szCs w:val="18"/>
              </w:rPr>
              <w:t>410.1</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CA43D10" w14:textId="77777777" w:rsidR="00E6453B" w:rsidRPr="00834CDC" w:rsidRDefault="00E6453B" w:rsidP="003058F5">
            <w:pPr>
              <w:rPr>
                <w:b/>
                <w:bCs/>
                <w:sz w:val="18"/>
                <w:szCs w:val="18"/>
              </w:rPr>
            </w:pPr>
          </w:p>
        </w:tc>
        <w:tc>
          <w:tcPr>
            <w:tcW w:w="151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3C7413D" w14:textId="77777777" w:rsidR="00E6453B" w:rsidRPr="00834CDC" w:rsidRDefault="00E6453B" w:rsidP="003058F5">
            <w:pPr>
              <w:rPr>
                <w:b/>
                <w:bCs/>
                <w:sz w:val="18"/>
                <w:szCs w:val="18"/>
              </w:rPr>
            </w:pPr>
          </w:p>
        </w:tc>
      </w:tr>
    </w:tbl>
    <w:p w14:paraId="28947082" w14:textId="77777777" w:rsidR="00E6453B" w:rsidRPr="00834CDC" w:rsidRDefault="00E6453B" w:rsidP="00E6453B">
      <w:pPr>
        <w:pStyle w:val="CDIfootnotes"/>
      </w:pPr>
      <w:r w:rsidRPr="00834CDC">
        <w:t>a</w:t>
      </w:r>
      <w:r w:rsidRPr="00834CDC">
        <w:tab/>
        <w:t>Western Australia and the Northern Territory.</w:t>
      </w:r>
    </w:p>
    <w:p w14:paraId="61ACF448" w14:textId="77777777" w:rsidR="00E6453B" w:rsidRPr="00834CDC" w:rsidRDefault="00E6453B" w:rsidP="00E6453B">
      <w:pPr>
        <w:pStyle w:val="CDIfootnotes"/>
      </w:pPr>
      <w:r w:rsidRPr="00834CDC">
        <w:t>b</w:t>
      </w:r>
      <w:r w:rsidRPr="00834CDC">
        <w:tab/>
        <w:t xml:space="preserve">Age in months for the 0 –&lt; 6 month and 6 months –&lt; 1 year age groups was calculated by subtracting the mid-point of date of birth (MM/YYYY) from diagnosis date to </w:t>
      </w:r>
      <w:proofErr w:type="gramStart"/>
      <w:r w:rsidRPr="00834CDC">
        <w:t>determine</w:t>
      </w:r>
      <w:proofErr w:type="gramEnd"/>
      <w:r w:rsidRPr="00834CDC">
        <w:t xml:space="preserve"> age in weeks. All other age groups were </w:t>
      </w:r>
      <w:proofErr w:type="gramStart"/>
      <w:r w:rsidRPr="00834CDC">
        <w:t>determined</w:t>
      </w:r>
      <w:proofErr w:type="gramEnd"/>
      <w:r w:rsidRPr="00834CDC">
        <w:t xml:space="preserve"> using the age at onset (age in years) field from NNDSS.</w:t>
      </w:r>
    </w:p>
    <w:p w14:paraId="43244BD1" w14:textId="77777777" w:rsidR="00E6453B" w:rsidRPr="00834CDC" w:rsidRDefault="00E6453B" w:rsidP="00E6453B">
      <w:pPr>
        <w:pStyle w:val="CDIfootnotes"/>
      </w:pPr>
      <w:r w:rsidRPr="00834CDC">
        <w:t>c</w:t>
      </w:r>
      <w:r w:rsidRPr="00834CDC">
        <w:tab/>
        <w:t>Notifications where the date of diagnosis was between 1 January 2016 and 31 December 2019.</w:t>
      </w:r>
    </w:p>
    <w:p w14:paraId="627D6CB6" w14:textId="77777777" w:rsidR="00E6453B" w:rsidRPr="00834CDC" w:rsidRDefault="00E6453B" w:rsidP="00E6453B">
      <w:pPr>
        <w:pStyle w:val="CDIfootnotes"/>
      </w:pPr>
      <w:r w:rsidRPr="00834CDC">
        <w:t>d</w:t>
      </w:r>
      <w:r w:rsidRPr="00834CDC">
        <w:tab/>
        <w:t>Average annual age-specific rate per 100,000 population.</w:t>
      </w:r>
    </w:p>
    <w:p w14:paraId="00C06F84" w14:textId="77777777" w:rsidR="00E6453B" w:rsidRPr="00834CDC" w:rsidRDefault="00E6453B" w:rsidP="00E6453B">
      <w:pPr>
        <w:pStyle w:val="CDIfootnotes"/>
      </w:pPr>
      <w:r w:rsidRPr="00834CDC">
        <w:t>e</w:t>
      </w:r>
      <w:r w:rsidRPr="00834CDC">
        <w:tab/>
        <w:t>Rates for all ages combined are age-standardised to the Australian Bureau of Statistics Australian population estimates for 2016.</w:t>
      </w:r>
    </w:p>
    <w:p w14:paraId="214379A5" w14:textId="77777777" w:rsidR="00AB27A3" w:rsidRPr="00834CDC" w:rsidRDefault="00AB27A3">
      <w:r w:rsidRPr="00834CDC">
        <w:br w:type="page"/>
      </w:r>
    </w:p>
    <w:p w14:paraId="33E6B090" w14:textId="77777777" w:rsidR="001A32F1" w:rsidRPr="00834CDC" w:rsidRDefault="001A32F1" w:rsidP="001A32F1">
      <w:pPr>
        <w:pStyle w:val="CDIFigures"/>
      </w:pPr>
      <w:r w:rsidRPr="00834CDC">
        <w:rPr>
          <w:rStyle w:val="Strong"/>
          <w:b/>
          <w:bCs w:val="0"/>
        </w:rPr>
        <w:lastRenderedPageBreak/>
        <w:t>Table 10: Influenza hospitalisations, Australia (all states and territories), 2016–2019, by age and Aboriginal and Torres Strait Islander status</w:t>
      </w:r>
    </w:p>
    <w:tbl>
      <w:tblPr>
        <w:tblStyle w:val="CDI-StandardTable"/>
        <w:tblW w:w="0" w:type="auto"/>
        <w:tblLook w:val="04A0" w:firstRow="1" w:lastRow="0" w:firstColumn="1" w:lastColumn="0" w:noHBand="0" w:noVBand="1"/>
        <w:tblDescription w:val="Table 10 shows the number and rates per 100,000 population of influenza hospitalisations by age and Aboriginal and Torres Strait Islander status, Australia, 2016 to 2019.&#10;"/>
      </w:tblPr>
      <w:tblGrid>
        <w:gridCol w:w="1533"/>
        <w:gridCol w:w="3865"/>
        <w:gridCol w:w="1138"/>
        <w:gridCol w:w="986"/>
        <w:gridCol w:w="1122"/>
        <w:gridCol w:w="1809"/>
      </w:tblGrid>
      <w:tr w:rsidR="001A32F1" w:rsidRPr="00834CDC" w14:paraId="299F2D1C" w14:textId="77777777" w:rsidTr="001A32F1">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3410419B" w14:textId="52C0D040" w:rsidR="001A32F1" w:rsidRPr="00834CDC" w:rsidRDefault="001A32F1" w:rsidP="003058F5">
            <w:pPr>
              <w:pStyle w:val="NormalWeb"/>
              <w:rPr>
                <w:sz w:val="18"/>
                <w:szCs w:val="18"/>
              </w:rPr>
            </w:pPr>
            <w:r w:rsidRPr="00834CDC">
              <w:rPr>
                <w:sz w:val="18"/>
                <w:szCs w:val="18"/>
              </w:rPr>
              <w:t>Age group</w:t>
            </w:r>
            <w:r w:rsidR="00221C35" w:rsidRPr="00834CDC">
              <w:rPr>
                <w:sz w:val="18"/>
                <w:szCs w:val="18"/>
              </w:rPr>
              <w:t xml:space="preserve"> </w:t>
            </w:r>
            <w:r w:rsidRPr="00834CDC">
              <w:rPr>
                <w:sz w:val="18"/>
                <w:szCs w:val="18"/>
                <w:vertAlign w:val="superscript"/>
              </w:rPr>
              <w:t>a</w:t>
            </w:r>
            <w:r w:rsidRPr="00834CDC">
              <w:rPr>
                <w:sz w:val="18"/>
                <w:szCs w:val="18"/>
              </w:rPr>
              <w:t xml:space="preserve"> (years)</w:t>
            </w:r>
          </w:p>
        </w:tc>
        <w:tc>
          <w:tcPr>
            <w:tcW w:w="3865" w:type="dxa"/>
            <w:vMerge w:val="restart"/>
            <w:hideMark/>
          </w:tcPr>
          <w:p w14:paraId="6EB1A11C" w14:textId="77777777" w:rsidR="001A32F1" w:rsidRPr="00834CDC" w:rsidRDefault="001A32F1" w:rsidP="003058F5">
            <w:pPr>
              <w:pStyle w:val="NormalWeb"/>
              <w:rPr>
                <w:sz w:val="18"/>
                <w:szCs w:val="18"/>
              </w:rPr>
            </w:pPr>
            <w:r w:rsidRPr="00834CDC">
              <w:rPr>
                <w:sz w:val="18"/>
                <w:szCs w:val="18"/>
              </w:rPr>
              <w:t>Aboriginal and Torres Strait Islander status</w:t>
            </w:r>
          </w:p>
        </w:tc>
        <w:tc>
          <w:tcPr>
            <w:tcW w:w="5055" w:type="dxa"/>
            <w:gridSpan w:val="4"/>
            <w:hideMark/>
          </w:tcPr>
          <w:p w14:paraId="2F7EAC27" w14:textId="684A0386" w:rsidR="001A32F1" w:rsidRPr="00834CDC" w:rsidRDefault="001A32F1" w:rsidP="003058F5">
            <w:pPr>
              <w:pStyle w:val="NormalWeb"/>
              <w:rPr>
                <w:sz w:val="18"/>
                <w:szCs w:val="18"/>
              </w:rPr>
            </w:pPr>
            <w:r w:rsidRPr="00834CDC">
              <w:rPr>
                <w:sz w:val="18"/>
                <w:szCs w:val="18"/>
              </w:rPr>
              <w:t>Hospitalisations</w:t>
            </w:r>
            <w:r w:rsidR="00F14186" w:rsidRPr="00834CDC">
              <w:rPr>
                <w:sz w:val="18"/>
                <w:szCs w:val="18"/>
              </w:rPr>
              <w:t xml:space="preserve"> </w:t>
            </w:r>
            <w:r w:rsidRPr="00834CDC">
              <w:rPr>
                <w:sz w:val="18"/>
                <w:szCs w:val="18"/>
                <w:vertAlign w:val="superscript"/>
              </w:rPr>
              <w:t>b</w:t>
            </w:r>
            <w:r w:rsidRPr="00834CDC">
              <w:rPr>
                <w:sz w:val="18"/>
                <w:szCs w:val="18"/>
              </w:rPr>
              <w:t xml:space="preserve"> (2016–2019)</w:t>
            </w:r>
          </w:p>
        </w:tc>
      </w:tr>
      <w:tr w:rsidR="001A32F1" w:rsidRPr="00834CDC" w14:paraId="3175767E" w14:textId="77777777" w:rsidTr="00747E58">
        <w:trPr>
          <w:cnfStyle w:val="100000000000" w:firstRow="1" w:lastRow="0" w:firstColumn="0" w:lastColumn="0" w:oddVBand="0" w:evenVBand="0" w:oddHBand="0" w:evenHBand="0" w:firstRowFirstColumn="0" w:firstRowLastColumn="0" w:lastRowFirstColumn="0" w:lastRowLastColumn="0"/>
          <w:tblHeader/>
        </w:trPr>
        <w:tc>
          <w:tcPr>
            <w:tcW w:w="0" w:type="auto"/>
            <w:vMerge/>
            <w:tcBorders>
              <w:bottom w:val="single" w:sz="2" w:space="0" w:color="808080" w:themeColor="background1" w:themeShade="80"/>
            </w:tcBorders>
            <w:hideMark/>
          </w:tcPr>
          <w:p w14:paraId="5A9255F3" w14:textId="77777777" w:rsidR="001A32F1" w:rsidRPr="00834CDC" w:rsidRDefault="001A32F1" w:rsidP="003058F5">
            <w:pPr>
              <w:rPr>
                <w:sz w:val="18"/>
                <w:szCs w:val="18"/>
              </w:rPr>
            </w:pPr>
          </w:p>
        </w:tc>
        <w:tc>
          <w:tcPr>
            <w:tcW w:w="3865" w:type="dxa"/>
            <w:vMerge/>
            <w:tcBorders>
              <w:bottom w:val="single" w:sz="2" w:space="0" w:color="808080" w:themeColor="background1" w:themeShade="80"/>
            </w:tcBorders>
            <w:hideMark/>
          </w:tcPr>
          <w:p w14:paraId="3AF82FC2" w14:textId="77777777" w:rsidR="001A32F1" w:rsidRPr="00834CDC" w:rsidRDefault="001A32F1" w:rsidP="003058F5">
            <w:pPr>
              <w:rPr>
                <w:sz w:val="18"/>
                <w:szCs w:val="18"/>
              </w:rPr>
            </w:pPr>
          </w:p>
        </w:tc>
        <w:tc>
          <w:tcPr>
            <w:tcW w:w="1138" w:type="dxa"/>
            <w:tcBorders>
              <w:bottom w:val="single" w:sz="2" w:space="0" w:color="808080" w:themeColor="background1" w:themeShade="80"/>
            </w:tcBorders>
            <w:hideMark/>
          </w:tcPr>
          <w:p w14:paraId="5E4CEF34" w14:textId="77777777" w:rsidR="001A32F1" w:rsidRPr="00834CDC" w:rsidRDefault="001A32F1" w:rsidP="003058F5">
            <w:pPr>
              <w:pStyle w:val="NormalWeb"/>
              <w:rPr>
                <w:sz w:val="18"/>
                <w:szCs w:val="18"/>
              </w:rPr>
            </w:pPr>
            <w:r w:rsidRPr="00834CDC">
              <w:rPr>
                <w:sz w:val="18"/>
                <w:szCs w:val="18"/>
              </w:rPr>
              <w:t>n</w:t>
            </w:r>
          </w:p>
        </w:tc>
        <w:tc>
          <w:tcPr>
            <w:tcW w:w="986" w:type="dxa"/>
            <w:tcBorders>
              <w:bottom w:val="single" w:sz="2" w:space="0" w:color="808080" w:themeColor="background1" w:themeShade="80"/>
            </w:tcBorders>
            <w:hideMark/>
          </w:tcPr>
          <w:p w14:paraId="488193E7" w14:textId="7A762390" w:rsidR="001A32F1" w:rsidRPr="00834CDC" w:rsidRDefault="001A32F1" w:rsidP="003058F5">
            <w:pPr>
              <w:pStyle w:val="NormalWeb"/>
              <w:rPr>
                <w:sz w:val="18"/>
                <w:szCs w:val="18"/>
              </w:rPr>
            </w:pPr>
            <w:r w:rsidRPr="00834CDC">
              <w:rPr>
                <w:sz w:val="18"/>
                <w:szCs w:val="18"/>
              </w:rPr>
              <w:t>Rate</w:t>
            </w:r>
            <w:r w:rsidR="00F14186" w:rsidRPr="00834CDC">
              <w:rPr>
                <w:sz w:val="18"/>
                <w:szCs w:val="18"/>
              </w:rPr>
              <w:t xml:space="preserve"> </w:t>
            </w:r>
            <w:r w:rsidRPr="00834CDC">
              <w:rPr>
                <w:sz w:val="18"/>
                <w:szCs w:val="18"/>
                <w:vertAlign w:val="superscript"/>
              </w:rPr>
              <w:t>c</w:t>
            </w:r>
          </w:p>
        </w:tc>
        <w:tc>
          <w:tcPr>
            <w:tcW w:w="1122" w:type="dxa"/>
            <w:tcBorders>
              <w:bottom w:val="single" w:sz="2" w:space="0" w:color="808080" w:themeColor="background1" w:themeShade="80"/>
            </w:tcBorders>
            <w:hideMark/>
          </w:tcPr>
          <w:p w14:paraId="2E13E1FB" w14:textId="77777777" w:rsidR="001A32F1" w:rsidRPr="00834CDC" w:rsidRDefault="001A32F1" w:rsidP="003058F5">
            <w:pPr>
              <w:pStyle w:val="NormalWeb"/>
              <w:rPr>
                <w:sz w:val="18"/>
                <w:szCs w:val="18"/>
              </w:rPr>
            </w:pPr>
            <w:r w:rsidRPr="00834CDC">
              <w:rPr>
                <w:sz w:val="18"/>
                <w:szCs w:val="18"/>
              </w:rPr>
              <w:t>Rate ratio</w:t>
            </w:r>
          </w:p>
        </w:tc>
        <w:tc>
          <w:tcPr>
            <w:tcW w:w="1809" w:type="dxa"/>
            <w:tcBorders>
              <w:bottom w:val="single" w:sz="2" w:space="0" w:color="808080" w:themeColor="background1" w:themeShade="80"/>
            </w:tcBorders>
            <w:hideMark/>
          </w:tcPr>
          <w:p w14:paraId="4BD12496" w14:textId="77777777" w:rsidR="001A32F1" w:rsidRPr="00834CDC" w:rsidRDefault="001A32F1" w:rsidP="003058F5">
            <w:pPr>
              <w:pStyle w:val="NormalWeb"/>
              <w:rPr>
                <w:sz w:val="18"/>
                <w:szCs w:val="18"/>
              </w:rPr>
            </w:pPr>
            <w:proofErr w:type="gramStart"/>
            <w:r w:rsidRPr="00834CDC">
              <w:rPr>
                <w:sz w:val="18"/>
                <w:szCs w:val="18"/>
              </w:rPr>
              <w:t>95%</w:t>
            </w:r>
            <w:proofErr w:type="gramEnd"/>
            <w:r w:rsidRPr="00834CDC">
              <w:rPr>
                <w:sz w:val="18"/>
                <w:szCs w:val="18"/>
              </w:rPr>
              <w:t xml:space="preserve"> CI for rate ratio</w:t>
            </w:r>
          </w:p>
        </w:tc>
      </w:tr>
      <w:tr w:rsidR="001A32F1" w:rsidRPr="00834CDC" w14:paraId="38A139FC" w14:textId="77777777" w:rsidTr="00747E58">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4F9E1D" w14:textId="77777777" w:rsidR="001A32F1" w:rsidRPr="00834CDC" w:rsidRDefault="001A32F1" w:rsidP="003058F5">
            <w:pPr>
              <w:pStyle w:val="NormalWeb"/>
              <w:rPr>
                <w:sz w:val="18"/>
                <w:szCs w:val="18"/>
              </w:rPr>
            </w:pPr>
            <w:r w:rsidRPr="00834CDC">
              <w:rPr>
                <w:sz w:val="18"/>
                <w:szCs w:val="18"/>
              </w:rPr>
              <w:t>0–4</w:t>
            </w: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7165F3" w14:textId="77777777" w:rsidR="001A32F1" w:rsidRPr="00834CDC" w:rsidRDefault="001A32F1" w:rsidP="003058F5">
            <w:pPr>
              <w:pStyle w:val="NormalWeb"/>
              <w:rPr>
                <w:sz w:val="18"/>
                <w:szCs w:val="18"/>
              </w:rPr>
            </w:pPr>
            <w:r w:rsidRPr="00834CDC">
              <w:rPr>
                <w:sz w:val="18"/>
                <w:szCs w:val="18"/>
              </w:rPr>
              <w:t>Aboriginal and Torres Strait Islander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60E395" w14:textId="77777777" w:rsidR="001A32F1" w:rsidRPr="00834CDC" w:rsidRDefault="001A32F1" w:rsidP="003058F5">
            <w:pPr>
              <w:pStyle w:val="NormalWeb"/>
              <w:rPr>
                <w:sz w:val="18"/>
                <w:szCs w:val="18"/>
              </w:rPr>
            </w:pPr>
            <w:r w:rsidRPr="00834CDC">
              <w:rPr>
                <w:sz w:val="18"/>
                <w:szCs w:val="18"/>
              </w:rPr>
              <w:t>1,012</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07C6D6" w14:textId="77777777" w:rsidR="001A32F1" w:rsidRPr="00834CDC" w:rsidRDefault="001A32F1" w:rsidP="003058F5">
            <w:pPr>
              <w:pStyle w:val="NormalWeb"/>
              <w:rPr>
                <w:sz w:val="18"/>
                <w:szCs w:val="18"/>
              </w:rPr>
            </w:pPr>
            <w:r w:rsidRPr="00834CDC">
              <w:rPr>
                <w:sz w:val="18"/>
                <w:szCs w:val="18"/>
              </w:rPr>
              <w:t>306.9</w:t>
            </w:r>
          </w:p>
        </w:tc>
        <w:tc>
          <w:tcPr>
            <w:tcW w:w="112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63D562" w14:textId="77777777" w:rsidR="001A32F1" w:rsidRPr="00834CDC" w:rsidRDefault="001A32F1" w:rsidP="003058F5">
            <w:pPr>
              <w:pStyle w:val="NormalWeb"/>
              <w:rPr>
                <w:sz w:val="18"/>
                <w:szCs w:val="18"/>
              </w:rPr>
            </w:pPr>
            <w:r w:rsidRPr="00834CDC">
              <w:rPr>
                <w:sz w:val="18"/>
                <w:szCs w:val="18"/>
              </w:rPr>
              <w:t>1.9</w:t>
            </w:r>
          </w:p>
        </w:tc>
        <w:tc>
          <w:tcPr>
            <w:tcW w:w="180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FE020A" w14:textId="77777777" w:rsidR="001A32F1" w:rsidRPr="00834CDC" w:rsidRDefault="001A32F1" w:rsidP="003058F5">
            <w:pPr>
              <w:pStyle w:val="NormalWeb"/>
              <w:rPr>
                <w:sz w:val="18"/>
                <w:szCs w:val="18"/>
              </w:rPr>
            </w:pPr>
            <w:r w:rsidRPr="00834CDC">
              <w:rPr>
                <w:sz w:val="18"/>
                <w:szCs w:val="18"/>
              </w:rPr>
              <w:t>1.8–2.0</w:t>
            </w:r>
          </w:p>
        </w:tc>
      </w:tr>
      <w:tr w:rsidR="001A32F1" w:rsidRPr="00834CDC" w14:paraId="02371B81" w14:textId="77777777" w:rsidTr="00747E58">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3A583C" w14:textId="77777777" w:rsidR="001A32F1" w:rsidRPr="00834CDC" w:rsidRDefault="001A32F1" w:rsidP="003058F5">
            <w:pPr>
              <w:rPr>
                <w:sz w:val="18"/>
                <w:szCs w:val="18"/>
              </w:rPr>
            </w:pP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57A78E" w14:textId="77777777" w:rsidR="001A32F1" w:rsidRPr="00834CDC" w:rsidRDefault="001A32F1" w:rsidP="003058F5">
            <w:pPr>
              <w:pStyle w:val="NormalWeb"/>
              <w:rPr>
                <w:sz w:val="18"/>
                <w:szCs w:val="18"/>
              </w:rPr>
            </w:pPr>
            <w:r w:rsidRPr="00834CDC">
              <w:rPr>
                <w:sz w:val="18"/>
                <w:szCs w:val="18"/>
              </w:rPr>
              <w:t>Other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C39714" w14:textId="77777777" w:rsidR="001A32F1" w:rsidRPr="00834CDC" w:rsidRDefault="001A32F1" w:rsidP="003058F5">
            <w:pPr>
              <w:pStyle w:val="NormalWeb"/>
              <w:rPr>
                <w:sz w:val="18"/>
                <w:szCs w:val="18"/>
              </w:rPr>
            </w:pPr>
            <w:r w:rsidRPr="00834CDC">
              <w:rPr>
                <w:sz w:val="18"/>
                <w:szCs w:val="18"/>
              </w:rPr>
              <w:t>8,323</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879F5B" w14:textId="77777777" w:rsidR="001A32F1" w:rsidRPr="00834CDC" w:rsidRDefault="001A32F1" w:rsidP="003058F5">
            <w:pPr>
              <w:pStyle w:val="NormalWeb"/>
              <w:rPr>
                <w:sz w:val="18"/>
                <w:szCs w:val="18"/>
              </w:rPr>
            </w:pPr>
            <w:r w:rsidRPr="00834CDC">
              <w:rPr>
                <w:sz w:val="18"/>
                <w:szCs w:val="18"/>
              </w:rPr>
              <w:t>160.7</w:t>
            </w:r>
          </w:p>
        </w:tc>
        <w:tc>
          <w:tcPr>
            <w:tcW w:w="112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F9054D" w14:textId="77777777" w:rsidR="001A32F1" w:rsidRPr="00834CDC" w:rsidRDefault="001A32F1" w:rsidP="003058F5">
            <w:pPr>
              <w:rPr>
                <w:sz w:val="18"/>
                <w:szCs w:val="18"/>
              </w:rPr>
            </w:pPr>
          </w:p>
        </w:tc>
        <w:tc>
          <w:tcPr>
            <w:tcW w:w="180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4D515D" w14:textId="77777777" w:rsidR="001A32F1" w:rsidRPr="00834CDC" w:rsidRDefault="001A32F1" w:rsidP="003058F5">
            <w:pPr>
              <w:rPr>
                <w:sz w:val="18"/>
                <w:szCs w:val="18"/>
              </w:rPr>
            </w:pPr>
          </w:p>
        </w:tc>
      </w:tr>
      <w:tr w:rsidR="001A32F1" w:rsidRPr="00834CDC" w14:paraId="510DA885" w14:textId="77777777" w:rsidTr="00747E58">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26D89E" w14:textId="77777777" w:rsidR="001A32F1" w:rsidRPr="00834CDC" w:rsidRDefault="001A32F1" w:rsidP="006C60EC">
            <w:pPr>
              <w:pStyle w:val="NormalWeb"/>
              <w:jc w:val="right"/>
              <w:rPr>
                <w:sz w:val="18"/>
                <w:szCs w:val="18"/>
              </w:rPr>
            </w:pPr>
            <w:r w:rsidRPr="00834CDC">
              <w:rPr>
                <w:sz w:val="18"/>
                <w:szCs w:val="18"/>
              </w:rPr>
              <w:t>0 –&lt; 6 months</w:t>
            </w: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50D415" w14:textId="77777777" w:rsidR="001A32F1" w:rsidRPr="00834CDC" w:rsidRDefault="001A32F1" w:rsidP="003058F5">
            <w:pPr>
              <w:pStyle w:val="NormalWeb"/>
              <w:rPr>
                <w:sz w:val="18"/>
                <w:szCs w:val="18"/>
              </w:rPr>
            </w:pPr>
            <w:r w:rsidRPr="00834CDC">
              <w:rPr>
                <w:sz w:val="18"/>
                <w:szCs w:val="18"/>
              </w:rPr>
              <w:t>Aboriginal and Torres Strait Islander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E4FA53" w14:textId="77777777" w:rsidR="001A32F1" w:rsidRPr="00834CDC" w:rsidRDefault="001A32F1" w:rsidP="003058F5">
            <w:pPr>
              <w:pStyle w:val="NormalWeb"/>
              <w:rPr>
                <w:sz w:val="18"/>
                <w:szCs w:val="18"/>
              </w:rPr>
            </w:pPr>
            <w:r w:rsidRPr="00834CDC">
              <w:rPr>
                <w:sz w:val="18"/>
                <w:szCs w:val="18"/>
              </w:rPr>
              <w:t>249</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64340A" w14:textId="77777777" w:rsidR="001A32F1" w:rsidRPr="00834CDC" w:rsidRDefault="001A32F1" w:rsidP="003058F5">
            <w:pPr>
              <w:pStyle w:val="NormalWeb"/>
              <w:rPr>
                <w:sz w:val="18"/>
                <w:szCs w:val="18"/>
              </w:rPr>
            </w:pPr>
            <w:r w:rsidRPr="00834CDC">
              <w:rPr>
                <w:sz w:val="18"/>
                <w:szCs w:val="18"/>
              </w:rPr>
              <w:t>744.7</w:t>
            </w:r>
          </w:p>
        </w:tc>
        <w:tc>
          <w:tcPr>
            <w:tcW w:w="112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2D676F" w14:textId="77777777" w:rsidR="001A32F1" w:rsidRPr="00834CDC" w:rsidRDefault="001A32F1" w:rsidP="003058F5">
            <w:pPr>
              <w:pStyle w:val="NormalWeb"/>
              <w:rPr>
                <w:sz w:val="18"/>
                <w:szCs w:val="18"/>
              </w:rPr>
            </w:pPr>
            <w:r w:rsidRPr="00834CDC">
              <w:rPr>
                <w:sz w:val="18"/>
                <w:szCs w:val="18"/>
              </w:rPr>
              <w:t>2.5</w:t>
            </w:r>
          </w:p>
        </w:tc>
        <w:tc>
          <w:tcPr>
            <w:tcW w:w="180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E5D449" w14:textId="77777777" w:rsidR="001A32F1" w:rsidRPr="00834CDC" w:rsidRDefault="001A32F1" w:rsidP="003058F5">
            <w:pPr>
              <w:pStyle w:val="NormalWeb"/>
              <w:rPr>
                <w:sz w:val="18"/>
                <w:szCs w:val="18"/>
              </w:rPr>
            </w:pPr>
            <w:r w:rsidRPr="00834CDC">
              <w:rPr>
                <w:sz w:val="18"/>
                <w:szCs w:val="18"/>
              </w:rPr>
              <w:t>2.1–2.8</w:t>
            </w:r>
          </w:p>
        </w:tc>
      </w:tr>
      <w:tr w:rsidR="001A32F1" w:rsidRPr="00834CDC" w14:paraId="1AD460CA" w14:textId="77777777" w:rsidTr="00747E58">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06D268" w14:textId="77777777" w:rsidR="001A32F1" w:rsidRPr="00834CDC" w:rsidRDefault="001A32F1" w:rsidP="006C60EC">
            <w:pPr>
              <w:jc w:val="right"/>
              <w:rPr>
                <w:sz w:val="18"/>
                <w:szCs w:val="18"/>
              </w:rPr>
            </w:pP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C29C52" w14:textId="77777777" w:rsidR="001A32F1" w:rsidRPr="00834CDC" w:rsidRDefault="001A32F1" w:rsidP="003058F5">
            <w:pPr>
              <w:pStyle w:val="NormalWeb"/>
              <w:rPr>
                <w:sz w:val="18"/>
                <w:szCs w:val="18"/>
              </w:rPr>
            </w:pPr>
            <w:r w:rsidRPr="00834CDC">
              <w:rPr>
                <w:sz w:val="18"/>
                <w:szCs w:val="18"/>
              </w:rPr>
              <w:t>Other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F3ED01" w14:textId="77777777" w:rsidR="001A32F1" w:rsidRPr="00834CDC" w:rsidRDefault="001A32F1" w:rsidP="003058F5">
            <w:pPr>
              <w:pStyle w:val="NormalWeb"/>
              <w:rPr>
                <w:sz w:val="18"/>
                <w:szCs w:val="18"/>
              </w:rPr>
            </w:pPr>
            <w:r w:rsidRPr="00834CDC">
              <w:rPr>
                <w:sz w:val="18"/>
                <w:szCs w:val="18"/>
              </w:rPr>
              <w:t>1,543</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D7F276" w14:textId="77777777" w:rsidR="001A32F1" w:rsidRPr="00834CDC" w:rsidRDefault="001A32F1" w:rsidP="003058F5">
            <w:pPr>
              <w:pStyle w:val="NormalWeb"/>
              <w:rPr>
                <w:sz w:val="18"/>
                <w:szCs w:val="18"/>
              </w:rPr>
            </w:pPr>
            <w:r w:rsidRPr="00834CDC">
              <w:rPr>
                <w:sz w:val="18"/>
                <w:szCs w:val="18"/>
              </w:rPr>
              <w:t>304.5</w:t>
            </w:r>
          </w:p>
        </w:tc>
        <w:tc>
          <w:tcPr>
            <w:tcW w:w="112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7D946C" w14:textId="77777777" w:rsidR="001A32F1" w:rsidRPr="00834CDC" w:rsidRDefault="001A32F1" w:rsidP="003058F5">
            <w:pPr>
              <w:rPr>
                <w:sz w:val="18"/>
                <w:szCs w:val="18"/>
              </w:rPr>
            </w:pPr>
          </w:p>
        </w:tc>
        <w:tc>
          <w:tcPr>
            <w:tcW w:w="180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B3E13C" w14:textId="77777777" w:rsidR="001A32F1" w:rsidRPr="00834CDC" w:rsidRDefault="001A32F1" w:rsidP="003058F5">
            <w:pPr>
              <w:rPr>
                <w:sz w:val="18"/>
                <w:szCs w:val="18"/>
              </w:rPr>
            </w:pPr>
          </w:p>
        </w:tc>
      </w:tr>
      <w:tr w:rsidR="001A32F1" w:rsidRPr="00834CDC" w14:paraId="2D5F3CFE" w14:textId="77777777" w:rsidTr="00747E58">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91DC61" w14:textId="77777777" w:rsidR="001A32F1" w:rsidRPr="00834CDC" w:rsidRDefault="001A32F1" w:rsidP="006C60EC">
            <w:pPr>
              <w:pStyle w:val="NormalWeb"/>
              <w:jc w:val="right"/>
              <w:rPr>
                <w:sz w:val="18"/>
                <w:szCs w:val="18"/>
              </w:rPr>
            </w:pPr>
            <w:r w:rsidRPr="00834CDC">
              <w:rPr>
                <w:sz w:val="18"/>
                <w:szCs w:val="18"/>
              </w:rPr>
              <w:t>6 months –&lt; 1 year</w:t>
            </w: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C05B84" w14:textId="77777777" w:rsidR="001A32F1" w:rsidRPr="00834CDC" w:rsidRDefault="001A32F1" w:rsidP="003058F5">
            <w:pPr>
              <w:pStyle w:val="NormalWeb"/>
              <w:rPr>
                <w:sz w:val="18"/>
                <w:szCs w:val="18"/>
              </w:rPr>
            </w:pPr>
            <w:r w:rsidRPr="00834CDC">
              <w:rPr>
                <w:sz w:val="18"/>
                <w:szCs w:val="18"/>
              </w:rPr>
              <w:t>Aboriginal and Torres Strait Islander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83AE79" w14:textId="77777777" w:rsidR="001A32F1" w:rsidRPr="00834CDC" w:rsidRDefault="001A32F1" w:rsidP="003058F5">
            <w:pPr>
              <w:pStyle w:val="NormalWeb"/>
              <w:rPr>
                <w:sz w:val="18"/>
                <w:szCs w:val="18"/>
              </w:rPr>
            </w:pPr>
            <w:r w:rsidRPr="00834CDC">
              <w:rPr>
                <w:sz w:val="18"/>
                <w:szCs w:val="18"/>
              </w:rPr>
              <w:t>218</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C9116D" w14:textId="77777777" w:rsidR="001A32F1" w:rsidRPr="00834CDC" w:rsidRDefault="001A32F1" w:rsidP="003058F5">
            <w:pPr>
              <w:pStyle w:val="NormalWeb"/>
              <w:rPr>
                <w:sz w:val="18"/>
                <w:szCs w:val="18"/>
              </w:rPr>
            </w:pPr>
            <w:r w:rsidRPr="00834CDC">
              <w:rPr>
                <w:sz w:val="18"/>
                <w:szCs w:val="18"/>
              </w:rPr>
              <w:t>652.0</w:t>
            </w:r>
          </w:p>
        </w:tc>
        <w:tc>
          <w:tcPr>
            <w:tcW w:w="112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AE68A7" w14:textId="77777777" w:rsidR="001A32F1" w:rsidRPr="00834CDC" w:rsidRDefault="001A32F1" w:rsidP="003058F5">
            <w:pPr>
              <w:pStyle w:val="NormalWeb"/>
              <w:rPr>
                <w:sz w:val="18"/>
                <w:szCs w:val="18"/>
              </w:rPr>
            </w:pPr>
            <w:r w:rsidRPr="00834CDC">
              <w:rPr>
                <w:sz w:val="18"/>
                <w:szCs w:val="18"/>
              </w:rPr>
              <w:t>2.8</w:t>
            </w:r>
          </w:p>
        </w:tc>
        <w:tc>
          <w:tcPr>
            <w:tcW w:w="180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F19147" w14:textId="77777777" w:rsidR="001A32F1" w:rsidRPr="00834CDC" w:rsidRDefault="001A32F1" w:rsidP="003058F5">
            <w:pPr>
              <w:pStyle w:val="NormalWeb"/>
              <w:rPr>
                <w:sz w:val="18"/>
                <w:szCs w:val="18"/>
              </w:rPr>
            </w:pPr>
            <w:r w:rsidRPr="00834CDC">
              <w:rPr>
                <w:sz w:val="18"/>
                <w:szCs w:val="18"/>
              </w:rPr>
              <w:t>2.4–3.2</w:t>
            </w:r>
          </w:p>
        </w:tc>
      </w:tr>
      <w:tr w:rsidR="001A32F1" w:rsidRPr="00834CDC" w14:paraId="09E728DC" w14:textId="77777777" w:rsidTr="00747E58">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B39AD7" w14:textId="77777777" w:rsidR="001A32F1" w:rsidRPr="00834CDC" w:rsidRDefault="001A32F1" w:rsidP="006C60EC">
            <w:pPr>
              <w:jc w:val="right"/>
              <w:rPr>
                <w:sz w:val="18"/>
                <w:szCs w:val="18"/>
              </w:rPr>
            </w:pP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47F748" w14:textId="77777777" w:rsidR="001A32F1" w:rsidRPr="00834CDC" w:rsidRDefault="001A32F1" w:rsidP="003058F5">
            <w:pPr>
              <w:pStyle w:val="NormalWeb"/>
              <w:rPr>
                <w:sz w:val="18"/>
                <w:szCs w:val="18"/>
              </w:rPr>
            </w:pPr>
            <w:r w:rsidRPr="00834CDC">
              <w:rPr>
                <w:sz w:val="18"/>
                <w:szCs w:val="18"/>
              </w:rPr>
              <w:t>Other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E66270" w14:textId="77777777" w:rsidR="001A32F1" w:rsidRPr="00834CDC" w:rsidRDefault="001A32F1" w:rsidP="003058F5">
            <w:pPr>
              <w:pStyle w:val="NormalWeb"/>
              <w:rPr>
                <w:sz w:val="18"/>
                <w:szCs w:val="18"/>
              </w:rPr>
            </w:pPr>
            <w:r w:rsidRPr="00834CDC">
              <w:rPr>
                <w:sz w:val="18"/>
                <w:szCs w:val="18"/>
              </w:rPr>
              <w:t>1,194</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5B685D" w14:textId="77777777" w:rsidR="001A32F1" w:rsidRPr="00834CDC" w:rsidRDefault="001A32F1" w:rsidP="003058F5">
            <w:pPr>
              <w:pStyle w:val="NormalWeb"/>
              <w:rPr>
                <w:sz w:val="18"/>
                <w:szCs w:val="18"/>
              </w:rPr>
            </w:pPr>
            <w:r w:rsidRPr="00834CDC">
              <w:rPr>
                <w:sz w:val="18"/>
                <w:szCs w:val="18"/>
              </w:rPr>
              <w:t>235.6</w:t>
            </w:r>
          </w:p>
        </w:tc>
        <w:tc>
          <w:tcPr>
            <w:tcW w:w="112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BF6D10" w14:textId="77777777" w:rsidR="001A32F1" w:rsidRPr="00834CDC" w:rsidRDefault="001A32F1" w:rsidP="003058F5">
            <w:pPr>
              <w:rPr>
                <w:sz w:val="18"/>
                <w:szCs w:val="18"/>
              </w:rPr>
            </w:pPr>
          </w:p>
        </w:tc>
        <w:tc>
          <w:tcPr>
            <w:tcW w:w="180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C7B7E8" w14:textId="77777777" w:rsidR="001A32F1" w:rsidRPr="00834CDC" w:rsidRDefault="001A32F1" w:rsidP="003058F5">
            <w:pPr>
              <w:rPr>
                <w:sz w:val="18"/>
                <w:szCs w:val="18"/>
              </w:rPr>
            </w:pPr>
          </w:p>
        </w:tc>
      </w:tr>
      <w:tr w:rsidR="001A32F1" w:rsidRPr="00834CDC" w14:paraId="0F1667F5" w14:textId="77777777" w:rsidTr="00747E58">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1730DB" w14:textId="77777777" w:rsidR="001A32F1" w:rsidRPr="00834CDC" w:rsidRDefault="001A32F1" w:rsidP="006C60EC">
            <w:pPr>
              <w:pStyle w:val="NormalWeb"/>
              <w:jc w:val="right"/>
              <w:rPr>
                <w:sz w:val="18"/>
                <w:szCs w:val="18"/>
              </w:rPr>
            </w:pPr>
            <w:r w:rsidRPr="00834CDC">
              <w:rPr>
                <w:sz w:val="18"/>
                <w:szCs w:val="18"/>
              </w:rPr>
              <w:t>1–4 years</w:t>
            </w: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B9E621" w14:textId="77777777" w:rsidR="001A32F1" w:rsidRPr="00834CDC" w:rsidRDefault="001A32F1" w:rsidP="003058F5">
            <w:pPr>
              <w:pStyle w:val="NormalWeb"/>
              <w:rPr>
                <w:sz w:val="18"/>
                <w:szCs w:val="18"/>
              </w:rPr>
            </w:pPr>
            <w:r w:rsidRPr="00834CDC">
              <w:rPr>
                <w:sz w:val="18"/>
                <w:szCs w:val="18"/>
              </w:rPr>
              <w:t>Aboriginal and Torres Strait Islander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BE25AD" w14:textId="77777777" w:rsidR="001A32F1" w:rsidRPr="00834CDC" w:rsidRDefault="001A32F1" w:rsidP="003058F5">
            <w:pPr>
              <w:pStyle w:val="NormalWeb"/>
              <w:rPr>
                <w:sz w:val="18"/>
                <w:szCs w:val="18"/>
              </w:rPr>
            </w:pPr>
            <w:r w:rsidRPr="00834CDC">
              <w:rPr>
                <w:sz w:val="18"/>
                <w:szCs w:val="18"/>
              </w:rPr>
              <w:t>545</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B845B3" w14:textId="77777777" w:rsidR="001A32F1" w:rsidRPr="00834CDC" w:rsidRDefault="001A32F1" w:rsidP="003058F5">
            <w:pPr>
              <w:pStyle w:val="NormalWeb"/>
              <w:rPr>
                <w:sz w:val="18"/>
                <w:szCs w:val="18"/>
              </w:rPr>
            </w:pPr>
            <w:r w:rsidRPr="00834CDC">
              <w:rPr>
                <w:sz w:val="18"/>
                <w:szCs w:val="18"/>
              </w:rPr>
              <w:t>207.3</w:t>
            </w:r>
          </w:p>
        </w:tc>
        <w:tc>
          <w:tcPr>
            <w:tcW w:w="112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56B46E" w14:textId="77777777" w:rsidR="001A32F1" w:rsidRPr="00834CDC" w:rsidRDefault="001A32F1" w:rsidP="003058F5">
            <w:pPr>
              <w:pStyle w:val="NormalWeb"/>
              <w:rPr>
                <w:sz w:val="18"/>
                <w:szCs w:val="18"/>
              </w:rPr>
            </w:pPr>
            <w:r w:rsidRPr="00834CDC">
              <w:rPr>
                <w:sz w:val="18"/>
                <w:szCs w:val="18"/>
              </w:rPr>
              <w:t>1.6</w:t>
            </w:r>
          </w:p>
        </w:tc>
        <w:tc>
          <w:tcPr>
            <w:tcW w:w="180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548F9D" w14:textId="77777777" w:rsidR="001A32F1" w:rsidRPr="00834CDC" w:rsidRDefault="001A32F1" w:rsidP="003058F5">
            <w:pPr>
              <w:pStyle w:val="NormalWeb"/>
              <w:rPr>
                <w:sz w:val="18"/>
                <w:szCs w:val="18"/>
              </w:rPr>
            </w:pPr>
            <w:r w:rsidRPr="00834CDC">
              <w:rPr>
                <w:sz w:val="18"/>
                <w:szCs w:val="18"/>
              </w:rPr>
              <w:t>1.4–1.7</w:t>
            </w:r>
          </w:p>
        </w:tc>
      </w:tr>
      <w:tr w:rsidR="001A32F1" w:rsidRPr="00834CDC" w14:paraId="5F10362C" w14:textId="77777777" w:rsidTr="00747E58">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9EE763" w14:textId="77777777" w:rsidR="001A32F1" w:rsidRPr="00834CDC" w:rsidRDefault="001A32F1" w:rsidP="003058F5">
            <w:pPr>
              <w:rPr>
                <w:sz w:val="18"/>
                <w:szCs w:val="18"/>
              </w:rPr>
            </w:pP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1FA273" w14:textId="77777777" w:rsidR="001A32F1" w:rsidRPr="00834CDC" w:rsidRDefault="001A32F1" w:rsidP="003058F5">
            <w:pPr>
              <w:pStyle w:val="NormalWeb"/>
              <w:rPr>
                <w:sz w:val="18"/>
                <w:szCs w:val="18"/>
              </w:rPr>
            </w:pPr>
            <w:r w:rsidRPr="00834CDC">
              <w:rPr>
                <w:sz w:val="18"/>
                <w:szCs w:val="18"/>
              </w:rPr>
              <w:t>Other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A7D551" w14:textId="77777777" w:rsidR="001A32F1" w:rsidRPr="00834CDC" w:rsidRDefault="001A32F1" w:rsidP="003058F5">
            <w:pPr>
              <w:pStyle w:val="NormalWeb"/>
              <w:rPr>
                <w:sz w:val="18"/>
                <w:szCs w:val="18"/>
              </w:rPr>
            </w:pPr>
            <w:r w:rsidRPr="00834CDC">
              <w:rPr>
                <w:sz w:val="18"/>
                <w:szCs w:val="18"/>
              </w:rPr>
              <w:t>5,585</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AF5F77" w14:textId="77777777" w:rsidR="001A32F1" w:rsidRPr="00834CDC" w:rsidRDefault="001A32F1" w:rsidP="003058F5">
            <w:pPr>
              <w:pStyle w:val="NormalWeb"/>
              <w:rPr>
                <w:sz w:val="18"/>
                <w:szCs w:val="18"/>
              </w:rPr>
            </w:pPr>
            <w:r w:rsidRPr="00834CDC">
              <w:rPr>
                <w:sz w:val="18"/>
                <w:szCs w:val="18"/>
              </w:rPr>
              <w:t>134.1</w:t>
            </w:r>
          </w:p>
        </w:tc>
        <w:tc>
          <w:tcPr>
            <w:tcW w:w="112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EE264E" w14:textId="77777777" w:rsidR="001A32F1" w:rsidRPr="00834CDC" w:rsidRDefault="001A32F1" w:rsidP="003058F5">
            <w:pPr>
              <w:rPr>
                <w:sz w:val="18"/>
                <w:szCs w:val="18"/>
              </w:rPr>
            </w:pPr>
          </w:p>
        </w:tc>
        <w:tc>
          <w:tcPr>
            <w:tcW w:w="180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406284" w14:textId="77777777" w:rsidR="001A32F1" w:rsidRPr="00834CDC" w:rsidRDefault="001A32F1" w:rsidP="003058F5">
            <w:pPr>
              <w:rPr>
                <w:sz w:val="18"/>
                <w:szCs w:val="18"/>
              </w:rPr>
            </w:pPr>
          </w:p>
        </w:tc>
      </w:tr>
      <w:tr w:rsidR="001A32F1" w:rsidRPr="00834CDC" w14:paraId="13A110D4" w14:textId="77777777" w:rsidTr="00747E58">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FB161F" w14:textId="77777777" w:rsidR="001A32F1" w:rsidRPr="00834CDC" w:rsidRDefault="001A32F1" w:rsidP="003058F5">
            <w:pPr>
              <w:pStyle w:val="NormalWeb"/>
              <w:rPr>
                <w:sz w:val="18"/>
                <w:szCs w:val="18"/>
              </w:rPr>
            </w:pPr>
            <w:r w:rsidRPr="00834CDC">
              <w:rPr>
                <w:sz w:val="18"/>
                <w:szCs w:val="18"/>
              </w:rPr>
              <w:t>5–14</w:t>
            </w: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8C5876" w14:textId="77777777" w:rsidR="001A32F1" w:rsidRPr="00834CDC" w:rsidRDefault="001A32F1" w:rsidP="003058F5">
            <w:pPr>
              <w:pStyle w:val="NormalWeb"/>
              <w:rPr>
                <w:sz w:val="18"/>
                <w:szCs w:val="18"/>
              </w:rPr>
            </w:pPr>
            <w:r w:rsidRPr="00834CDC">
              <w:rPr>
                <w:sz w:val="18"/>
                <w:szCs w:val="18"/>
              </w:rPr>
              <w:t>Aboriginal and Torres Strait Islander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2A7F5C" w14:textId="77777777" w:rsidR="001A32F1" w:rsidRPr="00834CDC" w:rsidRDefault="001A32F1" w:rsidP="003058F5">
            <w:pPr>
              <w:pStyle w:val="NormalWeb"/>
              <w:rPr>
                <w:sz w:val="18"/>
                <w:szCs w:val="18"/>
              </w:rPr>
            </w:pPr>
            <w:r w:rsidRPr="00834CDC">
              <w:rPr>
                <w:sz w:val="18"/>
                <w:szCs w:val="18"/>
              </w:rPr>
              <w:t>421</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64B3C1" w14:textId="77777777" w:rsidR="001A32F1" w:rsidRPr="00834CDC" w:rsidRDefault="001A32F1" w:rsidP="003058F5">
            <w:pPr>
              <w:pStyle w:val="NormalWeb"/>
              <w:rPr>
                <w:sz w:val="18"/>
                <w:szCs w:val="18"/>
              </w:rPr>
            </w:pPr>
            <w:r w:rsidRPr="00834CDC">
              <w:rPr>
                <w:sz w:val="18"/>
                <w:szCs w:val="18"/>
              </w:rPr>
              <w:t>65.9</w:t>
            </w:r>
          </w:p>
        </w:tc>
        <w:tc>
          <w:tcPr>
            <w:tcW w:w="112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50C9F5" w14:textId="77777777" w:rsidR="001A32F1" w:rsidRPr="00834CDC" w:rsidRDefault="001A32F1" w:rsidP="003058F5">
            <w:pPr>
              <w:pStyle w:val="NormalWeb"/>
              <w:rPr>
                <w:sz w:val="18"/>
                <w:szCs w:val="18"/>
              </w:rPr>
            </w:pPr>
            <w:r w:rsidRPr="00834CDC">
              <w:rPr>
                <w:sz w:val="18"/>
                <w:szCs w:val="18"/>
              </w:rPr>
              <w:t>1.4</w:t>
            </w:r>
          </w:p>
        </w:tc>
        <w:tc>
          <w:tcPr>
            <w:tcW w:w="180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60837C" w14:textId="77777777" w:rsidR="001A32F1" w:rsidRPr="00834CDC" w:rsidRDefault="001A32F1" w:rsidP="003058F5">
            <w:pPr>
              <w:pStyle w:val="NormalWeb"/>
              <w:rPr>
                <w:sz w:val="18"/>
                <w:szCs w:val="18"/>
              </w:rPr>
            </w:pPr>
            <w:r w:rsidRPr="00834CDC">
              <w:rPr>
                <w:sz w:val="18"/>
                <w:szCs w:val="18"/>
              </w:rPr>
              <w:t>1.3–1.6</w:t>
            </w:r>
          </w:p>
        </w:tc>
      </w:tr>
      <w:tr w:rsidR="001A32F1" w:rsidRPr="00834CDC" w14:paraId="426754CD" w14:textId="77777777" w:rsidTr="00747E58">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0F5442" w14:textId="77777777" w:rsidR="001A32F1" w:rsidRPr="00834CDC" w:rsidRDefault="001A32F1" w:rsidP="003058F5">
            <w:pPr>
              <w:rPr>
                <w:sz w:val="18"/>
                <w:szCs w:val="18"/>
              </w:rPr>
            </w:pP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202724" w14:textId="77777777" w:rsidR="001A32F1" w:rsidRPr="00834CDC" w:rsidRDefault="001A32F1" w:rsidP="003058F5">
            <w:pPr>
              <w:pStyle w:val="NormalWeb"/>
              <w:rPr>
                <w:sz w:val="18"/>
                <w:szCs w:val="18"/>
              </w:rPr>
            </w:pPr>
            <w:r w:rsidRPr="00834CDC">
              <w:rPr>
                <w:sz w:val="18"/>
                <w:szCs w:val="18"/>
              </w:rPr>
              <w:t>Other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8A6EA3" w14:textId="77777777" w:rsidR="001A32F1" w:rsidRPr="00834CDC" w:rsidRDefault="001A32F1" w:rsidP="003058F5">
            <w:pPr>
              <w:pStyle w:val="NormalWeb"/>
              <w:rPr>
                <w:sz w:val="18"/>
                <w:szCs w:val="18"/>
              </w:rPr>
            </w:pPr>
            <w:r w:rsidRPr="00834CDC">
              <w:rPr>
                <w:sz w:val="18"/>
                <w:szCs w:val="18"/>
              </w:rPr>
              <w:t>4,722</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C345E6" w14:textId="77777777" w:rsidR="001A32F1" w:rsidRPr="00834CDC" w:rsidRDefault="001A32F1" w:rsidP="003058F5">
            <w:pPr>
              <w:pStyle w:val="NormalWeb"/>
              <w:rPr>
                <w:sz w:val="18"/>
                <w:szCs w:val="18"/>
              </w:rPr>
            </w:pPr>
            <w:r w:rsidRPr="00834CDC">
              <w:rPr>
                <w:sz w:val="18"/>
                <w:szCs w:val="18"/>
              </w:rPr>
              <w:t>46.6</w:t>
            </w:r>
          </w:p>
        </w:tc>
        <w:tc>
          <w:tcPr>
            <w:tcW w:w="112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5D4480" w14:textId="77777777" w:rsidR="001A32F1" w:rsidRPr="00834CDC" w:rsidRDefault="001A32F1" w:rsidP="003058F5">
            <w:pPr>
              <w:rPr>
                <w:sz w:val="18"/>
                <w:szCs w:val="18"/>
              </w:rPr>
            </w:pPr>
          </w:p>
        </w:tc>
        <w:tc>
          <w:tcPr>
            <w:tcW w:w="180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19A1F8" w14:textId="77777777" w:rsidR="001A32F1" w:rsidRPr="00834CDC" w:rsidRDefault="001A32F1" w:rsidP="003058F5">
            <w:pPr>
              <w:rPr>
                <w:sz w:val="18"/>
                <w:szCs w:val="18"/>
              </w:rPr>
            </w:pPr>
          </w:p>
        </w:tc>
      </w:tr>
      <w:tr w:rsidR="001A32F1" w:rsidRPr="00834CDC" w14:paraId="48A6A64E" w14:textId="77777777" w:rsidTr="00747E58">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2D0EAC" w14:textId="77777777" w:rsidR="001A32F1" w:rsidRPr="00834CDC" w:rsidRDefault="001A32F1" w:rsidP="003058F5">
            <w:pPr>
              <w:pStyle w:val="NormalWeb"/>
              <w:rPr>
                <w:sz w:val="18"/>
                <w:szCs w:val="18"/>
              </w:rPr>
            </w:pPr>
            <w:r w:rsidRPr="00834CDC">
              <w:rPr>
                <w:sz w:val="18"/>
                <w:szCs w:val="18"/>
              </w:rPr>
              <w:t>15–24</w:t>
            </w: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9899EE" w14:textId="77777777" w:rsidR="001A32F1" w:rsidRPr="00834CDC" w:rsidRDefault="001A32F1" w:rsidP="003058F5">
            <w:pPr>
              <w:pStyle w:val="NormalWeb"/>
              <w:rPr>
                <w:sz w:val="18"/>
                <w:szCs w:val="18"/>
              </w:rPr>
            </w:pPr>
            <w:r w:rsidRPr="00834CDC">
              <w:rPr>
                <w:sz w:val="18"/>
                <w:szCs w:val="18"/>
              </w:rPr>
              <w:t>Aboriginal and Torres Strait Islander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55F0D6" w14:textId="77777777" w:rsidR="001A32F1" w:rsidRPr="00834CDC" w:rsidRDefault="001A32F1" w:rsidP="003058F5">
            <w:pPr>
              <w:pStyle w:val="NormalWeb"/>
              <w:rPr>
                <w:sz w:val="18"/>
                <w:szCs w:val="18"/>
              </w:rPr>
            </w:pPr>
            <w:r w:rsidRPr="00834CDC">
              <w:rPr>
                <w:sz w:val="18"/>
                <w:szCs w:val="18"/>
              </w:rPr>
              <w:t>455</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05367B" w14:textId="77777777" w:rsidR="001A32F1" w:rsidRPr="00834CDC" w:rsidRDefault="001A32F1" w:rsidP="003058F5">
            <w:pPr>
              <w:pStyle w:val="NormalWeb"/>
              <w:rPr>
                <w:sz w:val="18"/>
                <w:szCs w:val="18"/>
              </w:rPr>
            </w:pPr>
            <w:r w:rsidRPr="00834CDC">
              <w:rPr>
                <w:sz w:val="18"/>
                <w:szCs w:val="18"/>
              </w:rPr>
              <w:t>82.0</w:t>
            </w:r>
          </w:p>
        </w:tc>
        <w:tc>
          <w:tcPr>
            <w:tcW w:w="112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07E660" w14:textId="77777777" w:rsidR="001A32F1" w:rsidRPr="00834CDC" w:rsidRDefault="001A32F1" w:rsidP="003058F5">
            <w:pPr>
              <w:pStyle w:val="NormalWeb"/>
              <w:rPr>
                <w:sz w:val="18"/>
                <w:szCs w:val="18"/>
              </w:rPr>
            </w:pPr>
            <w:r w:rsidRPr="00834CDC">
              <w:rPr>
                <w:sz w:val="18"/>
                <w:szCs w:val="18"/>
              </w:rPr>
              <w:t>2.0</w:t>
            </w:r>
          </w:p>
        </w:tc>
        <w:tc>
          <w:tcPr>
            <w:tcW w:w="180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1DB49D" w14:textId="77777777" w:rsidR="001A32F1" w:rsidRPr="00834CDC" w:rsidRDefault="001A32F1" w:rsidP="003058F5">
            <w:pPr>
              <w:pStyle w:val="NormalWeb"/>
              <w:rPr>
                <w:sz w:val="18"/>
                <w:szCs w:val="18"/>
              </w:rPr>
            </w:pPr>
            <w:r w:rsidRPr="00834CDC">
              <w:rPr>
                <w:sz w:val="18"/>
                <w:szCs w:val="18"/>
              </w:rPr>
              <w:t>1.8–2.2</w:t>
            </w:r>
          </w:p>
        </w:tc>
      </w:tr>
      <w:tr w:rsidR="001A32F1" w:rsidRPr="00834CDC" w14:paraId="067713DF" w14:textId="77777777" w:rsidTr="00747E58">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46CBD1" w14:textId="77777777" w:rsidR="001A32F1" w:rsidRPr="00834CDC" w:rsidRDefault="001A32F1" w:rsidP="003058F5">
            <w:pPr>
              <w:rPr>
                <w:sz w:val="18"/>
                <w:szCs w:val="18"/>
              </w:rPr>
            </w:pP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05D45E" w14:textId="77777777" w:rsidR="001A32F1" w:rsidRPr="00834CDC" w:rsidRDefault="001A32F1" w:rsidP="003058F5">
            <w:pPr>
              <w:pStyle w:val="NormalWeb"/>
              <w:rPr>
                <w:sz w:val="18"/>
                <w:szCs w:val="18"/>
              </w:rPr>
            </w:pPr>
            <w:r w:rsidRPr="00834CDC">
              <w:rPr>
                <w:sz w:val="18"/>
                <w:szCs w:val="18"/>
              </w:rPr>
              <w:t>Other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B0B98C" w14:textId="77777777" w:rsidR="001A32F1" w:rsidRPr="00834CDC" w:rsidRDefault="001A32F1" w:rsidP="003058F5">
            <w:pPr>
              <w:pStyle w:val="NormalWeb"/>
              <w:rPr>
                <w:sz w:val="18"/>
                <w:szCs w:val="18"/>
              </w:rPr>
            </w:pPr>
            <w:r w:rsidRPr="00834CDC">
              <w:rPr>
                <w:sz w:val="18"/>
                <w:szCs w:val="18"/>
              </w:rPr>
              <w:t>4,379</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CAE775" w14:textId="77777777" w:rsidR="001A32F1" w:rsidRPr="00834CDC" w:rsidRDefault="001A32F1" w:rsidP="003058F5">
            <w:pPr>
              <w:pStyle w:val="NormalWeb"/>
              <w:rPr>
                <w:sz w:val="18"/>
                <w:szCs w:val="18"/>
              </w:rPr>
            </w:pPr>
            <w:r w:rsidRPr="00834CDC">
              <w:rPr>
                <w:sz w:val="18"/>
                <w:szCs w:val="18"/>
              </w:rPr>
              <w:t>41.0</w:t>
            </w:r>
          </w:p>
        </w:tc>
        <w:tc>
          <w:tcPr>
            <w:tcW w:w="112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1E5BCE" w14:textId="77777777" w:rsidR="001A32F1" w:rsidRPr="00834CDC" w:rsidRDefault="001A32F1" w:rsidP="003058F5">
            <w:pPr>
              <w:rPr>
                <w:sz w:val="18"/>
                <w:szCs w:val="18"/>
              </w:rPr>
            </w:pPr>
          </w:p>
        </w:tc>
        <w:tc>
          <w:tcPr>
            <w:tcW w:w="180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B4C1AE" w14:textId="77777777" w:rsidR="001A32F1" w:rsidRPr="00834CDC" w:rsidRDefault="001A32F1" w:rsidP="003058F5">
            <w:pPr>
              <w:rPr>
                <w:sz w:val="18"/>
                <w:szCs w:val="18"/>
              </w:rPr>
            </w:pPr>
          </w:p>
        </w:tc>
      </w:tr>
      <w:tr w:rsidR="001A32F1" w:rsidRPr="00834CDC" w14:paraId="259FD0AE" w14:textId="77777777" w:rsidTr="00747E58">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41F574" w14:textId="77777777" w:rsidR="001A32F1" w:rsidRPr="00834CDC" w:rsidRDefault="001A32F1" w:rsidP="003058F5">
            <w:pPr>
              <w:pStyle w:val="NormalWeb"/>
              <w:rPr>
                <w:sz w:val="18"/>
                <w:szCs w:val="18"/>
              </w:rPr>
            </w:pPr>
            <w:r w:rsidRPr="00834CDC">
              <w:rPr>
                <w:sz w:val="18"/>
                <w:szCs w:val="18"/>
              </w:rPr>
              <w:t>25–49</w:t>
            </w: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7239C1" w14:textId="77777777" w:rsidR="001A32F1" w:rsidRPr="00834CDC" w:rsidRDefault="001A32F1" w:rsidP="003058F5">
            <w:pPr>
              <w:pStyle w:val="NormalWeb"/>
              <w:rPr>
                <w:sz w:val="18"/>
                <w:szCs w:val="18"/>
              </w:rPr>
            </w:pPr>
            <w:r w:rsidRPr="00834CDC">
              <w:rPr>
                <w:sz w:val="18"/>
                <w:szCs w:val="18"/>
              </w:rPr>
              <w:t>Aboriginal and Torres Strait Islander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1EA06C" w14:textId="77777777" w:rsidR="001A32F1" w:rsidRPr="00834CDC" w:rsidRDefault="001A32F1" w:rsidP="003058F5">
            <w:pPr>
              <w:pStyle w:val="NormalWeb"/>
              <w:rPr>
                <w:sz w:val="18"/>
                <w:szCs w:val="18"/>
              </w:rPr>
            </w:pPr>
            <w:r w:rsidRPr="00834CDC">
              <w:rPr>
                <w:sz w:val="18"/>
                <w:szCs w:val="18"/>
              </w:rPr>
              <w:t>1,442</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FCF3BA" w14:textId="77777777" w:rsidR="001A32F1" w:rsidRPr="00834CDC" w:rsidRDefault="001A32F1" w:rsidP="003058F5">
            <w:pPr>
              <w:pStyle w:val="NormalWeb"/>
              <w:rPr>
                <w:sz w:val="18"/>
                <w:szCs w:val="18"/>
              </w:rPr>
            </w:pPr>
            <w:r w:rsidRPr="00834CDC">
              <w:rPr>
                <w:sz w:val="18"/>
                <w:szCs w:val="18"/>
              </w:rPr>
              <w:t>163.5</w:t>
            </w:r>
          </w:p>
        </w:tc>
        <w:tc>
          <w:tcPr>
            <w:tcW w:w="112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1EEBA7" w14:textId="77777777" w:rsidR="001A32F1" w:rsidRPr="00834CDC" w:rsidRDefault="001A32F1" w:rsidP="003058F5">
            <w:pPr>
              <w:pStyle w:val="NormalWeb"/>
              <w:rPr>
                <w:sz w:val="18"/>
                <w:szCs w:val="18"/>
              </w:rPr>
            </w:pPr>
            <w:r w:rsidRPr="00834CDC">
              <w:rPr>
                <w:sz w:val="18"/>
                <w:szCs w:val="18"/>
              </w:rPr>
              <w:t>3.1</w:t>
            </w:r>
          </w:p>
        </w:tc>
        <w:tc>
          <w:tcPr>
            <w:tcW w:w="180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4351A5" w14:textId="77777777" w:rsidR="001A32F1" w:rsidRPr="00834CDC" w:rsidRDefault="001A32F1" w:rsidP="003058F5">
            <w:pPr>
              <w:pStyle w:val="NormalWeb"/>
              <w:rPr>
                <w:sz w:val="18"/>
                <w:szCs w:val="18"/>
              </w:rPr>
            </w:pPr>
            <w:r w:rsidRPr="00834CDC">
              <w:rPr>
                <w:sz w:val="18"/>
                <w:szCs w:val="18"/>
              </w:rPr>
              <w:t>3.0–3.3</w:t>
            </w:r>
          </w:p>
        </w:tc>
      </w:tr>
      <w:tr w:rsidR="001A32F1" w:rsidRPr="00834CDC" w14:paraId="08EB74C1" w14:textId="77777777" w:rsidTr="00747E58">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155D5A" w14:textId="77777777" w:rsidR="001A32F1" w:rsidRPr="00834CDC" w:rsidRDefault="001A32F1" w:rsidP="003058F5">
            <w:pPr>
              <w:rPr>
                <w:sz w:val="18"/>
                <w:szCs w:val="18"/>
              </w:rPr>
            </w:pP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AB4419" w14:textId="77777777" w:rsidR="001A32F1" w:rsidRPr="00834CDC" w:rsidRDefault="001A32F1" w:rsidP="003058F5">
            <w:pPr>
              <w:pStyle w:val="NormalWeb"/>
              <w:rPr>
                <w:sz w:val="18"/>
                <w:szCs w:val="18"/>
              </w:rPr>
            </w:pPr>
            <w:r w:rsidRPr="00834CDC">
              <w:rPr>
                <w:sz w:val="18"/>
                <w:szCs w:val="18"/>
              </w:rPr>
              <w:t>Other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605D68" w14:textId="77777777" w:rsidR="001A32F1" w:rsidRPr="00834CDC" w:rsidRDefault="001A32F1" w:rsidP="003058F5">
            <w:pPr>
              <w:pStyle w:val="NormalWeb"/>
              <w:rPr>
                <w:sz w:val="18"/>
                <w:szCs w:val="18"/>
              </w:rPr>
            </w:pPr>
            <w:r w:rsidRPr="00834CDC">
              <w:rPr>
                <w:sz w:val="18"/>
                <w:szCs w:val="18"/>
              </w:rPr>
              <w:t>15,384</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EC2F07" w14:textId="77777777" w:rsidR="001A32F1" w:rsidRPr="00834CDC" w:rsidRDefault="001A32F1" w:rsidP="003058F5">
            <w:pPr>
              <w:pStyle w:val="NormalWeb"/>
              <w:rPr>
                <w:sz w:val="18"/>
                <w:szCs w:val="18"/>
              </w:rPr>
            </w:pPr>
            <w:r w:rsidRPr="00834CDC">
              <w:rPr>
                <w:sz w:val="18"/>
                <w:szCs w:val="18"/>
              </w:rPr>
              <w:t>52.5</w:t>
            </w:r>
          </w:p>
        </w:tc>
        <w:tc>
          <w:tcPr>
            <w:tcW w:w="112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D50DFC" w14:textId="77777777" w:rsidR="001A32F1" w:rsidRPr="00834CDC" w:rsidRDefault="001A32F1" w:rsidP="003058F5">
            <w:pPr>
              <w:rPr>
                <w:sz w:val="18"/>
                <w:szCs w:val="18"/>
              </w:rPr>
            </w:pPr>
          </w:p>
        </w:tc>
        <w:tc>
          <w:tcPr>
            <w:tcW w:w="180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8672B5" w14:textId="77777777" w:rsidR="001A32F1" w:rsidRPr="00834CDC" w:rsidRDefault="001A32F1" w:rsidP="003058F5">
            <w:pPr>
              <w:rPr>
                <w:sz w:val="18"/>
                <w:szCs w:val="18"/>
              </w:rPr>
            </w:pPr>
          </w:p>
        </w:tc>
      </w:tr>
      <w:tr w:rsidR="001A32F1" w:rsidRPr="00834CDC" w14:paraId="0200F045" w14:textId="77777777" w:rsidTr="00747E58">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EAD246" w14:textId="77777777" w:rsidR="001A32F1" w:rsidRPr="00834CDC" w:rsidRDefault="001A32F1" w:rsidP="003058F5">
            <w:pPr>
              <w:pStyle w:val="NormalWeb"/>
              <w:rPr>
                <w:sz w:val="18"/>
                <w:szCs w:val="18"/>
              </w:rPr>
            </w:pPr>
            <w:r w:rsidRPr="00834CDC">
              <w:rPr>
                <w:sz w:val="18"/>
                <w:szCs w:val="18"/>
              </w:rPr>
              <w:t>≥ 50</w:t>
            </w: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91B02F" w14:textId="77777777" w:rsidR="001A32F1" w:rsidRPr="00834CDC" w:rsidRDefault="001A32F1" w:rsidP="003058F5">
            <w:pPr>
              <w:pStyle w:val="NormalWeb"/>
              <w:rPr>
                <w:sz w:val="18"/>
                <w:szCs w:val="18"/>
              </w:rPr>
            </w:pPr>
            <w:r w:rsidRPr="00834CDC">
              <w:rPr>
                <w:sz w:val="18"/>
                <w:szCs w:val="18"/>
              </w:rPr>
              <w:t>Aboriginal and Torres Strait Islander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20AC01" w14:textId="77777777" w:rsidR="001A32F1" w:rsidRPr="00834CDC" w:rsidRDefault="001A32F1" w:rsidP="003058F5">
            <w:pPr>
              <w:pStyle w:val="NormalWeb"/>
              <w:rPr>
                <w:sz w:val="18"/>
                <w:szCs w:val="18"/>
              </w:rPr>
            </w:pPr>
            <w:r w:rsidRPr="00834CDC">
              <w:rPr>
                <w:sz w:val="18"/>
                <w:szCs w:val="18"/>
              </w:rPr>
              <w:t>2,305</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736D4C" w14:textId="77777777" w:rsidR="001A32F1" w:rsidRPr="00834CDC" w:rsidRDefault="001A32F1" w:rsidP="003058F5">
            <w:pPr>
              <w:pStyle w:val="NormalWeb"/>
              <w:rPr>
                <w:sz w:val="18"/>
                <w:szCs w:val="18"/>
              </w:rPr>
            </w:pPr>
            <w:r w:rsidRPr="00834CDC">
              <w:rPr>
                <w:sz w:val="18"/>
                <w:szCs w:val="18"/>
              </w:rPr>
              <w:t>500.4</w:t>
            </w:r>
          </w:p>
        </w:tc>
        <w:tc>
          <w:tcPr>
            <w:tcW w:w="112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34A24D" w14:textId="77777777" w:rsidR="001A32F1" w:rsidRPr="00834CDC" w:rsidRDefault="001A32F1" w:rsidP="003058F5">
            <w:pPr>
              <w:pStyle w:val="NormalWeb"/>
              <w:rPr>
                <w:sz w:val="18"/>
                <w:szCs w:val="18"/>
              </w:rPr>
            </w:pPr>
            <w:r w:rsidRPr="00834CDC">
              <w:rPr>
                <w:sz w:val="18"/>
                <w:szCs w:val="18"/>
              </w:rPr>
              <w:t>1.9</w:t>
            </w:r>
          </w:p>
        </w:tc>
        <w:tc>
          <w:tcPr>
            <w:tcW w:w="180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432576" w14:textId="77777777" w:rsidR="001A32F1" w:rsidRPr="00834CDC" w:rsidRDefault="001A32F1" w:rsidP="003058F5">
            <w:pPr>
              <w:pStyle w:val="NormalWeb"/>
              <w:rPr>
                <w:sz w:val="18"/>
                <w:szCs w:val="18"/>
              </w:rPr>
            </w:pPr>
            <w:r w:rsidRPr="00834CDC">
              <w:rPr>
                <w:sz w:val="18"/>
                <w:szCs w:val="18"/>
              </w:rPr>
              <w:t>1.8–2.0</w:t>
            </w:r>
          </w:p>
        </w:tc>
      </w:tr>
      <w:tr w:rsidR="001A32F1" w:rsidRPr="00834CDC" w14:paraId="29C18E19" w14:textId="77777777" w:rsidTr="00747E58">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0E36B8" w14:textId="77777777" w:rsidR="001A32F1" w:rsidRPr="00834CDC" w:rsidRDefault="001A32F1" w:rsidP="003058F5">
            <w:pPr>
              <w:rPr>
                <w:sz w:val="18"/>
                <w:szCs w:val="18"/>
              </w:rPr>
            </w:pP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561EC4" w14:textId="77777777" w:rsidR="001A32F1" w:rsidRPr="00834CDC" w:rsidRDefault="001A32F1" w:rsidP="003058F5">
            <w:pPr>
              <w:pStyle w:val="NormalWeb"/>
              <w:rPr>
                <w:sz w:val="18"/>
                <w:szCs w:val="18"/>
              </w:rPr>
            </w:pPr>
            <w:r w:rsidRPr="00834CDC">
              <w:rPr>
                <w:sz w:val="18"/>
                <w:szCs w:val="18"/>
              </w:rPr>
              <w:t>Other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E72197" w14:textId="77777777" w:rsidR="001A32F1" w:rsidRPr="00834CDC" w:rsidRDefault="001A32F1" w:rsidP="003058F5">
            <w:pPr>
              <w:pStyle w:val="NormalWeb"/>
              <w:rPr>
                <w:sz w:val="18"/>
                <w:szCs w:val="18"/>
              </w:rPr>
            </w:pPr>
            <w:r w:rsidRPr="00834CDC">
              <w:rPr>
                <w:sz w:val="18"/>
                <w:szCs w:val="18"/>
              </w:rPr>
              <w:t>73,809</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007645" w14:textId="77777777" w:rsidR="001A32F1" w:rsidRPr="00834CDC" w:rsidRDefault="001A32F1" w:rsidP="003058F5">
            <w:pPr>
              <w:pStyle w:val="NormalWeb"/>
              <w:rPr>
                <w:sz w:val="18"/>
                <w:szCs w:val="18"/>
              </w:rPr>
            </w:pPr>
            <w:r w:rsidRPr="00834CDC">
              <w:rPr>
                <w:sz w:val="18"/>
                <w:szCs w:val="18"/>
              </w:rPr>
              <w:t>260.9</w:t>
            </w:r>
          </w:p>
        </w:tc>
        <w:tc>
          <w:tcPr>
            <w:tcW w:w="112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C61BCB" w14:textId="77777777" w:rsidR="001A32F1" w:rsidRPr="00834CDC" w:rsidRDefault="001A32F1" w:rsidP="003058F5">
            <w:pPr>
              <w:rPr>
                <w:sz w:val="18"/>
                <w:szCs w:val="18"/>
              </w:rPr>
            </w:pPr>
          </w:p>
        </w:tc>
        <w:tc>
          <w:tcPr>
            <w:tcW w:w="180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2515CA" w14:textId="77777777" w:rsidR="001A32F1" w:rsidRPr="00834CDC" w:rsidRDefault="001A32F1" w:rsidP="003058F5">
            <w:pPr>
              <w:rPr>
                <w:sz w:val="18"/>
                <w:szCs w:val="18"/>
              </w:rPr>
            </w:pPr>
          </w:p>
        </w:tc>
      </w:tr>
      <w:tr w:rsidR="001A32F1" w:rsidRPr="00834CDC" w14:paraId="456F51AA" w14:textId="77777777" w:rsidTr="00747E58">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17512E7" w14:textId="20F32AC4" w:rsidR="001A32F1" w:rsidRPr="00834CDC" w:rsidRDefault="001A32F1" w:rsidP="003058F5">
            <w:pPr>
              <w:pStyle w:val="NormalWeb"/>
              <w:rPr>
                <w:b/>
                <w:bCs/>
                <w:sz w:val="18"/>
                <w:szCs w:val="18"/>
              </w:rPr>
            </w:pPr>
            <w:r w:rsidRPr="00834CDC">
              <w:rPr>
                <w:b/>
                <w:bCs/>
                <w:sz w:val="18"/>
                <w:szCs w:val="18"/>
              </w:rPr>
              <w:t>All ages</w:t>
            </w:r>
            <w:r w:rsidR="00AF76A3" w:rsidRPr="00834CDC">
              <w:rPr>
                <w:b/>
                <w:bCs/>
                <w:sz w:val="18"/>
                <w:szCs w:val="18"/>
              </w:rPr>
              <w:t xml:space="preserve"> </w:t>
            </w:r>
            <w:r w:rsidRPr="00834CDC">
              <w:rPr>
                <w:b/>
                <w:bCs/>
                <w:sz w:val="18"/>
                <w:szCs w:val="18"/>
                <w:vertAlign w:val="superscript"/>
              </w:rPr>
              <w:t>d</w:t>
            </w: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362E42A" w14:textId="77777777" w:rsidR="001A32F1" w:rsidRPr="00834CDC" w:rsidRDefault="001A32F1" w:rsidP="003058F5">
            <w:pPr>
              <w:pStyle w:val="NormalWeb"/>
              <w:rPr>
                <w:b/>
                <w:bCs/>
                <w:sz w:val="18"/>
                <w:szCs w:val="18"/>
              </w:rPr>
            </w:pPr>
            <w:r w:rsidRPr="00834CDC">
              <w:rPr>
                <w:b/>
                <w:bCs/>
                <w:sz w:val="18"/>
                <w:szCs w:val="18"/>
              </w:rPr>
              <w:t>Aboriginal and Torres Strait Islander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3D7D43D" w14:textId="77777777" w:rsidR="001A32F1" w:rsidRPr="00834CDC" w:rsidRDefault="001A32F1" w:rsidP="003058F5">
            <w:pPr>
              <w:pStyle w:val="NormalWeb"/>
              <w:rPr>
                <w:b/>
                <w:bCs/>
                <w:sz w:val="18"/>
                <w:szCs w:val="18"/>
              </w:rPr>
            </w:pPr>
            <w:r w:rsidRPr="00834CDC">
              <w:rPr>
                <w:b/>
                <w:bCs/>
                <w:sz w:val="18"/>
                <w:szCs w:val="18"/>
              </w:rPr>
              <w:t>5,635</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9F5D0E2" w14:textId="77777777" w:rsidR="001A32F1" w:rsidRPr="00834CDC" w:rsidRDefault="001A32F1" w:rsidP="003058F5">
            <w:pPr>
              <w:pStyle w:val="NormalWeb"/>
              <w:rPr>
                <w:b/>
                <w:bCs/>
                <w:sz w:val="18"/>
                <w:szCs w:val="18"/>
              </w:rPr>
            </w:pPr>
            <w:r w:rsidRPr="00834CDC">
              <w:rPr>
                <w:b/>
                <w:bCs/>
                <w:sz w:val="18"/>
                <w:szCs w:val="18"/>
              </w:rPr>
              <w:t>261.5</w:t>
            </w:r>
          </w:p>
        </w:tc>
        <w:tc>
          <w:tcPr>
            <w:tcW w:w="112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65B2274" w14:textId="77777777" w:rsidR="001A32F1" w:rsidRPr="00834CDC" w:rsidRDefault="001A32F1" w:rsidP="003058F5">
            <w:pPr>
              <w:pStyle w:val="NormalWeb"/>
              <w:rPr>
                <w:b/>
                <w:bCs/>
                <w:sz w:val="18"/>
                <w:szCs w:val="18"/>
              </w:rPr>
            </w:pPr>
            <w:r w:rsidRPr="00834CDC">
              <w:rPr>
                <w:b/>
                <w:bCs/>
                <w:sz w:val="18"/>
                <w:szCs w:val="18"/>
              </w:rPr>
              <w:t>2.1</w:t>
            </w:r>
          </w:p>
        </w:tc>
        <w:tc>
          <w:tcPr>
            <w:tcW w:w="180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14594EE" w14:textId="77777777" w:rsidR="001A32F1" w:rsidRPr="00834CDC" w:rsidRDefault="001A32F1" w:rsidP="003058F5">
            <w:pPr>
              <w:pStyle w:val="NormalWeb"/>
              <w:rPr>
                <w:b/>
                <w:bCs/>
                <w:sz w:val="18"/>
                <w:szCs w:val="18"/>
              </w:rPr>
            </w:pPr>
            <w:r w:rsidRPr="00834CDC">
              <w:rPr>
                <w:b/>
                <w:bCs/>
                <w:sz w:val="18"/>
                <w:szCs w:val="18"/>
              </w:rPr>
              <w:t>2.0–2.1</w:t>
            </w:r>
          </w:p>
        </w:tc>
      </w:tr>
      <w:tr w:rsidR="001A32F1" w:rsidRPr="00834CDC" w14:paraId="05884E1D" w14:textId="77777777" w:rsidTr="00747E58">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A9CD37A" w14:textId="77777777" w:rsidR="001A32F1" w:rsidRPr="00834CDC" w:rsidRDefault="001A32F1" w:rsidP="003058F5">
            <w:pPr>
              <w:rPr>
                <w:b/>
                <w:bCs/>
                <w:sz w:val="18"/>
                <w:szCs w:val="18"/>
              </w:rPr>
            </w:pPr>
          </w:p>
        </w:tc>
        <w:tc>
          <w:tcPr>
            <w:tcW w:w="38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D69DEAA" w14:textId="77777777" w:rsidR="001A32F1" w:rsidRPr="00834CDC" w:rsidRDefault="001A32F1" w:rsidP="003058F5">
            <w:pPr>
              <w:pStyle w:val="NormalWeb"/>
              <w:rPr>
                <w:b/>
                <w:bCs/>
                <w:sz w:val="18"/>
                <w:szCs w:val="18"/>
              </w:rPr>
            </w:pPr>
            <w:r w:rsidRPr="00834CDC">
              <w:rPr>
                <w:b/>
                <w:bCs/>
                <w:sz w:val="18"/>
                <w:szCs w:val="18"/>
              </w:rPr>
              <w:t>Other</w:t>
            </w:r>
          </w:p>
        </w:tc>
        <w:tc>
          <w:tcPr>
            <w:tcW w:w="11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18FF672" w14:textId="77777777" w:rsidR="001A32F1" w:rsidRPr="00834CDC" w:rsidRDefault="001A32F1" w:rsidP="003058F5">
            <w:pPr>
              <w:pStyle w:val="NormalWeb"/>
              <w:rPr>
                <w:b/>
                <w:bCs/>
                <w:sz w:val="18"/>
                <w:szCs w:val="18"/>
              </w:rPr>
            </w:pPr>
            <w:r w:rsidRPr="00834CDC">
              <w:rPr>
                <w:b/>
                <w:bCs/>
                <w:sz w:val="18"/>
                <w:szCs w:val="18"/>
              </w:rPr>
              <w:t>106,617</w:t>
            </w:r>
          </w:p>
        </w:tc>
        <w:tc>
          <w:tcPr>
            <w:tcW w:w="9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AEE79B0" w14:textId="77777777" w:rsidR="001A32F1" w:rsidRPr="00834CDC" w:rsidRDefault="001A32F1" w:rsidP="003058F5">
            <w:pPr>
              <w:pStyle w:val="NormalWeb"/>
              <w:rPr>
                <w:b/>
                <w:bCs/>
                <w:sz w:val="18"/>
                <w:szCs w:val="18"/>
              </w:rPr>
            </w:pPr>
            <w:r w:rsidRPr="00834CDC">
              <w:rPr>
                <w:b/>
                <w:bCs/>
                <w:sz w:val="18"/>
                <w:szCs w:val="18"/>
              </w:rPr>
              <w:t>126.2</w:t>
            </w:r>
          </w:p>
        </w:tc>
        <w:tc>
          <w:tcPr>
            <w:tcW w:w="112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9BF1B98" w14:textId="77777777" w:rsidR="001A32F1" w:rsidRPr="00834CDC" w:rsidRDefault="001A32F1" w:rsidP="003058F5">
            <w:pPr>
              <w:rPr>
                <w:b/>
                <w:bCs/>
                <w:sz w:val="18"/>
                <w:szCs w:val="18"/>
              </w:rPr>
            </w:pPr>
          </w:p>
        </w:tc>
        <w:tc>
          <w:tcPr>
            <w:tcW w:w="180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3927B12" w14:textId="77777777" w:rsidR="001A32F1" w:rsidRPr="00834CDC" w:rsidRDefault="001A32F1" w:rsidP="003058F5">
            <w:pPr>
              <w:rPr>
                <w:b/>
                <w:bCs/>
                <w:sz w:val="18"/>
                <w:szCs w:val="18"/>
              </w:rPr>
            </w:pPr>
          </w:p>
        </w:tc>
      </w:tr>
    </w:tbl>
    <w:p w14:paraId="59296994" w14:textId="77777777" w:rsidR="001A32F1" w:rsidRPr="00834CDC" w:rsidRDefault="001A32F1" w:rsidP="00B03245">
      <w:pPr>
        <w:pStyle w:val="CDIfootnotes"/>
      </w:pPr>
      <w:proofErr w:type="spellStart"/>
      <w:proofErr w:type="gramStart"/>
      <w:r w:rsidRPr="00834CDC">
        <w:t>a</w:t>
      </w:r>
      <w:proofErr w:type="spellEnd"/>
      <w:proofErr w:type="gramEnd"/>
      <w:r w:rsidRPr="00834CDC">
        <w:tab/>
        <w:t xml:space="preserve">Age was determined using the age in months field for the 0 –&lt; 6 month and 6 months –&lt; 1 year age groups. All other age groups were </w:t>
      </w:r>
      <w:proofErr w:type="gramStart"/>
      <w:r w:rsidRPr="00834CDC">
        <w:t>determined</w:t>
      </w:r>
      <w:proofErr w:type="gramEnd"/>
      <w:r w:rsidRPr="00834CDC">
        <w:t xml:space="preserve"> using the age at onset (age in years) field.</w:t>
      </w:r>
    </w:p>
    <w:p w14:paraId="24C431B4" w14:textId="77777777" w:rsidR="001A32F1" w:rsidRPr="00834CDC" w:rsidRDefault="001A32F1" w:rsidP="00B03245">
      <w:pPr>
        <w:pStyle w:val="CDIfootnotes"/>
      </w:pPr>
      <w:r w:rsidRPr="00834CDC">
        <w:t>b</w:t>
      </w:r>
      <w:r w:rsidRPr="00834CDC">
        <w:tab/>
        <w:t>Hospital admissions where the date of admission was between 1 January 2016 and 30 June 2019. 2019 data annualised.</w:t>
      </w:r>
    </w:p>
    <w:p w14:paraId="15B37F30" w14:textId="77777777" w:rsidR="001A32F1" w:rsidRPr="00834CDC" w:rsidRDefault="001A32F1" w:rsidP="00B03245">
      <w:pPr>
        <w:pStyle w:val="CDIfootnotes"/>
      </w:pPr>
      <w:r w:rsidRPr="00834CDC">
        <w:t>c</w:t>
      </w:r>
      <w:r w:rsidRPr="00834CDC">
        <w:tab/>
        <w:t>Average annual age-specific rate per 100,000 population.</w:t>
      </w:r>
    </w:p>
    <w:p w14:paraId="22232224" w14:textId="77777777" w:rsidR="001A32F1" w:rsidRPr="00834CDC" w:rsidRDefault="001A32F1" w:rsidP="00B03245">
      <w:pPr>
        <w:pStyle w:val="CDIfootnotes"/>
      </w:pPr>
      <w:r w:rsidRPr="00834CDC">
        <w:t>d</w:t>
      </w:r>
      <w:r w:rsidRPr="00834CDC">
        <w:tab/>
        <w:t>Rates for all ages combined are age-standardised to the Australian Bureau of Statistics Australian population estimates for 2016.</w:t>
      </w:r>
    </w:p>
    <w:p w14:paraId="2DE13623" w14:textId="77777777" w:rsidR="001A32F1" w:rsidRPr="00834CDC" w:rsidRDefault="001A32F1">
      <w:pPr>
        <w:rPr>
          <w:rStyle w:val="Strong"/>
          <w:bCs w:val="0"/>
        </w:rPr>
      </w:pPr>
      <w:r w:rsidRPr="00834CDC">
        <w:rPr>
          <w:rStyle w:val="Strong"/>
          <w:b w:val="0"/>
          <w:bCs w:val="0"/>
        </w:rPr>
        <w:br w:type="page"/>
      </w:r>
    </w:p>
    <w:p w14:paraId="4313E483" w14:textId="744C4ADF" w:rsidR="00AB27A3" w:rsidRPr="00834CDC" w:rsidRDefault="00AB27A3" w:rsidP="00AF2A98">
      <w:pPr>
        <w:pStyle w:val="CDIFigures"/>
        <w:divId w:val="1988506822"/>
      </w:pPr>
      <w:r w:rsidRPr="00834CDC">
        <w:rPr>
          <w:rStyle w:val="Strong"/>
          <w:b/>
          <w:bCs w:val="0"/>
        </w:rPr>
        <w:lastRenderedPageBreak/>
        <w:t>Figure 8: Influenza hospitalisation rates, Australia (selected states and territories</w:t>
      </w:r>
      <w:proofErr w:type="gramStart"/>
      <w:r w:rsidRPr="00834CDC">
        <w:rPr>
          <w:rStyle w:val="Strong"/>
          <w:b/>
          <w:bCs w:val="0"/>
        </w:rPr>
        <w:t>),</w:t>
      </w:r>
      <w:r w:rsidRPr="00834CDC">
        <w:rPr>
          <w:rStyle w:val="Strong"/>
          <w:b/>
          <w:bCs w:val="0"/>
          <w:vertAlign w:val="superscript"/>
        </w:rPr>
        <w:t>a</w:t>
      </w:r>
      <w:proofErr w:type="gramEnd"/>
      <w:r w:rsidRPr="00834CDC">
        <w:rPr>
          <w:rStyle w:val="Strong"/>
          <w:b/>
          <w:bCs w:val="0"/>
        </w:rPr>
        <w:t xml:space="preserve"> 2010–2019,</w:t>
      </w:r>
      <w:r w:rsidRPr="00834CDC">
        <w:rPr>
          <w:rStyle w:val="Strong"/>
          <w:b/>
          <w:bCs w:val="0"/>
          <w:vertAlign w:val="superscript"/>
        </w:rPr>
        <w:t>b</w:t>
      </w:r>
      <w:r w:rsidRPr="00834CDC">
        <w:rPr>
          <w:rStyle w:val="Strong"/>
          <w:b/>
          <w:bCs w:val="0"/>
        </w:rPr>
        <w:t xml:space="preserve"> by age and Aboriginal and Torres Strait Islander status</w:t>
      </w:r>
    </w:p>
    <w:p w14:paraId="6D323AD2" w14:textId="77777777" w:rsidR="00AB27A3" w:rsidRPr="00834CDC" w:rsidRDefault="00AB27A3" w:rsidP="00AB27A3">
      <w:pPr>
        <w:pStyle w:val="NormalWeb"/>
        <w:divId w:val="1988506822"/>
      </w:pPr>
      <w:r w:rsidRPr="00834CDC">
        <w:rPr>
          <w:noProof/>
        </w:rPr>
        <w:drawing>
          <wp:inline distT="0" distB="0" distL="0" distR="0" wp14:anchorId="5AE970DB" wp14:editId="7E58FABB">
            <wp:extent cx="6625424" cy="4359529"/>
            <wp:effectExtent l="0" t="0" r="4445" b="0"/>
            <wp:docPr id="9" name="Picture 9" descr="Line graph showing influenza hospitalisation rates for the period 2010 to 2019 in selected jurisdictions (Northern Territory, Queensland, New South Wales, Victoria, South Australia and Western Australia), by age group. Peaks in hospitalisations were seen in 2017 and 2019. There was an increasing trend in rates across the 10 year period for all age groups, with the greatest increase in the ≥50 years age group, from 299.0 per 100,000 in 2016 to 825.8 in 2019 in Aboriginal and Torres Strait Islander people and from 186.4 to 315.9 per 100,000 in other peopl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e graph showing influenza hospitalisation rates for the period 2010 to 2019 in selected jurisdictions (Northern Territory, Queensland, New South Wales, Victoria, South Australia and Western Australia), by age group. Peaks in hospitalisations were seen in 2017 and 2019. There was an increasing trend in rates across the 10 year period for all age groups, with the greatest increase in the ≥50 years age group, from 299.0 per 100,000 in 2016 to 825.8 in 2019 in Aboriginal and Torres Strait Islander people and from 186.4 to 315.9 per 100,000 in other people. &#10;"/>
                    <pic:cNvPicPr>
                      <a:picLocks noChangeAspect="1" noChangeArrowheads="1"/>
                    </pic:cNvPicPr>
                  </pic:nvPicPr>
                  <pic:blipFill>
                    <a:blip r:link="rId19">
                      <a:extLst>
                        <a:ext uri="{28A0092B-C50C-407E-A947-70E740481C1C}">
                          <a14:useLocalDpi xmlns:a14="http://schemas.microsoft.com/office/drawing/2010/main" val="0"/>
                        </a:ext>
                      </a:extLst>
                    </a:blip>
                    <a:stretch>
                      <a:fillRect/>
                    </a:stretch>
                  </pic:blipFill>
                  <pic:spPr bwMode="auto">
                    <a:xfrm>
                      <a:off x="0" y="0"/>
                      <a:ext cx="6634538" cy="4365526"/>
                    </a:xfrm>
                    <a:prstGeom prst="rect">
                      <a:avLst/>
                    </a:prstGeom>
                  </pic:spPr>
                </pic:pic>
              </a:graphicData>
            </a:graphic>
          </wp:inline>
        </w:drawing>
      </w:r>
    </w:p>
    <w:p w14:paraId="3B078433" w14:textId="77777777" w:rsidR="00AB27A3" w:rsidRPr="00834CDC" w:rsidRDefault="00AB27A3" w:rsidP="00AB27A3">
      <w:pPr>
        <w:pStyle w:val="CDIfootnotes"/>
        <w:divId w:val="1988506822"/>
      </w:pPr>
      <w:r w:rsidRPr="00834CDC">
        <w:t>a</w:t>
      </w:r>
      <w:r w:rsidRPr="00834CDC">
        <w:tab/>
        <w:t xml:space="preserve">States and territories with satisfactory data quality for the 2010–2019 period (refer to Appendix A): the Northern Territory, Queensland, New South Wales, Victoria, South </w:t>
      </w:r>
      <w:proofErr w:type="gramStart"/>
      <w:r w:rsidRPr="00834CDC">
        <w:t>Australia</w:t>
      </w:r>
      <w:proofErr w:type="gramEnd"/>
      <w:r w:rsidRPr="00834CDC">
        <w:t xml:space="preserve"> and Western Australia.</w:t>
      </w:r>
    </w:p>
    <w:p w14:paraId="2A676063" w14:textId="77777777" w:rsidR="00AB27A3" w:rsidRPr="00834CDC" w:rsidRDefault="00AB27A3" w:rsidP="00AB27A3">
      <w:pPr>
        <w:pStyle w:val="CDIfootnotes"/>
        <w:divId w:val="1988506822"/>
      </w:pPr>
      <w:r w:rsidRPr="00834CDC">
        <w:t>b</w:t>
      </w:r>
      <w:r w:rsidRPr="00834CDC">
        <w:tab/>
        <w:t>Hospital admissions where the date of admission was between 1 January 2010 and 30 June 2019. Hospitalisation data for 2019 was annualised.</w:t>
      </w:r>
    </w:p>
    <w:p w14:paraId="56139145" w14:textId="27C61186" w:rsidR="0033445F" w:rsidRPr="00834CDC" w:rsidRDefault="00D166AD" w:rsidP="0033445F">
      <w:pPr>
        <w:divId w:val="1988506822"/>
      </w:pPr>
      <w:r w:rsidRPr="00834CDC">
        <w:t xml:space="preserve">Trends in influenza hospitalisations by age and Aboriginal and Torres Strait Islander status </w:t>
      </w:r>
      <w:proofErr w:type="gramStart"/>
      <w:r w:rsidRPr="00834CDC">
        <w:t>are presented</w:t>
      </w:r>
      <w:proofErr w:type="gramEnd"/>
      <w:r w:rsidRPr="00834CDC">
        <w:t xml:space="preserve"> for six states and territories (excluding the Australian Capital Territory and Tasmania) for the 2010</w:t>
      </w:r>
      <w:r w:rsidRPr="00834CDC">
        <w:rPr>
          <w:rStyle w:val="Strong"/>
        </w:rPr>
        <w:t>–</w:t>
      </w:r>
      <w:r w:rsidRPr="00834CDC">
        <w:t xml:space="preserve">2019 period in Figure 8. </w:t>
      </w:r>
      <w:r w:rsidR="0033445F" w:rsidRPr="00834CDC">
        <w:t xml:space="preserve">Peaks in hospitalisations </w:t>
      </w:r>
      <w:proofErr w:type="gramStart"/>
      <w:r w:rsidR="0033445F" w:rsidRPr="00834CDC">
        <w:t>were seen</w:t>
      </w:r>
      <w:proofErr w:type="gramEnd"/>
      <w:r w:rsidR="0033445F" w:rsidRPr="00834CDC">
        <w:t xml:space="preserve"> in 2017 and 2019. There was a </w:t>
      </w:r>
      <w:proofErr w:type="gramStart"/>
      <w:r w:rsidR="0033445F" w:rsidRPr="00834CDC">
        <w:t>generally increasing</w:t>
      </w:r>
      <w:proofErr w:type="gramEnd"/>
      <w:r w:rsidR="0033445F" w:rsidRPr="00834CDC">
        <w:t xml:space="preserve"> trend in hospitalisations rates from 2010 to 2019 across all age groups, with the greatest increase in the ≥ 50 years age group, from 299.0 per 100,000 per year in 2016 to 825.8 per 100,000 per year in 2019 in Aboriginal and Torres Strait Islander people and from 186.4 to 315.9 per 100,000 per year in other people. </w:t>
      </w:r>
    </w:p>
    <w:p w14:paraId="47B8FA3A" w14:textId="77777777" w:rsidR="0033445F" w:rsidRPr="00834CDC" w:rsidRDefault="0033445F" w:rsidP="0033445F">
      <w:pPr>
        <w:divId w:val="1988506822"/>
      </w:pPr>
      <w:r w:rsidRPr="00834CDC">
        <w:t xml:space="preserve">Between 2016 and 2019, there were 3,689 deaths with influenza as underlying or associated cause reported in Australia, with </w:t>
      </w:r>
      <w:proofErr w:type="gramStart"/>
      <w:r w:rsidRPr="00834CDC">
        <w:t>68</w:t>
      </w:r>
      <w:proofErr w:type="gramEnd"/>
      <w:r w:rsidRPr="00834CDC">
        <w:t xml:space="preserve"> of these (1.8%) recorded in Aboriginal or Torres Strait Islander people. The ≥ 50 years age group accounted for 77.9% of deaths (53/68) in Aboriginal and Torres Strait Islander people and 96.4% (3,491/3,621) among other Australians. </w:t>
      </w:r>
    </w:p>
    <w:p w14:paraId="1E646E12" w14:textId="77777777" w:rsidR="0033445F" w:rsidRPr="00834CDC" w:rsidRDefault="0033445F" w:rsidP="0033445F">
      <w:pPr>
        <w:pStyle w:val="Heading2"/>
        <w:divId w:val="1988506822"/>
      </w:pPr>
      <w:r w:rsidRPr="00834CDC">
        <w:t xml:space="preserve">Discussion </w:t>
      </w:r>
    </w:p>
    <w:p w14:paraId="0DDF6AB4" w14:textId="77777777" w:rsidR="0033445F" w:rsidRPr="00834CDC" w:rsidRDefault="0033445F" w:rsidP="0033445F">
      <w:pPr>
        <w:divId w:val="1988506822"/>
      </w:pPr>
      <w:r w:rsidRPr="00834CDC">
        <w:t>All-age influenza notification and hospitalisation rates were higher in the 2016–2019 than the 2011–2015 period:</w:t>
      </w:r>
      <w:r w:rsidRPr="00834CDC">
        <w:rPr>
          <w:vertAlign w:val="superscript"/>
        </w:rPr>
        <w:t>1</w:t>
      </w:r>
      <w:r w:rsidRPr="00834CDC">
        <w:t xml:space="preserve"> 67% and 220% higher, respectively, in Aboriginal and Torres Strait Islander people and 38% and 250% in other people, reflecting the severe influenza A/H3N2 seasons in both 2017 and 2019.</w:t>
      </w:r>
      <w:r w:rsidRPr="00834CDC">
        <w:rPr>
          <w:vertAlign w:val="superscript"/>
        </w:rPr>
        <w:t>115</w:t>
      </w:r>
      <w:r w:rsidRPr="00834CDC">
        <w:t xml:space="preserve"> Hospitalisation rates in the 2016–2019 period were highest in infants and in adults aged ≥ 50 years, with rates in Aboriginal and Torres Strait Islander </w:t>
      </w:r>
      <w:r w:rsidRPr="00834CDC">
        <w:lastRenderedPageBreak/>
        <w:t>people significantly higher (1.5 to 3-fold) across all age groups, as found in other studies over this and previous periods.</w:t>
      </w:r>
      <w:r w:rsidRPr="00834CDC">
        <w:rPr>
          <w:vertAlign w:val="superscript"/>
        </w:rPr>
        <w:t>1,110,116</w:t>
      </w:r>
      <w:r w:rsidRPr="00834CDC">
        <w:t xml:space="preserve"> Longer term increasing trends in both notifications and hospitalisations are likely contributed to by increased availability and use of PCR testing.</w:t>
      </w:r>
      <w:r w:rsidRPr="00834CDC">
        <w:rPr>
          <w:vertAlign w:val="superscript"/>
        </w:rPr>
        <w:t>110,117</w:t>
      </w:r>
      <w:r w:rsidRPr="00834CDC">
        <w:t xml:space="preserve"> </w:t>
      </w:r>
    </w:p>
    <w:p w14:paraId="4F0D3DC7" w14:textId="77777777" w:rsidR="0033445F" w:rsidRPr="00834CDC" w:rsidRDefault="0033445F" w:rsidP="0033445F">
      <w:pPr>
        <w:divId w:val="1988506822"/>
      </w:pPr>
      <w:r w:rsidRPr="00834CDC">
        <w:t xml:space="preserve">In the 2016–2019 period, as in the 2011–2015 period, influenza </w:t>
      </w:r>
      <w:proofErr w:type="gramStart"/>
      <w:r w:rsidRPr="00834CDC">
        <w:t>was responsible for</w:t>
      </w:r>
      <w:proofErr w:type="gramEnd"/>
      <w:r w:rsidRPr="00834CDC">
        <w:t xml:space="preserve"> the largest number of notifications and hospitalisations of any VPD. Influenza has </w:t>
      </w:r>
      <w:proofErr w:type="gramStart"/>
      <w:r w:rsidRPr="00834CDC">
        <w:t>been estimated</w:t>
      </w:r>
      <w:proofErr w:type="gramEnd"/>
      <w:r w:rsidRPr="00834CDC">
        <w:t xml:space="preserve"> to contribute more than one third (36%) of the total burden of VPDs in Australia in terms of disability adjusted life years.</w:t>
      </w:r>
      <w:r w:rsidRPr="00834CDC">
        <w:rPr>
          <w:vertAlign w:val="superscript"/>
        </w:rPr>
        <w:t>16</w:t>
      </w:r>
      <w:r w:rsidRPr="00834CDC">
        <w:t xml:space="preserve"> </w:t>
      </w:r>
    </w:p>
    <w:p w14:paraId="4A07D296" w14:textId="77777777" w:rsidR="0033445F" w:rsidRPr="00834CDC" w:rsidRDefault="0033445F" w:rsidP="0033445F">
      <w:pPr>
        <w:divId w:val="1988506822"/>
      </w:pPr>
      <w:r w:rsidRPr="00834CDC">
        <w:t xml:space="preserve">Influenza vaccination coverage was higher in 2019 in Aboriginal and Torres Strait Islander people than in other people across all age groups (see vaccination coverage chapter). However, given the substantial burden of disease, vaccination uptake </w:t>
      </w:r>
      <w:proofErr w:type="gramStart"/>
      <w:r w:rsidRPr="00834CDC">
        <w:t>remains</w:t>
      </w:r>
      <w:proofErr w:type="gramEnd"/>
      <w:r w:rsidRPr="00834CDC">
        <w:t xml:space="preserve"> suboptimal, particularly among Aboriginal and Torres Strait Islander people aged &lt; 65 years of age. It is important that influenza vaccination for Aboriginal and Torres Strait Islander people of all ages be strongly promoted, and ways to reduce any barriers to uptake explored and implemented, to address the </w:t>
      </w:r>
      <w:proofErr w:type="gramStart"/>
      <w:r w:rsidRPr="00834CDC">
        <w:t>high levels</w:t>
      </w:r>
      <w:proofErr w:type="gramEnd"/>
      <w:r w:rsidRPr="00834CDC">
        <w:t xml:space="preserve"> of morbidity and mortality associated with this disease.</w:t>
      </w:r>
    </w:p>
    <w:p w14:paraId="3C9FE7B1" w14:textId="77777777" w:rsidR="00EE43F3" w:rsidRPr="00834CDC" w:rsidRDefault="00EE43F3">
      <w:pPr>
        <w:rPr>
          <w:rFonts w:asciiTheme="majorHAnsi" w:eastAsiaTheme="majorEastAsia" w:hAnsiTheme="majorHAnsi" w:cstheme="majorBidi"/>
          <w:b/>
          <w:bCs/>
          <w:sz w:val="32"/>
          <w:szCs w:val="28"/>
        </w:rPr>
      </w:pPr>
      <w:r w:rsidRPr="00834CDC">
        <w:br w:type="page"/>
      </w:r>
    </w:p>
    <w:p w14:paraId="4758EE49" w14:textId="62013D1D" w:rsidR="0033445F" w:rsidRPr="00834CDC" w:rsidRDefault="0033445F" w:rsidP="00B12C49">
      <w:pPr>
        <w:pStyle w:val="Heading1"/>
        <w:divId w:val="1988506822"/>
      </w:pPr>
      <w:r w:rsidRPr="00834CDC">
        <w:lastRenderedPageBreak/>
        <w:t xml:space="preserve">7. Measles </w:t>
      </w:r>
    </w:p>
    <w:p w14:paraId="5DDF4283" w14:textId="6EF35960" w:rsidR="00B12C49" w:rsidRPr="00834CDC" w:rsidRDefault="00B12C49" w:rsidP="00B12C49">
      <w:pPr>
        <w:pStyle w:val="Heading2"/>
        <w:divId w:val="1988506822"/>
      </w:pPr>
      <w:r w:rsidRPr="00834CDC">
        <w:t>Relevant vaccine history</w:t>
      </w:r>
    </w:p>
    <w:p w14:paraId="08B897F0" w14:textId="77777777" w:rsidR="006A7D07" w:rsidRPr="00834CDC" w:rsidRDefault="006A7D07" w:rsidP="006A7D07">
      <w:pPr>
        <w:divId w:val="1988506822"/>
      </w:pPr>
    </w:p>
    <w:p w14:paraId="64925BF9" w14:textId="45AADB73" w:rsidR="00B12C49" w:rsidRPr="00834CDC" w:rsidRDefault="003378CC" w:rsidP="00B12C49">
      <w:pPr>
        <w:divId w:val="1988506822"/>
      </w:pPr>
      <w:r w:rsidRPr="00834CDC">
        <w:rPr>
          <w:noProof/>
        </w:rPr>
        <mc:AlternateContent>
          <mc:Choice Requires="wps">
            <w:drawing>
              <wp:inline distT="0" distB="0" distL="0" distR="0" wp14:anchorId="3AF1B6B4" wp14:editId="66D79A1F">
                <wp:extent cx="6625424" cy="1404620"/>
                <wp:effectExtent l="0" t="0" r="4445"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1404620"/>
                        </a:xfrm>
                        <a:prstGeom prst="rect">
                          <a:avLst/>
                        </a:prstGeom>
                        <a:solidFill>
                          <a:srgbClr val="F7ECDD"/>
                        </a:solidFill>
                        <a:ln w="9525">
                          <a:noFill/>
                          <a:miter lim="800000"/>
                          <a:headEnd/>
                          <a:tailEnd/>
                        </a:ln>
                      </wps:spPr>
                      <wps:txbx>
                        <w:txbxContent>
                          <w:p w14:paraId="46B19A93" w14:textId="77777777" w:rsidR="003378CC" w:rsidRPr="006A7D07" w:rsidRDefault="003378CC" w:rsidP="006A7D07">
                            <w:pPr>
                              <w:spacing w:after="0"/>
                              <w:rPr>
                                <w:b/>
                                <w:bCs/>
                                <w:lang w:val="en-GB"/>
                              </w:rPr>
                            </w:pPr>
                            <w:r w:rsidRPr="006A7D07">
                              <w:rPr>
                                <w:b/>
                                <w:bCs/>
                                <w:lang w:val="en-GB"/>
                              </w:rPr>
                              <w:t>1975</w:t>
                            </w:r>
                          </w:p>
                          <w:p w14:paraId="2683E467" w14:textId="77777777" w:rsidR="003378CC" w:rsidRPr="006A7D07" w:rsidRDefault="003378CC" w:rsidP="00653125">
                            <w:pPr>
                              <w:pStyle w:val="ListParagraph"/>
                              <w:numPr>
                                <w:ilvl w:val="0"/>
                                <w:numId w:val="24"/>
                              </w:numPr>
                              <w:spacing w:after="0"/>
                              <w:rPr>
                                <w:rFonts w:eastAsia="Times New Roman"/>
                                <w:lang w:val="en-GB"/>
                              </w:rPr>
                            </w:pPr>
                            <w:r w:rsidRPr="006A7D07">
                              <w:rPr>
                                <w:rFonts w:eastAsia="Times New Roman"/>
                                <w:lang w:val="en-GB"/>
                              </w:rPr>
                              <w:t>Measles vaccine funded for all Australian infants at 12 months of age</w:t>
                            </w:r>
                          </w:p>
                          <w:p w14:paraId="2CDE0595" w14:textId="77777777" w:rsidR="003378CC" w:rsidRPr="006A7D07" w:rsidRDefault="003378CC" w:rsidP="006A7D07">
                            <w:pPr>
                              <w:spacing w:after="0"/>
                              <w:rPr>
                                <w:b/>
                                <w:bCs/>
                                <w:lang w:val="en-GB"/>
                              </w:rPr>
                            </w:pPr>
                            <w:r w:rsidRPr="006A7D07">
                              <w:rPr>
                                <w:b/>
                                <w:bCs/>
                                <w:lang w:val="en-GB"/>
                              </w:rPr>
                              <w:t>1984</w:t>
                            </w:r>
                          </w:p>
                          <w:p w14:paraId="5C88E784" w14:textId="77777777" w:rsidR="003378CC" w:rsidRPr="006A7D07" w:rsidRDefault="003378CC" w:rsidP="00653125">
                            <w:pPr>
                              <w:pStyle w:val="ListParagraph"/>
                              <w:numPr>
                                <w:ilvl w:val="0"/>
                                <w:numId w:val="23"/>
                              </w:numPr>
                              <w:spacing w:after="0"/>
                              <w:rPr>
                                <w:rFonts w:eastAsia="Times New Roman"/>
                                <w:lang w:val="en-GB"/>
                              </w:rPr>
                            </w:pPr>
                            <w:r w:rsidRPr="006A7D07">
                              <w:rPr>
                                <w:rFonts w:eastAsia="Times New Roman"/>
                                <w:lang w:val="en-GB"/>
                              </w:rPr>
                              <w:t>MM</w:t>
                            </w:r>
                            <w:r w:rsidRPr="00D0266D">
                              <w:rPr>
                                <w:rFonts w:eastAsia="Times New Roman"/>
                                <w:vertAlign w:val="superscript"/>
                                <w:lang w:val="en-GB"/>
                              </w:rPr>
                              <w:t>i</w:t>
                            </w:r>
                            <w:r w:rsidRPr="006A7D07">
                              <w:rPr>
                                <w:rFonts w:eastAsia="Times New Roman"/>
                                <w:lang w:val="en-GB"/>
                              </w:rPr>
                              <w:t xml:space="preserve"> vaccination of Aboriginal and Torres Strait Islander children in the Northern Territory scheduled at 9 months of age instead of 12 months</w:t>
                            </w:r>
                          </w:p>
                          <w:p w14:paraId="0B268A40" w14:textId="77777777" w:rsidR="003378CC" w:rsidRPr="006A7D07" w:rsidRDefault="003378CC" w:rsidP="006A7D07">
                            <w:pPr>
                              <w:spacing w:after="0"/>
                              <w:rPr>
                                <w:b/>
                                <w:bCs/>
                                <w:lang w:val="en-GB"/>
                              </w:rPr>
                            </w:pPr>
                            <w:r w:rsidRPr="006A7D07">
                              <w:rPr>
                                <w:b/>
                                <w:bCs/>
                                <w:lang w:val="en-GB"/>
                              </w:rPr>
                              <w:t>1989</w:t>
                            </w:r>
                          </w:p>
                          <w:p w14:paraId="60925DD0" w14:textId="77777777" w:rsidR="003378CC" w:rsidRPr="006A7D07" w:rsidRDefault="003378CC" w:rsidP="00653125">
                            <w:pPr>
                              <w:pStyle w:val="ListParagraph"/>
                              <w:numPr>
                                <w:ilvl w:val="0"/>
                                <w:numId w:val="22"/>
                              </w:numPr>
                              <w:spacing w:after="0"/>
                              <w:rPr>
                                <w:rFonts w:eastAsia="Times New Roman"/>
                                <w:lang w:val="en-GB"/>
                              </w:rPr>
                            </w:pPr>
                            <w:r w:rsidRPr="006A7D07">
                              <w:rPr>
                                <w:rFonts w:eastAsia="Times New Roman"/>
                                <w:lang w:val="en-GB"/>
                              </w:rPr>
                              <w:t>MMR</w:t>
                            </w:r>
                            <w:r w:rsidRPr="00D0266D">
                              <w:rPr>
                                <w:rFonts w:eastAsia="Times New Roman"/>
                                <w:vertAlign w:val="superscript"/>
                                <w:lang w:val="en-GB"/>
                              </w:rPr>
                              <w:t>ii</w:t>
                            </w:r>
                            <w:r w:rsidRPr="006A7D07">
                              <w:rPr>
                                <w:rFonts w:eastAsia="Times New Roman"/>
                                <w:lang w:val="en-GB"/>
                              </w:rPr>
                              <w:t xml:space="preserve"> vaccine recommended and funded on the national schedule at 12 months of age (9 months for Aboriginal and Torres Strait Islander infants in the Northern Territory)</w:t>
                            </w:r>
                          </w:p>
                          <w:p w14:paraId="6A25E6FA" w14:textId="77777777" w:rsidR="003378CC" w:rsidRPr="006A7D07" w:rsidRDefault="003378CC" w:rsidP="006A7D07">
                            <w:pPr>
                              <w:spacing w:after="0"/>
                              <w:rPr>
                                <w:b/>
                                <w:bCs/>
                                <w:lang w:val="en-GB"/>
                              </w:rPr>
                            </w:pPr>
                            <w:r w:rsidRPr="006A7D07">
                              <w:rPr>
                                <w:b/>
                                <w:bCs/>
                                <w:lang w:val="en-GB"/>
                              </w:rPr>
                              <w:t>1992</w:t>
                            </w:r>
                          </w:p>
                          <w:p w14:paraId="4B1AECAC" w14:textId="77777777" w:rsidR="003378CC" w:rsidRPr="006A7D07" w:rsidRDefault="003378CC" w:rsidP="00653125">
                            <w:pPr>
                              <w:pStyle w:val="ListParagraph"/>
                              <w:numPr>
                                <w:ilvl w:val="0"/>
                                <w:numId w:val="21"/>
                              </w:numPr>
                              <w:spacing w:after="0"/>
                              <w:rPr>
                                <w:rFonts w:eastAsia="Times New Roman"/>
                                <w:lang w:val="en-GB"/>
                              </w:rPr>
                            </w:pPr>
                            <w:r w:rsidRPr="006A7D07">
                              <w:rPr>
                                <w:rFonts w:eastAsia="Times New Roman"/>
                                <w:lang w:val="en-GB"/>
                              </w:rPr>
                              <w:t>Second dose of MMR vaccine recommended and funded for all adolescents 10–14 years</w:t>
                            </w:r>
                          </w:p>
                          <w:p w14:paraId="62F652E1" w14:textId="77777777" w:rsidR="003378CC" w:rsidRPr="006A7D07" w:rsidRDefault="003378CC" w:rsidP="006A7D07">
                            <w:pPr>
                              <w:spacing w:after="0"/>
                              <w:rPr>
                                <w:b/>
                                <w:bCs/>
                                <w:lang w:val="en-GB"/>
                              </w:rPr>
                            </w:pPr>
                            <w:r w:rsidRPr="006A7D07">
                              <w:rPr>
                                <w:b/>
                                <w:bCs/>
                                <w:lang w:val="en-GB"/>
                              </w:rPr>
                              <w:t>1998</w:t>
                            </w:r>
                          </w:p>
                          <w:p w14:paraId="1ED67E1F" w14:textId="77777777" w:rsidR="003378CC" w:rsidRPr="006A7D07" w:rsidRDefault="003378CC" w:rsidP="00653125">
                            <w:pPr>
                              <w:pStyle w:val="ListParagraph"/>
                              <w:numPr>
                                <w:ilvl w:val="0"/>
                                <w:numId w:val="20"/>
                              </w:numPr>
                              <w:spacing w:after="0"/>
                              <w:rPr>
                                <w:rFonts w:eastAsia="Times New Roman"/>
                                <w:lang w:val="en-GB"/>
                              </w:rPr>
                            </w:pPr>
                            <w:r w:rsidRPr="006A7D07">
                              <w:rPr>
                                <w:rFonts w:eastAsia="Times New Roman"/>
                                <w:lang w:val="en-GB"/>
                              </w:rPr>
                              <w:t>Recommended age for first dose of MMR vaccine for Aboriginal and Torres Strait Islander infants in the Northern Territory increased from 9 months to 12 months of age</w:t>
                            </w:r>
                          </w:p>
                          <w:p w14:paraId="25B132D2" w14:textId="77777777" w:rsidR="003378CC" w:rsidRPr="006A7D07" w:rsidRDefault="003378CC" w:rsidP="00653125">
                            <w:pPr>
                              <w:pStyle w:val="ListParagraph"/>
                              <w:numPr>
                                <w:ilvl w:val="0"/>
                                <w:numId w:val="20"/>
                              </w:numPr>
                              <w:spacing w:after="0"/>
                              <w:rPr>
                                <w:rFonts w:eastAsia="Times New Roman"/>
                                <w:lang w:val="en-GB"/>
                              </w:rPr>
                            </w:pPr>
                            <w:r w:rsidRPr="006A7D07">
                              <w:rPr>
                                <w:rFonts w:eastAsia="Times New Roman"/>
                                <w:lang w:val="en-GB"/>
                              </w:rPr>
                              <w:t>Recommended age of second dose of MMR vaccine scheduled at 4–5 years instead of 10–14 years</w:t>
                            </w:r>
                          </w:p>
                          <w:p w14:paraId="19F767AD" w14:textId="77777777" w:rsidR="003378CC" w:rsidRPr="006A7D07" w:rsidRDefault="003378CC" w:rsidP="006A7D07">
                            <w:pPr>
                              <w:spacing w:after="0"/>
                              <w:rPr>
                                <w:b/>
                                <w:bCs/>
                                <w:lang w:val="en-GB"/>
                              </w:rPr>
                            </w:pPr>
                            <w:r w:rsidRPr="006A7D07">
                              <w:rPr>
                                <w:b/>
                                <w:bCs/>
                                <w:lang w:val="en-GB"/>
                              </w:rPr>
                              <w:t>2000</w:t>
                            </w:r>
                          </w:p>
                          <w:p w14:paraId="435112F7" w14:textId="77777777" w:rsidR="003378CC" w:rsidRPr="006A7D07" w:rsidRDefault="003378CC" w:rsidP="00653125">
                            <w:pPr>
                              <w:pStyle w:val="ListParagraph"/>
                              <w:numPr>
                                <w:ilvl w:val="0"/>
                                <w:numId w:val="19"/>
                              </w:numPr>
                              <w:spacing w:after="0"/>
                              <w:rPr>
                                <w:rFonts w:eastAsia="Times New Roman"/>
                                <w:lang w:val="en-GB"/>
                              </w:rPr>
                            </w:pPr>
                            <w:r w:rsidRPr="006A7D07">
                              <w:rPr>
                                <w:rFonts w:eastAsia="Times New Roman"/>
                                <w:lang w:val="en-GB"/>
                              </w:rPr>
                              <w:t>Second dose of MMR vaccine scheduled at 4 years instead of 4–5 years</w:t>
                            </w:r>
                          </w:p>
                          <w:p w14:paraId="185173A3" w14:textId="77777777" w:rsidR="003378CC" w:rsidRPr="006A7D07" w:rsidRDefault="003378CC" w:rsidP="006A7D07">
                            <w:pPr>
                              <w:spacing w:after="0"/>
                              <w:rPr>
                                <w:b/>
                                <w:bCs/>
                                <w:lang w:val="en-GB"/>
                              </w:rPr>
                            </w:pPr>
                            <w:r w:rsidRPr="006A7D07">
                              <w:rPr>
                                <w:b/>
                                <w:bCs/>
                                <w:lang w:val="en-GB"/>
                              </w:rPr>
                              <w:t>2013</w:t>
                            </w:r>
                          </w:p>
                          <w:p w14:paraId="07CDE8E5" w14:textId="77777777" w:rsidR="003378CC" w:rsidRPr="006A7D07" w:rsidRDefault="003378CC" w:rsidP="00653125">
                            <w:pPr>
                              <w:pStyle w:val="ListParagraph"/>
                              <w:numPr>
                                <w:ilvl w:val="0"/>
                                <w:numId w:val="18"/>
                              </w:numPr>
                              <w:spacing w:after="0"/>
                              <w:rPr>
                                <w:rFonts w:eastAsia="Times New Roman"/>
                                <w:lang w:val="en-GB"/>
                              </w:rPr>
                            </w:pPr>
                            <w:r w:rsidRPr="006A7D07">
                              <w:rPr>
                                <w:rFonts w:eastAsia="Times New Roman"/>
                                <w:lang w:val="en-GB"/>
                              </w:rPr>
                              <w:t>Second dose of MMR vaccine moved forward to 18 months of age, administered as MMRV</w:t>
                            </w:r>
                            <w:r w:rsidRPr="00AE3AE8">
                              <w:rPr>
                                <w:rFonts w:eastAsia="Times New Roman"/>
                                <w:vertAlign w:val="superscript"/>
                                <w:lang w:val="en-GB"/>
                              </w:rPr>
                              <w:t>iii</w:t>
                            </w:r>
                          </w:p>
                          <w:p w14:paraId="016C40E8" w14:textId="77777777" w:rsidR="003378CC" w:rsidRPr="006A7D07" w:rsidRDefault="003378CC" w:rsidP="006A7D07">
                            <w:pPr>
                              <w:spacing w:after="0"/>
                              <w:rPr>
                                <w:b/>
                                <w:bCs/>
                                <w:lang w:val="en-GB"/>
                              </w:rPr>
                            </w:pPr>
                            <w:r w:rsidRPr="006A7D07">
                              <w:rPr>
                                <w:b/>
                                <w:bCs/>
                                <w:lang w:val="en-GB"/>
                              </w:rPr>
                              <w:t>2019</w:t>
                            </w:r>
                          </w:p>
                          <w:p w14:paraId="27A56764" w14:textId="26234A6E" w:rsidR="003378CC" w:rsidRPr="006A7D07" w:rsidRDefault="003378CC" w:rsidP="00653125">
                            <w:pPr>
                              <w:pStyle w:val="ListParagraph"/>
                              <w:numPr>
                                <w:ilvl w:val="0"/>
                                <w:numId w:val="17"/>
                              </w:numPr>
                              <w:spacing w:after="0"/>
                              <w:rPr>
                                <w:rFonts w:eastAsia="Times New Roman"/>
                                <w:lang w:val="en-GB"/>
                              </w:rPr>
                            </w:pPr>
                            <w:r w:rsidRPr="006A7D07">
                              <w:rPr>
                                <w:rFonts w:eastAsia="Times New Roman"/>
                                <w:lang w:val="en-GB"/>
                              </w:rPr>
                              <w:t>Recommended age at which infants can receive MMR vaccine for travel to highly endemic areas, during outbreaks, and as post-exposure prophylaxis, lowered to 6 months</w:t>
                            </w:r>
                          </w:p>
                        </w:txbxContent>
                      </wps:txbx>
                      <wps:bodyPr rot="0" vert="horz" wrap="square" lIns="91440" tIns="45720" rIns="91440" bIns="45720" anchor="t" anchorCtr="0">
                        <a:spAutoFit/>
                      </wps:bodyPr>
                    </wps:wsp>
                  </a:graphicData>
                </a:graphic>
              </wp:inline>
            </w:drawing>
          </mc:Choice>
          <mc:Fallback>
            <w:pict>
              <v:shape w14:anchorId="3AF1B6B4" id="_x0000_s1031"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" fillcolor="#f7ecdd" stroked="f">
                <v:textbox style="mso-fit-shape-to-text:t">
                  <w:txbxContent>
                    <w:p w14:paraId="46B19A93" w14:textId="77777777" w:rsidR="003378CC" w:rsidRPr="006A7D07" w:rsidRDefault="003378CC" w:rsidP="006A7D07">
                      <w:pPr>
                        <w:spacing w:after="0"/>
                        <w:rPr>
                          <w:b/>
                          <w:bCs/>
                          <w:lang w:val="en-GB"/>
                        </w:rPr>
                      </w:pPr>
                      <w:r w:rsidRPr="006A7D07">
                        <w:rPr>
                          <w:b/>
                          <w:bCs/>
                          <w:lang w:val="en-GB"/>
                        </w:rPr>
                        <w:t>1975</w:t>
                      </w:r>
                    </w:p>
                    <w:p w14:paraId="2683E467" w14:textId="77777777" w:rsidR="003378CC" w:rsidRPr="006A7D07" w:rsidRDefault="003378CC" w:rsidP="00653125">
                      <w:pPr>
                        <w:pStyle w:val="ListParagraph"/>
                        <w:numPr>
                          <w:ilvl w:val="0"/>
                          <w:numId w:val="24"/>
                        </w:numPr>
                        <w:spacing w:after="0"/>
                        <w:rPr>
                          <w:rFonts w:eastAsia="Times New Roman"/>
                          <w:lang w:val="en-GB"/>
                        </w:rPr>
                      </w:pPr>
                      <w:r w:rsidRPr="006A7D07">
                        <w:rPr>
                          <w:rFonts w:eastAsia="Times New Roman"/>
                          <w:lang w:val="en-GB"/>
                        </w:rPr>
                        <w:t>Measles vaccine funded for all Australian infants at 12 months of age</w:t>
                      </w:r>
                    </w:p>
                    <w:p w14:paraId="2CDE0595" w14:textId="77777777" w:rsidR="003378CC" w:rsidRPr="006A7D07" w:rsidRDefault="003378CC" w:rsidP="006A7D07">
                      <w:pPr>
                        <w:spacing w:after="0"/>
                        <w:rPr>
                          <w:b/>
                          <w:bCs/>
                          <w:lang w:val="en-GB"/>
                        </w:rPr>
                      </w:pPr>
                      <w:r w:rsidRPr="006A7D07">
                        <w:rPr>
                          <w:b/>
                          <w:bCs/>
                          <w:lang w:val="en-GB"/>
                        </w:rPr>
                        <w:t>1984</w:t>
                      </w:r>
                    </w:p>
                    <w:p w14:paraId="5C88E784" w14:textId="77777777" w:rsidR="003378CC" w:rsidRPr="006A7D07" w:rsidRDefault="003378CC" w:rsidP="00653125">
                      <w:pPr>
                        <w:pStyle w:val="ListParagraph"/>
                        <w:numPr>
                          <w:ilvl w:val="0"/>
                          <w:numId w:val="23"/>
                        </w:numPr>
                        <w:spacing w:after="0"/>
                        <w:rPr>
                          <w:rFonts w:eastAsia="Times New Roman"/>
                          <w:lang w:val="en-GB"/>
                        </w:rPr>
                      </w:pPr>
                      <w:r w:rsidRPr="006A7D07">
                        <w:rPr>
                          <w:rFonts w:eastAsia="Times New Roman"/>
                          <w:lang w:val="en-GB"/>
                        </w:rPr>
                        <w:t>MM</w:t>
                      </w:r>
                      <w:r w:rsidRPr="00D0266D">
                        <w:rPr>
                          <w:rFonts w:eastAsia="Times New Roman"/>
                          <w:vertAlign w:val="superscript"/>
                          <w:lang w:val="en-GB"/>
                        </w:rPr>
                        <w:t>i</w:t>
                      </w:r>
                      <w:r w:rsidRPr="006A7D07">
                        <w:rPr>
                          <w:rFonts w:eastAsia="Times New Roman"/>
                          <w:lang w:val="en-GB"/>
                        </w:rPr>
                        <w:t xml:space="preserve"> vaccination of Aboriginal and Torres Strait Islander children in the Northern Territory scheduled at 9 months of age instead of 12 months</w:t>
                      </w:r>
                    </w:p>
                    <w:p w14:paraId="0B268A40" w14:textId="77777777" w:rsidR="003378CC" w:rsidRPr="006A7D07" w:rsidRDefault="003378CC" w:rsidP="006A7D07">
                      <w:pPr>
                        <w:spacing w:after="0"/>
                        <w:rPr>
                          <w:b/>
                          <w:bCs/>
                          <w:lang w:val="en-GB"/>
                        </w:rPr>
                      </w:pPr>
                      <w:r w:rsidRPr="006A7D07">
                        <w:rPr>
                          <w:b/>
                          <w:bCs/>
                          <w:lang w:val="en-GB"/>
                        </w:rPr>
                        <w:t>1989</w:t>
                      </w:r>
                    </w:p>
                    <w:p w14:paraId="60925DD0" w14:textId="77777777" w:rsidR="003378CC" w:rsidRPr="006A7D07" w:rsidRDefault="003378CC" w:rsidP="00653125">
                      <w:pPr>
                        <w:pStyle w:val="ListParagraph"/>
                        <w:numPr>
                          <w:ilvl w:val="0"/>
                          <w:numId w:val="22"/>
                        </w:numPr>
                        <w:spacing w:after="0"/>
                        <w:rPr>
                          <w:rFonts w:eastAsia="Times New Roman"/>
                          <w:lang w:val="en-GB"/>
                        </w:rPr>
                      </w:pPr>
                      <w:r w:rsidRPr="006A7D07">
                        <w:rPr>
                          <w:rFonts w:eastAsia="Times New Roman"/>
                          <w:lang w:val="en-GB"/>
                        </w:rPr>
                        <w:t>MMR</w:t>
                      </w:r>
                      <w:r w:rsidRPr="00D0266D">
                        <w:rPr>
                          <w:rFonts w:eastAsia="Times New Roman"/>
                          <w:vertAlign w:val="superscript"/>
                          <w:lang w:val="en-GB"/>
                        </w:rPr>
                        <w:t>ii</w:t>
                      </w:r>
                      <w:r w:rsidRPr="006A7D07">
                        <w:rPr>
                          <w:rFonts w:eastAsia="Times New Roman"/>
                          <w:lang w:val="en-GB"/>
                        </w:rPr>
                        <w:t xml:space="preserve"> vaccine recommended and funded on the national schedule at 12 months of age (9 months for Aboriginal and Torres Strait Islander infants in the Northern Territory)</w:t>
                      </w:r>
                    </w:p>
                    <w:p w14:paraId="6A25E6FA" w14:textId="77777777" w:rsidR="003378CC" w:rsidRPr="006A7D07" w:rsidRDefault="003378CC" w:rsidP="006A7D07">
                      <w:pPr>
                        <w:spacing w:after="0"/>
                        <w:rPr>
                          <w:b/>
                          <w:bCs/>
                          <w:lang w:val="en-GB"/>
                        </w:rPr>
                      </w:pPr>
                      <w:r w:rsidRPr="006A7D07">
                        <w:rPr>
                          <w:b/>
                          <w:bCs/>
                          <w:lang w:val="en-GB"/>
                        </w:rPr>
                        <w:t>1992</w:t>
                      </w:r>
                    </w:p>
                    <w:p w14:paraId="4B1AECAC" w14:textId="77777777" w:rsidR="003378CC" w:rsidRPr="006A7D07" w:rsidRDefault="003378CC" w:rsidP="00653125">
                      <w:pPr>
                        <w:pStyle w:val="ListParagraph"/>
                        <w:numPr>
                          <w:ilvl w:val="0"/>
                          <w:numId w:val="21"/>
                        </w:numPr>
                        <w:spacing w:after="0"/>
                        <w:rPr>
                          <w:rFonts w:eastAsia="Times New Roman"/>
                          <w:lang w:val="en-GB"/>
                        </w:rPr>
                      </w:pPr>
                      <w:r w:rsidRPr="006A7D07">
                        <w:rPr>
                          <w:rFonts w:eastAsia="Times New Roman"/>
                          <w:lang w:val="en-GB"/>
                        </w:rPr>
                        <w:t>Second dose of MMR vaccine recommended and funded for all adolescents 10–14 years</w:t>
                      </w:r>
                    </w:p>
                    <w:p w14:paraId="62F652E1" w14:textId="77777777" w:rsidR="003378CC" w:rsidRPr="006A7D07" w:rsidRDefault="003378CC" w:rsidP="006A7D07">
                      <w:pPr>
                        <w:spacing w:after="0"/>
                        <w:rPr>
                          <w:b/>
                          <w:bCs/>
                          <w:lang w:val="en-GB"/>
                        </w:rPr>
                      </w:pPr>
                      <w:r w:rsidRPr="006A7D07">
                        <w:rPr>
                          <w:b/>
                          <w:bCs/>
                          <w:lang w:val="en-GB"/>
                        </w:rPr>
                        <w:t>1998</w:t>
                      </w:r>
                    </w:p>
                    <w:p w14:paraId="1ED67E1F" w14:textId="77777777" w:rsidR="003378CC" w:rsidRPr="006A7D07" w:rsidRDefault="003378CC" w:rsidP="00653125">
                      <w:pPr>
                        <w:pStyle w:val="ListParagraph"/>
                        <w:numPr>
                          <w:ilvl w:val="0"/>
                          <w:numId w:val="20"/>
                        </w:numPr>
                        <w:spacing w:after="0"/>
                        <w:rPr>
                          <w:rFonts w:eastAsia="Times New Roman"/>
                          <w:lang w:val="en-GB"/>
                        </w:rPr>
                      </w:pPr>
                      <w:r w:rsidRPr="006A7D07">
                        <w:rPr>
                          <w:rFonts w:eastAsia="Times New Roman"/>
                          <w:lang w:val="en-GB"/>
                        </w:rPr>
                        <w:t>Recommended age for first dose of MMR vaccine for Aboriginal and Torres Strait Islander infants in the Northern Territory increased from 9 months to 12 months of age</w:t>
                      </w:r>
                    </w:p>
                    <w:p w14:paraId="25B132D2" w14:textId="77777777" w:rsidR="003378CC" w:rsidRPr="006A7D07" w:rsidRDefault="003378CC" w:rsidP="00653125">
                      <w:pPr>
                        <w:pStyle w:val="ListParagraph"/>
                        <w:numPr>
                          <w:ilvl w:val="0"/>
                          <w:numId w:val="20"/>
                        </w:numPr>
                        <w:spacing w:after="0"/>
                        <w:rPr>
                          <w:rFonts w:eastAsia="Times New Roman"/>
                          <w:lang w:val="en-GB"/>
                        </w:rPr>
                      </w:pPr>
                      <w:r w:rsidRPr="006A7D07">
                        <w:rPr>
                          <w:rFonts w:eastAsia="Times New Roman"/>
                          <w:lang w:val="en-GB"/>
                        </w:rPr>
                        <w:t>Recommended age of second dose of MMR vaccine scheduled at 4–5 years instead of 10–14 years</w:t>
                      </w:r>
                    </w:p>
                    <w:p w14:paraId="19F767AD" w14:textId="77777777" w:rsidR="003378CC" w:rsidRPr="006A7D07" w:rsidRDefault="003378CC" w:rsidP="006A7D07">
                      <w:pPr>
                        <w:spacing w:after="0"/>
                        <w:rPr>
                          <w:b/>
                          <w:bCs/>
                          <w:lang w:val="en-GB"/>
                        </w:rPr>
                      </w:pPr>
                      <w:r w:rsidRPr="006A7D07">
                        <w:rPr>
                          <w:b/>
                          <w:bCs/>
                          <w:lang w:val="en-GB"/>
                        </w:rPr>
                        <w:t>2000</w:t>
                      </w:r>
                    </w:p>
                    <w:p w14:paraId="435112F7" w14:textId="77777777" w:rsidR="003378CC" w:rsidRPr="006A7D07" w:rsidRDefault="003378CC" w:rsidP="00653125">
                      <w:pPr>
                        <w:pStyle w:val="ListParagraph"/>
                        <w:numPr>
                          <w:ilvl w:val="0"/>
                          <w:numId w:val="19"/>
                        </w:numPr>
                        <w:spacing w:after="0"/>
                        <w:rPr>
                          <w:rFonts w:eastAsia="Times New Roman"/>
                          <w:lang w:val="en-GB"/>
                        </w:rPr>
                      </w:pPr>
                      <w:r w:rsidRPr="006A7D07">
                        <w:rPr>
                          <w:rFonts w:eastAsia="Times New Roman"/>
                          <w:lang w:val="en-GB"/>
                        </w:rPr>
                        <w:t>Second dose of MMR vaccine scheduled at 4 years instead of 4–5 years</w:t>
                      </w:r>
                    </w:p>
                    <w:p w14:paraId="185173A3" w14:textId="77777777" w:rsidR="003378CC" w:rsidRPr="006A7D07" w:rsidRDefault="003378CC" w:rsidP="006A7D07">
                      <w:pPr>
                        <w:spacing w:after="0"/>
                        <w:rPr>
                          <w:b/>
                          <w:bCs/>
                          <w:lang w:val="en-GB"/>
                        </w:rPr>
                      </w:pPr>
                      <w:r w:rsidRPr="006A7D07">
                        <w:rPr>
                          <w:b/>
                          <w:bCs/>
                          <w:lang w:val="en-GB"/>
                        </w:rPr>
                        <w:t>2013</w:t>
                      </w:r>
                    </w:p>
                    <w:p w14:paraId="07CDE8E5" w14:textId="77777777" w:rsidR="003378CC" w:rsidRPr="006A7D07" w:rsidRDefault="003378CC" w:rsidP="00653125">
                      <w:pPr>
                        <w:pStyle w:val="ListParagraph"/>
                        <w:numPr>
                          <w:ilvl w:val="0"/>
                          <w:numId w:val="18"/>
                        </w:numPr>
                        <w:spacing w:after="0"/>
                        <w:rPr>
                          <w:rFonts w:eastAsia="Times New Roman"/>
                          <w:lang w:val="en-GB"/>
                        </w:rPr>
                      </w:pPr>
                      <w:r w:rsidRPr="006A7D07">
                        <w:rPr>
                          <w:rFonts w:eastAsia="Times New Roman"/>
                          <w:lang w:val="en-GB"/>
                        </w:rPr>
                        <w:t>Second dose of MMR vaccine moved forward to 18 months of age, administered as MMRV</w:t>
                      </w:r>
                      <w:r w:rsidRPr="00AE3AE8">
                        <w:rPr>
                          <w:rFonts w:eastAsia="Times New Roman"/>
                          <w:vertAlign w:val="superscript"/>
                          <w:lang w:val="en-GB"/>
                        </w:rPr>
                        <w:t>iii</w:t>
                      </w:r>
                    </w:p>
                    <w:p w14:paraId="016C40E8" w14:textId="77777777" w:rsidR="003378CC" w:rsidRPr="006A7D07" w:rsidRDefault="003378CC" w:rsidP="006A7D07">
                      <w:pPr>
                        <w:spacing w:after="0"/>
                        <w:rPr>
                          <w:b/>
                          <w:bCs/>
                          <w:lang w:val="en-GB"/>
                        </w:rPr>
                      </w:pPr>
                      <w:r w:rsidRPr="006A7D07">
                        <w:rPr>
                          <w:b/>
                          <w:bCs/>
                          <w:lang w:val="en-GB"/>
                        </w:rPr>
                        <w:t>2019</w:t>
                      </w:r>
                    </w:p>
                    <w:p w14:paraId="27A56764" w14:textId="26234A6E" w:rsidR="003378CC" w:rsidRPr="006A7D07" w:rsidRDefault="003378CC" w:rsidP="00653125">
                      <w:pPr>
                        <w:pStyle w:val="ListParagraph"/>
                        <w:numPr>
                          <w:ilvl w:val="0"/>
                          <w:numId w:val="17"/>
                        </w:numPr>
                        <w:spacing w:after="0"/>
                        <w:rPr>
                          <w:rFonts w:eastAsia="Times New Roman"/>
                          <w:lang w:val="en-GB"/>
                        </w:rPr>
                      </w:pPr>
                      <w:r w:rsidRPr="006A7D07">
                        <w:rPr>
                          <w:rFonts w:eastAsia="Times New Roman"/>
                          <w:lang w:val="en-GB"/>
                        </w:rPr>
                        <w:t>Recommended age at which infants can receive MMR vaccine for travel to highly endemic areas, during outbreaks, and as post-exposure prophylaxis, lowered to 6 months</w:t>
                      </w:r>
                    </w:p>
                  </w:txbxContent>
                </v:textbox>
                <w10:anchorlock/>
              </v:shape>
            </w:pict>
          </mc:Fallback>
        </mc:AlternateContent>
      </w:r>
    </w:p>
    <w:p w14:paraId="29533509" w14:textId="7CCFDC6C" w:rsidR="001D5494" w:rsidRPr="00834CDC" w:rsidRDefault="001D5494" w:rsidP="001D5494">
      <w:pPr>
        <w:pStyle w:val="CDIfootnotes"/>
        <w:divId w:val="1988506822"/>
      </w:pPr>
      <w:proofErr w:type="spellStart"/>
      <w:r w:rsidRPr="00834CDC">
        <w:t>i</w:t>
      </w:r>
      <w:proofErr w:type="spellEnd"/>
      <w:r w:rsidRPr="00834CDC">
        <w:tab/>
        <w:t>MM: measles and mumps.</w:t>
      </w:r>
    </w:p>
    <w:p w14:paraId="78266CD6" w14:textId="6018430A" w:rsidR="001D5494" w:rsidRPr="00834CDC" w:rsidRDefault="001D5494" w:rsidP="001D5494">
      <w:pPr>
        <w:pStyle w:val="CDIfootnotes"/>
        <w:divId w:val="1988506822"/>
      </w:pPr>
      <w:r w:rsidRPr="00834CDC">
        <w:t>ii</w:t>
      </w:r>
      <w:r w:rsidRPr="00834CDC">
        <w:tab/>
        <w:t xml:space="preserve">MMR: measles, </w:t>
      </w:r>
      <w:proofErr w:type="gramStart"/>
      <w:r w:rsidRPr="00834CDC">
        <w:t>mumps</w:t>
      </w:r>
      <w:proofErr w:type="gramEnd"/>
      <w:r w:rsidRPr="00834CDC">
        <w:t xml:space="preserve"> and rubella.</w:t>
      </w:r>
    </w:p>
    <w:p w14:paraId="34D9DE6A" w14:textId="444CD76C" w:rsidR="001D5494" w:rsidRPr="00834CDC" w:rsidRDefault="001D5494" w:rsidP="001D5494">
      <w:pPr>
        <w:pStyle w:val="CDIfootnotes"/>
        <w:divId w:val="1988506822"/>
      </w:pPr>
      <w:r w:rsidRPr="00834CDC">
        <w:t>iii</w:t>
      </w:r>
      <w:r w:rsidRPr="00834CDC">
        <w:tab/>
        <w:t xml:space="preserve">MMRV: measles, mumps, </w:t>
      </w:r>
      <w:proofErr w:type="gramStart"/>
      <w:r w:rsidRPr="00834CDC">
        <w:t>rubella</w:t>
      </w:r>
      <w:proofErr w:type="gramEnd"/>
      <w:r w:rsidRPr="00834CDC">
        <w:t xml:space="preserve"> and varicella.</w:t>
      </w:r>
    </w:p>
    <w:p w14:paraId="39BA4E5F" w14:textId="07BE9153" w:rsidR="0033445F" w:rsidRPr="00834CDC" w:rsidRDefault="0033445F" w:rsidP="0033445F">
      <w:pPr>
        <w:divId w:val="1988506822"/>
      </w:pPr>
      <w:r w:rsidRPr="00834CDC">
        <w:t>Measles is a highly contagious airborne disease caused by the measles morbillivirus. It is characterised by fever, malaise, conjunctivitis, coryza and cough during the prodromal stage, followed by the onset of a maculopapular rash.</w:t>
      </w:r>
      <w:r w:rsidRPr="00834CDC">
        <w:rPr>
          <w:vertAlign w:val="superscript"/>
        </w:rPr>
        <w:t>118</w:t>
      </w:r>
      <w:r w:rsidRPr="00834CDC">
        <w:t xml:space="preserve"> The severity of measles illness, complication rates and clinical outcomes vary with age, but there is increased risk in children aged ˂ 5 years and adults aged ≥ 20 years.</w:t>
      </w:r>
      <w:r w:rsidRPr="00834CDC">
        <w:rPr>
          <w:vertAlign w:val="superscript"/>
        </w:rPr>
        <w:t>118</w:t>
      </w:r>
      <w:r w:rsidRPr="00834CDC">
        <w:t xml:space="preserve"> Complications include otitis media, pneumonia, diarrhoea, postinfectious encephalitis, subacute sclerosing panencephalitis (rare) and death.</w:t>
      </w:r>
      <w:r w:rsidRPr="00834CDC">
        <w:rPr>
          <w:vertAlign w:val="superscript"/>
        </w:rPr>
        <w:t>118</w:t>
      </w:r>
      <w:r w:rsidRPr="00834CDC">
        <w:t xml:space="preserve"> </w:t>
      </w:r>
    </w:p>
    <w:p w14:paraId="3B5D62E9" w14:textId="77777777" w:rsidR="0033445F" w:rsidRPr="00834CDC" w:rsidRDefault="0033445F" w:rsidP="0033445F">
      <w:pPr>
        <w:pStyle w:val="Heading2"/>
        <w:divId w:val="1988506822"/>
      </w:pPr>
      <w:r w:rsidRPr="00834CDC">
        <w:t xml:space="preserve">Results </w:t>
      </w:r>
    </w:p>
    <w:p w14:paraId="08A85AAA" w14:textId="77777777" w:rsidR="0033445F" w:rsidRPr="00834CDC" w:rsidRDefault="0033445F" w:rsidP="0033445F">
      <w:pPr>
        <w:divId w:val="1988506822"/>
      </w:pPr>
      <w:r w:rsidRPr="00834CDC">
        <w:t xml:space="preserve">Notification data for measles </w:t>
      </w:r>
      <w:proofErr w:type="gramStart"/>
      <w:r w:rsidRPr="00834CDC">
        <w:t>are presented</w:t>
      </w:r>
      <w:proofErr w:type="gramEnd"/>
      <w:r w:rsidRPr="00834CDC">
        <w:t xml:space="preserve"> for all states and territories for the 2016–2019 period in Table 11. A total of 568 notifications </w:t>
      </w:r>
      <w:proofErr w:type="gramStart"/>
      <w:r w:rsidRPr="00834CDC">
        <w:t>were recorded</w:t>
      </w:r>
      <w:proofErr w:type="gramEnd"/>
      <w:r w:rsidRPr="00834CDC">
        <w:t xml:space="preserve">, of which 12 (2.1%) were reported in Aboriginal and Torres Strait Islander people. The highest notification rate in both Aboriginal and Torres Strait Islander and other people was in children aged less than 5 years (0.8 and 1.4 per 100,000 population per year, respectively). Of the </w:t>
      </w:r>
      <w:proofErr w:type="gramStart"/>
      <w:r w:rsidRPr="00834CDC">
        <w:t>85</w:t>
      </w:r>
      <w:proofErr w:type="gramEnd"/>
      <w:r w:rsidRPr="00834CDC">
        <w:t xml:space="preserve"> measles notifications recorded in children aged less than 5 years old, 55 (64.7%) were among children less than one year old. There were no statistically significant differences between notification rates in Aboriginal and Torres Strait Islander people and other people by age group; however, the notification rate was significantly lower among Aboriginal and Torres Strait Islander people overall (RR: 0.49; 95% CI: 0.2–0.9). Of the 568 notifications of measles over the 2016–2019 period, Aboriginal and Torres Strait Islander status </w:t>
      </w:r>
      <w:proofErr w:type="gramStart"/>
      <w:r w:rsidRPr="00834CDC">
        <w:t>was reported</w:t>
      </w:r>
      <w:proofErr w:type="gramEnd"/>
      <w:r w:rsidRPr="00834CDC">
        <w:t xml:space="preserve"> for 97.5%. </w:t>
      </w:r>
    </w:p>
    <w:p w14:paraId="1EE81DF2" w14:textId="77777777" w:rsidR="009F7131" w:rsidRPr="00834CDC" w:rsidRDefault="009F7131" w:rsidP="009F7131">
      <w:pPr>
        <w:pStyle w:val="CDIFigures"/>
      </w:pPr>
      <w:r w:rsidRPr="00834CDC">
        <w:rPr>
          <w:rStyle w:val="Strong"/>
          <w:b/>
          <w:bCs w:val="0"/>
        </w:rPr>
        <w:lastRenderedPageBreak/>
        <w:t>Table 11: Measles notifications, Australia (all states and territories), 2016–2019, by age and Aboriginal and Torres Strait Islander status</w:t>
      </w:r>
    </w:p>
    <w:tbl>
      <w:tblPr>
        <w:tblStyle w:val="CDI-StandardTable"/>
        <w:tblW w:w="0" w:type="auto"/>
        <w:tblCellMar>
          <w:top w:w="28" w:type="dxa"/>
          <w:bottom w:w="28" w:type="dxa"/>
        </w:tblCellMar>
        <w:tblLook w:val="04A0" w:firstRow="1" w:lastRow="0" w:firstColumn="1" w:lastColumn="0" w:noHBand="0" w:noVBand="1"/>
        <w:tblDescription w:val="Table 11 shows the number and rates per 100,000 population of measles notifications by age and Aboriginal and Torres Strait Islander status, Australia, 2016 to 2019.&#10;"/>
      </w:tblPr>
      <w:tblGrid>
        <w:gridCol w:w="1843"/>
        <w:gridCol w:w="4111"/>
        <w:gridCol w:w="425"/>
        <w:gridCol w:w="1276"/>
        <w:gridCol w:w="1134"/>
        <w:gridCol w:w="1677"/>
      </w:tblGrid>
      <w:tr w:rsidR="009F7131" w:rsidRPr="00834CDC" w14:paraId="3BFE73A4" w14:textId="77777777" w:rsidTr="00946194">
        <w:trPr>
          <w:cnfStyle w:val="100000000000" w:firstRow="1" w:lastRow="0" w:firstColumn="0" w:lastColumn="0" w:oddVBand="0" w:evenVBand="0" w:oddHBand="0" w:evenHBand="0" w:firstRowFirstColumn="0" w:firstRowLastColumn="0" w:lastRowFirstColumn="0" w:lastRowLastColumn="0"/>
          <w:tblHeader/>
        </w:trPr>
        <w:tc>
          <w:tcPr>
            <w:tcW w:w="1843" w:type="dxa"/>
            <w:vMerge w:val="restart"/>
            <w:hideMark/>
          </w:tcPr>
          <w:p w14:paraId="095375AC" w14:textId="4D9D545E" w:rsidR="009F7131" w:rsidRPr="00834CDC" w:rsidRDefault="009F7131" w:rsidP="009F7131">
            <w:pPr>
              <w:pStyle w:val="NormalWeb"/>
              <w:rPr>
                <w:sz w:val="18"/>
                <w:szCs w:val="18"/>
              </w:rPr>
            </w:pPr>
            <w:r w:rsidRPr="00834CDC">
              <w:rPr>
                <w:sz w:val="18"/>
                <w:szCs w:val="18"/>
              </w:rPr>
              <w:t>Age group (years)</w:t>
            </w:r>
          </w:p>
        </w:tc>
        <w:tc>
          <w:tcPr>
            <w:tcW w:w="4111" w:type="dxa"/>
            <w:vMerge w:val="restart"/>
            <w:hideMark/>
          </w:tcPr>
          <w:p w14:paraId="61D60BAB" w14:textId="77777777" w:rsidR="009F7131" w:rsidRPr="00834CDC" w:rsidRDefault="009F7131" w:rsidP="003058F5">
            <w:pPr>
              <w:pStyle w:val="NormalWeb"/>
              <w:rPr>
                <w:sz w:val="18"/>
                <w:szCs w:val="18"/>
              </w:rPr>
            </w:pPr>
            <w:r w:rsidRPr="00834CDC">
              <w:rPr>
                <w:sz w:val="18"/>
                <w:szCs w:val="18"/>
              </w:rPr>
              <w:t>Aboriginal and Torres Strait Islander status</w:t>
            </w:r>
          </w:p>
        </w:tc>
        <w:tc>
          <w:tcPr>
            <w:tcW w:w="4512" w:type="dxa"/>
            <w:gridSpan w:val="4"/>
            <w:hideMark/>
          </w:tcPr>
          <w:p w14:paraId="6B8A8432" w14:textId="4908CBCA" w:rsidR="009F7131" w:rsidRPr="00834CDC" w:rsidRDefault="009F7131" w:rsidP="003058F5">
            <w:pPr>
              <w:pStyle w:val="NormalWeb"/>
              <w:rPr>
                <w:sz w:val="18"/>
                <w:szCs w:val="18"/>
              </w:rPr>
            </w:pPr>
            <w:r w:rsidRPr="00834CDC">
              <w:rPr>
                <w:sz w:val="18"/>
                <w:szCs w:val="18"/>
              </w:rPr>
              <w:t>Notifications</w:t>
            </w:r>
            <w:r w:rsidR="006E1A90" w:rsidRPr="00834CDC">
              <w:rPr>
                <w:sz w:val="18"/>
                <w:szCs w:val="18"/>
              </w:rPr>
              <w:t xml:space="preserve"> </w:t>
            </w:r>
            <w:r w:rsidRPr="00834CDC">
              <w:rPr>
                <w:sz w:val="18"/>
                <w:szCs w:val="18"/>
                <w:vertAlign w:val="superscript"/>
              </w:rPr>
              <w:t>a</w:t>
            </w:r>
            <w:r w:rsidRPr="00834CDC">
              <w:rPr>
                <w:sz w:val="18"/>
                <w:szCs w:val="18"/>
              </w:rPr>
              <w:t xml:space="preserve"> (2016–2019)</w:t>
            </w:r>
          </w:p>
        </w:tc>
      </w:tr>
      <w:tr w:rsidR="009F7131" w:rsidRPr="00834CDC" w14:paraId="04250CD0" w14:textId="77777777" w:rsidTr="00946194">
        <w:trPr>
          <w:cnfStyle w:val="100000000000" w:firstRow="1" w:lastRow="0" w:firstColumn="0" w:lastColumn="0" w:oddVBand="0" w:evenVBand="0" w:oddHBand="0" w:evenHBand="0" w:firstRowFirstColumn="0" w:firstRowLastColumn="0" w:lastRowFirstColumn="0" w:lastRowLastColumn="0"/>
          <w:tblHeader/>
        </w:trPr>
        <w:tc>
          <w:tcPr>
            <w:tcW w:w="1843" w:type="dxa"/>
            <w:vMerge/>
            <w:tcBorders>
              <w:bottom w:val="single" w:sz="2" w:space="0" w:color="808080" w:themeColor="background1" w:themeShade="80"/>
            </w:tcBorders>
            <w:hideMark/>
          </w:tcPr>
          <w:p w14:paraId="2BA72FA0" w14:textId="77777777" w:rsidR="009F7131" w:rsidRPr="00834CDC" w:rsidRDefault="009F7131" w:rsidP="003058F5">
            <w:pPr>
              <w:rPr>
                <w:sz w:val="18"/>
                <w:szCs w:val="18"/>
              </w:rPr>
            </w:pPr>
          </w:p>
        </w:tc>
        <w:tc>
          <w:tcPr>
            <w:tcW w:w="4111" w:type="dxa"/>
            <w:vMerge/>
            <w:tcBorders>
              <w:bottom w:val="single" w:sz="2" w:space="0" w:color="808080" w:themeColor="background1" w:themeShade="80"/>
            </w:tcBorders>
            <w:hideMark/>
          </w:tcPr>
          <w:p w14:paraId="47DAC6D2" w14:textId="77777777" w:rsidR="009F7131" w:rsidRPr="00834CDC" w:rsidRDefault="009F7131" w:rsidP="003058F5">
            <w:pPr>
              <w:rPr>
                <w:sz w:val="18"/>
                <w:szCs w:val="18"/>
              </w:rPr>
            </w:pPr>
          </w:p>
        </w:tc>
        <w:tc>
          <w:tcPr>
            <w:tcW w:w="425" w:type="dxa"/>
            <w:tcBorders>
              <w:bottom w:val="single" w:sz="2" w:space="0" w:color="808080" w:themeColor="background1" w:themeShade="80"/>
            </w:tcBorders>
            <w:hideMark/>
          </w:tcPr>
          <w:p w14:paraId="2F0A3AE2" w14:textId="77777777" w:rsidR="009F7131" w:rsidRPr="00834CDC" w:rsidRDefault="009F7131" w:rsidP="003058F5">
            <w:pPr>
              <w:pStyle w:val="NormalWeb"/>
              <w:rPr>
                <w:sz w:val="18"/>
                <w:szCs w:val="18"/>
              </w:rPr>
            </w:pPr>
            <w:r w:rsidRPr="00834CDC">
              <w:rPr>
                <w:sz w:val="18"/>
                <w:szCs w:val="18"/>
              </w:rPr>
              <w:t>N</w:t>
            </w:r>
          </w:p>
        </w:tc>
        <w:tc>
          <w:tcPr>
            <w:tcW w:w="1276" w:type="dxa"/>
            <w:tcBorders>
              <w:bottom w:val="single" w:sz="2" w:space="0" w:color="808080" w:themeColor="background1" w:themeShade="80"/>
            </w:tcBorders>
            <w:hideMark/>
          </w:tcPr>
          <w:p w14:paraId="3681CCB7" w14:textId="48859DF0" w:rsidR="009F7131" w:rsidRPr="00834CDC" w:rsidRDefault="009F7131" w:rsidP="003058F5">
            <w:pPr>
              <w:pStyle w:val="NormalWeb"/>
              <w:rPr>
                <w:sz w:val="18"/>
                <w:szCs w:val="18"/>
              </w:rPr>
            </w:pPr>
            <w:r w:rsidRPr="00834CDC">
              <w:rPr>
                <w:sz w:val="18"/>
                <w:szCs w:val="18"/>
              </w:rPr>
              <w:t>Rate</w:t>
            </w:r>
            <w:r w:rsidR="006E1A90" w:rsidRPr="00834CDC">
              <w:rPr>
                <w:sz w:val="18"/>
                <w:szCs w:val="18"/>
              </w:rPr>
              <w:t xml:space="preserve"> </w:t>
            </w:r>
            <w:r w:rsidRPr="00834CDC">
              <w:rPr>
                <w:sz w:val="18"/>
                <w:szCs w:val="18"/>
                <w:vertAlign w:val="superscript"/>
              </w:rPr>
              <w:t>b</w:t>
            </w:r>
          </w:p>
        </w:tc>
        <w:tc>
          <w:tcPr>
            <w:tcW w:w="1134" w:type="dxa"/>
            <w:tcBorders>
              <w:bottom w:val="single" w:sz="2" w:space="0" w:color="808080" w:themeColor="background1" w:themeShade="80"/>
            </w:tcBorders>
            <w:hideMark/>
          </w:tcPr>
          <w:p w14:paraId="2C974F70" w14:textId="77777777" w:rsidR="009F7131" w:rsidRPr="00834CDC" w:rsidRDefault="009F7131" w:rsidP="003058F5">
            <w:pPr>
              <w:pStyle w:val="NormalWeb"/>
              <w:rPr>
                <w:sz w:val="18"/>
                <w:szCs w:val="18"/>
              </w:rPr>
            </w:pPr>
            <w:r w:rsidRPr="00834CDC">
              <w:rPr>
                <w:sz w:val="18"/>
                <w:szCs w:val="18"/>
              </w:rPr>
              <w:t>Rate ratio</w:t>
            </w:r>
          </w:p>
        </w:tc>
        <w:tc>
          <w:tcPr>
            <w:tcW w:w="1677" w:type="dxa"/>
            <w:tcBorders>
              <w:bottom w:val="single" w:sz="2" w:space="0" w:color="808080" w:themeColor="background1" w:themeShade="80"/>
            </w:tcBorders>
            <w:hideMark/>
          </w:tcPr>
          <w:p w14:paraId="43CF560D" w14:textId="77777777" w:rsidR="009F7131" w:rsidRPr="00834CDC" w:rsidRDefault="009F7131" w:rsidP="003058F5">
            <w:pPr>
              <w:pStyle w:val="NormalWeb"/>
              <w:rPr>
                <w:sz w:val="18"/>
                <w:szCs w:val="18"/>
              </w:rPr>
            </w:pPr>
            <w:proofErr w:type="gramStart"/>
            <w:r w:rsidRPr="00834CDC">
              <w:rPr>
                <w:sz w:val="18"/>
                <w:szCs w:val="18"/>
              </w:rPr>
              <w:t>95%</w:t>
            </w:r>
            <w:proofErr w:type="gramEnd"/>
            <w:r w:rsidRPr="00834CDC">
              <w:rPr>
                <w:sz w:val="18"/>
                <w:szCs w:val="18"/>
              </w:rPr>
              <w:t xml:space="preserve"> CI for rate ratio</w:t>
            </w:r>
          </w:p>
        </w:tc>
      </w:tr>
      <w:tr w:rsidR="009F7131" w:rsidRPr="00834CDC" w14:paraId="4312BEE9" w14:textId="77777777" w:rsidTr="00946194">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69441B" w14:textId="77777777" w:rsidR="009F7131" w:rsidRPr="00834CDC" w:rsidRDefault="009F7131" w:rsidP="003058F5">
            <w:pPr>
              <w:pStyle w:val="NormalWeb"/>
              <w:rPr>
                <w:sz w:val="18"/>
                <w:szCs w:val="18"/>
              </w:rPr>
            </w:pPr>
            <w:r w:rsidRPr="00834CDC">
              <w:rPr>
                <w:sz w:val="18"/>
                <w:szCs w:val="18"/>
              </w:rPr>
              <w:t>0–4</w:t>
            </w: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6690A9" w14:textId="77777777" w:rsidR="009F7131" w:rsidRPr="00834CDC" w:rsidRDefault="009F7131" w:rsidP="003058F5">
            <w:pPr>
              <w:pStyle w:val="NormalWeb"/>
              <w:rPr>
                <w:sz w:val="18"/>
                <w:szCs w:val="18"/>
              </w:rPr>
            </w:pPr>
            <w:r w:rsidRPr="00834CDC">
              <w:rPr>
                <w:sz w:val="18"/>
                <w:szCs w:val="18"/>
              </w:rPr>
              <w:t>Aboriginal and Torres Strait Islander</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C8567F" w14:textId="77777777" w:rsidR="009F7131" w:rsidRPr="00834CDC" w:rsidRDefault="009F7131" w:rsidP="003058F5">
            <w:pPr>
              <w:pStyle w:val="NormalWeb"/>
              <w:rPr>
                <w:sz w:val="18"/>
                <w:szCs w:val="18"/>
              </w:rPr>
            </w:pPr>
            <w:r w:rsidRPr="00834CDC">
              <w:rPr>
                <w:sz w:val="18"/>
                <w:szCs w:val="18"/>
              </w:rPr>
              <w:t>3</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AB1B54" w14:textId="77777777" w:rsidR="009F7131" w:rsidRPr="00834CDC" w:rsidRDefault="009F7131" w:rsidP="003058F5">
            <w:pPr>
              <w:pStyle w:val="NormalWeb"/>
              <w:rPr>
                <w:sz w:val="18"/>
                <w:szCs w:val="18"/>
              </w:rPr>
            </w:pPr>
            <w:r w:rsidRPr="00834CDC">
              <w:rPr>
                <w:sz w:val="18"/>
                <w:szCs w:val="18"/>
              </w:rPr>
              <w:t>0.79</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445383" w14:textId="77777777" w:rsidR="009F7131" w:rsidRPr="00834CDC" w:rsidRDefault="009F7131" w:rsidP="003058F5">
            <w:pPr>
              <w:pStyle w:val="NormalWeb"/>
              <w:rPr>
                <w:sz w:val="18"/>
                <w:szCs w:val="18"/>
              </w:rPr>
            </w:pPr>
            <w:r w:rsidRPr="00834CDC">
              <w:rPr>
                <w:sz w:val="18"/>
                <w:szCs w:val="18"/>
              </w:rPr>
              <w:t>0.6</w:t>
            </w:r>
          </w:p>
        </w:tc>
        <w:tc>
          <w:tcPr>
            <w:tcW w:w="167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4494F1" w14:textId="77777777" w:rsidR="009F7131" w:rsidRPr="00834CDC" w:rsidRDefault="009F7131" w:rsidP="003058F5">
            <w:pPr>
              <w:pStyle w:val="NormalWeb"/>
              <w:rPr>
                <w:sz w:val="18"/>
                <w:szCs w:val="18"/>
              </w:rPr>
            </w:pPr>
            <w:r w:rsidRPr="00834CDC">
              <w:rPr>
                <w:sz w:val="18"/>
                <w:szCs w:val="18"/>
              </w:rPr>
              <w:t>0.1–1.7</w:t>
            </w:r>
          </w:p>
        </w:tc>
      </w:tr>
      <w:tr w:rsidR="009F7131" w:rsidRPr="00834CDC" w14:paraId="202E27FF" w14:textId="77777777" w:rsidTr="00946194">
        <w:trPr>
          <w:cnfStyle w:val="000000010000" w:firstRow="0" w:lastRow="0" w:firstColumn="0" w:lastColumn="0" w:oddVBand="0" w:evenVBand="0" w:oddHBand="0" w:evenHBand="1" w:firstRowFirstColumn="0" w:firstRowLastColumn="0" w:lastRowFirstColumn="0" w:lastRowLastColumn="0"/>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32D6EC" w14:textId="77777777" w:rsidR="009F7131" w:rsidRPr="00834CDC" w:rsidRDefault="009F7131" w:rsidP="003058F5">
            <w:pPr>
              <w:rPr>
                <w:sz w:val="18"/>
                <w:szCs w:val="18"/>
              </w:rPr>
            </w:pP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6BF340" w14:textId="77777777" w:rsidR="009F7131" w:rsidRPr="00834CDC" w:rsidRDefault="009F7131" w:rsidP="003058F5">
            <w:pPr>
              <w:pStyle w:val="NormalWeb"/>
              <w:rPr>
                <w:sz w:val="18"/>
                <w:szCs w:val="18"/>
              </w:rPr>
            </w:pPr>
            <w:r w:rsidRPr="00834CDC">
              <w:rPr>
                <w:sz w:val="18"/>
                <w:szCs w:val="18"/>
              </w:rPr>
              <w:t>Other</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5FBE16" w14:textId="77777777" w:rsidR="009F7131" w:rsidRPr="00834CDC" w:rsidRDefault="009F7131" w:rsidP="003058F5">
            <w:pPr>
              <w:pStyle w:val="NormalWeb"/>
              <w:rPr>
                <w:sz w:val="18"/>
                <w:szCs w:val="18"/>
              </w:rPr>
            </w:pPr>
            <w:r w:rsidRPr="00834CDC">
              <w:rPr>
                <w:sz w:val="18"/>
                <w:szCs w:val="18"/>
              </w:rPr>
              <w:t>82</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0C11AF" w14:textId="77777777" w:rsidR="009F7131" w:rsidRPr="00834CDC" w:rsidRDefault="009F7131" w:rsidP="003058F5">
            <w:pPr>
              <w:pStyle w:val="NormalWeb"/>
              <w:rPr>
                <w:sz w:val="18"/>
                <w:szCs w:val="18"/>
              </w:rPr>
            </w:pPr>
            <w:r w:rsidRPr="00834CDC">
              <w:rPr>
                <w:sz w:val="18"/>
                <w:szCs w:val="18"/>
              </w:rPr>
              <w:t>1.39</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0F2930" w14:textId="77777777" w:rsidR="009F7131" w:rsidRPr="00834CDC" w:rsidRDefault="009F7131" w:rsidP="003058F5">
            <w:pPr>
              <w:rPr>
                <w:sz w:val="18"/>
                <w:szCs w:val="18"/>
              </w:rPr>
            </w:pPr>
          </w:p>
        </w:tc>
        <w:tc>
          <w:tcPr>
            <w:tcW w:w="167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ABDC46" w14:textId="77777777" w:rsidR="009F7131" w:rsidRPr="00834CDC" w:rsidRDefault="009F7131" w:rsidP="003058F5">
            <w:pPr>
              <w:rPr>
                <w:sz w:val="18"/>
                <w:szCs w:val="18"/>
              </w:rPr>
            </w:pPr>
          </w:p>
        </w:tc>
      </w:tr>
      <w:tr w:rsidR="009F7131" w:rsidRPr="00834CDC" w14:paraId="39B41D22" w14:textId="77777777" w:rsidTr="00946194">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C12ED1" w14:textId="77777777" w:rsidR="009F7131" w:rsidRPr="00834CDC" w:rsidRDefault="009F7131" w:rsidP="003058F5">
            <w:pPr>
              <w:pStyle w:val="NormalWeb"/>
              <w:rPr>
                <w:sz w:val="18"/>
                <w:szCs w:val="18"/>
              </w:rPr>
            </w:pPr>
            <w:r w:rsidRPr="00834CDC">
              <w:rPr>
                <w:sz w:val="18"/>
                <w:szCs w:val="18"/>
              </w:rPr>
              <w:t>5–14</w:t>
            </w: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2DBED8" w14:textId="77777777" w:rsidR="009F7131" w:rsidRPr="00834CDC" w:rsidRDefault="009F7131" w:rsidP="003058F5">
            <w:pPr>
              <w:pStyle w:val="NormalWeb"/>
              <w:rPr>
                <w:sz w:val="18"/>
                <w:szCs w:val="18"/>
              </w:rPr>
            </w:pPr>
            <w:r w:rsidRPr="00834CDC">
              <w:rPr>
                <w:sz w:val="18"/>
                <w:szCs w:val="18"/>
              </w:rPr>
              <w:t>Aboriginal and Torres Strait Islander</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FF6A25" w14:textId="77777777" w:rsidR="009F7131" w:rsidRPr="00834CDC" w:rsidRDefault="009F7131" w:rsidP="003058F5">
            <w:pPr>
              <w:pStyle w:val="NormalWeb"/>
              <w:rPr>
                <w:sz w:val="18"/>
                <w:szCs w:val="18"/>
              </w:rPr>
            </w:pPr>
            <w:r w:rsidRPr="00834CDC">
              <w:rPr>
                <w:sz w:val="18"/>
                <w:szCs w:val="18"/>
              </w:rPr>
              <w:t>2</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97C2B8" w14:textId="77777777" w:rsidR="009F7131" w:rsidRPr="00834CDC" w:rsidRDefault="009F7131" w:rsidP="003058F5">
            <w:pPr>
              <w:pStyle w:val="NormalWeb"/>
              <w:rPr>
                <w:sz w:val="18"/>
                <w:szCs w:val="18"/>
              </w:rPr>
            </w:pPr>
            <w:r w:rsidRPr="00834CDC">
              <w:rPr>
                <w:sz w:val="18"/>
                <w:szCs w:val="18"/>
              </w:rPr>
              <w:t>0.27</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15C5F0" w14:textId="77777777" w:rsidR="009F7131" w:rsidRPr="00834CDC" w:rsidRDefault="009F7131" w:rsidP="003058F5">
            <w:pPr>
              <w:pStyle w:val="NormalWeb"/>
              <w:rPr>
                <w:sz w:val="18"/>
                <w:szCs w:val="18"/>
              </w:rPr>
            </w:pPr>
            <w:r w:rsidRPr="00834CDC">
              <w:rPr>
                <w:sz w:val="18"/>
                <w:szCs w:val="18"/>
              </w:rPr>
              <w:t>0.7</w:t>
            </w:r>
          </w:p>
        </w:tc>
        <w:tc>
          <w:tcPr>
            <w:tcW w:w="167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5771C3" w14:textId="77777777" w:rsidR="009F7131" w:rsidRPr="00834CDC" w:rsidRDefault="009F7131" w:rsidP="003058F5">
            <w:pPr>
              <w:pStyle w:val="NormalWeb"/>
              <w:rPr>
                <w:sz w:val="18"/>
                <w:szCs w:val="18"/>
              </w:rPr>
            </w:pPr>
            <w:r w:rsidRPr="00834CDC">
              <w:rPr>
                <w:sz w:val="18"/>
                <w:szCs w:val="18"/>
              </w:rPr>
              <w:t>0.1–2.6</w:t>
            </w:r>
          </w:p>
        </w:tc>
      </w:tr>
      <w:tr w:rsidR="009F7131" w:rsidRPr="00834CDC" w14:paraId="19127C6A" w14:textId="77777777" w:rsidTr="00946194">
        <w:trPr>
          <w:cnfStyle w:val="000000010000" w:firstRow="0" w:lastRow="0" w:firstColumn="0" w:lastColumn="0" w:oddVBand="0" w:evenVBand="0" w:oddHBand="0" w:evenHBand="1" w:firstRowFirstColumn="0" w:firstRowLastColumn="0" w:lastRowFirstColumn="0" w:lastRowLastColumn="0"/>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CE6C48" w14:textId="77777777" w:rsidR="009F7131" w:rsidRPr="00834CDC" w:rsidRDefault="009F7131" w:rsidP="003058F5">
            <w:pPr>
              <w:rPr>
                <w:sz w:val="18"/>
                <w:szCs w:val="18"/>
              </w:rPr>
            </w:pP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1CD236" w14:textId="77777777" w:rsidR="009F7131" w:rsidRPr="00834CDC" w:rsidRDefault="009F7131" w:rsidP="003058F5">
            <w:pPr>
              <w:pStyle w:val="NormalWeb"/>
              <w:rPr>
                <w:sz w:val="18"/>
                <w:szCs w:val="18"/>
              </w:rPr>
            </w:pPr>
            <w:r w:rsidRPr="00834CDC">
              <w:rPr>
                <w:sz w:val="18"/>
                <w:szCs w:val="18"/>
              </w:rPr>
              <w:t>Other</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B9231C" w14:textId="77777777" w:rsidR="009F7131" w:rsidRPr="00834CDC" w:rsidRDefault="009F7131" w:rsidP="003058F5">
            <w:pPr>
              <w:pStyle w:val="NormalWeb"/>
              <w:rPr>
                <w:sz w:val="18"/>
                <w:szCs w:val="18"/>
              </w:rPr>
            </w:pPr>
            <w:r w:rsidRPr="00834CDC">
              <w:rPr>
                <w:sz w:val="18"/>
                <w:szCs w:val="18"/>
              </w:rPr>
              <w:t>46</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849335" w14:textId="77777777" w:rsidR="009F7131" w:rsidRPr="00834CDC" w:rsidRDefault="009F7131" w:rsidP="003058F5">
            <w:pPr>
              <w:pStyle w:val="NormalWeb"/>
              <w:rPr>
                <w:sz w:val="18"/>
                <w:szCs w:val="18"/>
              </w:rPr>
            </w:pPr>
            <w:r w:rsidRPr="00834CDC">
              <w:rPr>
                <w:sz w:val="18"/>
                <w:szCs w:val="18"/>
              </w:rPr>
              <w:t>0.40</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104544" w14:textId="77777777" w:rsidR="009F7131" w:rsidRPr="00834CDC" w:rsidRDefault="009F7131" w:rsidP="003058F5">
            <w:pPr>
              <w:rPr>
                <w:sz w:val="18"/>
                <w:szCs w:val="18"/>
              </w:rPr>
            </w:pPr>
          </w:p>
        </w:tc>
        <w:tc>
          <w:tcPr>
            <w:tcW w:w="167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3E1758" w14:textId="77777777" w:rsidR="009F7131" w:rsidRPr="00834CDC" w:rsidRDefault="009F7131" w:rsidP="003058F5">
            <w:pPr>
              <w:rPr>
                <w:sz w:val="18"/>
                <w:szCs w:val="18"/>
              </w:rPr>
            </w:pPr>
          </w:p>
        </w:tc>
      </w:tr>
      <w:tr w:rsidR="009F7131" w:rsidRPr="00834CDC" w14:paraId="03C34937" w14:textId="77777777" w:rsidTr="00946194">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3BA248" w14:textId="77777777" w:rsidR="009F7131" w:rsidRPr="00834CDC" w:rsidRDefault="009F7131" w:rsidP="003058F5">
            <w:pPr>
              <w:pStyle w:val="NormalWeb"/>
              <w:rPr>
                <w:sz w:val="18"/>
                <w:szCs w:val="18"/>
              </w:rPr>
            </w:pPr>
            <w:r w:rsidRPr="00834CDC">
              <w:rPr>
                <w:sz w:val="18"/>
                <w:szCs w:val="18"/>
              </w:rPr>
              <w:t>15–24</w:t>
            </w: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CD91B4" w14:textId="77777777" w:rsidR="009F7131" w:rsidRPr="00834CDC" w:rsidRDefault="009F7131" w:rsidP="003058F5">
            <w:pPr>
              <w:pStyle w:val="NormalWeb"/>
              <w:rPr>
                <w:sz w:val="18"/>
                <w:szCs w:val="18"/>
              </w:rPr>
            </w:pPr>
            <w:r w:rsidRPr="00834CDC">
              <w:rPr>
                <w:sz w:val="18"/>
                <w:szCs w:val="18"/>
              </w:rPr>
              <w:t>Aboriginal and Torres Strait Islander</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5B6F72" w14:textId="77777777" w:rsidR="009F7131" w:rsidRPr="00834CDC" w:rsidRDefault="009F7131" w:rsidP="003058F5">
            <w:pPr>
              <w:pStyle w:val="NormalWeb"/>
              <w:rPr>
                <w:sz w:val="18"/>
                <w:szCs w:val="18"/>
              </w:rPr>
            </w:pPr>
            <w:r w:rsidRPr="00834CDC">
              <w:rPr>
                <w:sz w:val="18"/>
                <w:szCs w:val="18"/>
              </w:rPr>
              <w:t>3</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CF4614" w14:textId="77777777" w:rsidR="009F7131" w:rsidRPr="00834CDC" w:rsidRDefault="009F7131" w:rsidP="003058F5">
            <w:pPr>
              <w:pStyle w:val="NormalWeb"/>
              <w:rPr>
                <w:sz w:val="18"/>
                <w:szCs w:val="18"/>
              </w:rPr>
            </w:pPr>
            <w:r w:rsidRPr="00834CDC">
              <w:rPr>
                <w:sz w:val="18"/>
                <w:szCs w:val="18"/>
              </w:rPr>
              <w:t>0.47</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C022B1" w14:textId="77777777" w:rsidR="009F7131" w:rsidRPr="00834CDC" w:rsidRDefault="009F7131" w:rsidP="003058F5">
            <w:pPr>
              <w:pStyle w:val="NormalWeb"/>
              <w:rPr>
                <w:sz w:val="18"/>
                <w:szCs w:val="18"/>
              </w:rPr>
            </w:pPr>
            <w:r w:rsidRPr="00834CDC">
              <w:rPr>
                <w:sz w:val="18"/>
                <w:szCs w:val="18"/>
              </w:rPr>
              <w:t>0.4</w:t>
            </w:r>
          </w:p>
        </w:tc>
        <w:tc>
          <w:tcPr>
            <w:tcW w:w="167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FFA755" w14:textId="77777777" w:rsidR="009F7131" w:rsidRPr="00834CDC" w:rsidRDefault="009F7131" w:rsidP="003058F5">
            <w:pPr>
              <w:pStyle w:val="NormalWeb"/>
              <w:rPr>
                <w:sz w:val="18"/>
                <w:szCs w:val="18"/>
              </w:rPr>
            </w:pPr>
            <w:r w:rsidRPr="00834CDC">
              <w:rPr>
                <w:sz w:val="18"/>
                <w:szCs w:val="18"/>
              </w:rPr>
              <w:t>0.1–1.1</w:t>
            </w:r>
          </w:p>
        </w:tc>
      </w:tr>
      <w:tr w:rsidR="009F7131" w:rsidRPr="00834CDC" w14:paraId="753F287B" w14:textId="77777777" w:rsidTr="00946194">
        <w:trPr>
          <w:cnfStyle w:val="000000010000" w:firstRow="0" w:lastRow="0" w:firstColumn="0" w:lastColumn="0" w:oddVBand="0" w:evenVBand="0" w:oddHBand="0" w:evenHBand="1" w:firstRowFirstColumn="0" w:firstRowLastColumn="0" w:lastRowFirstColumn="0" w:lastRowLastColumn="0"/>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DC74A8" w14:textId="77777777" w:rsidR="009F7131" w:rsidRPr="00834CDC" w:rsidRDefault="009F7131" w:rsidP="003058F5">
            <w:pPr>
              <w:rPr>
                <w:sz w:val="18"/>
                <w:szCs w:val="18"/>
              </w:rPr>
            </w:pP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743B48" w14:textId="77777777" w:rsidR="009F7131" w:rsidRPr="00834CDC" w:rsidRDefault="009F7131" w:rsidP="003058F5">
            <w:pPr>
              <w:pStyle w:val="NormalWeb"/>
              <w:rPr>
                <w:sz w:val="18"/>
                <w:szCs w:val="18"/>
              </w:rPr>
            </w:pPr>
            <w:r w:rsidRPr="00834CDC">
              <w:rPr>
                <w:sz w:val="18"/>
                <w:szCs w:val="18"/>
              </w:rPr>
              <w:t>Other</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130282" w14:textId="77777777" w:rsidR="009F7131" w:rsidRPr="00834CDC" w:rsidRDefault="009F7131" w:rsidP="003058F5">
            <w:pPr>
              <w:pStyle w:val="NormalWeb"/>
              <w:rPr>
                <w:sz w:val="18"/>
                <w:szCs w:val="18"/>
              </w:rPr>
            </w:pPr>
            <w:r w:rsidRPr="00834CDC">
              <w:rPr>
                <w:sz w:val="18"/>
                <w:szCs w:val="18"/>
              </w:rPr>
              <w:t>154</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542EC3" w14:textId="77777777" w:rsidR="009F7131" w:rsidRPr="00834CDC" w:rsidRDefault="009F7131" w:rsidP="003058F5">
            <w:pPr>
              <w:pStyle w:val="NormalWeb"/>
              <w:rPr>
                <w:sz w:val="18"/>
                <w:szCs w:val="18"/>
              </w:rPr>
            </w:pPr>
            <w:r w:rsidRPr="00834CDC">
              <w:rPr>
                <w:sz w:val="18"/>
                <w:szCs w:val="18"/>
              </w:rPr>
              <w:t>1.26</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92BA4B" w14:textId="77777777" w:rsidR="009F7131" w:rsidRPr="00834CDC" w:rsidRDefault="009F7131" w:rsidP="003058F5">
            <w:pPr>
              <w:rPr>
                <w:sz w:val="18"/>
                <w:szCs w:val="18"/>
              </w:rPr>
            </w:pPr>
          </w:p>
        </w:tc>
        <w:tc>
          <w:tcPr>
            <w:tcW w:w="167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01A5B6" w14:textId="77777777" w:rsidR="009F7131" w:rsidRPr="00834CDC" w:rsidRDefault="009F7131" w:rsidP="003058F5">
            <w:pPr>
              <w:rPr>
                <w:sz w:val="18"/>
                <w:szCs w:val="18"/>
              </w:rPr>
            </w:pPr>
          </w:p>
        </w:tc>
      </w:tr>
      <w:tr w:rsidR="009F7131" w:rsidRPr="00834CDC" w14:paraId="3712465C" w14:textId="77777777" w:rsidTr="00946194">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00F012" w14:textId="77777777" w:rsidR="009F7131" w:rsidRPr="00834CDC" w:rsidRDefault="009F7131" w:rsidP="003058F5">
            <w:pPr>
              <w:pStyle w:val="NormalWeb"/>
              <w:rPr>
                <w:sz w:val="18"/>
                <w:szCs w:val="18"/>
              </w:rPr>
            </w:pPr>
            <w:r w:rsidRPr="00834CDC">
              <w:rPr>
                <w:sz w:val="18"/>
                <w:szCs w:val="18"/>
              </w:rPr>
              <w:t>25–49</w:t>
            </w: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069FE8" w14:textId="77777777" w:rsidR="009F7131" w:rsidRPr="00834CDC" w:rsidRDefault="009F7131" w:rsidP="003058F5">
            <w:pPr>
              <w:pStyle w:val="NormalWeb"/>
              <w:rPr>
                <w:sz w:val="18"/>
                <w:szCs w:val="18"/>
              </w:rPr>
            </w:pPr>
            <w:r w:rsidRPr="00834CDC">
              <w:rPr>
                <w:sz w:val="18"/>
                <w:szCs w:val="18"/>
              </w:rPr>
              <w:t>Aboriginal and Torres Strait Islander</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31580D" w14:textId="77777777" w:rsidR="009F7131" w:rsidRPr="00834CDC" w:rsidRDefault="009F7131" w:rsidP="003058F5">
            <w:pPr>
              <w:pStyle w:val="NormalWeb"/>
              <w:rPr>
                <w:sz w:val="18"/>
                <w:szCs w:val="18"/>
              </w:rPr>
            </w:pPr>
            <w:r w:rsidRPr="00834CDC">
              <w:rPr>
                <w:sz w:val="18"/>
                <w:szCs w:val="18"/>
              </w:rPr>
              <w:t>4</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0BE394" w14:textId="77777777" w:rsidR="009F7131" w:rsidRPr="00834CDC" w:rsidRDefault="009F7131" w:rsidP="003058F5">
            <w:pPr>
              <w:pStyle w:val="NormalWeb"/>
              <w:rPr>
                <w:sz w:val="18"/>
                <w:szCs w:val="18"/>
              </w:rPr>
            </w:pPr>
            <w:r w:rsidRPr="00834CDC">
              <w:rPr>
                <w:sz w:val="18"/>
                <w:szCs w:val="18"/>
              </w:rPr>
              <w:t>0.39</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26A472" w14:textId="77777777" w:rsidR="009F7131" w:rsidRPr="00834CDC" w:rsidRDefault="009F7131" w:rsidP="003058F5">
            <w:pPr>
              <w:pStyle w:val="NormalWeb"/>
              <w:rPr>
                <w:sz w:val="18"/>
                <w:szCs w:val="18"/>
              </w:rPr>
            </w:pPr>
            <w:r w:rsidRPr="00834CDC">
              <w:rPr>
                <w:sz w:val="18"/>
                <w:szCs w:val="18"/>
              </w:rPr>
              <w:t>0.5</w:t>
            </w:r>
          </w:p>
        </w:tc>
        <w:tc>
          <w:tcPr>
            <w:tcW w:w="167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7F70AB" w14:textId="77777777" w:rsidR="009F7131" w:rsidRPr="00834CDC" w:rsidRDefault="009F7131" w:rsidP="003058F5">
            <w:pPr>
              <w:pStyle w:val="NormalWeb"/>
              <w:rPr>
                <w:sz w:val="18"/>
                <w:szCs w:val="18"/>
              </w:rPr>
            </w:pPr>
            <w:r w:rsidRPr="00834CDC">
              <w:rPr>
                <w:sz w:val="18"/>
                <w:szCs w:val="18"/>
              </w:rPr>
              <w:t>0.1–1.3</w:t>
            </w:r>
          </w:p>
        </w:tc>
      </w:tr>
      <w:tr w:rsidR="009F7131" w:rsidRPr="00834CDC" w14:paraId="7A986A4F" w14:textId="77777777" w:rsidTr="00946194">
        <w:trPr>
          <w:cnfStyle w:val="000000010000" w:firstRow="0" w:lastRow="0" w:firstColumn="0" w:lastColumn="0" w:oddVBand="0" w:evenVBand="0" w:oddHBand="0" w:evenHBand="1" w:firstRowFirstColumn="0" w:firstRowLastColumn="0" w:lastRowFirstColumn="0" w:lastRowLastColumn="0"/>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220306" w14:textId="77777777" w:rsidR="009F7131" w:rsidRPr="00834CDC" w:rsidRDefault="009F7131" w:rsidP="003058F5">
            <w:pPr>
              <w:rPr>
                <w:sz w:val="18"/>
                <w:szCs w:val="18"/>
              </w:rPr>
            </w:pP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DAE195" w14:textId="77777777" w:rsidR="009F7131" w:rsidRPr="00834CDC" w:rsidRDefault="009F7131" w:rsidP="003058F5">
            <w:pPr>
              <w:pStyle w:val="NormalWeb"/>
              <w:rPr>
                <w:sz w:val="18"/>
                <w:szCs w:val="18"/>
              </w:rPr>
            </w:pPr>
            <w:r w:rsidRPr="00834CDC">
              <w:rPr>
                <w:sz w:val="18"/>
                <w:szCs w:val="18"/>
              </w:rPr>
              <w:t>Other</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0CFA42" w14:textId="77777777" w:rsidR="009F7131" w:rsidRPr="00834CDC" w:rsidRDefault="009F7131" w:rsidP="003058F5">
            <w:pPr>
              <w:pStyle w:val="NormalWeb"/>
              <w:rPr>
                <w:sz w:val="18"/>
                <w:szCs w:val="18"/>
              </w:rPr>
            </w:pPr>
            <w:r w:rsidRPr="00834CDC">
              <w:rPr>
                <w:sz w:val="18"/>
                <w:szCs w:val="18"/>
              </w:rPr>
              <w:t>260</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E96361" w14:textId="77777777" w:rsidR="009F7131" w:rsidRPr="00834CDC" w:rsidRDefault="009F7131" w:rsidP="003058F5">
            <w:pPr>
              <w:pStyle w:val="NormalWeb"/>
              <w:rPr>
                <w:sz w:val="18"/>
                <w:szCs w:val="18"/>
              </w:rPr>
            </w:pPr>
            <w:r w:rsidRPr="00834CDC">
              <w:rPr>
                <w:sz w:val="18"/>
                <w:szCs w:val="18"/>
              </w:rPr>
              <w:t>0.77</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968349" w14:textId="77777777" w:rsidR="009F7131" w:rsidRPr="00834CDC" w:rsidRDefault="009F7131" w:rsidP="003058F5">
            <w:pPr>
              <w:rPr>
                <w:sz w:val="18"/>
                <w:szCs w:val="18"/>
              </w:rPr>
            </w:pPr>
          </w:p>
        </w:tc>
        <w:tc>
          <w:tcPr>
            <w:tcW w:w="167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377BE2" w14:textId="77777777" w:rsidR="009F7131" w:rsidRPr="00834CDC" w:rsidRDefault="009F7131" w:rsidP="003058F5">
            <w:pPr>
              <w:rPr>
                <w:sz w:val="18"/>
                <w:szCs w:val="18"/>
              </w:rPr>
            </w:pPr>
          </w:p>
        </w:tc>
      </w:tr>
      <w:tr w:rsidR="009F7131" w:rsidRPr="00834CDC" w14:paraId="1430EC3C" w14:textId="77777777" w:rsidTr="00946194">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335767" w14:textId="77777777" w:rsidR="009F7131" w:rsidRPr="00834CDC" w:rsidRDefault="009F7131" w:rsidP="003058F5">
            <w:pPr>
              <w:pStyle w:val="NormalWeb"/>
              <w:rPr>
                <w:sz w:val="18"/>
                <w:szCs w:val="18"/>
              </w:rPr>
            </w:pPr>
            <w:r w:rsidRPr="00834CDC">
              <w:rPr>
                <w:sz w:val="18"/>
                <w:szCs w:val="18"/>
              </w:rPr>
              <w:t>50+</w:t>
            </w: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ACEA41" w14:textId="77777777" w:rsidR="009F7131" w:rsidRPr="00834CDC" w:rsidRDefault="009F7131" w:rsidP="003058F5">
            <w:pPr>
              <w:pStyle w:val="NormalWeb"/>
              <w:rPr>
                <w:sz w:val="18"/>
                <w:szCs w:val="18"/>
              </w:rPr>
            </w:pPr>
            <w:r w:rsidRPr="00834CDC">
              <w:rPr>
                <w:sz w:val="18"/>
                <w:szCs w:val="18"/>
              </w:rPr>
              <w:t>Aboriginal and Torres Strait Islander</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A37F4E" w14:textId="77777777" w:rsidR="009F7131" w:rsidRPr="00834CDC" w:rsidRDefault="009F7131" w:rsidP="003058F5">
            <w:pPr>
              <w:pStyle w:val="NormalWeb"/>
              <w:rPr>
                <w:sz w:val="18"/>
                <w:szCs w:val="18"/>
              </w:rPr>
            </w:pPr>
            <w:r w:rsidRPr="00834CDC">
              <w:rPr>
                <w:sz w:val="18"/>
                <w:szCs w:val="18"/>
              </w:rPr>
              <w:t>0</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5795F4" w14:textId="77777777" w:rsidR="009F7131" w:rsidRPr="00834CDC" w:rsidRDefault="009F7131" w:rsidP="003058F5">
            <w:pPr>
              <w:pStyle w:val="NormalWeb"/>
              <w:rPr>
                <w:sz w:val="18"/>
                <w:szCs w:val="18"/>
              </w:rPr>
            </w:pPr>
            <w:r w:rsidRPr="00834CDC">
              <w:rPr>
                <w:sz w:val="18"/>
                <w:szCs w:val="18"/>
              </w:rPr>
              <w:t>0.00</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205C9C" w14:textId="77777777" w:rsidR="009F7131" w:rsidRPr="00834CDC" w:rsidRDefault="009F7131" w:rsidP="003058F5">
            <w:pPr>
              <w:pStyle w:val="NormalWeb"/>
              <w:rPr>
                <w:sz w:val="18"/>
                <w:szCs w:val="18"/>
              </w:rPr>
            </w:pPr>
            <w:r w:rsidRPr="00834CDC">
              <w:rPr>
                <w:sz w:val="18"/>
                <w:szCs w:val="18"/>
              </w:rPr>
              <w:t>0.0</w:t>
            </w:r>
          </w:p>
        </w:tc>
        <w:tc>
          <w:tcPr>
            <w:tcW w:w="167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8D9243" w14:textId="77777777" w:rsidR="009F7131" w:rsidRPr="00834CDC" w:rsidRDefault="009F7131" w:rsidP="003058F5">
            <w:pPr>
              <w:pStyle w:val="NormalWeb"/>
              <w:rPr>
                <w:sz w:val="18"/>
                <w:szCs w:val="18"/>
              </w:rPr>
            </w:pPr>
            <w:r w:rsidRPr="00834CDC">
              <w:rPr>
                <w:sz w:val="18"/>
                <w:szCs w:val="18"/>
              </w:rPr>
              <w:t>0.0–18.4</w:t>
            </w:r>
          </w:p>
        </w:tc>
      </w:tr>
      <w:tr w:rsidR="009F7131" w:rsidRPr="00834CDC" w14:paraId="70DC592D" w14:textId="77777777" w:rsidTr="00946194">
        <w:trPr>
          <w:cnfStyle w:val="000000010000" w:firstRow="0" w:lastRow="0" w:firstColumn="0" w:lastColumn="0" w:oddVBand="0" w:evenVBand="0" w:oddHBand="0" w:evenHBand="1" w:firstRowFirstColumn="0" w:firstRowLastColumn="0" w:lastRowFirstColumn="0" w:lastRowLastColumn="0"/>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E36FBF" w14:textId="77777777" w:rsidR="009F7131" w:rsidRPr="00834CDC" w:rsidRDefault="009F7131" w:rsidP="003058F5">
            <w:pPr>
              <w:rPr>
                <w:sz w:val="18"/>
                <w:szCs w:val="18"/>
              </w:rPr>
            </w:pP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42C3D6" w14:textId="77777777" w:rsidR="009F7131" w:rsidRPr="00834CDC" w:rsidRDefault="009F7131" w:rsidP="003058F5">
            <w:pPr>
              <w:pStyle w:val="NormalWeb"/>
              <w:rPr>
                <w:sz w:val="18"/>
                <w:szCs w:val="18"/>
              </w:rPr>
            </w:pPr>
            <w:r w:rsidRPr="00834CDC">
              <w:rPr>
                <w:sz w:val="18"/>
                <w:szCs w:val="18"/>
              </w:rPr>
              <w:t>Other</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5FAD3B" w14:textId="77777777" w:rsidR="009F7131" w:rsidRPr="00834CDC" w:rsidRDefault="009F7131" w:rsidP="003058F5">
            <w:pPr>
              <w:pStyle w:val="NormalWeb"/>
              <w:rPr>
                <w:sz w:val="18"/>
                <w:szCs w:val="18"/>
              </w:rPr>
            </w:pPr>
            <w:r w:rsidRPr="00834CDC">
              <w:rPr>
                <w:sz w:val="18"/>
                <w:szCs w:val="18"/>
              </w:rPr>
              <w:t>14</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8564A8" w14:textId="77777777" w:rsidR="009F7131" w:rsidRPr="00834CDC" w:rsidRDefault="009F7131" w:rsidP="003058F5">
            <w:pPr>
              <w:pStyle w:val="NormalWeb"/>
              <w:rPr>
                <w:sz w:val="18"/>
                <w:szCs w:val="18"/>
              </w:rPr>
            </w:pPr>
            <w:r w:rsidRPr="00834CDC">
              <w:rPr>
                <w:sz w:val="18"/>
                <w:szCs w:val="18"/>
              </w:rPr>
              <w:t>0.04</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737206" w14:textId="77777777" w:rsidR="009F7131" w:rsidRPr="00834CDC" w:rsidRDefault="009F7131" w:rsidP="003058F5">
            <w:pPr>
              <w:rPr>
                <w:sz w:val="18"/>
                <w:szCs w:val="18"/>
              </w:rPr>
            </w:pPr>
          </w:p>
        </w:tc>
        <w:tc>
          <w:tcPr>
            <w:tcW w:w="167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EA26B9" w14:textId="77777777" w:rsidR="009F7131" w:rsidRPr="00834CDC" w:rsidRDefault="009F7131" w:rsidP="003058F5">
            <w:pPr>
              <w:rPr>
                <w:sz w:val="18"/>
                <w:szCs w:val="18"/>
              </w:rPr>
            </w:pPr>
          </w:p>
        </w:tc>
      </w:tr>
      <w:tr w:rsidR="009F7131" w:rsidRPr="00834CDC" w14:paraId="0EF4ED1E" w14:textId="77777777" w:rsidTr="00946194">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056089C" w14:textId="717EE8C9" w:rsidR="009F7131" w:rsidRPr="00834CDC" w:rsidRDefault="009F7131" w:rsidP="003058F5">
            <w:pPr>
              <w:pStyle w:val="NormalWeb"/>
              <w:rPr>
                <w:b/>
                <w:bCs/>
                <w:sz w:val="18"/>
                <w:szCs w:val="18"/>
              </w:rPr>
            </w:pPr>
            <w:r w:rsidRPr="00834CDC">
              <w:rPr>
                <w:b/>
                <w:bCs/>
                <w:sz w:val="18"/>
                <w:szCs w:val="18"/>
              </w:rPr>
              <w:t>All ages</w:t>
            </w:r>
            <w:r w:rsidR="006E1A90" w:rsidRPr="00834CDC">
              <w:rPr>
                <w:b/>
                <w:bCs/>
                <w:sz w:val="18"/>
                <w:szCs w:val="18"/>
              </w:rPr>
              <w:t xml:space="preserve"> </w:t>
            </w:r>
            <w:r w:rsidRPr="00834CDC">
              <w:rPr>
                <w:b/>
                <w:bCs/>
                <w:sz w:val="18"/>
                <w:szCs w:val="18"/>
                <w:vertAlign w:val="superscript"/>
              </w:rPr>
              <w:t>c</w:t>
            </w: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F952CDB" w14:textId="77777777" w:rsidR="009F7131" w:rsidRPr="00834CDC" w:rsidRDefault="009F7131" w:rsidP="003058F5">
            <w:pPr>
              <w:pStyle w:val="NormalWeb"/>
              <w:rPr>
                <w:b/>
                <w:bCs/>
                <w:sz w:val="18"/>
                <w:szCs w:val="18"/>
              </w:rPr>
            </w:pPr>
            <w:r w:rsidRPr="00834CDC">
              <w:rPr>
                <w:b/>
                <w:bCs/>
                <w:sz w:val="18"/>
                <w:szCs w:val="18"/>
              </w:rPr>
              <w:t>Aboriginal and Torres Strait Islander</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8E67B6A" w14:textId="77777777" w:rsidR="009F7131" w:rsidRPr="00834CDC" w:rsidRDefault="009F7131" w:rsidP="003058F5">
            <w:pPr>
              <w:pStyle w:val="NormalWeb"/>
              <w:rPr>
                <w:b/>
                <w:bCs/>
                <w:sz w:val="18"/>
                <w:szCs w:val="18"/>
              </w:rPr>
            </w:pPr>
            <w:r w:rsidRPr="00834CDC">
              <w:rPr>
                <w:b/>
                <w:bCs/>
                <w:sz w:val="18"/>
                <w:szCs w:val="18"/>
              </w:rPr>
              <w:t>12</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D1971A3" w14:textId="77777777" w:rsidR="009F7131" w:rsidRPr="00834CDC" w:rsidRDefault="009F7131" w:rsidP="003058F5">
            <w:pPr>
              <w:pStyle w:val="NormalWeb"/>
              <w:rPr>
                <w:b/>
                <w:bCs/>
                <w:sz w:val="18"/>
                <w:szCs w:val="18"/>
              </w:rPr>
            </w:pPr>
            <w:r w:rsidRPr="00834CDC">
              <w:rPr>
                <w:b/>
                <w:bCs/>
                <w:sz w:val="18"/>
                <w:szCs w:val="18"/>
              </w:rPr>
              <w:t>0.29</w:t>
            </w:r>
          </w:p>
        </w:tc>
        <w:tc>
          <w:tcPr>
            <w:tcW w:w="113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4297C25" w14:textId="77777777" w:rsidR="009F7131" w:rsidRPr="00834CDC" w:rsidRDefault="009F7131" w:rsidP="003058F5">
            <w:pPr>
              <w:pStyle w:val="NormalWeb"/>
              <w:rPr>
                <w:b/>
                <w:bCs/>
                <w:sz w:val="18"/>
                <w:szCs w:val="18"/>
              </w:rPr>
            </w:pPr>
            <w:r w:rsidRPr="00834CDC">
              <w:rPr>
                <w:b/>
                <w:bCs/>
                <w:sz w:val="18"/>
                <w:szCs w:val="18"/>
              </w:rPr>
              <w:t>0.49</w:t>
            </w:r>
          </w:p>
        </w:tc>
        <w:tc>
          <w:tcPr>
            <w:tcW w:w="167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68C49B8" w14:textId="77777777" w:rsidR="009F7131" w:rsidRPr="00834CDC" w:rsidRDefault="009F7131" w:rsidP="003058F5">
            <w:pPr>
              <w:pStyle w:val="NormalWeb"/>
              <w:rPr>
                <w:b/>
                <w:bCs/>
                <w:sz w:val="18"/>
                <w:szCs w:val="18"/>
              </w:rPr>
            </w:pPr>
            <w:r w:rsidRPr="00834CDC">
              <w:rPr>
                <w:b/>
                <w:bCs/>
                <w:sz w:val="18"/>
                <w:szCs w:val="18"/>
              </w:rPr>
              <w:t>0.2–0.9</w:t>
            </w:r>
          </w:p>
        </w:tc>
      </w:tr>
      <w:tr w:rsidR="009F7131" w:rsidRPr="00834CDC" w14:paraId="2660CD74" w14:textId="77777777" w:rsidTr="00946194">
        <w:trPr>
          <w:cnfStyle w:val="000000010000" w:firstRow="0" w:lastRow="0" w:firstColumn="0" w:lastColumn="0" w:oddVBand="0" w:evenVBand="0" w:oddHBand="0" w:evenHBand="1" w:firstRowFirstColumn="0" w:firstRowLastColumn="0" w:lastRowFirstColumn="0" w:lastRowLastColumn="0"/>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5394022" w14:textId="77777777" w:rsidR="009F7131" w:rsidRPr="00834CDC" w:rsidRDefault="009F7131" w:rsidP="003058F5">
            <w:pPr>
              <w:rPr>
                <w:b/>
                <w:bCs/>
                <w:sz w:val="18"/>
                <w:szCs w:val="18"/>
              </w:rPr>
            </w:pP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05E46F2" w14:textId="77777777" w:rsidR="009F7131" w:rsidRPr="00834CDC" w:rsidRDefault="009F7131" w:rsidP="003058F5">
            <w:pPr>
              <w:pStyle w:val="NormalWeb"/>
              <w:rPr>
                <w:b/>
                <w:bCs/>
                <w:sz w:val="18"/>
                <w:szCs w:val="18"/>
              </w:rPr>
            </w:pPr>
            <w:r w:rsidRPr="00834CDC">
              <w:rPr>
                <w:b/>
                <w:bCs/>
                <w:sz w:val="18"/>
                <w:szCs w:val="18"/>
              </w:rPr>
              <w:t>Other</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BD48FA7" w14:textId="77777777" w:rsidR="009F7131" w:rsidRPr="00834CDC" w:rsidRDefault="009F7131" w:rsidP="003058F5">
            <w:pPr>
              <w:pStyle w:val="NormalWeb"/>
              <w:rPr>
                <w:b/>
                <w:bCs/>
                <w:sz w:val="18"/>
                <w:szCs w:val="18"/>
              </w:rPr>
            </w:pPr>
            <w:r w:rsidRPr="00834CDC">
              <w:rPr>
                <w:b/>
                <w:bCs/>
                <w:sz w:val="18"/>
                <w:szCs w:val="18"/>
              </w:rPr>
              <w:t>556</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497B60F" w14:textId="77777777" w:rsidR="009F7131" w:rsidRPr="00834CDC" w:rsidRDefault="009F7131" w:rsidP="003058F5">
            <w:pPr>
              <w:pStyle w:val="NormalWeb"/>
              <w:rPr>
                <w:b/>
                <w:bCs/>
                <w:sz w:val="18"/>
                <w:szCs w:val="18"/>
              </w:rPr>
            </w:pPr>
            <w:r w:rsidRPr="00834CDC">
              <w:rPr>
                <w:b/>
                <w:bCs/>
                <w:sz w:val="18"/>
                <w:szCs w:val="18"/>
              </w:rPr>
              <w:t>0.59</w:t>
            </w:r>
          </w:p>
        </w:tc>
        <w:tc>
          <w:tcPr>
            <w:tcW w:w="113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B3046BA" w14:textId="77777777" w:rsidR="009F7131" w:rsidRPr="00834CDC" w:rsidRDefault="009F7131" w:rsidP="003058F5">
            <w:pPr>
              <w:rPr>
                <w:b/>
                <w:bCs/>
                <w:sz w:val="18"/>
                <w:szCs w:val="18"/>
              </w:rPr>
            </w:pPr>
          </w:p>
        </w:tc>
        <w:tc>
          <w:tcPr>
            <w:tcW w:w="167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61608EA" w14:textId="77777777" w:rsidR="009F7131" w:rsidRPr="00834CDC" w:rsidRDefault="009F7131" w:rsidP="003058F5">
            <w:pPr>
              <w:rPr>
                <w:b/>
                <w:bCs/>
                <w:sz w:val="18"/>
                <w:szCs w:val="18"/>
              </w:rPr>
            </w:pPr>
          </w:p>
        </w:tc>
      </w:tr>
    </w:tbl>
    <w:p w14:paraId="6AB6A9D0" w14:textId="77777777" w:rsidR="009F7131" w:rsidRPr="00834CDC" w:rsidRDefault="009F7131" w:rsidP="009F7131">
      <w:pPr>
        <w:pStyle w:val="CDIfootnotes"/>
      </w:pPr>
      <w:r w:rsidRPr="00834CDC">
        <w:t>a</w:t>
      </w:r>
      <w:r w:rsidRPr="00834CDC">
        <w:tab/>
        <w:t>Notifications where the date of diagnosis was between 1 January 2016 and 31 December 2019.</w:t>
      </w:r>
    </w:p>
    <w:p w14:paraId="7C9D861F" w14:textId="77777777" w:rsidR="009F7131" w:rsidRPr="00834CDC" w:rsidRDefault="009F7131" w:rsidP="009F7131">
      <w:pPr>
        <w:pStyle w:val="CDIfootnotes"/>
      </w:pPr>
      <w:r w:rsidRPr="00834CDC">
        <w:t>b</w:t>
      </w:r>
      <w:r w:rsidRPr="00834CDC">
        <w:tab/>
        <w:t>Average annual age-specific rate per 100,000 population.</w:t>
      </w:r>
    </w:p>
    <w:p w14:paraId="422F533D" w14:textId="77777777" w:rsidR="009F7131" w:rsidRPr="00834CDC" w:rsidRDefault="009F7131" w:rsidP="009F7131">
      <w:pPr>
        <w:pStyle w:val="CDIfootnotes"/>
      </w:pPr>
      <w:r w:rsidRPr="00834CDC">
        <w:t>c</w:t>
      </w:r>
      <w:r w:rsidRPr="00834CDC">
        <w:tab/>
        <w:t>Rates for all ages combined are age-standardised in standard population following the Australian Bureau of Statistics Australian population estimates for 2016.</w:t>
      </w:r>
    </w:p>
    <w:p w14:paraId="2BF203A5" w14:textId="77777777" w:rsidR="00421CBD" w:rsidRPr="00834CDC" w:rsidRDefault="0033445F" w:rsidP="0033445F">
      <w:pPr>
        <w:divId w:val="1988506822"/>
      </w:pPr>
      <w:r w:rsidRPr="00834CDC">
        <w:t xml:space="preserve">Notification trends for measles </w:t>
      </w:r>
      <w:proofErr w:type="gramStart"/>
      <w:r w:rsidRPr="00834CDC">
        <w:t>are presented</w:t>
      </w:r>
      <w:proofErr w:type="gramEnd"/>
      <w:r w:rsidRPr="00834CDC">
        <w:t xml:space="preserve"> for all states and territories for the 2010–2019 period in Figure 9.</w:t>
      </w:r>
    </w:p>
    <w:p w14:paraId="47B3DDA5" w14:textId="64DC83C5" w:rsidR="00421CBD" w:rsidRPr="00834CDC" w:rsidRDefault="00421CBD" w:rsidP="00421CBD">
      <w:pPr>
        <w:pStyle w:val="NormalWeb"/>
        <w:divId w:val="1988506822"/>
      </w:pPr>
      <w:r w:rsidRPr="00834CDC">
        <w:rPr>
          <w:rStyle w:val="Strong"/>
        </w:rPr>
        <w:t>Figure 9: Measles notification rates, Australia (all states and territories), 2010–</w:t>
      </w:r>
      <w:proofErr w:type="gramStart"/>
      <w:r w:rsidRPr="00834CDC">
        <w:rPr>
          <w:rStyle w:val="Strong"/>
        </w:rPr>
        <w:t>2019,</w:t>
      </w:r>
      <w:r w:rsidRPr="00834CDC">
        <w:rPr>
          <w:rStyle w:val="Strong"/>
          <w:vertAlign w:val="superscript"/>
        </w:rPr>
        <w:t>a</w:t>
      </w:r>
      <w:proofErr w:type="gramEnd"/>
      <w:r w:rsidRPr="00834CDC">
        <w:rPr>
          <w:rStyle w:val="Strong"/>
        </w:rPr>
        <w:t xml:space="preserve"> by Aboriginal and Torres Strait Islander status</w:t>
      </w:r>
    </w:p>
    <w:p w14:paraId="5A4AE5C6" w14:textId="77777777" w:rsidR="00421CBD" w:rsidRPr="00834CDC" w:rsidRDefault="00421CBD" w:rsidP="00D36363">
      <w:pPr>
        <w:jc w:val="center"/>
        <w:divId w:val="1988506822"/>
        <w:rPr>
          <w:rFonts w:eastAsia="Times New Roman"/>
        </w:rPr>
      </w:pPr>
      <w:r w:rsidRPr="00834CDC">
        <w:rPr>
          <w:rFonts w:eastAsia="Times New Roman"/>
          <w:noProof/>
        </w:rPr>
        <w:drawing>
          <wp:inline distT="0" distB="0" distL="0" distR="0" wp14:anchorId="065DB247" wp14:editId="7F3731CC">
            <wp:extent cx="5712056" cy="3746311"/>
            <wp:effectExtent l="0" t="0" r="3175" b="6985"/>
            <wp:docPr id="11" name="Picture 11" descr="Line graph showing measles notification rates for the period 2010 to 2019. Rates in both Aboriginal and Torres Strait Islander people and other Australians were below 1.8 per 100,000 population per year over the 10 year period. The notification rate fluctuated from year to year among Aboriginal and Torres Strait Islander people, likely due to lower number of cases, with peaks in 2012, 2014, 2017 and 2019, decreasing in magnitude. Peaks occurred in 2014 and 2019 in other Australian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ne graph showing measles notification rates for the period 2010 to 2019. Rates in both Aboriginal and Torres Strait Islander people and other Australians were below 1.8 per 100,000 population per year over the 10 year period. The notification rate fluctuated from year to year among Aboriginal and Torres Strait Islander people, likely due to lower number of cases, with peaks in 2012, 2014, 2017 and 2019, decreasing in magnitude. Peaks occurred in 2014 and 2019 in other Australians. &#10;"/>
                    <pic:cNvPicPr>
                      <a:picLocks noChangeAspect="1" noChangeArrowheads="1"/>
                    </pic:cNvPicPr>
                  </pic:nvPicPr>
                  <pic:blipFill>
                    <a:blip r:link="rId20">
                      <a:extLst>
                        <a:ext uri="{28A0092B-C50C-407E-A947-70E740481C1C}">
                          <a14:useLocalDpi xmlns:a14="http://schemas.microsoft.com/office/drawing/2010/main" val="0"/>
                        </a:ext>
                      </a:extLst>
                    </a:blip>
                    <a:stretch>
                      <a:fillRect/>
                    </a:stretch>
                  </pic:blipFill>
                  <pic:spPr bwMode="auto">
                    <a:xfrm>
                      <a:off x="0" y="0"/>
                      <a:ext cx="5758968" cy="3777079"/>
                    </a:xfrm>
                    <a:prstGeom prst="rect">
                      <a:avLst/>
                    </a:prstGeom>
                  </pic:spPr>
                </pic:pic>
              </a:graphicData>
            </a:graphic>
          </wp:inline>
        </w:drawing>
      </w:r>
    </w:p>
    <w:p w14:paraId="00B1FFED" w14:textId="6A4CAAAC" w:rsidR="00421CBD" w:rsidRPr="00834CDC" w:rsidRDefault="00DB524B" w:rsidP="00DB524B">
      <w:pPr>
        <w:pStyle w:val="CDIfootnotes"/>
        <w:divId w:val="1988506822"/>
      </w:pPr>
      <w:r w:rsidRPr="00834CDC">
        <w:t>a</w:t>
      </w:r>
      <w:r w:rsidRPr="00834CDC">
        <w:tab/>
        <w:t>Notifications where the date of diagnosis was between 1 January 2010 and 31 December 2019.</w:t>
      </w:r>
    </w:p>
    <w:p w14:paraId="3DAAF351" w14:textId="3AF5BF20" w:rsidR="0033445F" w:rsidRPr="00834CDC" w:rsidRDefault="0033445F" w:rsidP="0033445F">
      <w:pPr>
        <w:divId w:val="1988506822"/>
      </w:pPr>
      <w:r w:rsidRPr="00834CDC">
        <w:lastRenderedPageBreak/>
        <w:t xml:space="preserve">Notification rates in both Aboriginal and Torres Strait Islander people and other Australians were below 1.8 per 100,000 population per year over the ten-year period. The notification rate fluctuated more from year to year among Aboriginal and Torres Strait Islander people, </w:t>
      </w:r>
      <w:proofErr w:type="gramStart"/>
      <w:r w:rsidRPr="00834CDC">
        <w:t>likely due</w:t>
      </w:r>
      <w:proofErr w:type="gramEnd"/>
      <w:r w:rsidRPr="00834CDC">
        <w:t xml:space="preserve"> to lower numbers of cases, with peaks in 2012, 2014, 2017 and 2019 decreasing in magnitude, and peaks in 2014 and 2019 in other Australians. </w:t>
      </w:r>
    </w:p>
    <w:p w14:paraId="62452FCF" w14:textId="77777777" w:rsidR="0033445F" w:rsidRPr="00834CDC" w:rsidRDefault="0033445F" w:rsidP="0033445F">
      <w:pPr>
        <w:divId w:val="1988506822"/>
      </w:pPr>
      <w:r w:rsidRPr="00834CDC">
        <w:t xml:space="preserve">Hospitalisation data </w:t>
      </w:r>
      <w:proofErr w:type="gramStart"/>
      <w:r w:rsidRPr="00834CDC">
        <w:t>are presented</w:t>
      </w:r>
      <w:proofErr w:type="gramEnd"/>
      <w:r w:rsidRPr="00834CDC">
        <w:t xml:space="preserve"> for all jurisdictions for the 2016–2019 period in Table 12. Of the 223 hospitalisations recorded, five (2.2%) </w:t>
      </w:r>
      <w:proofErr w:type="gramStart"/>
      <w:r w:rsidRPr="00834CDC">
        <w:t>were reported</w:t>
      </w:r>
      <w:proofErr w:type="gramEnd"/>
      <w:r w:rsidRPr="00834CDC">
        <w:t xml:space="preserve"> in Aboriginal and Torres Strait Islander people. As with notifications, the highest hospitalisation rate in both Aboriginal and Torres Strait Islander and other people was in children aged less than 5 years (0.6 and 0.9 per 100,000 population per year, respectively). There were no statistically significant differences between hospitalisation rates in Aboriginal and Torres Strait Islander and other people in any age group or for all ages combined. Hospitalisation trends </w:t>
      </w:r>
      <w:proofErr w:type="gramStart"/>
      <w:r w:rsidRPr="00834CDC">
        <w:t>are not presented</w:t>
      </w:r>
      <w:proofErr w:type="gramEnd"/>
      <w:r w:rsidRPr="00834CDC">
        <w:t xml:space="preserve">, due to the small number of hospitalisations in Aboriginal and Torres Strait Islander people. </w:t>
      </w:r>
    </w:p>
    <w:p w14:paraId="35C73A56" w14:textId="03B55912" w:rsidR="006F00A7" w:rsidRPr="00946194" w:rsidRDefault="0033445F" w:rsidP="00946194">
      <w:pPr>
        <w:divId w:val="1988506822"/>
      </w:pPr>
      <w:r w:rsidRPr="00834CDC">
        <w:t xml:space="preserve">There were 1–5 deaths reported in Australia for the period 2016–2019 where measles </w:t>
      </w:r>
      <w:proofErr w:type="gramStart"/>
      <w:r w:rsidRPr="00834CDC">
        <w:t>was recorded</w:t>
      </w:r>
      <w:proofErr w:type="gramEnd"/>
      <w:r w:rsidRPr="00834CDC">
        <w:t xml:space="preserve"> as an associated cause of death,</w:t>
      </w:r>
      <w:r w:rsidR="00D24B47">
        <w:rPr>
          <w:rStyle w:val="FootnoteReference"/>
        </w:rPr>
        <w:footnoteReference w:id="3"/>
      </w:r>
      <w:r w:rsidRPr="00834CDC">
        <w:t xml:space="preserve"> with none reported in Aboriginal and Torres Strait Islander people. There were no deaths where measles </w:t>
      </w:r>
      <w:proofErr w:type="gramStart"/>
      <w:r w:rsidRPr="00834CDC">
        <w:t>was recorded</w:t>
      </w:r>
      <w:proofErr w:type="gramEnd"/>
      <w:r w:rsidRPr="00834CDC">
        <w:t xml:space="preserve"> as the underlying cause of death. </w:t>
      </w:r>
    </w:p>
    <w:p w14:paraId="1B6AAD09" w14:textId="77777777" w:rsidR="00104FD7" w:rsidRPr="00834CDC" w:rsidRDefault="00104FD7" w:rsidP="00D36363">
      <w:pPr>
        <w:pStyle w:val="CDIFigures"/>
        <w:spacing w:before="0" w:beforeAutospacing="0" w:after="40" w:afterAutospacing="0" w:line="240" w:lineRule="auto"/>
        <w:divId w:val="1988506822"/>
      </w:pPr>
      <w:r w:rsidRPr="00834CDC">
        <w:rPr>
          <w:rStyle w:val="Strong"/>
          <w:b/>
          <w:bCs w:val="0"/>
        </w:rPr>
        <w:t>Table 12: Measles hospitalisations, Australia (all states and territories), 2016–2019, by age and Aboriginal and Torres Strait Islander status</w:t>
      </w:r>
    </w:p>
    <w:tbl>
      <w:tblPr>
        <w:tblStyle w:val="CDI-StandardTable"/>
        <w:tblW w:w="0" w:type="auto"/>
        <w:tblCellMar>
          <w:top w:w="28" w:type="dxa"/>
          <w:bottom w:w="28" w:type="dxa"/>
        </w:tblCellMar>
        <w:tblLook w:val="04A0" w:firstRow="1" w:lastRow="0" w:firstColumn="1" w:lastColumn="0" w:noHBand="0" w:noVBand="1"/>
        <w:tblDescription w:val="Table 12 shows the number and rates per 100,000 population of measles hospitalisations by age and Aboriginal and Torres Strait Islander status, Australia, 2016 to 2019.&#10;"/>
      </w:tblPr>
      <w:tblGrid>
        <w:gridCol w:w="2127"/>
        <w:gridCol w:w="3827"/>
        <w:gridCol w:w="850"/>
        <w:gridCol w:w="708"/>
        <w:gridCol w:w="1275"/>
        <w:gridCol w:w="1652"/>
      </w:tblGrid>
      <w:tr w:rsidR="00104FD7" w:rsidRPr="00834CDC" w14:paraId="304C8E66" w14:textId="77777777" w:rsidTr="00E20A7F">
        <w:trPr>
          <w:cnfStyle w:val="100000000000" w:firstRow="1" w:lastRow="0" w:firstColumn="0" w:lastColumn="0" w:oddVBand="0" w:evenVBand="0" w:oddHBand="0" w:evenHBand="0" w:firstRowFirstColumn="0" w:firstRowLastColumn="0" w:lastRowFirstColumn="0" w:lastRowLastColumn="0"/>
          <w:divId w:val="1988506822"/>
          <w:tblHeader/>
        </w:trPr>
        <w:tc>
          <w:tcPr>
            <w:tcW w:w="2127" w:type="dxa"/>
            <w:vMerge w:val="restart"/>
            <w:hideMark/>
          </w:tcPr>
          <w:p w14:paraId="667D0297" w14:textId="77777777" w:rsidR="00104FD7" w:rsidRPr="00834CDC" w:rsidRDefault="00104FD7" w:rsidP="00457617">
            <w:pPr>
              <w:pStyle w:val="NormalWeb"/>
              <w:rPr>
                <w:sz w:val="18"/>
                <w:szCs w:val="18"/>
              </w:rPr>
            </w:pPr>
            <w:r w:rsidRPr="00834CDC">
              <w:rPr>
                <w:sz w:val="18"/>
                <w:szCs w:val="18"/>
              </w:rPr>
              <w:t>Age group (years)</w:t>
            </w:r>
          </w:p>
        </w:tc>
        <w:tc>
          <w:tcPr>
            <w:tcW w:w="3827" w:type="dxa"/>
            <w:vMerge w:val="restart"/>
            <w:hideMark/>
          </w:tcPr>
          <w:p w14:paraId="64D95044" w14:textId="77777777" w:rsidR="00104FD7" w:rsidRPr="00834CDC" w:rsidRDefault="00104FD7" w:rsidP="00457617">
            <w:pPr>
              <w:pStyle w:val="NormalWeb"/>
              <w:rPr>
                <w:sz w:val="18"/>
                <w:szCs w:val="18"/>
              </w:rPr>
            </w:pPr>
            <w:r w:rsidRPr="00834CDC">
              <w:rPr>
                <w:sz w:val="18"/>
                <w:szCs w:val="18"/>
              </w:rPr>
              <w:t>Aboriginal and Torres Strait Islander status</w:t>
            </w:r>
          </w:p>
        </w:tc>
        <w:tc>
          <w:tcPr>
            <w:tcW w:w="4485" w:type="dxa"/>
            <w:gridSpan w:val="4"/>
            <w:hideMark/>
          </w:tcPr>
          <w:p w14:paraId="7FE932BE" w14:textId="58E5ADB6" w:rsidR="00104FD7" w:rsidRPr="00834CDC" w:rsidRDefault="00104FD7" w:rsidP="00457617">
            <w:pPr>
              <w:pStyle w:val="NormalWeb"/>
              <w:rPr>
                <w:sz w:val="18"/>
                <w:szCs w:val="18"/>
              </w:rPr>
            </w:pPr>
            <w:r w:rsidRPr="00834CDC">
              <w:rPr>
                <w:sz w:val="18"/>
                <w:szCs w:val="18"/>
              </w:rPr>
              <w:t>Hospitalisations</w:t>
            </w:r>
            <w:r w:rsidR="00B54467" w:rsidRPr="00834CDC">
              <w:rPr>
                <w:sz w:val="18"/>
                <w:szCs w:val="18"/>
              </w:rPr>
              <w:t xml:space="preserve"> </w:t>
            </w:r>
            <w:r w:rsidRPr="00834CDC">
              <w:rPr>
                <w:sz w:val="18"/>
                <w:szCs w:val="18"/>
                <w:vertAlign w:val="superscript"/>
              </w:rPr>
              <w:t>a</w:t>
            </w:r>
            <w:r w:rsidRPr="00834CDC">
              <w:rPr>
                <w:sz w:val="18"/>
                <w:szCs w:val="18"/>
              </w:rPr>
              <w:t xml:space="preserve"> (2016–2019)</w:t>
            </w:r>
          </w:p>
        </w:tc>
      </w:tr>
      <w:tr w:rsidR="00104FD7" w:rsidRPr="00834CDC" w14:paraId="0A76D9B5" w14:textId="77777777" w:rsidTr="00E20A7F">
        <w:trPr>
          <w:cnfStyle w:val="100000000000" w:firstRow="1" w:lastRow="0" w:firstColumn="0" w:lastColumn="0" w:oddVBand="0" w:evenVBand="0" w:oddHBand="0" w:evenHBand="0" w:firstRowFirstColumn="0" w:firstRowLastColumn="0" w:lastRowFirstColumn="0" w:lastRowLastColumn="0"/>
          <w:divId w:val="1988506822"/>
          <w:tblHeader/>
        </w:trPr>
        <w:tc>
          <w:tcPr>
            <w:tcW w:w="2127" w:type="dxa"/>
            <w:vMerge/>
            <w:tcBorders>
              <w:bottom w:val="single" w:sz="2" w:space="0" w:color="808080" w:themeColor="background1" w:themeShade="80"/>
            </w:tcBorders>
            <w:hideMark/>
          </w:tcPr>
          <w:p w14:paraId="03FF9DC6" w14:textId="77777777" w:rsidR="00104FD7" w:rsidRPr="00834CDC" w:rsidRDefault="00104FD7" w:rsidP="00457617">
            <w:pPr>
              <w:rPr>
                <w:sz w:val="18"/>
                <w:szCs w:val="18"/>
              </w:rPr>
            </w:pPr>
          </w:p>
        </w:tc>
        <w:tc>
          <w:tcPr>
            <w:tcW w:w="3827" w:type="dxa"/>
            <w:vMerge/>
            <w:tcBorders>
              <w:bottom w:val="single" w:sz="2" w:space="0" w:color="808080" w:themeColor="background1" w:themeShade="80"/>
            </w:tcBorders>
            <w:hideMark/>
          </w:tcPr>
          <w:p w14:paraId="005469AF" w14:textId="77777777" w:rsidR="00104FD7" w:rsidRPr="00834CDC" w:rsidRDefault="00104FD7" w:rsidP="00457617">
            <w:pPr>
              <w:rPr>
                <w:sz w:val="18"/>
                <w:szCs w:val="18"/>
              </w:rPr>
            </w:pPr>
          </w:p>
        </w:tc>
        <w:tc>
          <w:tcPr>
            <w:tcW w:w="850" w:type="dxa"/>
            <w:tcBorders>
              <w:bottom w:val="single" w:sz="2" w:space="0" w:color="808080" w:themeColor="background1" w:themeShade="80"/>
            </w:tcBorders>
            <w:hideMark/>
          </w:tcPr>
          <w:p w14:paraId="41670D41" w14:textId="77777777" w:rsidR="00104FD7" w:rsidRPr="00834CDC" w:rsidRDefault="00104FD7" w:rsidP="00457617">
            <w:pPr>
              <w:pStyle w:val="NormalWeb"/>
              <w:rPr>
                <w:sz w:val="18"/>
                <w:szCs w:val="18"/>
              </w:rPr>
            </w:pPr>
            <w:r w:rsidRPr="00834CDC">
              <w:rPr>
                <w:sz w:val="18"/>
                <w:szCs w:val="18"/>
              </w:rPr>
              <w:t>N</w:t>
            </w:r>
          </w:p>
        </w:tc>
        <w:tc>
          <w:tcPr>
            <w:tcW w:w="708" w:type="dxa"/>
            <w:tcBorders>
              <w:bottom w:val="single" w:sz="2" w:space="0" w:color="808080" w:themeColor="background1" w:themeShade="80"/>
            </w:tcBorders>
            <w:hideMark/>
          </w:tcPr>
          <w:p w14:paraId="297456AD" w14:textId="7E45F55B" w:rsidR="00104FD7" w:rsidRPr="00834CDC" w:rsidRDefault="00104FD7" w:rsidP="00457617">
            <w:pPr>
              <w:pStyle w:val="NormalWeb"/>
              <w:rPr>
                <w:sz w:val="18"/>
                <w:szCs w:val="18"/>
              </w:rPr>
            </w:pPr>
            <w:r w:rsidRPr="00834CDC">
              <w:rPr>
                <w:sz w:val="18"/>
                <w:szCs w:val="18"/>
              </w:rPr>
              <w:t>Rate</w:t>
            </w:r>
            <w:r w:rsidR="00B54467" w:rsidRPr="00834CDC">
              <w:rPr>
                <w:sz w:val="18"/>
                <w:szCs w:val="18"/>
              </w:rPr>
              <w:t xml:space="preserve"> </w:t>
            </w:r>
            <w:r w:rsidRPr="00834CDC">
              <w:rPr>
                <w:sz w:val="18"/>
                <w:szCs w:val="18"/>
                <w:vertAlign w:val="superscript"/>
              </w:rPr>
              <w:t>b</w:t>
            </w:r>
          </w:p>
        </w:tc>
        <w:tc>
          <w:tcPr>
            <w:tcW w:w="1275" w:type="dxa"/>
            <w:tcBorders>
              <w:bottom w:val="single" w:sz="2" w:space="0" w:color="808080" w:themeColor="background1" w:themeShade="80"/>
            </w:tcBorders>
            <w:hideMark/>
          </w:tcPr>
          <w:p w14:paraId="6F2DE776" w14:textId="77777777" w:rsidR="00104FD7" w:rsidRPr="00834CDC" w:rsidRDefault="00104FD7" w:rsidP="00457617">
            <w:pPr>
              <w:pStyle w:val="NormalWeb"/>
              <w:rPr>
                <w:sz w:val="18"/>
                <w:szCs w:val="18"/>
              </w:rPr>
            </w:pPr>
            <w:r w:rsidRPr="00834CDC">
              <w:rPr>
                <w:sz w:val="18"/>
                <w:szCs w:val="18"/>
              </w:rPr>
              <w:t>Rate ratio</w:t>
            </w:r>
          </w:p>
        </w:tc>
        <w:tc>
          <w:tcPr>
            <w:tcW w:w="1652" w:type="dxa"/>
            <w:tcBorders>
              <w:bottom w:val="single" w:sz="2" w:space="0" w:color="808080" w:themeColor="background1" w:themeShade="80"/>
            </w:tcBorders>
            <w:hideMark/>
          </w:tcPr>
          <w:p w14:paraId="4F15980C" w14:textId="77777777" w:rsidR="00104FD7" w:rsidRPr="00834CDC" w:rsidRDefault="00104FD7" w:rsidP="00457617">
            <w:pPr>
              <w:pStyle w:val="NormalWeb"/>
              <w:rPr>
                <w:sz w:val="18"/>
                <w:szCs w:val="18"/>
              </w:rPr>
            </w:pPr>
            <w:r w:rsidRPr="00834CDC">
              <w:rPr>
                <w:sz w:val="18"/>
                <w:szCs w:val="18"/>
              </w:rPr>
              <w:t>95%CI for rate ratio</w:t>
            </w:r>
          </w:p>
        </w:tc>
      </w:tr>
      <w:tr w:rsidR="00104FD7" w:rsidRPr="00834CDC" w14:paraId="11159D35" w14:textId="77777777" w:rsidTr="00E20A7F">
        <w:trPr>
          <w:divId w:val="1988506822"/>
        </w:trPr>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8AA3F6" w14:textId="77777777" w:rsidR="00104FD7" w:rsidRPr="00834CDC" w:rsidRDefault="00104FD7" w:rsidP="00457617">
            <w:pPr>
              <w:pStyle w:val="NormalWeb"/>
              <w:rPr>
                <w:sz w:val="18"/>
                <w:szCs w:val="18"/>
              </w:rPr>
            </w:pPr>
            <w:r w:rsidRPr="00834CDC">
              <w:rPr>
                <w:sz w:val="18"/>
                <w:szCs w:val="18"/>
              </w:rPr>
              <w:t>0–4</w:t>
            </w:r>
          </w:p>
        </w:tc>
        <w:tc>
          <w:tcPr>
            <w:tcW w:w="38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C0D87A" w14:textId="77777777" w:rsidR="00104FD7" w:rsidRPr="00834CDC" w:rsidRDefault="00104FD7" w:rsidP="00457617">
            <w:pPr>
              <w:pStyle w:val="NormalWeb"/>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3D9E6F" w14:textId="77777777" w:rsidR="00104FD7" w:rsidRPr="00834CDC" w:rsidRDefault="00104FD7" w:rsidP="00457617">
            <w:pPr>
              <w:pStyle w:val="NormalWeb"/>
              <w:rPr>
                <w:sz w:val="18"/>
                <w:szCs w:val="18"/>
              </w:rPr>
            </w:pPr>
            <w:r w:rsidRPr="00834CDC">
              <w:rPr>
                <w:sz w:val="18"/>
                <w:szCs w:val="18"/>
              </w:rPr>
              <w:t>1–4</w:t>
            </w:r>
            <w:r w:rsidRPr="00834CDC">
              <w:rPr>
                <w:sz w:val="18"/>
                <w:szCs w:val="18"/>
                <w:vertAlign w:val="superscript"/>
              </w:rPr>
              <w:t>c</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F3C133" w14:textId="77777777" w:rsidR="00104FD7" w:rsidRPr="00834CDC" w:rsidRDefault="00104FD7" w:rsidP="00457617">
            <w:pPr>
              <w:pStyle w:val="NormalWeb"/>
              <w:rPr>
                <w:sz w:val="18"/>
                <w:szCs w:val="18"/>
              </w:rPr>
            </w:pPr>
            <w:r w:rsidRPr="00834CDC">
              <w:rPr>
                <w:sz w:val="18"/>
                <w:szCs w:val="18"/>
              </w:rPr>
              <w:t>0.61</w:t>
            </w:r>
          </w:p>
        </w:tc>
        <w:tc>
          <w:tcPr>
            <w:tcW w:w="127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476FD5" w14:textId="77777777" w:rsidR="00104FD7" w:rsidRPr="00834CDC" w:rsidRDefault="00104FD7" w:rsidP="00457617">
            <w:pPr>
              <w:pStyle w:val="NormalWeb"/>
              <w:rPr>
                <w:sz w:val="18"/>
                <w:szCs w:val="18"/>
              </w:rPr>
            </w:pPr>
            <w:r w:rsidRPr="00834CDC">
              <w:rPr>
                <w:sz w:val="18"/>
                <w:szCs w:val="18"/>
              </w:rPr>
              <w:t>0.7</w:t>
            </w:r>
          </w:p>
        </w:tc>
        <w:tc>
          <w:tcPr>
            <w:tcW w:w="16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9A21F6" w14:textId="77777777" w:rsidR="00104FD7" w:rsidRPr="00834CDC" w:rsidRDefault="00104FD7" w:rsidP="00457617">
            <w:pPr>
              <w:pStyle w:val="NormalWeb"/>
              <w:rPr>
                <w:sz w:val="18"/>
                <w:szCs w:val="18"/>
              </w:rPr>
            </w:pPr>
            <w:r w:rsidRPr="00834CDC">
              <w:rPr>
                <w:sz w:val="18"/>
                <w:szCs w:val="18"/>
              </w:rPr>
              <w:t>0.1–2.5</w:t>
            </w:r>
          </w:p>
        </w:tc>
      </w:tr>
      <w:tr w:rsidR="00104FD7" w:rsidRPr="00834CDC" w14:paraId="70590F89" w14:textId="77777777" w:rsidTr="00E20A7F">
        <w:trPr>
          <w:cnfStyle w:val="000000010000" w:firstRow="0" w:lastRow="0" w:firstColumn="0" w:lastColumn="0" w:oddVBand="0" w:evenVBand="0" w:oddHBand="0" w:evenHBand="1" w:firstRowFirstColumn="0" w:firstRowLastColumn="0" w:lastRowFirstColumn="0" w:lastRowLastColumn="0"/>
          <w:divId w:val="1988506822"/>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3CAEA2" w14:textId="77777777" w:rsidR="00104FD7" w:rsidRPr="00834CDC" w:rsidRDefault="00104FD7" w:rsidP="00457617">
            <w:pPr>
              <w:rPr>
                <w:sz w:val="18"/>
                <w:szCs w:val="18"/>
              </w:rPr>
            </w:pPr>
          </w:p>
        </w:tc>
        <w:tc>
          <w:tcPr>
            <w:tcW w:w="38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043A8F" w14:textId="77777777" w:rsidR="00104FD7" w:rsidRPr="00834CDC" w:rsidRDefault="00104FD7" w:rsidP="00457617">
            <w:pPr>
              <w:pStyle w:val="NormalWeb"/>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473689" w14:textId="77777777" w:rsidR="00104FD7" w:rsidRPr="00834CDC" w:rsidRDefault="00104FD7" w:rsidP="00457617">
            <w:pPr>
              <w:pStyle w:val="NormalWeb"/>
              <w:rPr>
                <w:sz w:val="18"/>
                <w:szCs w:val="18"/>
              </w:rPr>
            </w:pPr>
            <w:r w:rsidRPr="00834CDC">
              <w:rPr>
                <w:sz w:val="18"/>
                <w:szCs w:val="18"/>
              </w:rPr>
              <w:t>48</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03F8E8" w14:textId="77777777" w:rsidR="00104FD7" w:rsidRPr="00834CDC" w:rsidRDefault="00104FD7" w:rsidP="00457617">
            <w:pPr>
              <w:pStyle w:val="NormalWeb"/>
              <w:rPr>
                <w:sz w:val="18"/>
                <w:szCs w:val="18"/>
              </w:rPr>
            </w:pPr>
            <w:r w:rsidRPr="00834CDC">
              <w:rPr>
                <w:sz w:val="18"/>
                <w:szCs w:val="18"/>
              </w:rPr>
              <w:t>0.93</w:t>
            </w:r>
          </w:p>
        </w:tc>
        <w:tc>
          <w:tcPr>
            <w:tcW w:w="12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7090EA" w14:textId="77777777" w:rsidR="00104FD7" w:rsidRPr="00834CDC" w:rsidRDefault="00104FD7" w:rsidP="00457617">
            <w:pPr>
              <w:rPr>
                <w:sz w:val="18"/>
                <w:szCs w:val="18"/>
              </w:rPr>
            </w:pPr>
          </w:p>
        </w:tc>
        <w:tc>
          <w:tcPr>
            <w:tcW w:w="16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746525" w14:textId="77777777" w:rsidR="00104FD7" w:rsidRPr="00834CDC" w:rsidRDefault="00104FD7" w:rsidP="00457617">
            <w:pPr>
              <w:rPr>
                <w:sz w:val="18"/>
                <w:szCs w:val="18"/>
              </w:rPr>
            </w:pPr>
          </w:p>
        </w:tc>
      </w:tr>
      <w:tr w:rsidR="00104FD7" w:rsidRPr="00834CDC" w14:paraId="579C6E3B" w14:textId="77777777" w:rsidTr="00E20A7F">
        <w:trPr>
          <w:divId w:val="1988506822"/>
        </w:trPr>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B5E578" w14:textId="77777777" w:rsidR="00104FD7" w:rsidRPr="00834CDC" w:rsidRDefault="00104FD7" w:rsidP="00457617">
            <w:pPr>
              <w:pStyle w:val="NormalWeb"/>
              <w:rPr>
                <w:sz w:val="18"/>
                <w:szCs w:val="18"/>
              </w:rPr>
            </w:pPr>
            <w:r w:rsidRPr="00834CDC">
              <w:rPr>
                <w:sz w:val="18"/>
                <w:szCs w:val="18"/>
              </w:rPr>
              <w:t>5–14</w:t>
            </w:r>
          </w:p>
        </w:tc>
        <w:tc>
          <w:tcPr>
            <w:tcW w:w="38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30F940" w14:textId="77777777" w:rsidR="00104FD7" w:rsidRPr="00834CDC" w:rsidRDefault="00104FD7" w:rsidP="00457617">
            <w:pPr>
              <w:pStyle w:val="NormalWeb"/>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D6B8C2" w14:textId="77777777" w:rsidR="00104FD7" w:rsidRPr="00834CDC" w:rsidRDefault="00104FD7" w:rsidP="00457617">
            <w:pPr>
              <w:pStyle w:val="NormalWeb"/>
              <w:rPr>
                <w:sz w:val="18"/>
                <w:szCs w:val="18"/>
              </w:rPr>
            </w:pPr>
            <w:r w:rsidRPr="00834CDC">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7AC046" w14:textId="77777777" w:rsidR="00104FD7" w:rsidRPr="00834CDC" w:rsidRDefault="00104FD7" w:rsidP="00457617">
            <w:pPr>
              <w:pStyle w:val="NormalWeb"/>
              <w:rPr>
                <w:sz w:val="18"/>
                <w:szCs w:val="18"/>
              </w:rPr>
            </w:pPr>
            <w:r w:rsidRPr="00834CDC">
              <w:rPr>
                <w:sz w:val="18"/>
                <w:szCs w:val="18"/>
              </w:rPr>
              <w:t>0.00</w:t>
            </w:r>
          </w:p>
        </w:tc>
        <w:tc>
          <w:tcPr>
            <w:tcW w:w="127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2EF015" w14:textId="77777777" w:rsidR="00104FD7" w:rsidRPr="00834CDC" w:rsidRDefault="00104FD7" w:rsidP="00457617">
            <w:pPr>
              <w:pStyle w:val="NormalWeb"/>
              <w:rPr>
                <w:sz w:val="18"/>
                <w:szCs w:val="18"/>
              </w:rPr>
            </w:pPr>
            <w:r w:rsidRPr="00834CDC">
              <w:rPr>
                <w:sz w:val="18"/>
                <w:szCs w:val="18"/>
              </w:rPr>
              <w:t>0.0</w:t>
            </w:r>
          </w:p>
        </w:tc>
        <w:tc>
          <w:tcPr>
            <w:tcW w:w="16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BD2760" w14:textId="77777777" w:rsidR="00104FD7" w:rsidRPr="00834CDC" w:rsidRDefault="00104FD7" w:rsidP="00457617">
            <w:pPr>
              <w:pStyle w:val="NormalWeb"/>
              <w:rPr>
                <w:sz w:val="18"/>
                <w:szCs w:val="18"/>
              </w:rPr>
            </w:pPr>
            <w:r w:rsidRPr="00834CDC">
              <w:rPr>
                <w:sz w:val="18"/>
                <w:szCs w:val="18"/>
              </w:rPr>
              <w:t>0.0–8.0</w:t>
            </w:r>
          </w:p>
        </w:tc>
      </w:tr>
      <w:tr w:rsidR="00104FD7" w:rsidRPr="00834CDC" w14:paraId="5726C082" w14:textId="77777777" w:rsidTr="00E20A7F">
        <w:trPr>
          <w:cnfStyle w:val="000000010000" w:firstRow="0" w:lastRow="0" w:firstColumn="0" w:lastColumn="0" w:oddVBand="0" w:evenVBand="0" w:oddHBand="0" w:evenHBand="1" w:firstRowFirstColumn="0" w:firstRowLastColumn="0" w:lastRowFirstColumn="0" w:lastRowLastColumn="0"/>
          <w:divId w:val="1988506822"/>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3DBDE7" w14:textId="77777777" w:rsidR="00104FD7" w:rsidRPr="00834CDC" w:rsidRDefault="00104FD7" w:rsidP="00457617">
            <w:pPr>
              <w:rPr>
                <w:sz w:val="18"/>
                <w:szCs w:val="18"/>
              </w:rPr>
            </w:pPr>
          </w:p>
        </w:tc>
        <w:tc>
          <w:tcPr>
            <w:tcW w:w="38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AB130D" w14:textId="77777777" w:rsidR="00104FD7" w:rsidRPr="00834CDC" w:rsidRDefault="00104FD7" w:rsidP="00457617">
            <w:pPr>
              <w:pStyle w:val="NormalWeb"/>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067BD0" w14:textId="77777777" w:rsidR="00104FD7" w:rsidRPr="00834CDC" w:rsidRDefault="00104FD7" w:rsidP="00457617">
            <w:pPr>
              <w:pStyle w:val="NormalWeb"/>
              <w:rPr>
                <w:sz w:val="18"/>
                <w:szCs w:val="18"/>
              </w:rPr>
            </w:pPr>
            <w:r w:rsidRPr="00834CDC">
              <w:rPr>
                <w:sz w:val="18"/>
                <w:szCs w:val="18"/>
              </w:rPr>
              <w:t>9</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C8CD34" w14:textId="77777777" w:rsidR="00104FD7" w:rsidRPr="00834CDC" w:rsidRDefault="00104FD7" w:rsidP="00457617">
            <w:pPr>
              <w:pStyle w:val="NormalWeb"/>
              <w:rPr>
                <w:sz w:val="18"/>
                <w:szCs w:val="18"/>
              </w:rPr>
            </w:pPr>
            <w:r w:rsidRPr="00834CDC">
              <w:rPr>
                <w:sz w:val="18"/>
                <w:szCs w:val="18"/>
              </w:rPr>
              <w:t>0.09</w:t>
            </w:r>
          </w:p>
        </w:tc>
        <w:tc>
          <w:tcPr>
            <w:tcW w:w="12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751A6E" w14:textId="77777777" w:rsidR="00104FD7" w:rsidRPr="00834CDC" w:rsidRDefault="00104FD7" w:rsidP="00457617">
            <w:pPr>
              <w:rPr>
                <w:sz w:val="18"/>
                <w:szCs w:val="18"/>
              </w:rPr>
            </w:pPr>
          </w:p>
        </w:tc>
        <w:tc>
          <w:tcPr>
            <w:tcW w:w="16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83E64B" w14:textId="77777777" w:rsidR="00104FD7" w:rsidRPr="00834CDC" w:rsidRDefault="00104FD7" w:rsidP="00457617">
            <w:pPr>
              <w:rPr>
                <w:sz w:val="18"/>
                <w:szCs w:val="18"/>
              </w:rPr>
            </w:pPr>
          </w:p>
        </w:tc>
      </w:tr>
      <w:tr w:rsidR="00104FD7" w:rsidRPr="00834CDC" w14:paraId="4E76BC11" w14:textId="77777777" w:rsidTr="00E20A7F">
        <w:trPr>
          <w:divId w:val="1988506822"/>
        </w:trPr>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B41F56" w14:textId="77777777" w:rsidR="00104FD7" w:rsidRPr="00834CDC" w:rsidRDefault="00104FD7" w:rsidP="00457617">
            <w:pPr>
              <w:pStyle w:val="NormalWeb"/>
              <w:rPr>
                <w:sz w:val="18"/>
                <w:szCs w:val="18"/>
              </w:rPr>
            </w:pPr>
            <w:r w:rsidRPr="00834CDC">
              <w:rPr>
                <w:sz w:val="18"/>
                <w:szCs w:val="18"/>
              </w:rPr>
              <w:t>15–24</w:t>
            </w:r>
          </w:p>
        </w:tc>
        <w:tc>
          <w:tcPr>
            <w:tcW w:w="38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22CD22" w14:textId="77777777" w:rsidR="00104FD7" w:rsidRPr="00834CDC" w:rsidRDefault="00104FD7" w:rsidP="00457617">
            <w:pPr>
              <w:pStyle w:val="NormalWeb"/>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244F3F" w14:textId="77777777" w:rsidR="00104FD7" w:rsidRPr="00834CDC" w:rsidRDefault="00104FD7" w:rsidP="00457617">
            <w:pPr>
              <w:pStyle w:val="NormalWeb"/>
              <w:rPr>
                <w:sz w:val="18"/>
                <w:szCs w:val="18"/>
              </w:rPr>
            </w:pPr>
            <w:r w:rsidRPr="00834CDC">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00D8B7" w14:textId="77777777" w:rsidR="00104FD7" w:rsidRPr="00834CDC" w:rsidRDefault="00104FD7" w:rsidP="00457617">
            <w:pPr>
              <w:pStyle w:val="NormalWeb"/>
              <w:rPr>
                <w:sz w:val="18"/>
                <w:szCs w:val="18"/>
              </w:rPr>
            </w:pPr>
            <w:r w:rsidRPr="00834CDC">
              <w:rPr>
                <w:sz w:val="18"/>
                <w:szCs w:val="18"/>
              </w:rPr>
              <w:t>0.00</w:t>
            </w:r>
          </w:p>
        </w:tc>
        <w:tc>
          <w:tcPr>
            <w:tcW w:w="127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869A21" w14:textId="77777777" w:rsidR="00104FD7" w:rsidRPr="00834CDC" w:rsidRDefault="00104FD7" w:rsidP="00457617">
            <w:pPr>
              <w:pStyle w:val="NormalWeb"/>
              <w:rPr>
                <w:sz w:val="18"/>
                <w:szCs w:val="18"/>
              </w:rPr>
            </w:pPr>
            <w:r w:rsidRPr="00834CDC">
              <w:rPr>
                <w:sz w:val="18"/>
                <w:szCs w:val="18"/>
              </w:rPr>
              <w:t>0.0</w:t>
            </w:r>
          </w:p>
        </w:tc>
        <w:tc>
          <w:tcPr>
            <w:tcW w:w="16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D3BFED" w14:textId="77777777" w:rsidR="00104FD7" w:rsidRPr="00834CDC" w:rsidRDefault="00104FD7" w:rsidP="00457617">
            <w:pPr>
              <w:pStyle w:val="NormalWeb"/>
              <w:rPr>
                <w:sz w:val="18"/>
                <w:szCs w:val="18"/>
              </w:rPr>
            </w:pPr>
            <w:r w:rsidRPr="00834CDC">
              <w:rPr>
                <w:sz w:val="18"/>
                <w:szCs w:val="18"/>
              </w:rPr>
              <w:t>0.0–1.6</w:t>
            </w:r>
          </w:p>
        </w:tc>
      </w:tr>
      <w:tr w:rsidR="00104FD7" w:rsidRPr="00834CDC" w14:paraId="483D2917" w14:textId="77777777" w:rsidTr="00E20A7F">
        <w:trPr>
          <w:cnfStyle w:val="000000010000" w:firstRow="0" w:lastRow="0" w:firstColumn="0" w:lastColumn="0" w:oddVBand="0" w:evenVBand="0" w:oddHBand="0" w:evenHBand="1" w:firstRowFirstColumn="0" w:firstRowLastColumn="0" w:lastRowFirstColumn="0" w:lastRowLastColumn="0"/>
          <w:divId w:val="1988506822"/>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19B144" w14:textId="77777777" w:rsidR="00104FD7" w:rsidRPr="00834CDC" w:rsidRDefault="00104FD7" w:rsidP="00457617">
            <w:pPr>
              <w:rPr>
                <w:sz w:val="18"/>
                <w:szCs w:val="18"/>
              </w:rPr>
            </w:pPr>
          </w:p>
        </w:tc>
        <w:tc>
          <w:tcPr>
            <w:tcW w:w="38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B2566B" w14:textId="77777777" w:rsidR="00104FD7" w:rsidRPr="00834CDC" w:rsidRDefault="00104FD7" w:rsidP="00457617">
            <w:pPr>
              <w:pStyle w:val="NormalWeb"/>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AA231C" w14:textId="77777777" w:rsidR="00104FD7" w:rsidRPr="00834CDC" w:rsidRDefault="00104FD7" w:rsidP="00457617">
            <w:pPr>
              <w:pStyle w:val="NormalWeb"/>
              <w:rPr>
                <w:sz w:val="18"/>
                <w:szCs w:val="18"/>
              </w:rPr>
            </w:pPr>
            <w:r w:rsidRPr="00834CDC">
              <w:rPr>
                <w:sz w:val="18"/>
                <w:szCs w:val="18"/>
              </w:rPr>
              <w:t>47</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11B3A6" w14:textId="77777777" w:rsidR="00104FD7" w:rsidRPr="00834CDC" w:rsidRDefault="00104FD7" w:rsidP="00457617">
            <w:pPr>
              <w:pStyle w:val="NormalWeb"/>
              <w:rPr>
                <w:sz w:val="18"/>
                <w:szCs w:val="18"/>
              </w:rPr>
            </w:pPr>
            <w:r w:rsidRPr="00834CDC">
              <w:rPr>
                <w:sz w:val="18"/>
                <w:szCs w:val="18"/>
              </w:rPr>
              <w:t>0.44</w:t>
            </w:r>
          </w:p>
        </w:tc>
        <w:tc>
          <w:tcPr>
            <w:tcW w:w="12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25D645" w14:textId="77777777" w:rsidR="00104FD7" w:rsidRPr="00834CDC" w:rsidRDefault="00104FD7" w:rsidP="00457617">
            <w:pPr>
              <w:rPr>
                <w:sz w:val="18"/>
                <w:szCs w:val="18"/>
              </w:rPr>
            </w:pPr>
          </w:p>
        </w:tc>
        <w:tc>
          <w:tcPr>
            <w:tcW w:w="16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9A15A6" w14:textId="77777777" w:rsidR="00104FD7" w:rsidRPr="00834CDC" w:rsidRDefault="00104FD7" w:rsidP="00457617">
            <w:pPr>
              <w:rPr>
                <w:sz w:val="18"/>
                <w:szCs w:val="18"/>
              </w:rPr>
            </w:pPr>
          </w:p>
        </w:tc>
      </w:tr>
      <w:tr w:rsidR="00104FD7" w:rsidRPr="00834CDC" w14:paraId="5F55910C" w14:textId="77777777" w:rsidTr="00E20A7F">
        <w:trPr>
          <w:divId w:val="1988506822"/>
        </w:trPr>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5E4280" w14:textId="77777777" w:rsidR="00104FD7" w:rsidRPr="00834CDC" w:rsidRDefault="00104FD7" w:rsidP="00457617">
            <w:pPr>
              <w:pStyle w:val="NormalWeb"/>
              <w:rPr>
                <w:sz w:val="18"/>
                <w:szCs w:val="18"/>
              </w:rPr>
            </w:pPr>
            <w:r w:rsidRPr="00834CDC">
              <w:rPr>
                <w:sz w:val="18"/>
                <w:szCs w:val="18"/>
              </w:rPr>
              <w:t>25–49</w:t>
            </w:r>
          </w:p>
        </w:tc>
        <w:tc>
          <w:tcPr>
            <w:tcW w:w="38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2A1EF6" w14:textId="77777777" w:rsidR="00104FD7" w:rsidRPr="00834CDC" w:rsidRDefault="00104FD7" w:rsidP="00457617">
            <w:pPr>
              <w:pStyle w:val="NormalWeb"/>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F2A3F2" w14:textId="77777777" w:rsidR="00104FD7" w:rsidRPr="00834CDC" w:rsidRDefault="00104FD7" w:rsidP="00457617">
            <w:pPr>
              <w:pStyle w:val="NormalWeb"/>
              <w:rPr>
                <w:sz w:val="18"/>
                <w:szCs w:val="18"/>
              </w:rPr>
            </w:pPr>
            <w:r w:rsidRPr="00834CDC">
              <w:rPr>
                <w:sz w:val="18"/>
                <w:szCs w:val="18"/>
              </w:rPr>
              <w:t>1–4</w:t>
            </w:r>
            <w:r w:rsidRPr="00834CDC">
              <w:rPr>
                <w:sz w:val="18"/>
                <w:szCs w:val="18"/>
                <w:vertAlign w:val="superscript"/>
              </w:rPr>
              <w:t>c</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888049" w14:textId="77777777" w:rsidR="00104FD7" w:rsidRPr="00834CDC" w:rsidRDefault="00104FD7" w:rsidP="00457617">
            <w:pPr>
              <w:pStyle w:val="NormalWeb"/>
              <w:rPr>
                <w:sz w:val="18"/>
                <w:szCs w:val="18"/>
              </w:rPr>
            </w:pPr>
            <w:r w:rsidRPr="00834CDC">
              <w:rPr>
                <w:sz w:val="18"/>
                <w:szCs w:val="18"/>
              </w:rPr>
              <w:t>0.34</w:t>
            </w:r>
          </w:p>
        </w:tc>
        <w:tc>
          <w:tcPr>
            <w:tcW w:w="127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AE56A6" w14:textId="77777777" w:rsidR="00104FD7" w:rsidRPr="00834CDC" w:rsidRDefault="00104FD7" w:rsidP="00457617">
            <w:pPr>
              <w:pStyle w:val="NormalWeb"/>
              <w:rPr>
                <w:sz w:val="18"/>
                <w:szCs w:val="18"/>
              </w:rPr>
            </w:pPr>
            <w:r w:rsidRPr="00834CDC">
              <w:rPr>
                <w:sz w:val="18"/>
                <w:szCs w:val="18"/>
              </w:rPr>
              <w:t>1.0</w:t>
            </w:r>
          </w:p>
        </w:tc>
        <w:tc>
          <w:tcPr>
            <w:tcW w:w="16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3EE7F6" w14:textId="77777777" w:rsidR="00104FD7" w:rsidRPr="00834CDC" w:rsidRDefault="00104FD7" w:rsidP="00457617">
            <w:pPr>
              <w:pStyle w:val="NormalWeb"/>
              <w:rPr>
                <w:sz w:val="18"/>
                <w:szCs w:val="18"/>
              </w:rPr>
            </w:pPr>
            <w:r w:rsidRPr="00834CDC">
              <w:rPr>
                <w:sz w:val="18"/>
                <w:szCs w:val="18"/>
              </w:rPr>
              <w:t>0.2–3.1</w:t>
            </w:r>
          </w:p>
        </w:tc>
      </w:tr>
      <w:tr w:rsidR="00104FD7" w:rsidRPr="00834CDC" w14:paraId="0B7F275E" w14:textId="77777777" w:rsidTr="00E20A7F">
        <w:trPr>
          <w:cnfStyle w:val="000000010000" w:firstRow="0" w:lastRow="0" w:firstColumn="0" w:lastColumn="0" w:oddVBand="0" w:evenVBand="0" w:oddHBand="0" w:evenHBand="1" w:firstRowFirstColumn="0" w:firstRowLastColumn="0" w:lastRowFirstColumn="0" w:lastRowLastColumn="0"/>
          <w:divId w:val="1988506822"/>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AA5A8A" w14:textId="77777777" w:rsidR="00104FD7" w:rsidRPr="00834CDC" w:rsidRDefault="00104FD7" w:rsidP="00457617">
            <w:pPr>
              <w:rPr>
                <w:sz w:val="18"/>
                <w:szCs w:val="18"/>
              </w:rPr>
            </w:pPr>
          </w:p>
        </w:tc>
        <w:tc>
          <w:tcPr>
            <w:tcW w:w="38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605086" w14:textId="77777777" w:rsidR="00104FD7" w:rsidRPr="00834CDC" w:rsidRDefault="00104FD7" w:rsidP="00457617">
            <w:pPr>
              <w:pStyle w:val="NormalWeb"/>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FE1033" w14:textId="77777777" w:rsidR="00104FD7" w:rsidRPr="00834CDC" w:rsidRDefault="00104FD7" w:rsidP="00457617">
            <w:pPr>
              <w:pStyle w:val="NormalWeb"/>
              <w:rPr>
                <w:sz w:val="18"/>
                <w:szCs w:val="18"/>
              </w:rPr>
            </w:pPr>
            <w:r w:rsidRPr="00834CDC">
              <w:rPr>
                <w:sz w:val="18"/>
                <w:szCs w:val="18"/>
              </w:rPr>
              <w:t>97</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C06777" w14:textId="77777777" w:rsidR="00104FD7" w:rsidRPr="00834CDC" w:rsidRDefault="00104FD7" w:rsidP="00457617">
            <w:pPr>
              <w:pStyle w:val="NormalWeb"/>
              <w:rPr>
                <w:sz w:val="18"/>
                <w:szCs w:val="18"/>
              </w:rPr>
            </w:pPr>
            <w:r w:rsidRPr="00834CDC">
              <w:rPr>
                <w:sz w:val="18"/>
                <w:szCs w:val="18"/>
              </w:rPr>
              <w:t>0.33</w:t>
            </w:r>
          </w:p>
        </w:tc>
        <w:tc>
          <w:tcPr>
            <w:tcW w:w="12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4E327E" w14:textId="77777777" w:rsidR="00104FD7" w:rsidRPr="00834CDC" w:rsidRDefault="00104FD7" w:rsidP="00457617">
            <w:pPr>
              <w:rPr>
                <w:sz w:val="18"/>
                <w:szCs w:val="18"/>
              </w:rPr>
            </w:pPr>
          </w:p>
        </w:tc>
        <w:tc>
          <w:tcPr>
            <w:tcW w:w="16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F40C0C" w14:textId="77777777" w:rsidR="00104FD7" w:rsidRPr="00834CDC" w:rsidRDefault="00104FD7" w:rsidP="00457617">
            <w:pPr>
              <w:rPr>
                <w:sz w:val="18"/>
                <w:szCs w:val="18"/>
              </w:rPr>
            </w:pPr>
          </w:p>
        </w:tc>
      </w:tr>
      <w:tr w:rsidR="00104FD7" w:rsidRPr="00834CDC" w14:paraId="2E4932CF" w14:textId="77777777" w:rsidTr="00E20A7F">
        <w:trPr>
          <w:divId w:val="1988506822"/>
        </w:trPr>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15F021" w14:textId="77777777" w:rsidR="00104FD7" w:rsidRPr="00834CDC" w:rsidRDefault="00104FD7" w:rsidP="00457617">
            <w:pPr>
              <w:pStyle w:val="NormalWeb"/>
              <w:rPr>
                <w:sz w:val="18"/>
                <w:szCs w:val="18"/>
              </w:rPr>
            </w:pPr>
            <w:r w:rsidRPr="00834CDC">
              <w:rPr>
                <w:sz w:val="18"/>
                <w:szCs w:val="18"/>
              </w:rPr>
              <w:t>50+</w:t>
            </w:r>
          </w:p>
        </w:tc>
        <w:tc>
          <w:tcPr>
            <w:tcW w:w="38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A9F78E" w14:textId="77777777" w:rsidR="00104FD7" w:rsidRPr="00834CDC" w:rsidRDefault="00104FD7" w:rsidP="00457617">
            <w:pPr>
              <w:pStyle w:val="NormalWeb"/>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8AED0F" w14:textId="77777777" w:rsidR="00104FD7" w:rsidRPr="00834CDC" w:rsidRDefault="00104FD7" w:rsidP="00457617">
            <w:pPr>
              <w:pStyle w:val="NormalWeb"/>
              <w:rPr>
                <w:sz w:val="18"/>
                <w:szCs w:val="18"/>
              </w:rPr>
            </w:pPr>
            <w:r w:rsidRPr="00834CDC">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B536A3" w14:textId="77777777" w:rsidR="00104FD7" w:rsidRPr="00834CDC" w:rsidRDefault="00104FD7" w:rsidP="00457617">
            <w:pPr>
              <w:pStyle w:val="NormalWeb"/>
              <w:rPr>
                <w:sz w:val="18"/>
                <w:szCs w:val="18"/>
              </w:rPr>
            </w:pPr>
            <w:r w:rsidRPr="00834CDC">
              <w:rPr>
                <w:sz w:val="18"/>
                <w:szCs w:val="18"/>
              </w:rPr>
              <w:t>0.00</w:t>
            </w:r>
          </w:p>
        </w:tc>
        <w:tc>
          <w:tcPr>
            <w:tcW w:w="127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FDCB0F" w14:textId="77777777" w:rsidR="00104FD7" w:rsidRPr="00834CDC" w:rsidRDefault="00104FD7" w:rsidP="00457617">
            <w:pPr>
              <w:pStyle w:val="NormalWeb"/>
              <w:rPr>
                <w:sz w:val="18"/>
                <w:szCs w:val="18"/>
              </w:rPr>
            </w:pPr>
            <w:r w:rsidRPr="00834CDC">
              <w:rPr>
                <w:sz w:val="18"/>
                <w:szCs w:val="18"/>
              </w:rPr>
              <w:t>0.0</w:t>
            </w:r>
          </w:p>
        </w:tc>
        <w:tc>
          <w:tcPr>
            <w:tcW w:w="16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63A8A2" w14:textId="77777777" w:rsidR="00104FD7" w:rsidRPr="00834CDC" w:rsidRDefault="00104FD7" w:rsidP="00457617">
            <w:pPr>
              <w:pStyle w:val="NormalWeb"/>
              <w:rPr>
                <w:sz w:val="18"/>
                <w:szCs w:val="18"/>
              </w:rPr>
            </w:pPr>
            <w:r w:rsidRPr="00834CDC">
              <w:rPr>
                <w:sz w:val="18"/>
                <w:szCs w:val="18"/>
              </w:rPr>
              <w:t>0.0–14.9</w:t>
            </w:r>
          </w:p>
        </w:tc>
      </w:tr>
      <w:tr w:rsidR="00104FD7" w:rsidRPr="00834CDC" w14:paraId="766CD3DA" w14:textId="77777777" w:rsidTr="00E20A7F">
        <w:trPr>
          <w:cnfStyle w:val="000000010000" w:firstRow="0" w:lastRow="0" w:firstColumn="0" w:lastColumn="0" w:oddVBand="0" w:evenVBand="0" w:oddHBand="0" w:evenHBand="1" w:firstRowFirstColumn="0" w:firstRowLastColumn="0" w:lastRowFirstColumn="0" w:lastRowLastColumn="0"/>
          <w:divId w:val="1988506822"/>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2EEEAA" w14:textId="77777777" w:rsidR="00104FD7" w:rsidRPr="00834CDC" w:rsidRDefault="00104FD7" w:rsidP="00457617">
            <w:pPr>
              <w:rPr>
                <w:sz w:val="18"/>
                <w:szCs w:val="18"/>
              </w:rPr>
            </w:pPr>
          </w:p>
        </w:tc>
        <w:tc>
          <w:tcPr>
            <w:tcW w:w="38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86C3D4" w14:textId="77777777" w:rsidR="00104FD7" w:rsidRPr="00834CDC" w:rsidRDefault="00104FD7" w:rsidP="00457617">
            <w:pPr>
              <w:pStyle w:val="NormalWeb"/>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136E36" w14:textId="77777777" w:rsidR="00104FD7" w:rsidRPr="00834CDC" w:rsidRDefault="00104FD7" w:rsidP="00457617">
            <w:pPr>
              <w:pStyle w:val="NormalWeb"/>
              <w:rPr>
                <w:sz w:val="18"/>
                <w:szCs w:val="18"/>
              </w:rPr>
            </w:pPr>
            <w:r w:rsidRPr="00834CDC">
              <w:rPr>
                <w:sz w:val="18"/>
                <w:szCs w:val="18"/>
              </w:rPr>
              <w:t>17</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77F16B" w14:textId="77777777" w:rsidR="00104FD7" w:rsidRPr="00834CDC" w:rsidRDefault="00104FD7" w:rsidP="00457617">
            <w:pPr>
              <w:pStyle w:val="NormalWeb"/>
              <w:rPr>
                <w:sz w:val="18"/>
                <w:szCs w:val="18"/>
              </w:rPr>
            </w:pPr>
            <w:r w:rsidRPr="00834CDC">
              <w:rPr>
                <w:sz w:val="18"/>
                <w:szCs w:val="18"/>
              </w:rPr>
              <w:t>0.06</w:t>
            </w:r>
          </w:p>
        </w:tc>
        <w:tc>
          <w:tcPr>
            <w:tcW w:w="12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7593FA" w14:textId="77777777" w:rsidR="00104FD7" w:rsidRPr="00834CDC" w:rsidRDefault="00104FD7" w:rsidP="00457617">
            <w:pPr>
              <w:rPr>
                <w:sz w:val="18"/>
                <w:szCs w:val="18"/>
              </w:rPr>
            </w:pPr>
          </w:p>
        </w:tc>
        <w:tc>
          <w:tcPr>
            <w:tcW w:w="16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BAAC32" w14:textId="77777777" w:rsidR="00104FD7" w:rsidRPr="00834CDC" w:rsidRDefault="00104FD7" w:rsidP="00457617">
            <w:pPr>
              <w:rPr>
                <w:sz w:val="18"/>
                <w:szCs w:val="18"/>
              </w:rPr>
            </w:pPr>
          </w:p>
        </w:tc>
      </w:tr>
      <w:tr w:rsidR="00104FD7" w:rsidRPr="00834CDC" w14:paraId="2E8990F0" w14:textId="77777777" w:rsidTr="00E20A7F">
        <w:trPr>
          <w:divId w:val="1988506822"/>
        </w:trPr>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083C4B" w14:textId="5CE2A6E2" w:rsidR="00104FD7" w:rsidRPr="00834CDC" w:rsidRDefault="00104FD7" w:rsidP="00457617">
            <w:pPr>
              <w:pStyle w:val="NormalWeb"/>
              <w:rPr>
                <w:sz w:val="18"/>
                <w:szCs w:val="18"/>
              </w:rPr>
            </w:pPr>
            <w:r w:rsidRPr="00834CDC">
              <w:rPr>
                <w:sz w:val="18"/>
                <w:szCs w:val="18"/>
              </w:rPr>
              <w:t>All ages</w:t>
            </w:r>
            <w:r w:rsidR="00B54467" w:rsidRPr="00834CDC">
              <w:rPr>
                <w:sz w:val="18"/>
                <w:szCs w:val="18"/>
              </w:rPr>
              <w:t xml:space="preserve"> </w:t>
            </w:r>
            <w:r w:rsidRPr="00834CDC">
              <w:rPr>
                <w:sz w:val="18"/>
                <w:szCs w:val="18"/>
                <w:vertAlign w:val="superscript"/>
              </w:rPr>
              <w:t>d</w:t>
            </w:r>
          </w:p>
        </w:tc>
        <w:tc>
          <w:tcPr>
            <w:tcW w:w="38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FDEAE0" w14:textId="77777777" w:rsidR="00104FD7" w:rsidRPr="00834CDC" w:rsidRDefault="00104FD7" w:rsidP="00457617">
            <w:pPr>
              <w:pStyle w:val="NormalWeb"/>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288736" w14:textId="77777777" w:rsidR="00104FD7" w:rsidRPr="00834CDC" w:rsidRDefault="00104FD7" w:rsidP="00457617">
            <w:pPr>
              <w:pStyle w:val="NormalWeb"/>
              <w:rPr>
                <w:sz w:val="18"/>
                <w:szCs w:val="18"/>
              </w:rPr>
            </w:pPr>
            <w:r w:rsidRPr="00834CDC">
              <w:rPr>
                <w:sz w:val="18"/>
                <w:szCs w:val="18"/>
              </w:rPr>
              <w:t>5</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D81BEE" w14:textId="77777777" w:rsidR="00104FD7" w:rsidRPr="00834CDC" w:rsidRDefault="00104FD7" w:rsidP="00457617">
            <w:pPr>
              <w:pStyle w:val="NormalWeb"/>
              <w:rPr>
                <w:sz w:val="18"/>
                <w:szCs w:val="18"/>
              </w:rPr>
            </w:pPr>
            <w:r w:rsidRPr="00834CDC">
              <w:rPr>
                <w:sz w:val="18"/>
                <w:szCs w:val="18"/>
              </w:rPr>
              <w:t>0.16</w:t>
            </w:r>
          </w:p>
        </w:tc>
        <w:tc>
          <w:tcPr>
            <w:tcW w:w="127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B42FEF" w14:textId="77777777" w:rsidR="00104FD7" w:rsidRPr="00834CDC" w:rsidRDefault="00104FD7" w:rsidP="00457617">
            <w:pPr>
              <w:pStyle w:val="NormalWeb"/>
              <w:rPr>
                <w:sz w:val="18"/>
                <w:szCs w:val="18"/>
              </w:rPr>
            </w:pPr>
            <w:r w:rsidRPr="00834CDC">
              <w:rPr>
                <w:sz w:val="18"/>
                <w:szCs w:val="18"/>
              </w:rPr>
              <w:t>0.6</w:t>
            </w:r>
          </w:p>
        </w:tc>
        <w:tc>
          <w:tcPr>
            <w:tcW w:w="16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9FBFAF" w14:textId="77777777" w:rsidR="00104FD7" w:rsidRPr="00834CDC" w:rsidRDefault="00104FD7" w:rsidP="00457617">
            <w:pPr>
              <w:pStyle w:val="NormalWeb"/>
              <w:rPr>
                <w:sz w:val="18"/>
                <w:szCs w:val="18"/>
              </w:rPr>
            </w:pPr>
            <w:r w:rsidRPr="00834CDC">
              <w:rPr>
                <w:sz w:val="18"/>
                <w:szCs w:val="18"/>
              </w:rPr>
              <w:t>0.2–1.6</w:t>
            </w:r>
          </w:p>
        </w:tc>
      </w:tr>
      <w:tr w:rsidR="00104FD7" w:rsidRPr="00834CDC" w14:paraId="0C83790A" w14:textId="77777777" w:rsidTr="00E20A7F">
        <w:trPr>
          <w:cnfStyle w:val="000000010000" w:firstRow="0" w:lastRow="0" w:firstColumn="0" w:lastColumn="0" w:oddVBand="0" w:evenVBand="0" w:oddHBand="0" w:evenHBand="1" w:firstRowFirstColumn="0" w:firstRowLastColumn="0" w:lastRowFirstColumn="0" w:lastRowLastColumn="0"/>
          <w:divId w:val="1988506822"/>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8A2479" w14:textId="77777777" w:rsidR="00104FD7" w:rsidRPr="00834CDC" w:rsidRDefault="00104FD7" w:rsidP="00457617">
            <w:pPr>
              <w:rPr>
                <w:sz w:val="18"/>
                <w:szCs w:val="18"/>
              </w:rPr>
            </w:pPr>
          </w:p>
        </w:tc>
        <w:tc>
          <w:tcPr>
            <w:tcW w:w="38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A61544" w14:textId="77777777" w:rsidR="00104FD7" w:rsidRPr="00834CDC" w:rsidRDefault="00104FD7" w:rsidP="00457617">
            <w:pPr>
              <w:pStyle w:val="NormalWeb"/>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8AAD57" w14:textId="77777777" w:rsidR="00104FD7" w:rsidRPr="00834CDC" w:rsidRDefault="00104FD7" w:rsidP="00457617">
            <w:pPr>
              <w:pStyle w:val="NormalWeb"/>
              <w:rPr>
                <w:sz w:val="18"/>
                <w:szCs w:val="18"/>
              </w:rPr>
            </w:pPr>
            <w:r w:rsidRPr="00834CDC">
              <w:rPr>
                <w:sz w:val="18"/>
                <w:szCs w:val="18"/>
              </w:rPr>
              <w:t>218</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28C211" w14:textId="77777777" w:rsidR="00104FD7" w:rsidRPr="00834CDC" w:rsidRDefault="00104FD7" w:rsidP="00457617">
            <w:pPr>
              <w:pStyle w:val="NormalWeb"/>
              <w:rPr>
                <w:sz w:val="18"/>
                <w:szCs w:val="18"/>
              </w:rPr>
            </w:pPr>
            <w:r w:rsidRPr="00834CDC">
              <w:rPr>
                <w:sz w:val="18"/>
                <w:szCs w:val="18"/>
              </w:rPr>
              <w:t>0.26</w:t>
            </w:r>
          </w:p>
        </w:tc>
        <w:tc>
          <w:tcPr>
            <w:tcW w:w="12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A9C962" w14:textId="77777777" w:rsidR="00104FD7" w:rsidRPr="00834CDC" w:rsidRDefault="00104FD7" w:rsidP="00457617">
            <w:pPr>
              <w:rPr>
                <w:sz w:val="18"/>
                <w:szCs w:val="18"/>
              </w:rPr>
            </w:pPr>
          </w:p>
        </w:tc>
        <w:tc>
          <w:tcPr>
            <w:tcW w:w="16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9FB22E" w14:textId="77777777" w:rsidR="00104FD7" w:rsidRPr="00834CDC" w:rsidRDefault="00104FD7" w:rsidP="00457617">
            <w:pPr>
              <w:rPr>
                <w:sz w:val="18"/>
                <w:szCs w:val="18"/>
              </w:rPr>
            </w:pPr>
          </w:p>
        </w:tc>
      </w:tr>
    </w:tbl>
    <w:p w14:paraId="2AC71E72" w14:textId="77777777" w:rsidR="00104FD7" w:rsidRPr="00834CDC" w:rsidRDefault="00104FD7" w:rsidP="00104FD7">
      <w:pPr>
        <w:pStyle w:val="CDIfootnotes"/>
        <w:divId w:val="1988506822"/>
      </w:pPr>
      <w:r w:rsidRPr="00834CDC">
        <w:t>a</w:t>
      </w:r>
      <w:r w:rsidRPr="00834CDC">
        <w:tab/>
      </w:r>
      <w:proofErr w:type="gramStart"/>
      <w:r w:rsidRPr="00834CDC">
        <w:t>Hospital admissions</w:t>
      </w:r>
      <w:proofErr w:type="gramEnd"/>
      <w:r w:rsidRPr="00834CDC">
        <w:t xml:space="preserve"> where the date of admission was between 1 January 2016 and 30 June 2019. Hospitalisation data for 2019 was annualised.</w:t>
      </w:r>
    </w:p>
    <w:p w14:paraId="33E7BC87" w14:textId="77777777" w:rsidR="00104FD7" w:rsidRPr="00834CDC" w:rsidRDefault="00104FD7" w:rsidP="00104FD7">
      <w:pPr>
        <w:pStyle w:val="CDIfootnotes"/>
        <w:divId w:val="1988506822"/>
      </w:pPr>
      <w:r w:rsidRPr="00834CDC">
        <w:t>b</w:t>
      </w:r>
      <w:r w:rsidRPr="00834CDC">
        <w:tab/>
        <w:t>Average annual age-specific rate per 100,000 population.</w:t>
      </w:r>
    </w:p>
    <w:p w14:paraId="5C385AF6" w14:textId="77777777" w:rsidR="00104FD7" w:rsidRPr="00834CDC" w:rsidRDefault="00104FD7" w:rsidP="00104FD7">
      <w:pPr>
        <w:pStyle w:val="CDIfootnotes"/>
        <w:divId w:val="1988506822"/>
      </w:pPr>
      <w:r w:rsidRPr="00834CDC">
        <w:t>c</w:t>
      </w:r>
      <w:r w:rsidRPr="00834CDC">
        <w:tab/>
      </w:r>
      <w:proofErr w:type="gramStart"/>
      <w:r w:rsidRPr="00834CDC">
        <w:t>To</w:t>
      </w:r>
      <w:proofErr w:type="gramEnd"/>
      <w:r w:rsidRPr="00834CDC">
        <w:t xml:space="preserve"> comply with the AIHW’s data release condition that hospitalisation counts &lt; 5 be suppressed in published reports, counts between 1 and 4 are reported as a range; other cell counts may be reported as NP (not published) to avoid potential for back calculation of counts &lt; 5.</w:t>
      </w:r>
    </w:p>
    <w:p w14:paraId="351C580D" w14:textId="4AF99ECC" w:rsidR="00104FD7" w:rsidRPr="00834CDC" w:rsidRDefault="00104FD7" w:rsidP="00104FD7">
      <w:pPr>
        <w:pStyle w:val="CDIfootnotes"/>
        <w:divId w:val="1988506822"/>
      </w:pPr>
      <w:r w:rsidRPr="00834CDC">
        <w:t>d</w:t>
      </w:r>
      <w:r w:rsidRPr="00834CDC">
        <w:tab/>
        <w:t>Rates for all ages combined are age-standardised to the ABS Australian population estimates for 2016.</w:t>
      </w:r>
    </w:p>
    <w:p w14:paraId="4B426E1D" w14:textId="747E8760" w:rsidR="0033445F" w:rsidRPr="00834CDC" w:rsidRDefault="0033445F" w:rsidP="0033445F">
      <w:pPr>
        <w:pStyle w:val="Heading2"/>
        <w:divId w:val="1988506822"/>
      </w:pPr>
      <w:r w:rsidRPr="00834CDC">
        <w:t xml:space="preserve">Discussion </w:t>
      </w:r>
    </w:p>
    <w:p w14:paraId="4E872993" w14:textId="77777777" w:rsidR="0033445F" w:rsidRPr="00834CDC" w:rsidRDefault="0033445F" w:rsidP="0033445F">
      <w:pPr>
        <w:divId w:val="1988506822"/>
      </w:pPr>
      <w:r w:rsidRPr="00834CDC">
        <w:t xml:space="preserve">Measles notification and hospitalisation rates in Aboriginal and Torres Strait Islander people remained low and were below 1 per 100,000 population per year for all age groups in the 2016–2019 period. The </w:t>
      </w:r>
      <w:proofErr w:type="gramStart"/>
      <w:r w:rsidRPr="00834CDC">
        <w:t>all age</w:t>
      </w:r>
      <w:proofErr w:type="gramEnd"/>
      <w:r w:rsidRPr="00834CDC">
        <w:t xml:space="preserve"> notification rate in Aboriginal and Torres Strait Islander people was 68% lower in the 2016–2019 period than in the 2011–2015 period (0.29 and 0.91 per 100,000 per year, respectively) and was half the notification rate in other Australians in 2016–2019. Although only three measles cases </w:t>
      </w:r>
      <w:proofErr w:type="gramStart"/>
      <w:r w:rsidRPr="00834CDC">
        <w:t>were notified</w:t>
      </w:r>
      <w:proofErr w:type="gramEnd"/>
      <w:r w:rsidRPr="00834CDC">
        <w:t xml:space="preserve"> among Aboriginal and Torres Strait Islander children aged less than five years old, this age group had the highest age-specific notification rate in both Aboriginal and Torres Strait </w:t>
      </w:r>
      <w:r w:rsidRPr="00834CDC">
        <w:lastRenderedPageBreak/>
        <w:t xml:space="preserve">Islander and other people, with almost two-thirds of cases in this age group in infants aged less than one year. This is consistent with </w:t>
      </w:r>
      <w:proofErr w:type="gramStart"/>
      <w:r w:rsidRPr="00834CDC">
        <w:t>previous</w:t>
      </w:r>
      <w:proofErr w:type="gramEnd"/>
      <w:r w:rsidRPr="00834CDC">
        <w:t xml:space="preserve"> analyses of Australian notification data between 2012 and 2019 which found the highest rate of measles notifications among infants aged less than one year and therefore not yet eligible to receive MMR vaccine, likely due to increased susceptibility from declining placenta-transmitted maternal antibodies in an elimination context.</w:t>
      </w:r>
      <w:r w:rsidRPr="00834CDC">
        <w:rPr>
          <w:vertAlign w:val="superscript"/>
        </w:rPr>
        <w:t>119,120</w:t>
      </w:r>
      <w:r w:rsidRPr="00834CDC">
        <w:t xml:space="preserve"> </w:t>
      </w:r>
    </w:p>
    <w:p w14:paraId="3252BA7B" w14:textId="77777777" w:rsidR="0033445F" w:rsidRPr="00834CDC" w:rsidRDefault="0033445F" w:rsidP="0033445F">
      <w:pPr>
        <w:divId w:val="1988506822"/>
      </w:pPr>
      <w:r w:rsidRPr="00834CDC">
        <w:t>Measles vaccination coverage is high among Aboriginal and Torres Strait Islander children (see vaccination coverage chapter). Furthermore, following the introduction of the ‘No Jab, No Pay’ policy on 1 January 2016, catch-up second-dose MMR vaccination rates among adolescents aged 10–20 years increased and were higher among Aboriginal and Torres Strait Islander than other adolescents.</w:t>
      </w:r>
      <w:r w:rsidRPr="00834CDC">
        <w:rPr>
          <w:vertAlign w:val="superscript"/>
        </w:rPr>
        <w:t>121</w:t>
      </w:r>
      <w:r w:rsidRPr="00834CDC">
        <w:t xml:space="preserve"> In the context of low measles incidence, high vaccination coverage among children, the effects of No Jab, No Pay and the elimination of endemic measles in Australia verified in 2014, outbreaks linked to imported cases in travellers sporadically occur. The Northern Territory experienced an outbreak in 2019 on a background of a surge in measles cases worldwide</w:t>
      </w:r>
      <w:r w:rsidRPr="00834CDC">
        <w:rPr>
          <w:vertAlign w:val="superscript"/>
        </w:rPr>
        <w:t>122–124</w:t>
      </w:r>
      <w:r w:rsidRPr="00834CDC">
        <w:t xml:space="preserve"> and the recommended age of first dose of MMR was lowered to 9 months in the Greater Darwin region for the duration of the outbreak.</w:t>
      </w:r>
      <w:r w:rsidRPr="00834CDC">
        <w:rPr>
          <w:vertAlign w:val="superscript"/>
        </w:rPr>
        <w:t>124</w:t>
      </w:r>
      <w:r w:rsidRPr="00834CDC">
        <w:t xml:space="preserve"> In the same year, the recommended age at which infants can receive the MMR vaccine for travel to endemic areas, during outbreaks and as post-exposure prophylaxis was lowered to 6 months.</w:t>
      </w:r>
      <w:r w:rsidRPr="00834CDC">
        <w:rPr>
          <w:vertAlign w:val="superscript"/>
        </w:rPr>
        <w:t>125</w:t>
      </w:r>
      <w:r w:rsidRPr="00834CDC">
        <w:t xml:space="preserve"> To prevent importation of measles into Australia, identification and vaccination of non-immune individuals travelling to countries with endemic measles should remain a focus.</w:t>
      </w:r>
    </w:p>
    <w:p w14:paraId="5774871C" w14:textId="77777777" w:rsidR="00946194" w:rsidRDefault="00946194">
      <w:pPr>
        <w:rPr>
          <w:rFonts w:asciiTheme="majorHAnsi" w:eastAsiaTheme="majorEastAsia" w:hAnsiTheme="majorHAnsi" w:cstheme="majorBidi"/>
          <w:b/>
          <w:bCs/>
          <w:sz w:val="32"/>
          <w:szCs w:val="28"/>
        </w:rPr>
      </w:pPr>
      <w:r>
        <w:br w:type="page"/>
      </w:r>
    </w:p>
    <w:p w14:paraId="43F85AFA" w14:textId="56460682" w:rsidR="0033445F" w:rsidRPr="00834CDC" w:rsidRDefault="0033445F" w:rsidP="0033445F">
      <w:pPr>
        <w:pStyle w:val="Heading1"/>
        <w:divId w:val="1988506822"/>
      </w:pPr>
      <w:r w:rsidRPr="00834CDC">
        <w:lastRenderedPageBreak/>
        <w:t xml:space="preserve">8. Meningococcal disease </w:t>
      </w:r>
    </w:p>
    <w:p w14:paraId="517CFE35" w14:textId="7F861825" w:rsidR="00731D8D" w:rsidRPr="00834CDC" w:rsidRDefault="00731D8D" w:rsidP="00731D8D">
      <w:pPr>
        <w:pStyle w:val="Heading2"/>
        <w:divId w:val="1988506822"/>
      </w:pPr>
      <w:r w:rsidRPr="00834CDC">
        <w:t>Relevant vaccine history</w:t>
      </w:r>
    </w:p>
    <w:p w14:paraId="56593C99" w14:textId="0971AC66" w:rsidR="002342B6" w:rsidRPr="00834CDC" w:rsidRDefault="00797882" w:rsidP="00797882">
      <w:pPr>
        <w:pStyle w:val="NormalWeb"/>
        <w:divId w:val="1988506822"/>
      </w:pPr>
      <w:r w:rsidRPr="00834CDC">
        <w:rPr>
          <w:noProof/>
        </w:rPr>
        <mc:AlternateContent>
          <mc:Choice Requires="wps">
            <w:drawing>
              <wp:inline distT="0" distB="0" distL="0" distR="0" wp14:anchorId="249678DE" wp14:editId="78465351">
                <wp:extent cx="6625424" cy="1404620"/>
                <wp:effectExtent l="0" t="0" r="4445" b="889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1404620"/>
                        </a:xfrm>
                        <a:prstGeom prst="rect">
                          <a:avLst/>
                        </a:prstGeom>
                        <a:solidFill>
                          <a:srgbClr val="F7ECDD"/>
                        </a:solidFill>
                        <a:ln w="9525">
                          <a:noFill/>
                          <a:miter lim="800000"/>
                          <a:headEnd/>
                          <a:tailEnd/>
                        </a:ln>
                      </wps:spPr>
                      <wps:txbx>
                        <w:txbxContent>
                          <w:p w14:paraId="688D0665" w14:textId="77777777" w:rsidR="00797882" w:rsidRPr="00797882" w:rsidRDefault="00797882" w:rsidP="00797882">
                            <w:pPr>
                              <w:pStyle w:val="NormalWeb"/>
                              <w:spacing w:before="0" w:beforeAutospacing="0" w:after="0" w:afterAutospacing="0" w:line="240" w:lineRule="auto"/>
                              <w:rPr>
                                <w:b/>
                                <w:bCs/>
                                <w:lang w:val="en-GB"/>
                              </w:rPr>
                            </w:pPr>
                            <w:r w:rsidRPr="00797882">
                              <w:rPr>
                                <w:b/>
                                <w:bCs/>
                                <w:lang w:val="en-GB"/>
                              </w:rPr>
                              <w:t>2003</w:t>
                            </w:r>
                          </w:p>
                          <w:p w14:paraId="053B4B6E" w14:textId="77777777" w:rsidR="00797882" w:rsidRDefault="00797882" w:rsidP="00653125">
                            <w:pPr>
                              <w:numPr>
                                <w:ilvl w:val="0"/>
                                <w:numId w:val="25"/>
                              </w:numPr>
                              <w:spacing w:after="0" w:line="240" w:lineRule="auto"/>
                              <w:rPr>
                                <w:rFonts w:eastAsia="Times New Roman"/>
                                <w:lang w:val="en-GB"/>
                              </w:rPr>
                            </w:pPr>
                            <w:r>
                              <w:rPr>
                                <w:rFonts w:eastAsia="Times New Roman"/>
                                <w:lang w:val="en-GB"/>
                              </w:rPr>
                              <w:t>Meningococcal C conjugate vaccine funded for children at 12 months of age in the NIP, with a catch-up program for individuals aged 1–19 years of age (catch-up concluded in 2008)</w:t>
                            </w:r>
                          </w:p>
                          <w:p w14:paraId="4EC95C4E" w14:textId="77777777" w:rsidR="00797882" w:rsidRPr="00797882" w:rsidRDefault="00797882" w:rsidP="00797882">
                            <w:pPr>
                              <w:pStyle w:val="NormalWeb"/>
                              <w:spacing w:before="0" w:beforeAutospacing="0" w:after="0" w:afterAutospacing="0" w:line="240" w:lineRule="auto"/>
                              <w:rPr>
                                <w:b/>
                                <w:bCs/>
                                <w:lang w:val="en-GB"/>
                              </w:rPr>
                            </w:pPr>
                            <w:r w:rsidRPr="00797882">
                              <w:rPr>
                                <w:b/>
                                <w:bCs/>
                                <w:lang w:val="en-GB"/>
                              </w:rPr>
                              <w:t>2014</w:t>
                            </w:r>
                          </w:p>
                          <w:p w14:paraId="1DE6EFA9" w14:textId="77777777" w:rsidR="00797882" w:rsidRDefault="00797882" w:rsidP="00653125">
                            <w:pPr>
                              <w:numPr>
                                <w:ilvl w:val="0"/>
                                <w:numId w:val="26"/>
                              </w:numPr>
                              <w:spacing w:after="0" w:line="240" w:lineRule="auto"/>
                              <w:rPr>
                                <w:rFonts w:eastAsia="Times New Roman"/>
                                <w:lang w:val="en-GB"/>
                              </w:rPr>
                            </w:pPr>
                            <w:r>
                              <w:rPr>
                                <w:rFonts w:eastAsia="Times New Roman"/>
                                <w:lang w:val="en-GB"/>
                              </w:rPr>
                              <w:t>Multicomponent recombinant meningococcal B vaccine available in Australia, and recommended (not funded) for at-risk individuals</w:t>
                            </w:r>
                          </w:p>
                          <w:p w14:paraId="3F84D945" w14:textId="77777777" w:rsidR="00797882" w:rsidRPr="00797882" w:rsidRDefault="00797882" w:rsidP="00797882">
                            <w:pPr>
                              <w:pStyle w:val="NormalWeb"/>
                              <w:spacing w:before="0" w:beforeAutospacing="0" w:after="0" w:afterAutospacing="0" w:line="240" w:lineRule="auto"/>
                              <w:rPr>
                                <w:b/>
                                <w:bCs/>
                                <w:lang w:val="en-GB"/>
                              </w:rPr>
                            </w:pPr>
                            <w:r w:rsidRPr="00797882">
                              <w:rPr>
                                <w:b/>
                                <w:bCs/>
                                <w:lang w:val="en-GB"/>
                              </w:rPr>
                              <w:t>2016-2019</w:t>
                            </w:r>
                          </w:p>
                          <w:p w14:paraId="669012B7" w14:textId="77777777" w:rsidR="00797882" w:rsidRDefault="00797882" w:rsidP="00653125">
                            <w:pPr>
                              <w:numPr>
                                <w:ilvl w:val="0"/>
                                <w:numId w:val="27"/>
                              </w:numPr>
                              <w:spacing w:after="0" w:line="240" w:lineRule="auto"/>
                              <w:rPr>
                                <w:rFonts w:eastAsia="Times New Roman"/>
                                <w:lang w:val="en-GB"/>
                              </w:rPr>
                            </w:pPr>
                            <w:r>
                              <w:rPr>
                                <w:rFonts w:eastAsia="Times New Roman"/>
                                <w:lang w:val="en-GB"/>
                              </w:rPr>
                              <w:t>Various meningococcal ACWY conjugate vaccine programs commenced for children, adolescents up to age 19 years, at-risk individuals, or a combination of these funded in all Australian jurisdictions</w:t>
                            </w:r>
                          </w:p>
                          <w:p w14:paraId="402AF0D7" w14:textId="77777777" w:rsidR="00797882" w:rsidRPr="00797882" w:rsidRDefault="00797882" w:rsidP="00797882">
                            <w:pPr>
                              <w:pStyle w:val="NormalWeb"/>
                              <w:spacing w:before="0" w:beforeAutospacing="0" w:after="0" w:afterAutospacing="0" w:line="240" w:lineRule="auto"/>
                              <w:rPr>
                                <w:b/>
                                <w:bCs/>
                                <w:lang w:val="en-GB"/>
                              </w:rPr>
                            </w:pPr>
                            <w:r w:rsidRPr="00797882">
                              <w:rPr>
                                <w:b/>
                                <w:bCs/>
                                <w:lang w:val="en-GB"/>
                              </w:rPr>
                              <w:t>2018</w:t>
                            </w:r>
                          </w:p>
                          <w:p w14:paraId="4A663355" w14:textId="77777777" w:rsidR="00797882" w:rsidRDefault="00797882" w:rsidP="00653125">
                            <w:pPr>
                              <w:numPr>
                                <w:ilvl w:val="0"/>
                                <w:numId w:val="28"/>
                              </w:numPr>
                              <w:spacing w:after="0" w:line="240" w:lineRule="auto"/>
                              <w:rPr>
                                <w:rFonts w:eastAsia="Times New Roman"/>
                                <w:lang w:val="en-GB"/>
                              </w:rPr>
                            </w:pPr>
                            <w:r>
                              <w:rPr>
                                <w:rFonts w:eastAsia="Times New Roman"/>
                                <w:lang w:val="en-GB"/>
                              </w:rPr>
                              <w:t>Meningococcal ACWY conjugate vaccine funded for children aged 12 months under the NIP in July (replacing meningococcal C vaccination at 12 months of age)</w:t>
                            </w:r>
                          </w:p>
                          <w:p w14:paraId="4DCC2BCE" w14:textId="77777777" w:rsidR="00797882" w:rsidRDefault="00797882" w:rsidP="00653125">
                            <w:pPr>
                              <w:numPr>
                                <w:ilvl w:val="0"/>
                                <w:numId w:val="28"/>
                              </w:numPr>
                              <w:spacing w:after="0" w:line="240" w:lineRule="auto"/>
                              <w:rPr>
                                <w:rFonts w:eastAsia="Times New Roman"/>
                                <w:lang w:val="en-GB"/>
                              </w:rPr>
                            </w:pPr>
                            <w:r>
                              <w:rPr>
                                <w:rFonts w:eastAsia="Times New Roman"/>
                                <w:lang w:val="en-GB"/>
                              </w:rPr>
                              <w:t>South Australia commences state-funded Meningococcal B Immunisation Program for children aged 6 weeks to 12 months, with a catch-up program for children aged 12 months to less than 4 years (catch-up concluded 31 December 2019)</w:t>
                            </w:r>
                          </w:p>
                          <w:p w14:paraId="2CB95534" w14:textId="77777777" w:rsidR="00797882" w:rsidRPr="00797882" w:rsidRDefault="00797882" w:rsidP="00797882">
                            <w:pPr>
                              <w:pStyle w:val="NormalWeb"/>
                              <w:spacing w:before="0" w:beforeAutospacing="0" w:after="0" w:afterAutospacing="0" w:line="240" w:lineRule="auto"/>
                              <w:rPr>
                                <w:b/>
                                <w:bCs/>
                                <w:lang w:val="en-GB"/>
                              </w:rPr>
                            </w:pPr>
                            <w:r w:rsidRPr="00797882">
                              <w:rPr>
                                <w:b/>
                                <w:bCs/>
                                <w:lang w:val="en-GB"/>
                              </w:rPr>
                              <w:t>2019</w:t>
                            </w:r>
                          </w:p>
                          <w:p w14:paraId="5D067DC9" w14:textId="77777777" w:rsidR="00797882" w:rsidRDefault="00797882" w:rsidP="00653125">
                            <w:pPr>
                              <w:numPr>
                                <w:ilvl w:val="0"/>
                                <w:numId w:val="29"/>
                              </w:numPr>
                              <w:spacing w:after="0" w:line="240" w:lineRule="auto"/>
                              <w:rPr>
                                <w:rFonts w:eastAsia="Times New Roman"/>
                                <w:lang w:val="en-GB"/>
                              </w:rPr>
                            </w:pPr>
                            <w:r>
                              <w:rPr>
                                <w:rFonts w:eastAsia="Times New Roman"/>
                                <w:lang w:val="en-GB"/>
                              </w:rPr>
                              <w:t>Meningococcal ACWY conjugate vaccine funded under the NIP for adolescents aged 14–16 years delivered through a school-based program, and 15–19 years through primary care providers</w:t>
                            </w:r>
                          </w:p>
                          <w:p w14:paraId="760C4AD1" w14:textId="4388A6C1" w:rsidR="00797882" w:rsidRPr="00797882" w:rsidRDefault="00797882" w:rsidP="00653125">
                            <w:pPr>
                              <w:numPr>
                                <w:ilvl w:val="0"/>
                                <w:numId w:val="29"/>
                              </w:numPr>
                              <w:spacing w:after="0" w:line="240" w:lineRule="auto"/>
                              <w:rPr>
                                <w:rFonts w:eastAsia="Times New Roman"/>
                                <w:lang w:val="en-GB"/>
                              </w:rPr>
                            </w:pPr>
                            <w:r>
                              <w:rPr>
                                <w:rFonts w:eastAsia="Times New Roman"/>
                                <w:lang w:val="en-GB"/>
                              </w:rPr>
                              <w:t>South Australia commences state-funded meningococcal B vaccination program for adolescents in year 10, with catch-up for year 11 students and those aged 17 to &lt; 21 years (catch-up concluded February 2020)</w:t>
                            </w:r>
                          </w:p>
                        </w:txbxContent>
                      </wps:txbx>
                      <wps:bodyPr rot="0" vert="horz" wrap="square" lIns="91440" tIns="45720" rIns="91440" bIns="45720" anchor="t" anchorCtr="0">
                        <a:spAutoFit/>
                      </wps:bodyPr>
                    </wps:wsp>
                  </a:graphicData>
                </a:graphic>
              </wp:inline>
            </w:drawing>
          </mc:Choice>
          <mc:Fallback>
            <w:pict>
              <v:shape w14:anchorId="249678DE" id="_x0000_s1032"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" fillcolor="#f7ecdd" stroked="f">
                <v:textbox style="mso-fit-shape-to-text:t">
                  <w:txbxContent>
                    <w:p w14:paraId="688D0665" w14:textId="77777777" w:rsidR="00797882" w:rsidRPr="00797882" w:rsidRDefault="00797882" w:rsidP="00797882">
                      <w:pPr>
                        <w:pStyle w:val="NormalWeb"/>
                        <w:spacing w:before="0" w:beforeAutospacing="0" w:after="0" w:afterAutospacing="0" w:line="240" w:lineRule="auto"/>
                        <w:rPr>
                          <w:b/>
                          <w:bCs/>
                          <w:lang w:val="en-GB"/>
                        </w:rPr>
                      </w:pPr>
                      <w:r w:rsidRPr="00797882">
                        <w:rPr>
                          <w:b/>
                          <w:bCs/>
                          <w:lang w:val="en-GB"/>
                        </w:rPr>
                        <w:t>2003</w:t>
                      </w:r>
                    </w:p>
                    <w:p w14:paraId="053B4B6E" w14:textId="77777777" w:rsidR="00797882" w:rsidRDefault="00797882" w:rsidP="00653125">
                      <w:pPr>
                        <w:numPr>
                          <w:ilvl w:val="0"/>
                          <w:numId w:val="25"/>
                        </w:numPr>
                        <w:spacing w:after="0" w:line="240" w:lineRule="auto"/>
                        <w:rPr>
                          <w:rFonts w:eastAsia="Times New Roman"/>
                          <w:lang w:val="en-GB"/>
                        </w:rPr>
                      </w:pPr>
                      <w:r>
                        <w:rPr>
                          <w:rFonts w:eastAsia="Times New Roman"/>
                          <w:lang w:val="en-GB"/>
                        </w:rPr>
                        <w:t>Meningococcal C conjugate vaccine funded for children at 12 months of age in the NIP, with a catch-up program for individuals aged 1–19 years of age (catch-up concluded in 2008)</w:t>
                      </w:r>
                    </w:p>
                    <w:p w14:paraId="4EC95C4E" w14:textId="77777777" w:rsidR="00797882" w:rsidRPr="00797882" w:rsidRDefault="00797882" w:rsidP="00797882">
                      <w:pPr>
                        <w:pStyle w:val="NormalWeb"/>
                        <w:spacing w:before="0" w:beforeAutospacing="0" w:after="0" w:afterAutospacing="0" w:line="240" w:lineRule="auto"/>
                        <w:rPr>
                          <w:b/>
                          <w:bCs/>
                          <w:lang w:val="en-GB"/>
                        </w:rPr>
                      </w:pPr>
                      <w:r w:rsidRPr="00797882">
                        <w:rPr>
                          <w:b/>
                          <w:bCs/>
                          <w:lang w:val="en-GB"/>
                        </w:rPr>
                        <w:t>2014</w:t>
                      </w:r>
                    </w:p>
                    <w:p w14:paraId="1DE6EFA9" w14:textId="77777777" w:rsidR="00797882" w:rsidRDefault="00797882" w:rsidP="00653125">
                      <w:pPr>
                        <w:numPr>
                          <w:ilvl w:val="0"/>
                          <w:numId w:val="26"/>
                        </w:numPr>
                        <w:spacing w:after="0" w:line="240" w:lineRule="auto"/>
                        <w:rPr>
                          <w:rFonts w:eastAsia="Times New Roman"/>
                          <w:lang w:val="en-GB"/>
                        </w:rPr>
                      </w:pPr>
                      <w:r>
                        <w:rPr>
                          <w:rFonts w:eastAsia="Times New Roman"/>
                          <w:lang w:val="en-GB"/>
                        </w:rPr>
                        <w:t>Multicomponent recombinant meningococcal B vaccine available in Australia, and recommended (not funded) for at-risk individuals</w:t>
                      </w:r>
                    </w:p>
                    <w:p w14:paraId="3F84D945" w14:textId="77777777" w:rsidR="00797882" w:rsidRPr="00797882" w:rsidRDefault="00797882" w:rsidP="00797882">
                      <w:pPr>
                        <w:pStyle w:val="NormalWeb"/>
                        <w:spacing w:before="0" w:beforeAutospacing="0" w:after="0" w:afterAutospacing="0" w:line="240" w:lineRule="auto"/>
                        <w:rPr>
                          <w:b/>
                          <w:bCs/>
                          <w:lang w:val="en-GB"/>
                        </w:rPr>
                      </w:pPr>
                      <w:r w:rsidRPr="00797882">
                        <w:rPr>
                          <w:b/>
                          <w:bCs/>
                          <w:lang w:val="en-GB"/>
                        </w:rPr>
                        <w:t>2016-2019</w:t>
                      </w:r>
                    </w:p>
                    <w:p w14:paraId="669012B7" w14:textId="77777777" w:rsidR="00797882" w:rsidRDefault="00797882" w:rsidP="00653125">
                      <w:pPr>
                        <w:numPr>
                          <w:ilvl w:val="0"/>
                          <w:numId w:val="27"/>
                        </w:numPr>
                        <w:spacing w:after="0" w:line="240" w:lineRule="auto"/>
                        <w:rPr>
                          <w:rFonts w:eastAsia="Times New Roman"/>
                          <w:lang w:val="en-GB"/>
                        </w:rPr>
                      </w:pPr>
                      <w:r>
                        <w:rPr>
                          <w:rFonts w:eastAsia="Times New Roman"/>
                          <w:lang w:val="en-GB"/>
                        </w:rPr>
                        <w:t>Various meningococcal ACWY conjugate vaccine programs commenced for children, adolescents up to age 19 years, at-risk individuals, or a combination of these funded in all Australian jurisdictions</w:t>
                      </w:r>
                    </w:p>
                    <w:p w14:paraId="402AF0D7" w14:textId="77777777" w:rsidR="00797882" w:rsidRPr="00797882" w:rsidRDefault="00797882" w:rsidP="00797882">
                      <w:pPr>
                        <w:pStyle w:val="NormalWeb"/>
                        <w:spacing w:before="0" w:beforeAutospacing="0" w:after="0" w:afterAutospacing="0" w:line="240" w:lineRule="auto"/>
                        <w:rPr>
                          <w:b/>
                          <w:bCs/>
                          <w:lang w:val="en-GB"/>
                        </w:rPr>
                      </w:pPr>
                      <w:r w:rsidRPr="00797882">
                        <w:rPr>
                          <w:b/>
                          <w:bCs/>
                          <w:lang w:val="en-GB"/>
                        </w:rPr>
                        <w:t>2018</w:t>
                      </w:r>
                    </w:p>
                    <w:p w14:paraId="4A663355" w14:textId="77777777" w:rsidR="00797882" w:rsidRDefault="00797882" w:rsidP="00653125">
                      <w:pPr>
                        <w:numPr>
                          <w:ilvl w:val="0"/>
                          <w:numId w:val="28"/>
                        </w:numPr>
                        <w:spacing w:after="0" w:line="240" w:lineRule="auto"/>
                        <w:rPr>
                          <w:rFonts w:eastAsia="Times New Roman"/>
                          <w:lang w:val="en-GB"/>
                        </w:rPr>
                      </w:pPr>
                      <w:r>
                        <w:rPr>
                          <w:rFonts w:eastAsia="Times New Roman"/>
                          <w:lang w:val="en-GB"/>
                        </w:rPr>
                        <w:t>Meningococcal ACWY conjugate vaccine funded for children aged 12 months under the NIP in July (replacing meningococcal C vaccination at 12 months of age)</w:t>
                      </w:r>
                    </w:p>
                    <w:p w14:paraId="4DCC2BCE" w14:textId="77777777" w:rsidR="00797882" w:rsidRDefault="00797882" w:rsidP="00653125">
                      <w:pPr>
                        <w:numPr>
                          <w:ilvl w:val="0"/>
                          <w:numId w:val="28"/>
                        </w:numPr>
                        <w:spacing w:after="0" w:line="240" w:lineRule="auto"/>
                        <w:rPr>
                          <w:rFonts w:eastAsia="Times New Roman"/>
                          <w:lang w:val="en-GB"/>
                        </w:rPr>
                      </w:pPr>
                      <w:r>
                        <w:rPr>
                          <w:rFonts w:eastAsia="Times New Roman"/>
                          <w:lang w:val="en-GB"/>
                        </w:rPr>
                        <w:t>South Australia commences state-funded Meningococcal B Immunisation Program for children aged 6 weeks to 12 months, with a catch-up program for children aged 12 months to less than 4 years (catch-up concluded 31 December 2019)</w:t>
                      </w:r>
                    </w:p>
                    <w:p w14:paraId="2CB95534" w14:textId="77777777" w:rsidR="00797882" w:rsidRPr="00797882" w:rsidRDefault="00797882" w:rsidP="00797882">
                      <w:pPr>
                        <w:pStyle w:val="NormalWeb"/>
                        <w:spacing w:before="0" w:beforeAutospacing="0" w:after="0" w:afterAutospacing="0" w:line="240" w:lineRule="auto"/>
                        <w:rPr>
                          <w:b/>
                          <w:bCs/>
                          <w:lang w:val="en-GB"/>
                        </w:rPr>
                      </w:pPr>
                      <w:r w:rsidRPr="00797882">
                        <w:rPr>
                          <w:b/>
                          <w:bCs/>
                          <w:lang w:val="en-GB"/>
                        </w:rPr>
                        <w:t>2019</w:t>
                      </w:r>
                    </w:p>
                    <w:p w14:paraId="5D067DC9" w14:textId="77777777" w:rsidR="00797882" w:rsidRDefault="00797882" w:rsidP="00653125">
                      <w:pPr>
                        <w:numPr>
                          <w:ilvl w:val="0"/>
                          <w:numId w:val="29"/>
                        </w:numPr>
                        <w:spacing w:after="0" w:line="240" w:lineRule="auto"/>
                        <w:rPr>
                          <w:rFonts w:eastAsia="Times New Roman"/>
                          <w:lang w:val="en-GB"/>
                        </w:rPr>
                      </w:pPr>
                      <w:r>
                        <w:rPr>
                          <w:rFonts w:eastAsia="Times New Roman"/>
                          <w:lang w:val="en-GB"/>
                        </w:rPr>
                        <w:t>Meningococcal ACWY conjugate vaccine funded under the NIP for adolescents aged 14–16 years delivered through a school-based program, and 15–19 years through primary care providers</w:t>
                      </w:r>
                    </w:p>
                    <w:p w14:paraId="760C4AD1" w14:textId="4388A6C1" w:rsidR="00797882" w:rsidRPr="00797882" w:rsidRDefault="00797882" w:rsidP="00653125">
                      <w:pPr>
                        <w:numPr>
                          <w:ilvl w:val="0"/>
                          <w:numId w:val="29"/>
                        </w:numPr>
                        <w:spacing w:after="0" w:line="240" w:lineRule="auto"/>
                        <w:rPr>
                          <w:rFonts w:eastAsia="Times New Roman"/>
                          <w:lang w:val="en-GB"/>
                        </w:rPr>
                      </w:pPr>
                      <w:r>
                        <w:rPr>
                          <w:rFonts w:eastAsia="Times New Roman"/>
                          <w:lang w:val="en-GB"/>
                        </w:rPr>
                        <w:t>South Australia commences state-funded meningococcal B vaccination program for adolescents in year 10, with catch-up for year 11 students and those aged 17 to &lt; 21 years (catch-up concluded February 2020)</w:t>
                      </w:r>
                    </w:p>
                  </w:txbxContent>
                </v:textbox>
                <w10:anchorlock/>
              </v:shape>
            </w:pict>
          </mc:Fallback>
        </mc:AlternateContent>
      </w:r>
    </w:p>
    <w:p w14:paraId="29C70476" w14:textId="77777777" w:rsidR="0033445F" w:rsidRPr="00834CDC" w:rsidRDefault="0033445F" w:rsidP="0033445F">
      <w:pPr>
        <w:divId w:val="1988506822"/>
      </w:pPr>
      <w:r w:rsidRPr="00834CDC">
        <w:t xml:space="preserve">Meningococcal disease is caused the bacterium </w:t>
      </w:r>
      <w:r w:rsidRPr="00834CDC">
        <w:rPr>
          <w:rStyle w:val="Emphasis"/>
          <w:b w:val="0"/>
          <w:bCs w:val="0"/>
        </w:rPr>
        <w:t>Neisseria meningitidis</w:t>
      </w:r>
      <w:r w:rsidRPr="00834CDC">
        <w:t xml:space="preserve">, which has </w:t>
      </w:r>
      <w:proofErr w:type="gramStart"/>
      <w:r w:rsidRPr="00834CDC">
        <w:t>13</w:t>
      </w:r>
      <w:proofErr w:type="gramEnd"/>
      <w:r w:rsidRPr="00834CDC">
        <w:t xml:space="preserve"> serogroups. The most common serogroups causing human disease worldwide are A, B, C, W and Y.</w:t>
      </w:r>
      <w:r w:rsidRPr="00834CDC">
        <w:rPr>
          <w:vertAlign w:val="superscript"/>
        </w:rPr>
        <w:t>126,127</w:t>
      </w:r>
      <w:r w:rsidRPr="00834CDC">
        <w:t xml:space="preserve"> Invasive meningococcal disease (IMD), defined as the isolation of this bacterium in normally sterile sites, most often presents as acute meningitis with fever, headache, and photophobia, or as septicaemia with or without meningitis.</w:t>
      </w:r>
      <w:r w:rsidRPr="00834CDC">
        <w:rPr>
          <w:vertAlign w:val="superscript"/>
        </w:rPr>
        <w:t>127</w:t>
      </w:r>
      <w:r w:rsidRPr="00834CDC">
        <w:t xml:space="preserve"> With appropriate treatment, case fatality rates for IMD range from 4% to 20%.</w:t>
      </w:r>
      <w:r w:rsidRPr="00834CDC">
        <w:rPr>
          <w:vertAlign w:val="superscript"/>
        </w:rPr>
        <w:t>128</w:t>
      </w:r>
      <w:r w:rsidRPr="00834CDC">
        <w:t xml:space="preserve"> Between 10% and 30% of survivors of IMD develop permanent sequelae, including hearing loss, cognitive deficits, seizure disorders, and extensive skin complications that may lead to limb amputations.</w:t>
      </w:r>
      <w:r w:rsidRPr="00834CDC">
        <w:rPr>
          <w:vertAlign w:val="superscript"/>
        </w:rPr>
        <w:t>129–131</w:t>
      </w:r>
      <w:r w:rsidRPr="00834CDC">
        <w:t xml:space="preserve"> </w:t>
      </w:r>
    </w:p>
    <w:p w14:paraId="5302DBF6" w14:textId="77777777" w:rsidR="0033445F" w:rsidRPr="00834CDC" w:rsidRDefault="0033445F" w:rsidP="0033445F">
      <w:pPr>
        <w:pStyle w:val="Heading2"/>
        <w:divId w:val="1988506822"/>
      </w:pPr>
      <w:r w:rsidRPr="00834CDC">
        <w:t xml:space="preserve">Results </w:t>
      </w:r>
    </w:p>
    <w:p w14:paraId="2FBD55F1" w14:textId="77777777" w:rsidR="0033445F" w:rsidRPr="00834CDC" w:rsidRDefault="0033445F" w:rsidP="0033445F">
      <w:pPr>
        <w:divId w:val="1988506822"/>
      </w:pPr>
      <w:r w:rsidRPr="00834CDC">
        <w:t xml:space="preserve">Notification data for IMD of all serogroups for the period 2016–2019 </w:t>
      </w:r>
      <w:proofErr w:type="gramStart"/>
      <w:r w:rsidRPr="00834CDC">
        <w:t>are presented</w:t>
      </w:r>
      <w:proofErr w:type="gramEnd"/>
      <w:r w:rsidRPr="00834CDC">
        <w:t xml:space="preserve"> in Table 13. In total, there were 1,120 IMD notifications, of which 170 (15.2%) </w:t>
      </w:r>
      <w:proofErr w:type="gramStart"/>
      <w:r w:rsidRPr="00834CDC">
        <w:t>were reported</w:t>
      </w:r>
      <w:proofErr w:type="gramEnd"/>
      <w:r w:rsidRPr="00834CDC">
        <w:t xml:space="preserve"> to be in Aboriginal and Torres Strait Islander people. </w:t>
      </w:r>
    </w:p>
    <w:p w14:paraId="0D96D5C5" w14:textId="77777777" w:rsidR="0033445F" w:rsidRPr="00834CDC" w:rsidRDefault="0033445F" w:rsidP="0033445F">
      <w:pPr>
        <w:divId w:val="1988506822"/>
      </w:pPr>
      <w:r w:rsidRPr="00834CDC">
        <w:t xml:space="preserve">The overall (all ages combined) notification rate among Aboriginal and Torres Strait Islander people at 3.5 per 100,000 per year was </w:t>
      </w:r>
      <w:proofErr w:type="gramStart"/>
      <w:r w:rsidRPr="00834CDC">
        <w:t>substantially higher</w:t>
      </w:r>
      <w:proofErr w:type="gramEnd"/>
      <w:r w:rsidRPr="00834CDC">
        <w:t xml:space="preserve"> than the rate among other people at 1.0 per 100,000 per year (RR: 3.5; 95% CI: 2.9–4.3). The highest age-specific notification rates were seen in Aboriginal and Torres Strait Islander children aged 0–4 years (27.0 per 100,000 per year compared to 2.8 per 100,000 per year in other children; RR: 9.7; 95% CI: 7.5–12.6) and Aboriginal and Torres Strait Islander children/adolescents aged 5–14 years (4.7 per 100,000 per year compared to 0.2 per 100,000 per year in other children/adolescents; RR: 20.0; 95% CI: 11.7–34.5). The next highest notification rate in Aboriginal and Torres Strait Islander people was in adults aged 25–49 years (1.8 per 100,000 per year compared to 0.5 per 100,000 per year in other adults; RR: 3.9; 95% CI: 2.2–6.3). </w:t>
      </w:r>
    </w:p>
    <w:p w14:paraId="40A657A3" w14:textId="77777777" w:rsidR="00AE4C5A" w:rsidRPr="00834CDC" w:rsidRDefault="00AE4C5A">
      <w:r w:rsidRPr="00834CDC">
        <w:br w:type="page"/>
      </w:r>
    </w:p>
    <w:p w14:paraId="487CE38D" w14:textId="77777777" w:rsidR="00AE4C5A" w:rsidRPr="00834CDC" w:rsidRDefault="00AE4C5A" w:rsidP="00AE4C5A">
      <w:pPr>
        <w:pStyle w:val="NormalWeb"/>
        <w:divId w:val="1988506822"/>
      </w:pPr>
      <w:r w:rsidRPr="00834CDC">
        <w:rPr>
          <w:rStyle w:val="Strong"/>
        </w:rPr>
        <w:lastRenderedPageBreak/>
        <w:t>Table 13: Invasive meningococcal disease notifications, Australia (all states and territories), 2016–2019, by age and Aboriginal and Torres Strait Islander status</w:t>
      </w:r>
    </w:p>
    <w:tbl>
      <w:tblPr>
        <w:tblStyle w:val="CDI-StandardTable"/>
        <w:tblW w:w="0" w:type="auto"/>
        <w:tblLook w:val="04A0" w:firstRow="1" w:lastRow="0" w:firstColumn="1" w:lastColumn="0" w:noHBand="0" w:noVBand="1"/>
        <w:tblDescription w:val="Table 13 shows the number and rates per 100,000 population of invasive meningococcal disease notifications by age and Aboriginal and Torres Strait Islander status, Australia, 2016 to 2019.&#10;"/>
      </w:tblPr>
      <w:tblGrid>
        <w:gridCol w:w="2127"/>
        <w:gridCol w:w="3543"/>
        <w:gridCol w:w="851"/>
        <w:gridCol w:w="849"/>
        <w:gridCol w:w="1129"/>
        <w:gridCol w:w="1940"/>
      </w:tblGrid>
      <w:tr w:rsidR="00AE4C5A" w:rsidRPr="00834CDC" w14:paraId="2A903174" w14:textId="77777777" w:rsidTr="00AE4C5A">
        <w:trPr>
          <w:cnfStyle w:val="100000000000" w:firstRow="1" w:lastRow="0" w:firstColumn="0" w:lastColumn="0" w:oddVBand="0" w:evenVBand="0" w:oddHBand="0" w:evenHBand="0" w:firstRowFirstColumn="0" w:firstRowLastColumn="0" w:lastRowFirstColumn="0" w:lastRowLastColumn="0"/>
          <w:divId w:val="1988506822"/>
          <w:tblHeader/>
        </w:trPr>
        <w:tc>
          <w:tcPr>
            <w:tcW w:w="2127" w:type="dxa"/>
            <w:hideMark/>
          </w:tcPr>
          <w:p w14:paraId="7A32822B" w14:textId="77777777" w:rsidR="00AE4C5A" w:rsidRPr="00834CDC" w:rsidRDefault="00AE4C5A" w:rsidP="001A6F97">
            <w:pPr>
              <w:jc w:val="left"/>
              <w:rPr>
                <w:sz w:val="18"/>
                <w:szCs w:val="18"/>
              </w:rPr>
            </w:pPr>
          </w:p>
        </w:tc>
        <w:tc>
          <w:tcPr>
            <w:tcW w:w="3543" w:type="dxa"/>
            <w:hideMark/>
          </w:tcPr>
          <w:p w14:paraId="7EB8A5AD" w14:textId="77777777" w:rsidR="00AE4C5A" w:rsidRPr="00834CDC" w:rsidRDefault="00AE4C5A" w:rsidP="001A6F97">
            <w:pPr>
              <w:jc w:val="left"/>
              <w:rPr>
                <w:rFonts w:eastAsia="Times New Roman"/>
                <w:sz w:val="18"/>
                <w:szCs w:val="18"/>
              </w:rPr>
            </w:pPr>
          </w:p>
        </w:tc>
        <w:tc>
          <w:tcPr>
            <w:tcW w:w="4769" w:type="dxa"/>
            <w:gridSpan w:val="4"/>
            <w:hideMark/>
          </w:tcPr>
          <w:p w14:paraId="0CB8DA02" w14:textId="53A3F2E2" w:rsidR="00AE4C5A" w:rsidRPr="00834CDC" w:rsidRDefault="00AE4C5A" w:rsidP="003058F5">
            <w:pPr>
              <w:pStyle w:val="NormalWeb"/>
              <w:rPr>
                <w:sz w:val="18"/>
                <w:szCs w:val="18"/>
              </w:rPr>
            </w:pPr>
            <w:r w:rsidRPr="00834CDC">
              <w:rPr>
                <w:sz w:val="18"/>
                <w:szCs w:val="18"/>
              </w:rPr>
              <w:t>Notifications (2016–2019)</w:t>
            </w:r>
            <w:r w:rsidR="00A028EE" w:rsidRPr="00834CDC">
              <w:rPr>
                <w:sz w:val="18"/>
                <w:szCs w:val="18"/>
              </w:rPr>
              <w:t xml:space="preserve"> </w:t>
            </w:r>
            <w:r w:rsidRPr="00834CDC">
              <w:rPr>
                <w:sz w:val="18"/>
                <w:szCs w:val="18"/>
                <w:vertAlign w:val="superscript"/>
              </w:rPr>
              <w:t>a</w:t>
            </w:r>
          </w:p>
        </w:tc>
      </w:tr>
      <w:tr w:rsidR="00AE4C5A" w:rsidRPr="00834CDC" w14:paraId="60B8E61B" w14:textId="77777777" w:rsidTr="00AE4C5A">
        <w:trPr>
          <w:cnfStyle w:val="100000000000" w:firstRow="1" w:lastRow="0" w:firstColumn="0" w:lastColumn="0" w:oddVBand="0" w:evenVBand="0" w:oddHBand="0" w:evenHBand="0" w:firstRowFirstColumn="0" w:firstRowLastColumn="0" w:lastRowFirstColumn="0" w:lastRowLastColumn="0"/>
          <w:divId w:val="1988506822"/>
          <w:tblHeader/>
        </w:trPr>
        <w:tc>
          <w:tcPr>
            <w:tcW w:w="2127" w:type="dxa"/>
            <w:hideMark/>
          </w:tcPr>
          <w:p w14:paraId="78C607DA" w14:textId="77777777" w:rsidR="00AE4C5A" w:rsidRPr="00834CDC" w:rsidRDefault="00AE4C5A" w:rsidP="001A6F97">
            <w:pPr>
              <w:pStyle w:val="NormalWeb"/>
              <w:jc w:val="left"/>
              <w:rPr>
                <w:sz w:val="18"/>
                <w:szCs w:val="18"/>
              </w:rPr>
            </w:pPr>
            <w:r w:rsidRPr="00834CDC">
              <w:rPr>
                <w:sz w:val="18"/>
                <w:szCs w:val="18"/>
              </w:rPr>
              <w:t>Age group</w:t>
            </w:r>
          </w:p>
        </w:tc>
        <w:tc>
          <w:tcPr>
            <w:tcW w:w="3543" w:type="dxa"/>
            <w:vMerge w:val="restart"/>
            <w:hideMark/>
          </w:tcPr>
          <w:p w14:paraId="602838CB" w14:textId="77777777" w:rsidR="00AE4C5A" w:rsidRPr="00834CDC" w:rsidRDefault="00AE4C5A" w:rsidP="001A6F97">
            <w:pPr>
              <w:pStyle w:val="NormalWeb"/>
              <w:jc w:val="left"/>
              <w:rPr>
                <w:sz w:val="18"/>
                <w:szCs w:val="18"/>
              </w:rPr>
            </w:pPr>
            <w:r w:rsidRPr="00834CDC">
              <w:rPr>
                <w:sz w:val="18"/>
                <w:szCs w:val="18"/>
              </w:rPr>
              <w:t>Aboriginal and Torres Strait Islander status</w:t>
            </w:r>
          </w:p>
        </w:tc>
        <w:tc>
          <w:tcPr>
            <w:tcW w:w="851" w:type="dxa"/>
            <w:vMerge w:val="restart"/>
            <w:hideMark/>
          </w:tcPr>
          <w:p w14:paraId="0217B4AB" w14:textId="77777777" w:rsidR="00AE4C5A" w:rsidRPr="00834CDC" w:rsidRDefault="00AE4C5A" w:rsidP="003058F5">
            <w:pPr>
              <w:pStyle w:val="NormalWeb"/>
              <w:rPr>
                <w:sz w:val="18"/>
                <w:szCs w:val="18"/>
              </w:rPr>
            </w:pPr>
            <w:r w:rsidRPr="00834CDC">
              <w:rPr>
                <w:sz w:val="18"/>
                <w:szCs w:val="18"/>
              </w:rPr>
              <w:t>N</w:t>
            </w:r>
          </w:p>
        </w:tc>
        <w:tc>
          <w:tcPr>
            <w:tcW w:w="849" w:type="dxa"/>
            <w:vMerge w:val="restart"/>
            <w:hideMark/>
          </w:tcPr>
          <w:p w14:paraId="627AAD54" w14:textId="5F261942" w:rsidR="00AE4C5A" w:rsidRPr="00834CDC" w:rsidRDefault="00AE4C5A" w:rsidP="003058F5">
            <w:pPr>
              <w:pStyle w:val="NormalWeb"/>
              <w:rPr>
                <w:sz w:val="18"/>
                <w:szCs w:val="18"/>
              </w:rPr>
            </w:pPr>
            <w:r w:rsidRPr="00834CDC">
              <w:rPr>
                <w:sz w:val="18"/>
                <w:szCs w:val="18"/>
              </w:rPr>
              <w:t>Rate</w:t>
            </w:r>
            <w:r w:rsidR="00A028EE" w:rsidRPr="00834CDC">
              <w:rPr>
                <w:sz w:val="18"/>
                <w:szCs w:val="18"/>
              </w:rPr>
              <w:t xml:space="preserve"> </w:t>
            </w:r>
            <w:r w:rsidRPr="00834CDC">
              <w:rPr>
                <w:sz w:val="18"/>
                <w:szCs w:val="18"/>
                <w:vertAlign w:val="superscript"/>
              </w:rPr>
              <w:t>b</w:t>
            </w:r>
          </w:p>
        </w:tc>
        <w:tc>
          <w:tcPr>
            <w:tcW w:w="1129" w:type="dxa"/>
            <w:vMerge w:val="restart"/>
            <w:hideMark/>
          </w:tcPr>
          <w:p w14:paraId="17586BFA" w14:textId="77777777" w:rsidR="00AE4C5A" w:rsidRPr="00834CDC" w:rsidRDefault="00AE4C5A" w:rsidP="003058F5">
            <w:pPr>
              <w:pStyle w:val="NormalWeb"/>
              <w:rPr>
                <w:sz w:val="18"/>
                <w:szCs w:val="18"/>
              </w:rPr>
            </w:pPr>
            <w:r w:rsidRPr="00834CDC">
              <w:rPr>
                <w:sz w:val="18"/>
                <w:szCs w:val="18"/>
              </w:rPr>
              <w:t>Rate ratio</w:t>
            </w:r>
          </w:p>
        </w:tc>
        <w:tc>
          <w:tcPr>
            <w:tcW w:w="1940" w:type="dxa"/>
            <w:vMerge w:val="restart"/>
            <w:hideMark/>
          </w:tcPr>
          <w:p w14:paraId="363314FC" w14:textId="77777777" w:rsidR="00AE4C5A" w:rsidRPr="00834CDC" w:rsidRDefault="00AE4C5A" w:rsidP="003058F5">
            <w:pPr>
              <w:pStyle w:val="NormalWeb"/>
              <w:rPr>
                <w:sz w:val="18"/>
                <w:szCs w:val="18"/>
              </w:rPr>
            </w:pPr>
            <w:proofErr w:type="gramStart"/>
            <w:r w:rsidRPr="00834CDC">
              <w:rPr>
                <w:sz w:val="18"/>
                <w:szCs w:val="18"/>
              </w:rPr>
              <w:t>95%</w:t>
            </w:r>
            <w:proofErr w:type="gramEnd"/>
            <w:r w:rsidRPr="00834CDC">
              <w:rPr>
                <w:sz w:val="18"/>
                <w:szCs w:val="18"/>
              </w:rPr>
              <w:t xml:space="preserve"> CI for rate ratio</w:t>
            </w:r>
          </w:p>
        </w:tc>
      </w:tr>
      <w:tr w:rsidR="00AE4C5A" w:rsidRPr="00834CDC" w14:paraId="44190EF4" w14:textId="77777777" w:rsidTr="00AE4C5A">
        <w:trPr>
          <w:cnfStyle w:val="100000000000" w:firstRow="1" w:lastRow="0" w:firstColumn="0" w:lastColumn="0" w:oddVBand="0" w:evenVBand="0" w:oddHBand="0" w:evenHBand="0" w:firstRowFirstColumn="0" w:firstRowLastColumn="0" w:lastRowFirstColumn="0" w:lastRowLastColumn="0"/>
          <w:divId w:val="1988506822"/>
          <w:tblHeader/>
        </w:trPr>
        <w:tc>
          <w:tcPr>
            <w:tcW w:w="2127" w:type="dxa"/>
            <w:tcBorders>
              <w:bottom w:val="single" w:sz="2" w:space="0" w:color="808080" w:themeColor="background1" w:themeShade="80"/>
            </w:tcBorders>
            <w:hideMark/>
          </w:tcPr>
          <w:p w14:paraId="30607C7E" w14:textId="77777777" w:rsidR="00AE4C5A" w:rsidRPr="00834CDC" w:rsidRDefault="00AE4C5A" w:rsidP="001A6F97">
            <w:pPr>
              <w:pStyle w:val="NormalWeb"/>
              <w:jc w:val="left"/>
              <w:rPr>
                <w:sz w:val="18"/>
                <w:szCs w:val="18"/>
              </w:rPr>
            </w:pPr>
            <w:r w:rsidRPr="00834CDC">
              <w:rPr>
                <w:sz w:val="18"/>
                <w:szCs w:val="18"/>
              </w:rPr>
              <w:t>(years)</w:t>
            </w:r>
          </w:p>
        </w:tc>
        <w:tc>
          <w:tcPr>
            <w:tcW w:w="3543" w:type="dxa"/>
            <w:vMerge/>
            <w:tcBorders>
              <w:bottom w:val="single" w:sz="2" w:space="0" w:color="808080" w:themeColor="background1" w:themeShade="80"/>
            </w:tcBorders>
            <w:hideMark/>
          </w:tcPr>
          <w:p w14:paraId="0094A9B8" w14:textId="77777777" w:rsidR="00AE4C5A" w:rsidRPr="00834CDC" w:rsidRDefault="00AE4C5A" w:rsidP="001A6F97">
            <w:pPr>
              <w:jc w:val="left"/>
              <w:rPr>
                <w:sz w:val="18"/>
                <w:szCs w:val="18"/>
              </w:rPr>
            </w:pPr>
          </w:p>
        </w:tc>
        <w:tc>
          <w:tcPr>
            <w:tcW w:w="851" w:type="dxa"/>
            <w:vMerge/>
            <w:tcBorders>
              <w:bottom w:val="single" w:sz="2" w:space="0" w:color="808080" w:themeColor="background1" w:themeShade="80"/>
            </w:tcBorders>
            <w:hideMark/>
          </w:tcPr>
          <w:p w14:paraId="623FB74E" w14:textId="77777777" w:rsidR="00AE4C5A" w:rsidRPr="00834CDC" w:rsidRDefault="00AE4C5A" w:rsidP="003058F5">
            <w:pPr>
              <w:rPr>
                <w:sz w:val="18"/>
                <w:szCs w:val="18"/>
              </w:rPr>
            </w:pPr>
          </w:p>
        </w:tc>
        <w:tc>
          <w:tcPr>
            <w:tcW w:w="849" w:type="dxa"/>
            <w:vMerge/>
            <w:tcBorders>
              <w:bottom w:val="single" w:sz="2" w:space="0" w:color="808080" w:themeColor="background1" w:themeShade="80"/>
            </w:tcBorders>
            <w:hideMark/>
          </w:tcPr>
          <w:p w14:paraId="416825C5" w14:textId="77777777" w:rsidR="00AE4C5A" w:rsidRPr="00834CDC" w:rsidRDefault="00AE4C5A" w:rsidP="003058F5">
            <w:pPr>
              <w:rPr>
                <w:sz w:val="18"/>
                <w:szCs w:val="18"/>
              </w:rPr>
            </w:pPr>
          </w:p>
        </w:tc>
        <w:tc>
          <w:tcPr>
            <w:tcW w:w="1129" w:type="dxa"/>
            <w:vMerge/>
            <w:tcBorders>
              <w:bottom w:val="single" w:sz="2" w:space="0" w:color="808080" w:themeColor="background1" w:themeShade="80"/>
            </w:tcBorders>
            <w:hideMark/>
          </w:tcPr>
          <w:p w14:paraId="537DD43A" w14:textId="77777777" w:rsidR="00AE4C5A" w:rsidRPr="00834CDC" w:rsidRDefault="00AE4C5A" w:rsidP="003058F5">
            <w:pPr>
              <w:rPr>
                <w:sz w:val="18"/>
                <w:szCs w:val="18"/>
              </w:rPr>
            </w:pPr>
          </w:p>
        </w:tc>
        <w:tc>
          <w:tcPr>
            <w:tcW w:w="1940" w:type="dxa"/>
            <w:vMerge/>
            <w:tcBorders>
              <w:bottom w:val="single" w:sz="2" w:space="0" w:color="808080" w:themeColor="background1" w:themeShade="80"/>
            </w:tcBorders>
            <w:hideMark/>
          </w:tcPr>
          <w:p w14:paraId="1D4390DC" w14:textId="77777777" w:rsidR="00AE4C5A" w:rsidRPr="00834CDC" w:rsidRDefault="00AE4C5A" w:rsidP="003058F5">
            <w:pPr>
              <w:rPr>
                <w:sz w:val="18"/>
                <w:szCs w:val="18"/>
              </w:rPr>
            </w:pPr>
          </w:p>
        </w:tc>
      </w:tr>
      <w:tr w:rsidR="00AE4C5A" w:rsidRPr="00834CDC" w14:paraId="358C93B4" w14:textId="77777777" w:rsidTr="00AE4C5A">
        <w:trPr>
          <w:divId w:val="1988506822"/>
        </w:trPr>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5F87FA" w14:textId="77777777" w:rsidR="00AE4C5A" w:rsidRPr="00834CDC" w:rsidRDefault="00AE4C5A" w:rsidP="001A6F97">
            <w:pPr>
              <w:pStyle w:val="NormalWeb"/>
              <w:jc w:val="left"/>
              <w:rPr>
                <w:sz w:val="18"/>
                <w:szCs w:val="18"/>
              </w:rPr>
            </w:pPr>
            <w:r w:rsidRPr="00834CDC">
              <w:rPr>
                <w:sz w:val="18"/>
                <w:szCs w:val="18"/>
              </w:rPr>
              <w:t>0–4</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F0336C" w14:textId="77777777" w:rsidR="00AE4C5A" w:rsidRPr="00834CDC" w:rsidRDefault="00AE4C5A" w:rsidP="001A6F97">
            <w:pPr>
              <w:pStyle w:val="NormalWeb"/>
              <w:jc w:val="left"/>
              <w:rPr>
                <w:sz w:val="18"/>
                <w:szCs w:val="18"/>
              </w:rPr>
            </w:pPr>
            <w:r w:rsidRPr="00834CDC">
              <w:rPr>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F19985" w14:textId="77777777" w:rsidR="00AE4C5A" w:rsidRPr="00834CDC" w:rsidRDefault="00AE4C5A" w:rsidP="003058F5">
            <w:pPr>
              <w:pStyle w:val="NormalWeb"/>
              <w:rPr>
                <w:sz w:val="18"/>
                <w:szCs w:val="18"/>
              </w:rPr>
            </w:pPr>
            <w:r w:rsidRPr="00834CDC">
              <w:rPr>
                <w:sz w:val="18"/>
                <w:szCs w:val="18"/>
              </w:rPr>
              <w:t>102</w:t>
            </w:r>
          </w:p>
        </w:tc>
        <w:tc>
          <w:tcPr>
            <w:tcW w:w="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9B2A48" w14:textId="77777777" w:rsidR="00AE4C5A" w:rsidRPr="00834CDC" w:rsidRDefault="00AE4C5A" w:rsidP="003058F5">
            <w:pPr>
              <w:pStyle w:val="NormalWeb"/>
              <w:rPr>
                <w:sz w:val="18"/>
                <w:szCs w:val="18"/>
              </w:rPr>
            </w:pPr>
            <w:r w:rsidRPr="00834CDC">
              <w:rPr>
                <w:sz w:val="18"/>
                <w:szCs w:val="18"/>
              </w:rPr>
              <w:t>27.02</w:t>
            </w:r>
          </w:p>
        </w:tc>
        <w:tc>
          <w:tcPr>
            <w:tcW w:w="112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B1D104" w14:textId="77777777" w:rsidR="00AE4C5A" w:rsidRPr="00834CDC" w:rsidRDefault="00AE4C5A" w:rsidP="003058F5">
            <w:pPr>
              <w:pStyle w:val="NormalWeb"/>
              <w:rPr>
                <w:sz w:val="18"/>
                <w:szCs w:val="18"/>
              </w:rPr>
            </w:pPr>
            <w:r w:rsidRPr="00834CDC">
              <w:rPr>
                <w:sz w:val="18"/>
                <w:szCs w:val="18"/>
              </w:rPr>
              <w:t>9.7</w:t>
            </w:r>
          </w:p>
        </w:tc>
        <w:tc>
          <w:tcPr>
            <w:tcW w:w="194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AC5D84" w14:textId="77777777" w:rsidR="00AE4C5A" w:rsidRPr="00834CDC" w:rsidRDefault="00AE4C5A" w:rsidP="003058F5">
            <w:pPr>
              <w:pStyle w:val="NormalWeb"/>
              <w:rPr>
                <w:sz w:val="18"/>
                <w:szCs w:val="18"/>
              </w:rPr>
            </w:pPr>
            <w:r w:rsidRPr="00834CDC">
              <w:rPr>
                <w:sz w:val="18"/>
                <w:szCs w:val="18"/>
              </w:rPr>
              <w:t>7.5–12.6</w:t>
            </w:r>
          </w:p>
        </w:tc>
      </w:tr>
      <w:tr w:rsidR="00AE4C5A" w:rsidRPr="00834CDC" w14:paraId="0E6D253B" w14:textId="77777777" w:rsidTr="00AE4C5A">
        <w:trPr>
          <w:cnfStyle w:val="000000010000" w:firstRow="0" w:lastRow="0" w:firstColumn="0" w:lastColumn="0" w:oddVBand="0" w:evenVBand="0" w:oddHBand="0" w:evenHBand="1" w:firstRowFirstColumn="0" w:firstRowLastColumn="0" w:lastRowFirstColumn="0" w:lastRowLastColumn="0"/>
          <w:divId w:val="1988506822"/>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0B38E1" w14:textId="77777777" w:rsidR="00AE4C5A" w:rsidRPr="00834CDC" w:rsidRDefault="00AE4C5A" w:rsidP="001A6F97">
            <w:pPr>
              <w:jc w:val="left"/>
              <w:rPr>
                <w:sz w:val="18"/>
                <w:szCs w:val="18"/>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91FD6E" w14:textId="77777777" w:rsidR="00AE4C5A" w:rsidRPr="00834CDC" w:rsidRDefault="00AE4C5A" w:rsidP="001A6F97">
            <w:pPr>
              <w:pStyle w:val="NormalWeb"/>
              <w:jc w:val="left"/>
              <w:rPr>
                <w:sz w:val="18"/>
                <w:szCs w:val="18"/>
              </w:rPr>
            </w:pPr>
            <w:r w:rsidRPr="00834CDC">
              <w:rPr>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B4622B" w14:textId="77777777" w:rsidR="00AE4C5A" w:rsidRPr="00834CDC" w:rsidRDefault="00AE4C5A" w:rsidP="003058F5">
            <w:pPr>
              <w:pStyle w:val="NormalWeb"/>
              <w:rPr>
                <w:sz w:val="18"/>
                <w:szCs w:val="18"/>
              </w:rPr>
            </w:pPr>
            <w:r w:rsidRPr="00834CDC">
              <w:rPr>
                <w:sz w:val="18"/>
                <w:szCs w:val="18"/>
              </w:rPr>
              <w:t>164</w:t>
            </w:r>
          </w:p>
        </w:tc>
        <w:tc>
          <w:tcPr>
            <w:tcW w:w="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26D31A" w14:textId="77777777" w:rsidR="00AE4C5A" w:rsidRPr="00834CDC" w:rsidRDefault="00AE4C5A" w:rsidP="003058F5">
            <w:pPr>
              <w:pStyle w:val="NormalWeb"/>
              <w:rPr>
                <w:sz w:val="18"/>
                <w:szCs w:val="18"/>
              </w:rPr>
            </w:pPr>
            <w:r w:rsidRPr="00834CDC">
              <w:rPr>
                <w:sz w:val="18"/>
                <w:szCs w:val="18"/>
              </w:rPr>
              <w:t>2.77</w:t>
            </w:r>
          </w:p>
        </w:tc>
        <w:tc>
          <w:tcPr>
            <w:tcW w:w="112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07D713A" w14:textId="77777777" w:rsidR="00AE4C5A" w:rsidRPr="00834CDC" w:rsidRDefault="00AE4C5A" w:rsidP="003058F5">
            <w:pPr>
              <w:rPr>
                <w:sz w:val="18"/>
                <w:szCs w:val="18"/>
              </w:rPr>
            </w:pPr>
          </w:p>
        </w:tc>
        <w:tc>
          <w:tcPr>
            <w:tcW w:w="194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6D7D50" w14:textId="77777777" w:rsidR="00AE4C5A" w:rsidRPr="00834CDC" w:rsidRDefault="00AE4C5A" w:rsidP="003058F5">
            <w:pPr>
              <w:rPr>
                <w:sz w:val="18"/>
                <w:szCs w:val="18"/>
              </w:rPr>
            </w:pPr>
          </w:p>
        </w:tc>
      </w:tr>
      <w:tr w:rsidR="00AE4C5A" w:rsidRPr="00834CDC" w14:paraId="50523BBB" w14:textId="77777777" w:rsidTr="00AE4C5A">
        <w:trPr>
          <w:divId w:val="1988506822"/>
        </w:trPr>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3A00A2" w14:textId="77777777" w:rsidR="00AE4C5A" w:rsidRPr="00834CDC" w:rsidRDefault="00AE4C5A" w:rsidP="001A6F97">
            <w:pPr>
              <w:pStyle w:val="NormalWeb"/>
              <w:jc w:val="left"/>
              <w:rPr>
                <w:sz w:val="18"/>
                <w:szCs w:val="18"/>
              </w:rPr>
            </w:pPr>
            <w:r w:rsidRPr="00834CDC">
              <w:rPr>
                <w:sz w:val="18"/>
                <w:szCs w:val="18"/>
              </w:rPr>
              <w:t>5–14</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37032C" w14:textId="77777777" w:rsidR="00AE4C5A" w:rsidRPr="00834CDC" w:rsidRDefault="00AE4C5A" w:rsidP="001A6F97">
            <w:pPr>
              <w:pStyle w:val="NormalWeb"/>
              <w:jc w:val="left"/>
              <w:rPr>
                <w:sz w:val="18"/>
                <w:szCs w:val="18"/>
              </w:rPr>
            </w:pPr>
            <w:r w:rsidRPr="00834CDC">
              <w:rPr>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816AED" w14:textId="77777777" w:rsidR="00AE4C5A" w:rsidRPr="00834CDC" w:rsidRDefault="00AE4C5A" w:rsidP="003058F5">
            <w:pPr>
              <w:pStyle w:val="NormalWeb"/>
              <w:rPr>
                <w:sz w:val="18"/>
                <w:szCs w:val="18"/>
              </w:rPr>
            </w:pPr>
            <w:r w:rsidRPr="00834CDC">
              <w:rPr>
                <w:sz w:val="18"/>
                <w:szCs w:val="18"/>
              </w:rPr>
              <w:t>34</w:t>
            </w:r>
          </w:p>
        </w:tc>
        <w:tc>
          <w:tcPr>
            <w:tcW w:w="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EFEBED" w14:textId="77777777" w:rsidR="00AE4C5A" w:rsidRPr="00834CDC" w:rsidRDefault="00AE4C5A" w:rsidP="003058F5">
            <w:pPr>
              <w:pStyle w:val="NormalWeb"/>
              <w:rPr>
                <w:sz w:val="18"/>
                <w:szCs w:val="18"/>
              </w:rPr>
            </w:pPr>
            <w:r w:rsidRPr="00834CDC">
              <w:rPr>
                <w:sz w:val="18"/>
                <w:szCs w:val="18"/>
              </w:rPr>
              <w:t>4.65</w:t>
            </w:r>
          </w:p>
        </w:tc>
        <w:tc>
          <w:tcPr>
            <w:tcW w:w="112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3AB72A" w14:textId="77777777" w:rsidR="00AE4C5A" w:rsidRPr="00834CDC" w:rsidRDefault="00AE4C5A" w:rsidP="003058F5">
            <w:pPr>
              <w:pStyle w:val="NormalWeb"/>
              <w:rPr>
                <w:sz w:val="18"/>
                <w:szCs w:val="18"/>
              </w:rPr>
            </w:pPr>
            <w:r w:rsidRPr="00834CDC">
              <w:rPr>
                <w:sz w:val="18"/>
                <w:szCs w:val="18"/>
              </w:rPr>
              <w:t>20.0</w:t>
            </w:r>
          </w:p>
        </w:tc>
        <w:tc>
          <w:tcPr>
            <w:tcW w:w="194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91BED0" w14:textId="77777777" w:rsidR="00AE4C5A" w:rsidRPr="00834CDC" w:rsidRDefault="00AE4C5A" w:rsidP="003058F5">
            <w:pPr>
              <w:pStyle w:val="NormalWeb"/>
              <w:rPr>
                <w:sz w:val="18"/>
                <w:szCs w:val="18"/>
              </w:rPr>
            </w:pPr>
            <w:r w:rsidRPr="00834CDC">
              <w:rPr>
                <w:sz w:val="18"/>
                <w:szCs w:val="18"/>
              </w:rPr>
              <w:t>11.7–34.5</w:t>
            </w:r>
          </w:p>
        </w:tc>
      </w:tr>
      <w:tr w:rsidR="00AE4C5A" w:rsidRPr="00834CDC" w14:paraId="207043FF" w14:textId="77777777" w:rsidTr="00AE4C5A">
        <w:trPr>
          <w:cnfStyle w:val="000000010000" w:firstRow="0" w:lastRow="0" w:firstColumn="0" w:lastColumn="0" w:oddVBand="0" w:evenVBand="0" w:oddHBand="0" w:evenHBand="1" w:firstRowFirstColumn="0" w:firstRowLastColumn="0" w:lastRowFirstColumn="0" w:lastRowLastColumn="0"/>
          <w:divId w:val="1988506822"/>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CA4CAC" w14:textId="77777777" w:rsidR="00AE4C5A" w:rsidRPr="00834CDC" w:rsidRDefault="00AE4C5A" w:rsidP="001A6F97">
            <w:pPr>
              <w:jc w:val="left"/>
              <w:rPr>
                <w:sz w:val="18"/>
                <w:szCs w:val="18"/>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EC5739" w14:textId="77777777" w:rsidR="00AE4C5A" w:rsidRPr="00834CDC" w:rsidRDefault="00AE4C5A" w:rsidP="001A6F97">
            <w:pPr>
              <w:pStyle w:val="NormalWeb"/>
              <w:jc w:val="left"/>
              <w:rPr>
                <w:sz w:val="18"/>
                <w:szCs w:val="18"/>
              </w:rPr>
            </w:pPr>
            <w:r w:rsidRPr="00834CDC">
              <w:rPr>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DAFF8D" w14:textId="77777777" w:rsidR="00AE4C5A" w:rsidRPr="00834CDC" w:rsidRDefault="00AE4C5A" w:rsidP="003058F5">
            <w:pPr>
              <w:pStyle w:val="NormalWeb"/>
              <w:rPr>
                <w:sz w:val="18"/>
                <w:szCs w:val="18"/>
              </w:rPr>
            </w:pPr>
            <w:r w:rsidRPr="00834CDC">
              <w:rPr>
                <w:sz w:val="18"/>
                <w:szCs w:val="18"/>
              </w:rPr>
              <w:t>27</w:t>
            </w:r>
          </w:p>
        </w:tc>
        <w:tc>
          <w:tcPr>
            <w:tcW w:w="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8A6F88" w14:textId="77777777" w:rsidR="00AE4C5A" w:rsidRPr="00834CDC" w:rsidRDefault="00AE4C5A" w:rsidP="003058F5">
            <w:pPr>
              <w:pStyle w:val="NormalWeb"/>
              <w:rPr>
                <w:sz w:val="18"/>
                <w:szCs w:val="18"/>
              </w:rPr>
            </w:pPr>
            <w:r w:rsidRPr="00834CDC">
              <w:rPr>
                <w:sz w:val="18"/>
                <w:szCs w:val="18"/>
              </w:rPr>
              <w:t>0.23</w:t>
            </w:r>
          </w:p>
        </w:tc>
        <w:tc>
          <w:tcPr>
            <w:tcW w:w="112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E58DCC" w14:textId="77777777" w:rsidR="00AE4C5A" w:rsidRPr="00834CDC" w:rsidRDefault="00AE4C5A" w:rsidP="003058F5">
            <w:pPr>
              <w:rPr>
                <w:sz w:val="18"/>
                <w:szCs w:val="18"/>
              </w:rPr>
            </w:pPr>
          </w:p>
        </w:tc>
        <w:tc>
          <w:tcPr>
            <w:tcW w:w="194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7D9955" w14:textId="77777777" w:rsidR="00AE4C5A" w:rsidRPr="00834CDC" w:rsidRDefault="00AE4C5A" w:rsidP="003058F5">
            <w:pPr>
              <w:rPr>
                <w:sz w:val="18"/>
                <w:szCs w:val="18"/>
              </w:rPr>
            </w:pPr>
          </w:p>
        </w:tc>
      </w:tr>
      <w:tr w:rsidR="00AE4C5A" w:rsidRPr="00834CDC" w14:paraId="62BED079" w14:textId="77777777" w:rsidTr="00AE4C5A">
        <w:trPr>
          <w:divId w:val="1988506822"/>
        </w:trPr>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ED599E" w14:textId="77777777" w:rsidR="00AE4C5A" w:rsidRPr="00834CDC" w:rsidRDefault="00AE4C5A" w:rsidP="001A6F97">
            <w:pPr>
              <w:pStyle w:val="NormalWeb"/>
              <w:jc w:val="left"/>
              <w:rPr>
                <w:sz w:val="18"/>
                <w:szCs w:val="18"/>
              </w:rPr>
            </w:pPr>
            <w:r w:rsidRPr="00834CDC">
              <w:rPr>
                <w:sz w:val="18"/>
                <w:szCs w:val="18"/>
              </w:rPr>
              <w:t>15–24</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93BCEA" w14:textId="77777777" w:rsidR="00AE4C5A" w:rsidRPr="00834CDC" w:rsidRDefault="00AE4C5A" w:rsidP="001A6F97">
            <w:pPr>
              <w:pStyle w:val="NormalWeb"/>
              <w:jc w:val="left"/>
              <w:rPr>
                <w:sz w:val="18"/>
                <w:szCs w:val="18"/>
              </w:rPr>
            </w:pPr>
            <w:r w:rsidRPr="00834CDC">
              <w:rPr>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C357E3" w14:textId="77777777" w:rsidR="00AE4C5A" w:rsidRPr="00834CDC" w:rsidRDefault="00AE4C5A" w:rsidP="003058F5">
            <w:pPr>
              <w:pStyle w:val="NormalWeb"/>
              <w:rPr>
                <w:sz w:val="18"/>
                <w:szCs w:val="18"/>
              </w:rPr>
            </w:pPr>
            <w:r w:rsidRPr="00834CDC">
              <w:rPr>
                <w:sz w:val="18"/>
                <w:szCs w:val="18"/>
              </w:rPr>
              <w:t>10</w:t>
            </w:r>
          </w:p>
        </w:tc>
        <w:tc>
          <w:tcPr>
            <w:tcW w:w="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0F9B79" w14:textId="77777777" w:rsidR="00AE4C5A" w:rsidRPr="00834CDC" w:rsidRDefault="00AE4C5A" w:rsidP="003058F5">
            <w:pPr>
              <w:pStyle w:val="NormalWeb"/>
              <w:rPr>
                <w:sz w:val="18"/>
                <w:szCs w:val="18"/>
              </w:rPr>
            </w:pPr>
            <w:r w:rsidRPr="00834CDC">
              <w:rPr>
                <w:sz w:val="18"/>
                <w:szCs w:val="18"/>
              </w:rPr>
              <w:t>1.57</w:t>
            </w:r>
          </w:p>
        </w:tc>
        <w:tc>
          <w:tcPr>
            <w:tcW w:w="112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CC3C1C" w14:textId="77777777" w:rsidR="00AE4C5A" w:rsidRPr="00834CDC" w:rsidRDefault="00AE4C5A" w:rsidP="003058F5">
            <w:pPr>
              <w:pStyle w:val="NormalWeb"/>
              <w:rPr>
                <w:sz w:val="18"/>
                <w:szCs w:val="18"/>
              </w:rPr>
            </w:pPr>
            <w:r w:rsidRPr="00834CDC">
              <w:rPr>
                <w:sz w:val="18"/>
                <w:szCs w:val="18"/>
              </w:rPr>
              <w:t>0.8</w:t>
            </w:r>
          </w:p>
        </w:tc>
        <w:tc>
          <w:tcPr>
            <w:tcW w:w="194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2ADF22" w14:textId="77777777" w:rsidR="00AE4C5A" w:rsidRPr="00834CDC" w:rsidRDefault="00AE4C5A" w:rsidP="003058F5">
            <w:pPr>
              <w:pStyle w:val="NormalWeb"/>
              <w:rPr>
                <w:sz w:val="18"/>
                <w:szCs w:val="18"/>
              </w:rPr>
            </w:pPr>
            <w:r w:rsidRPr="00834CDC">
              <w:rPr>
                <w:sz w:val="18"/>
                <w:szCs w:val="18"/>
              </w:rPr>
              <w:t>0.4–1.4</w:t>
            </w:r>
          </w:p>
        </w:tc>
      </w:tr>
      <w:tr w:rsidR="00AE4C5A" w:rsidRPr="00834CDC" w14:paraId="26C36D1B" w14:textId="77777777" w:rsidTr="00AE4C5A">
        <w:trPr>
          <w:cnfStyle w:val="000000010000" w:firstRow="0" w:lastRow="0" w:firstColumn="0" w:lastColumn="0" w:oddVBand="0" w:evenVBand="0" w:oddHBand="0" w:evenHBand="1" w:firstRowFirstColumn="0" w:firstRowLastColumn="0" w:lastRowFirstColumn="0" w:lastRowLastColumn="0"/>
          <w:divId w:val="1988506822"/>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50A9D8" w14:textId="77777777" w:rsidR="00AE4C5A" w:rsidRPr="00834CDC" w:rsidRDefault="00AE4C5A" w:rsidP="001A6F97">
            <w:pPr>
              <w:jc w:val="left"/>
              <w:rPr>
                <w:sz w:val="18"/>
                <w:szCs w:val="18"/>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908EEC" w14:textId="77777777" w:rsidR="00AE4C5A" w:rsidRPr="00834CDC" w:rsidRDefault="00AE4C5A" w:rsidP="001A6F97">
            <w:pPr>
              <w:pStyle w:val="NormalWeb"/>
              <w:jc w:val="left"/>
              <w:rPr>
                <w:sz w:val="18"/>
                <w:szCs w:val="18"/>
              </w:rPr>
            </w:pPr>
            <w:r w:rsidRPr="00834CDC">
              <w:rPr>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C7CA35" w14:textId="77777777" w:rsidR="00AE4C5A" w:rsidRPr="00834CDC" w:rsidRDefault="00AE4C5A" w:rsidP="003058F5">
            <w:pPr>
              <w:pStyle w:val="NormalWeb"/>
              <w:rPr>
                <w:sz w:val="18"/>
                <w:szCs w:val="18"/>
              </w:rPr>
            </w:pPr>
            <w:r w:rsidRPr="00834CDC">
              <w:rPr>
                <w:sz w:val="18"/>
                <w:szCs w:val="18"/>
              </w:rPr>
              <w:t>251</w:t>
            </w:r>
          </w:p>
        </w:tc>
        <w:tc>
          <w:tcPr>
            <w:tcW w:w="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A4F7E5" w14:textId="77777777" w:rsidR="00AE4C5A" w:rsidRPr="00834CDC" w:rsidRDefault="00AE4C5A" w:rsidP="003058F5">
            <w:pPr>
              <w:pStyle w:val="NormalWeb"/>
              <w:rPr>
                <w:sz w:val="18"/>
                <w:szCs w:val="18"/>
              </w:rPr>
            </w:pPr>
            <w:r w:rsidRPr="00834CDC">
              <w:rPr>
                <w:sz w:val="18"/>
                <w:szCs w:val="18"/>
              </w:rPr>
              <w:t>2.05</w:t>
            </w:r>
          </w:p>
        </w:tc>
        <w:tc>
          <w:tcPr>
            <w:tcW w:w="112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C6DF37" w14:textId="77777777" w:rsidR="00AE4C5A" w:rsidRPr="00834CDC" w:rsidRDefault="00AE4C5A" w:rsidP="003058F5">
            <w:pPr>
              <w:rPr>
                <w:sz w:val="18"/>
                <w:szCs w:val="18"/>
              </w:rPr>
            </w:pPr>
          </w:p>
        </w:tc>
        <w:tc>
          <w:tcPr>
            <w:tcW w:w="194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6DFE59" w14:textId="77777777" w:rsidR="00AE4C5A" w:rsidRPr="00834CDC" w:rsidRDefault="00AE4C5A" w:rsidP="003058F5">
            <w:pPr>
              <w:rPr>
                <w:sz w:val="18"/>
                <w:szCs w:val="18"/>
              </w:rPr>
            </w:pPr>
          </w:p>
        </w:tc>
      </w:tr>
      <w:tr w:rsidR="00AE4C5A" w:rsidRPr="00834CDC" w14:paraId="04540787" w14:textId="77777777" w:rsidTr="00AE4C5A">
        <w:trPr>
          <w:divId w:val="1988506822"/>
        </w:trPr>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3D774E" w14:textId="77777777" w:rsidR="00AE4C5A" w:rsidRPr="00834CDC" w:rsidRDefault="00AE4C5A" w:rsidP="001A6F97">
            <w:pPr>
              <w:pStyle w:val="NormalWeb"/>
              <w:jc w:val="left"/>
              <w:rPr>
                <w:sz w:val="18"/>
                <w:szCs w:val="18"/>
              </w:rPr>
            </w:pPr>
            <w:r w:rsidRPr="00834CDC">
              <w:rPr>
                <w:sz w:val="18"/>
                <w:szCs w:val="18"/>
              </w:rPr>
              <w:t>25–49</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16C4A6" w14:textId="77777777" w:rsidR="00AE4C5A" w:rsidRPr="00834CDC" w:rsidRDefault="00AE4C5A" w:rsidP="001A6F97">
            <w:pPr>
              <w:pStyle w:val="NormalWeb"/>
              <w:jc w:val="left"/>
              <w:rPr>
                <w:sz w:val="18"/>
                <w:szCs w:val="18"/>
              </w:rPr>
            </w:pPr>
            <w:r w:rsidRPr="00834CDC">
              <w:rPr>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8301ED" w14:textId="77777777" w:rsidR="00AE4C5A" w:rsidRPr="00834CDC" w:rsidRDefault="00AE4C5A" w:rsidP="003058F5">
            <w:pPr>
              <w:pStyle w:val="NormalWeb"/>
              <w:rPr>
                <w:sz w:val="18"/>
                <w:szCs w:val="18"/>
              </w:rPr>
            </w:pPr>
            <w:r w:rsidRPr="00834CDC">
              <w:rPr>
                <w:sz w:val="18"/>
                <w:szCs w:val="18"/>
              </w:rPr>
              <w:t>18</w:t>
            </w:r>
          </w:p>
        </w:tc>
        <w:tc>
          <w:tcPr>
            <w:tcW w:w="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EDB10C" w14:textId="77777777" w:rsidR="00AE4C5A" w:rsidRPr="00834CDC" w:rsidRDefault="00AE4C5A" w:rsidP="003058F5">
            <w:pPr>
              <w:pStyle w:val="NormalWeb"/>
              <w:rPr>
                <w:sz w:val="18"/>
                <w:szCs w:val="18"/>
              </w:rPr>
            </w:pPr>
            <w:r w:rsidRPr="00834CDC">
              <w:rPr>
                <w:sz w:val="18"/>
                <w:szCs w:val="18"/>
              </w:rPr>
              <w:t>1.78</w:t>
            </w:r>
          </w:p>
        </w:tc>
        <w:tc>
          <w:tcPr>
            <w:tcW w:w="112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ADEBEF" w14:textId="77777777" w:rsidR="00AE4C5A" w:rsidRPr="00834CDC" w:rsidRDefault="00AE4C5A" w:rsidP="003058F5">
            <w:pPr>
              <w:pStyle w:val="NormalWeb"/>
              <w:rPr>
                <w:sz w:val="18"/>
                <w:szCs w:val="18"/>
              </w:rPr>
            </w:pPr>
            <w:r w:rsidRPr="00834CDC">
              <w:rPr>
                <w:sz w:val="18"/>
                <w:szCs w:val="18"/>
              </w:rPr>
              <w:t>3.9</w:t>
            </w:r>
          </w:p>
        </w:tc>
        <w:tc>
          <w:tcPr>
            <w:tcW w:w="194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40E9BE" w14:textId="77777777" w:rsidR="00AE4C5A" w:rsidRPr="00834CDC" w:rsidRDefault="00AE4C5A" w:rsidP="003058F5">
            <w:pPr>
              <w:pStyle w:val="NormalWeb"/>
              <w:rPr>
                <w:sz w:val="18"/>
                <w:szCs w:val="18"/>
              </w:rPr>
            </w:pPr>
            <w:r w:rsidRPr="00834CDC">
              <w:rPr>
                <w:sz w:val="18"/>
                <w:szCs w:val="18"/>
              </w:rPr>
              <w:t>2.2–6.3</w:t>
            </w:r>
          </w:p>
        </w:tc>
      </w:tr>
      <w:tr w:rsidR="00AE4C5A" w:rsidRPr="00834CDC" w14:paraId="6E6F2D57" w14:textId="77777777" w:rsidTr="00AE4C5A">
        <w:trPr>
          <w:cnfStyle w:val="000000010000" w:firstRow="0" w:lastRow="0" w:firstColumn="0" w:lastColumn="0" w:oddVBand="0" w:evenVBand="0" w:oddHBand="0" w:evenHBand="1" w:firstRowFirstColumn="0" w:firstRowLastColumn="0" w:lastRowFirstColumn="0" w:lastRowLastColumn="0"/>
          <w:divId w:val="1988506822"/>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B16FEE" w14:textId="77777777" w:rsidR="00AE4C5A" w:rsidRPr="00834CDC" w:rsidRDefault="00AE4C5A" w:rsidP="001A6F97">
            <w:pPr>
              <w:jc w:val="left"/>
              <w:rPr>
                <w:sz w:val="18"/>
                <w:szCs w:val="18"/>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1FC58C" w14:textId="77777777" w:rsidR="00AE4C5A" w:rsidRPr="00834CDC" w:rsidRDefault="00AE4C5A" w:rsidP="001A6F97">
            <w:pPr>
              <w:pStyle w:val="NormalWeb"/>
              <w:jc w:val="left"/>
              <w:rPr>
                <w:sz w:val="18"/>
                <w:szCs w:val="18"/>
              </w:rPr>
            </w:pPr>
            <w:r w:rsidRPr="00834CDC">
              <w:rPr>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EA354B" w14:textId="77777777" w:rsidR="00AE4C5A" w:rsidRPr="00834CDC" w:rsidRDefault="00AE4C5A" w:rsidP="003058F5">
            <w:pPr>
              <w:pStyle w:val="NormalWeb"/>
              <w:rPr>
                <w:sz w:val="18"/>
                <w:szCs w:val="18"/>
              </w:rPr>
            </w:pPr>
            <w:r w:rsidRPr="00834CDC">
              <w:rPr>
                <w:sz w:val="18"/>
                <w:szCs w:val="18"/>
              </w:rPr>
              <w:t>154</w:t>
            </w:r>
          </w:p>
        </w:tc>
        <w:tc>
          <w:tcPr>
            <w:tcW w:w="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0B693E" w14:textId="77777777" w:rsidR="00AE4C5A" w:rsidRPr="00834CDC" w:rsidRDefault="00AE4C5A" w:rsidP="003058F5">
            <w:pPr>
              <w:pStyle w:val="NormalWeb"/>
              <w:rPr>
                <w:sz w:val="18"/>
                <w:szCs w:val="18"/>
              </w:rPr>
            </w:pPr>
            <w:r w:rsidRPr="00834CDC">
              <w:rPr>
                <w:sz w:val="18"/>
                <w:szCs w:val="18"/>
              </w:rPr>
              <w:t>0.46</w:t>
            </w:r>
          </w:p>
        </w:tc>
        <w:tc>
          <w:tcPr>
            <w:tcW w:w="112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D1666F" w14:textId="77777777" w:rsidR="00AE4C5A" w:rsidRPr="00834CDC" w:rsidRDefault="00AE4C5A" w:rsidP="003058F5">
            <w:pPr>
              <w:rPr>
                <w:sz w:val="18"/>
                <w:szCs w:val="18"/>
              </w:rPr>
            </w:pPr>
          </w:p>
        </w:tc>
        <w:tc>
          <w:tcPr>
            <w:tcW w:w="194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53945B" w14:textId="77777777" w:rsidR="00AE4C5A" w:rsidRPr="00834CDC" w:rsidRDefault="00AE4C5A" w:rsidP="003058F5">
            <w:pPr>
              <w:rPr>
                <w:sz w:val="18"/>
                <w:szCs w:val="18"/>
              </w:rPr>
            </w:pPr>
          </w:p>
        </w:tc>
      </w:tr>
      <w:tr w:rsidR="00AE4C5A" w:rsidRPr="00834CDC" w14:paraId="48827040" w14:textId="77777777" w:rsidTr="00AE4C5A">
        <w:trPr>
          <w:divId w:val="1988506822"/>
        </w:trPr>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2B4AFB" w14:textId="77777777" w:rsidR="00AE4C5A" w:rsidRPr="00834CDC" w:rsidRDefault="00AE4C5A" w:rsidP="001A6F97">
            <w:pPr>
              <w:pStyle w:val="NormalWeb"/>
              <w:jc w:val="left"/>
              <w:rPr>
                <w:sz w:val="18"/>
                <w:szCs w:val="18"/>
              </w:rPr>
            </w:pPr>
            <w:r w:rsidRPr="00834CDC">
              <w:rPr>
                <w:sz w:val="18"/>
                <w:szCs w:val="18"/>
              </w:rPr>
              <w:t>50+</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E85A13" w14:textId="77777777" w:rsidR="00AE4C5A" w:rsidRPr="00834CDC" w:rsidRDefault="00AE4C5A" w:rsidP="001A6F97">
            <w:pPr>
              <w:pStyle w:val="NormalWeb"/>
              <w:jc w:val="left"/>
              <w:rPr>
                <w:sz w:val="18"/>
                <w:szCs w:val="18"/>
              </w:rPr>
            </w:pPr>
            <w:r w:rsidRPr="00834CDC">
              <w:rPr>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D44B0A" w14:textId="77777777" w:rsidR="00AE4C5A" w:rsidRPr="00834CDC" w:rsidRDefault="00AE4C5A" w:rsidP="003058F5">
            <w:pPr>
              <w:pStyle w:val="NormalWeb"/>
              <w:rPr>
                <w:sz w:val="18"/>
                <w:szCs w:val="18"/>
              </w:rPr>
            </w:pPr>
            <w:r w:rsidRPr="00834CDC">
              <w:rPr>
                <w:sz w:val="18"/>
                <w:szCs w:val="18"/>
              </w:rPr>
              <w:t>6</w:t>
            </w:r>
          </w:p>
        </w:tc>
        <w:tc>
          <w:tcPr>
            <w:tcW w:w="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4FAB0E" w14:textId="77777777" w:rsidR="00AE4C5A" w:rsidRPr="00834CDC" w:rsidRDefault="00AE4C5A" w:rsidP="003058F5">
            <w:pPr>
              <w:pStyle w:val="NormalWeb"/>
              <w:rPr>
                <w:sz w:val="18"/>
                <w:szCs w:val="18"/>
              </w:rPr>
            </w:pPr>
            <w:r w:rsidRPr="00834CDC">
              <w:rPr>
                <w:sz w:val="18"/>
                <w:szCs w:val="18"/>
              </w:rPr>
              <w:t>1.13</w:t>
            </w:r>
          </w:p>
        </w:tc>
        <w:tc>
          <w:tcPr>
            <w:tcW w:w="112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620B8F" w14:textId="77777777" w:rsidR="00AE4C5A" w:rsidRPr="00834CDC" w:rsidRDefault="00AE4C5A" w:rsidP="003058F5">
            <w:pPr>
              <w:pStyle w:val="NormalWeb"/>
              <w:rPr>
                <w:sz w:val="18"/>
                <w:szCs w:val="18"/>
              </w:rPr>
            </w:pPr>
            <w:r w:rsidRPr="00834CDC">
              <w:rPr>
                <w:sz w:val="18"/>
                <w:szCs w:val="18"/>
              </w:rPr>
              <w:t>1.0</w:t>
            </w:r>
          </w:p>
        </w:tc>
        <w:tc>
          <w:tcPr>
            <w:tcW w:w="194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622DC3" w14:textId="77777777" w:rsidR="00AE4C5A" w:rsidRPr="00834CDC" w:rsidRDefault="00AE4C5A" w:rsidP="003058F5">
            <w:pPr>
              <w:pStyle w:val="NormalWeb"/>
              <w:rPr>
                <w:sz w:val="18"/>
                <w:szCs w:val="18"/>
              </w:rPr>
            </w:pPr>
            <w:r w:rsidRPr="00834CDC">
              <w:rPr>
                <w:sz w:val="18"/>
                <w:szCs w:val="18"/>
              </w:rPr>
              <w:t>0.4–2.3</w:t>
            </w:r>
          </w:p>
        </w:tc>
      </w:tr>
      <w:tr w:rsidR="00AE4C5A" w:rsidRPr="00834CDC" w14:paraId="239CC8DC" w14:textId="77777777" w:rsidTr="00AE4C5A">
        <w:trPr>
          <w:cnfStyle w:val="000000010000" w:firstRow="0" w:lastRow="0" w:firstColumn="0" w:lastColumn="0" w:oddVBand="0" w:evenVBand="0" w:oddHBand="0" w:evenHBand="1" w:firstRowFirstColumn="0" w:firstRowLastColumn="0" w:lastRowFirstColumn="0" w:lastRowLastColumn="0"/>
          <w:divId w:val="1988506822"/>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191BFE" w14:textId="77777777" w:rsidR="00AE4C5A" w:rsidRPr="00834CDC" w:rsidRDefault="00AE4C5A" w:rsidP="001A6F97">
            <w:pPr>
              <w:jc w:val="left"/>
              <w:rPr>
                <w:sz w:val="18"/>
                <w:szCs w:val="18"/>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53C9D3" w14:textId="77777777" w:rsidR="00AE4C5A" w:rsidRPr="00834CDC" w:rsidRDefault="00AE4C5A" w:rsidP="001A6F97">
            <w:pPr>
              <w:pStyle w:val="NormalWeb"/>
              <w:jc w:val="left"/>
              <w:rPr>
                <w:sz w:val="18"/>
                <w:szCs w:val="18"/>
              </w:rPr>
            </w:pPr>
            <w:r w:rsidRPr="00834CDC">
              <w:rPr>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72625E" w14:textId="77777777" w:rsidR="00AE4C5A" w:rsidRPr="00834CDC" w:rsidRDefault="00AE4C5A" w:rsidP="003058F5">
            <w:pPr>
              <w:pStyle w:val="NormalWeb"/>
              <w:rPr>
                <w:sz w:val="18"/>
                <w:szCs w:val="18"/>
              </w:rPr>
            </w:pPr>
            <w:r w:rsidRPr="00834CDC">
              <w:rPr>
                <w:sz w:val="18"/>
                <w:szCs w:val="18"/>
              </w:rPr>
              <w:t>354</w:t>
            </w:r>
          </w:p>
        </w:tc>
        <w:tc>
          <w:tcPr>
            <w:tcW w:w="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348B42" w14:textId="77777777" w:rsidR="00AE4C5A" w:rsidRPr="00834CDC" w:rsidRDefault="00AE4C5A" w:rsidP="003058F5">
            <w:pPr>
              <w:pStyle w:val="NormalWeb"/>
              <w:rPr>
                <w:sz w:val="18"/>
                <w:szCs w:val="18"/>
              </w:rPr>
            </w:pPr>
            <w:r w:rsidRPr="00834CDC">
              <w:rPr>
                <w:sz w:val="18"/>
                <w:szCs w:val="18"/>
              </w:rPr>
              <w:t>1.09</w:t>
            </w:r>
          </w:p>
        </w:tc>
        <w:tc>
          <w:tcPr>
            <w:tcW w:w="112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CF5E62" w14:textId="77777777" w:rsidR="00AE4C5A" w:rsidRPr="00834CDC" w:rsidRDefault="00AE4C5A" w:rsidP="003058F5">
            <w:pPr>
              <w:rPr>
                <w:sz w:val="18"/>
                <w:szCs w:val="18"/>
              </w:rPr>
            </w:pPr>
          </w:p>
        </w:tc>
        <w:tc>
          <w:tcPr>
            <w:tcW w:w="194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64B5BD" w14:textId="77777777" w:rsidR="00AE4C5A" w:rsidRPr="00834CDC" w:rsidRDefault="00AE4C5A" w:rsidP="003058F5">
            <w:pPr>
              <w:rPr>
                <w:sz w:val="18"/>
                <w:szCs w:val="18"/>
              </w:rPr>
            </w:pPr>
          </w:p>
        </w:tc>
      </w:tr>
      <w:tr w:rsidR="00AE4C5A" w:rsidRPr="00834CDC" w14:paraId="1228D983" w14:textId="77777777" w:rsidTr="00E8060B">
        <w:trPr>
          <w:divId w:val="1988506822"/>
        </w:trPr>
        <w:tc>
          <w:tcPr>
            <w:tcW w:w="212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0D27869" w14:textId="5AC6C0FD" w:rsidR="00AE4C5A" w:rsidRPr="00834CDC" w:rsidRDefault="00AE4C5A" w:rsidP="001A6F97">
            <w:pPr>
              <w:pStyle w:val="NormalWeb"/>
              <w:jc w:val="left"/>
              <w:rPr>
                <w:b/>
                <w:bCs/>
                <w:sz w:val="18"/>
                <w:szCs w:val="18"/>
              </w:rPr>
            </w:pPr>
            <w:r w:rsidRPr="00834CDC">
              <w:rPr>
                <w:b/>
                <w:bCs/>
                <w:sz w:val="18"/>
                <w:szCs w:val="18"/>
              </w:rPr>
              <w:t>All ages</w:t>
            </w:r>
            <w:r w:rsidR="00D24B47">
              <w:rPr>
                <w:b/>
                <w:bCs/>
                <w:sz w:val="18"/>
                <w:szCs w:val="18"/>
              </w:rPr>
              <w:t xml:space="preserve"> </w:t>
            </w:r>
            <w:r w:rsidRPr="00834CDC">
              <w:rPr>
                <w:b/>
                <w:bCs/>
                <w:sz w:val="18"/>
                <w:szCs w:val="18"/>
                <w:vertAlign w:val="superscript"/>
              </w:rPr>
              <w:t>c</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56241D7" w14:textId="77777777" w:rsidR="00AE4C5A" w:rsidRPr="00834CDC" w:rsidRDefault="00AE4C5A" w:rsidP="001A6F97">
            <w:pPr>
              <w:pStyle w:val="NormalWeb"/>
              <w:jc w:val="left"/>
              <w:rPr>
                <w:b/>
                <w:bCs/>
                <w:sz w:val="18"/>
                <w:szCs w:val="18"/>
              </w:rPr>
            </w:pPr>
            <w:r w:rsidRPr="00834CDC">
              <w:rPr>
                <w:b/>
                <w:bCs/>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584ABF3" w14:textId="77777777" w:rsidR="00AE4C5A" w:rsidRPr="00834CDC" w:rsidRDefault="00AE4C5A" w:rsidP="003058F5">
            <w:pPr>
              <w:pStyle w:val="NormalWeb"/>
              <w:rPr>
                <w:b/>
                <w:bCs/>
                <w:sz w:val="18"/>
                <w:szCs w:val="18"/>
              </w:rPr>
            </w:pPr>
            <w:r w:rsidRPr="00834CDC">
              <w:rPr>
                <w:b/>
                <w:bCs/>
                <w:sz w:val="18"/>
                <w:szCs w:val="18"/>
              </w:rPr>
              <w:t>170</w:t>
            </w:r>
          </w:p>
        </w:tc>
        <w:tc>
          <w:tcPr>
            <w:tcW w:w="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DC550C3" w14:textId="77777777" w:rsidR="00AE4C5A" w:rsidRPr="00834CDC" w:rsidRDefault="00AE4C5A" w:rsidP="003058F5">
            <w:pPr>
              <w:pStyle w:val="NormalWeb"/>
              <w:rPr>
                <w:b/>
                <w:bCs/>
                <w:sz w:val="18"/>
                <w:szCs w:val="18"/>
              </w:rPr>
            </w:pPr>
            <w:r w:rsidRPr="00834CDC">
              <w:rPr>
                <w:b/>
                <w:bCs/>
                <w:sz w:val="18"/>
                <w:szCs w:val="18"/>
              </w:rPr>
              <w:t>3.53</w:t>
            </w:r>
          </w:p>
        </w:tc>
        <w:tc>
          <w:tcPr>
            <w:tcW w:w="112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5B80742" w14:textId="77777777" w:rsidR="00AE4C5A" w:rsidRPr="00834CDC" w:rsidRDefault="00AE4C5A" w:rsidP="003058F5">
            <w:pPr>
              <w:pStyle w:val="NormalWeb"/>
              <w:rPr>
                <w:b/>
                <w:bCs/>
                <w:sz w:val="18"/>
                <w:szCs w:val="18"/>
              </w:rPr>
            </w:pPr>
            <w:r w:rsidRPr="00834CDC">
              <w:rPr>
                <w:b/>
                <w:bCs/>
                <w:sz w:val="18"/>
                <w:szCs w:val="18"/>
              </w:rPr>
              <w:t>3.5</w:t>
            </w:r>
          </w:p>
        </w:tc>
        <w:tc>
          <w:tcPr>
            <w:tcW w:w="194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FFB2E37" w14:textId="77777777" w:rsidR="00AE4C5A" w:rsidRPr="00834CDC" w:rsidRDefault="00AE4C5A" w:rsidP="003058F5">
            <w:pPr>
              <w:pStyle w:val="NormalWeb"/>
              <w:rPr>
                <w:b/>
                <w:bCs/>
                <w:sz w:val="18"/>
                <w:szCs w:val="18"/>
              </w:rPr>
            </w:pPr>
            <w:r w:rsidRPr="00834CDC">
              <w:rPr>
                <w:b/>
                <w:bCs/>
                <w:sz w:val="18"/>
                <w:szCs w:val="18"/>
              </w:rPr>
              <w:t>2.9–4.3</w:t>
            </w:r>
          </w:p>
        </w:tc>
      </w:tr>
      <w:tr w:rsidR="00AE4C5A" w:rsidRPr="00834CDC" w14:paraId="326EFDF1" w14:textId="77777777" w:rsidTr="00E8060B">
        <w:trPr>
          <w:cnfStyle w:val="000000010000" w:firstRow="0" w:lastRow="0" w:firstColumn="0" w:lastColumn="0" w:oddVBand="0" w:evenVBand="0" w:oddHBand="0" w:evenHBand="1" w:firstRowFirstColumn="0" w:firstRowLastColumn="0" w:lastRowFirstColumn="0" w:lastRowLastColumn="0"/>
          <w:divId w:val="1988506822"/>
        </w:trPr>
        <w:tc>
          <w:tcPr>
            <w:tcW w:w="212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42D2EDC" w14:textId="77777777" w:rsidR="00AE4C5A" w:rsidRPr="00834CDC" w:rsidRDefault="00AE4C5A" w:rsidP="001A6F97">
            <w:pPr>
              <w:jc w:val="left"/>
              <w:rPr>
                <w:b/>
                <w:bCs/>
                <w:sz w:val="18"/>
                <w:szCs w:val="18"/>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46B9793" w14:textId="77777777" w:rsidR="00AE4C5A" w:rsidRPr="00834CDC" w:rsidRDefault="00AE4C5A" w:rsidP="001A6F97">
            <w:pPr>
              <w:pStyle w:val="NormalWeb"/>
              <w:jc w:val="left"/>
              <w:rPr>
                <w:b/>
                <w:bCs/>
                <w:sz w:val="18"/>
                <w:szCs w:val="18"/>
              </w:rPr>
            </w:pPr>
            <w:r w:rsidRPr="00834CDC">
              <w:rPr>
                <w:b/>
                <w:bCs/>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EA29A38" w14:textId="77777777" w:rsidR="00AE4C5A" w:rsidRPr="00834CDC" w:rsidRDefault="00AE4C5A" w:rsidP="003058F5">
            <w:pPr>
              <w:pStyle w:val="NormalWeb"/>
              <w:rPr>
                <w:b/>
                <w:bCs/>
                <w:sz w:val="18"/>
                <w:szCs w:val="18"/>
              </w:rPr>
            </w:pPr>
            <w:r w:rsidRPr="00834CDC">
              <w:rPr>
                <w:b/>
                <w:bCs/>
                <w:sz w:val="18"/>
                <w:szCs w:val="18"/>
              </w:rPr>
              <w:t>950</w:t>
            </w:r>
          </w:p>
        </w:tc>
        <w:tc>
          <w:tcPr>
            <w:tcW w:w="8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F0362E9" w14:textId="77777777" w:rsidR="00AE4C5A" w:rsidRPr="00834CDC" w:rsidRDefault="00AE4C5A" w:rsidP="003058F5">
            <w:pPr>
              <w:pStyle w:val="NormalWeb"/>
              <w:rPr>
                <w:b/>
                <w:bCs/>
                <w:sz w:val="18"/>
                <w:szCs w:val="18"/>
              </w:rPr>
            </w:pPr>
            <w:r w:rsidRPr="00834CDC">
              <w:rPr>
                <w:b/>
                <w:bCs/>
                <w:sz w:val="18"/>
                <w:szCs w:val="18"/>
              </w:rPr>
              <w:t>1.00</w:t>
            </w:r>
          </w:p>
        </w:tc>
        <w:tc>
          <w:tcPr>
            <w:tcW w:w="112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FF65530" w14:textId="77777777" w:rsidR="00AE4C5A" w:rsidRPr="00834CDC" w:rsidRDefault="00AE4C5A" w:rsidP="003058F5">
            <w:pPr>
              <w:rPr>
                <w:b/>
                <w:bCs/>
                <w:sz w:val="18"/>
                <w:szCs w:val="18"/>
              </w:rPr>
            </w:pPr>
          </w:p>
        </w:tc>
        <w:tc>
          <w:tcPr>
            <w:tcW w:w="194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82F1CC2" w14:textId="77777777" w:rsidR="00AE4C5A" w:rsidRPr="00834CDC" w:rsidRDefault="00AE4C5A" w:rsidP="003058F5">
            <w:pPr>
              <w:rPr>
                <w:b/>
                <w:bCs/>
                <w:sz w:val="18"/>
                <w:szCs w:val="18"/>
              </w:rPr>
            </w:pPr>
          </w:p>
        </w:tc>
      </w:tr>
    </w:tbl>
    <w:p w14:paraId="6710DA9E" w14:textId="77777777" w:rsidR="00AE4C5A" w:rsidRPr="00834CDC" w:rsidRDefault="00AE4C5A" w:rsidP="00AE4C5A">
      <w:pPr>
        <w:pStyle w:val="CDIfootnotes"/>
        <w:divId w:val="1988506822"/>
      </w:pPr>
      <w:r w:rsidRPr="00834CDC">
        <w:t>a</w:t>
      </w:r>
      <w:r w:rsidRPr="00834CDC">
        <w:tab/>
        <w:t>Notifications where the date of diagnosis was between 1 January 2016 and 31 December 2019.</w:t>
      </w:r>
    </w:p>
    <w:p w14:paraId="0C9FD7F6" w14:textId="77777777" w:rsidR="00AE4C5A" w:rsidRPr="00834CDC" w:rsidRDefault="00AE4C5A" w:rsidP="00AE4C5A">
      <w:pPr>
        <w:pStyle w:val="CDIfootnotes"/>
        <w:divId w:val="1988506822"/>
      </w:pPr>
      <w:r w:rsidRPr="00834CDC">
        <w:t>b</w:t>
      </w:r>
      <w:r w:rsidRPr="00834CDC">
        <w:tab/>
        <w:t>Average annual age-specific rate per 100,000 population.</w:t>
      </w:r>
    </w:p>
    <w:p w14:paraId="6B2CB5CE" w14:textId="77777777" w:rsidR="00AE4C5A" w:rsidRPr="00834CDC" w:rsidRDefault="00AE4C5A" w:rsidP="00AE4C5A">
      <w:pPr>
        <w:pStyle w:val="CDIfootnotes"/>
        <w:divId w:val="1988506822"/>
      </w:pPr>
      <w:r w:rsidRPr="00834CDC">
        <w:t>c</w:t>
      </w:r>
      <w:r w:rsidRPr="00834CDC">
        <w:tab/>
        <w:t>Rates for all ages combined are age-standardised in standard population following the Australian Bureau of Statistics Australian population estimates for 2016.</w:t>
      </w:r>
    </w:p>
    <w:p w14:paraId="6E93AA86" w14:textId="3BB07788" w:rsidR="003F00B9" w:rsidRPr="00834CDC" w:rsidRDefault="0033445F" w:rsidP="0033445F">
      <w:pPr>
        <w:divId w:val="1988506822"/>
      </w:pPr>
      <w:r w:rsidRPr="00834CDC">
        <w:t xml:space="preserve">Trends in IMD notifications for the 2010–2019 period, by Aboriginal and Torres Strait Islander status and serogroup, </w:t>
      </w:r>
      <w:proofErr w:type="gramStart"/>
      <w:r w:rsidRPr="00834CDC">
        <w:t>are presented</w:t>
      </w:r>
      <w:proofErr w:type="gramEnd"/>
      <w:r w:rsidRPr="00834CDC">
        <w:t xml:space="preserve"> in Figure 10. Data completeness of serogroup improved from 90.7% in 2010 to 98.6% in 2019. The notification rate of serogroup B IMD in Aboriginal and Torres Strait Islander people fluctuated between 1.5 and 2.9 per 100,000 per year over this 2010–2019 period, with an increasing trend in the current reporting period (2016–2019). In other people, serogroup B notifications peaked at 0.8 per 100,000 in </w:t>
      </w:r>
      <w:proofErr w:type="gramStart"/>
      <w:r w:rsidRPr="00834CDC">
        <w:t>2011, and</w:t>
      </w:r>
      <w:proofErr w:type="gramEnd"/>
      <w:r w:rsidRPr="00834CDC">
        <w:t xml:space="preserve"> remained under 0.5 per 100,000 per year from 2013 onwards. Notification rates of serogroup B IMD in the period 2016–2019 were highest in South Australia for both Aboriginal and Torres Strait Islander and other people at 4.6 and 1.2 per 100,000 per year, respectively. In the remaining states and territories, rates ranged between 0 and 2.0 per 100,000 among Aboriginal and Torres Strait Islander people, and between 0.1 and 0.7 per 100,000 per year among other people. Between 2016 and 2019, serogroup B notification rates were higher in Aboriginal and Torres Strait Islander children/adolescents aged 0–14 years than in other children/adolescents. There were 42 notifications of serogroup B IMD in Aboriginal and Torres Strait Islander children aged 0–4 years (11.1 per 100,000 per year) and 100 in other children (1.7 per 100,000 per year; RR: 6.6; 95% CI: 4.5–9.5), with 11 notifications in Aboriginal and Torres Strait Islander children/adolescents aged 5–14 years (1.5 per 100,000 per year) and 18 in other children/adolescents (0.2 per 100,000 per year; RR: 9.7; 95% CI: 4.1–21.7). </w:t>
      </w:r>
    </w:p>
    <w:p w14:paraId="7BE6605D" w14:textId="77777777" w:rsidR="003F00B9" w:rsidRPr="00834CDC" w:rsidRDefault="003F00B9">
      <w:r w:rsidRPr="00834CDC">
        <w:br w:type="page"/>
      </w:r>
    </w:p>
    <w:p w14:paraId="500BC652" w14:textId="77777777" w:rsidR="003F00B9" w:rsidRPr="00834CDC" w:rsidRDefault="003F00B9" w:rsidP="003F00B9">
      <w:pPr>
        <w:pStyle w:val="CDIFigures"/>
        <w:divId w:val="1988506822"/>
      </w:pPr>
      <w:r w:rsidRPr="00834CDC">
        <w:rPr>
          <w:rStyle w:val="Strong"/>
          <w:b/>
          <w:bCs w:val="0"/>
        </w:rPr>
        <w:lastRenderedPageBreak/>
        <w:t>Figure 10: Meningococcal disease notification rates, Australia (all states and territories), 2010–</w:t>
      </w:r>
      <w:proofErr w:type="gramStart"/>
      <w:r w:rsidRPr="00834CDC">
        <w:rPr>
          <w:rStyle w:val="Strong"/>
          <w:b/>
          <w:bCs w:val="0"/>
        </w:rPr>
        <w:t>2019,</w:t>
      </w:r>
      <w:r w:rsidRPr="00834CDC">
        <w:rPr>
          <w:rStyle w:val="Strong"/>
          <w:b/>
          <w:bCs w:val="0"/>
          <w:vertAlign w:val="superscript"/>
        </w:rPr>
        <w:t>a</w:t>
      </w:r>
      <w:proofErr w:type="gramEnd"/>
      <w:r w:rsidRPr="00834CDC">
        <w:rPr>
          <w:rStyle w:val="Strong"/>
          <w:b/>
          <w:bCs w:val="0"/>
        </w:rPr>
        <w:t xml:space="preserve"> by Aboriginal and Torres Strait Islander status and serogroup</w:t>
      </w:r>
    </w:p>
    <w:p w14:paraId="6EC41F6A" w14:textId="77777777" w:rsidR="003F00B9" w:rsidRPr="00834CDC" w:rsidRDefault="003F00B9" w:rsidP="003F00B9">
      <w:pPr>
        <w:divId w:val="1988506822"/>
        <w:rPr>
          <w:rFonts w:eastAsia="Times New Roman"/>
        </w:rPr>
      </w:pPr>
      <w:r w:rsidRPr="00834CDC">
        <w:rPr>
          <w:rFonts w:eastAsia="Times New Roman"/>
          <w:noProof/>
        </w:rPr>
        <w:drawing>
          <wp:inline distT="0" distB="0" distL="0" distR="0" wp14:anchorId="1D855D51" wp14:editId="75230A77">
            <wp:extent cx="6645039" cy="4347376"/>
            <wp:effectExtent l="0" t="0" r="3810" b="0"/>
            <wp:docPr id="13" name="Picture 13" descr="Line graph showing meningococcal disease notification rates for the period 2010 to 2019, by serogroup. The notification rate of serogroup B in Aboriginal and Torres Strait Islander people fluctuated between 1.5 and 2.9 per 100,000 per year over the 10 year period. In other people, serogroup B notifications peaked at 0.8 per 100,000 in 2011, and remained under 0.5 per 100,000 per year from 2013 onwards. Notifications of serogroup W emerged from 2015 onwards, peaking at 44 (5.4 per 100,000) in 2017 in Aboriginal and Torres Strait Islander people, and 98 (0.4 per 100,000) in 2016 in other people. The notification rate of serogroup C was low in both Aboriginal and Torres Strait Islander and other Australians throughout the 2010-2019 perio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ne graph showing meningococcal disease notification rates for the period 2010 to 2019, by serogroup. The notification rate of serogroup B in Aboriginal and Torres Strait Islander people fluctuated between 1.5 and 2.9 per 100,000 per year over the 10 year period. In other people, serogroup B notifications peaked at 0.8 per 100,000 in 2011, and remained under 0.5 per 100,000 per year from 2013 onwards. Notifications of serogroup W emerged from 2015 onwards, peaking at 44 (5.4 per 100,000) in 2017 in Aboriginal and Torres Strait Islander people, and 98 (0.4 per 100,000) in 2016 in other people. The notification rate of serogroup C was low in both Aboriginal and Torres Strait Islander and other Australians throughout the 2010-2019 period. &#10;"/>
                    <pic:cNvPicPr>
                      <a:picLocks noChangeAspect="1" noChangeArrowheads="1"/>
                    </pic:cNvPicPr>
                  </pic:nvPicPr>
                  <pic:blipFill>
                    <a:blip r:link="rId21">
                      <a:extLst>
                        <a:ext uri="{28A0092B-C50C-407E-A947-70E740481C1C}">
                          <a14:useLocalDpi xmlns:a14="http://schemas.microsoft.com/office/drawing/2010/main" val="0"/>
                        </a:ext>
                      </a:extLst>
                    </a:blip>
                    <a:stretch>
                      <a:fillRect/>
                    </a:stretch>
                  </pic:blipFill>
                  <pic:spPr bwMode="auto">
                    <a:xfrm>
                      <a:off x="0" y="0"/>
                      <a:ext cx="6652561" cy="4352297"/>
                    </a:xfrm>
                    <a:prstGeom prst="rect">
                      <a:avLst/>
                    </a:prstGeom>
                  </pic:spPr>
                </pic:pic>
              </a:graphicData>
            </a:graphic>
          </wp:inline>
        </w:drawing>
      </w:r>
    </w:p>
    <w:p w14:paraId="29018DFA" w14:textId="40F7EFAF" w:rsidR="0033445F" w:rsidRPr="00834CDC" w:rsidRDefault="003F00B9" w:rsidP="003F00B9">
      <w:pPr>
        <w:pStyle w:val="CDIfootnotes"/>
        <w:divId w:val="1988506822"/>
      </w:pPr>
      <w:r w:rsidRPr="00834CDC">
        <w:t>a</w:t>
      </w:r>
      <w:r w:rsidRPr="00834CDC">
        <w:tab/>
        <w:t>Notifications where the date of diagnosis was between 1 January 2010 and 31 December 2019.</w:t>
      </w:r>
    </w:p>
    <w:p w14:paraId="3201CD38" w14:textId="77777777" w:rsidR="0033445F" w:rsidRPr="00834CDC" w:rsidRDefault="0033445F" w:rsidP="0033445F">
      <w:pPr>
        <w:divId w:val="1988506822"/>
      </w:pPr>
      <w:r w:rsidRPr="00834CDC">
        <w:t xml:space="preserve">Notifications of serogroup W IMD </w:t>
      </w:r>
      <w:proofErr w:type="gramStart"/>
      <w:r w:rsidRPr="00834CDC">
        <w:t>emerged</w:t>
      </w:r>
      <w:proofErr w:type="gramEnd"/>
      <w:r w:rsidRPr="00834CDC">
        <w:t xml:space="preserve"> from 2015 onwards, peaking at 44 (5.4 per 100,000 per year) in 2017 in Aboriginal and Torres Strait Islander people, and 98 (0.4 per 100,000 per year) in 2016 in other people. In the 2016–2019 period, the overall serogroup W IMD notification rate in Aboriginal and Torres Strait Islander people was 3.0 per 100,000 per year compared to 0.3 per 100,000 per year in other people (RR: 9.5; 95% CI: 7.44–11.91). Notification rates of serogroup W IMD among Aboriginal and Torres Strait Islander people were particularly high in the Northern Territory, Western </w:t>
      </w:r>
      <w:proofErr w:type="gramStart"/>
      <w:r w:rsidRPr="00834CDC">
        <w:t>Australia</w:t>
      </w:r>
      <w:proofErr w:type="gramEnd"/>
      <w:r w:rsidRPr="00834CDC">
        <w:t xml:space="preserve"> and South Australia at 10.9, 9.0 and 5.2 per 100,000 per year, respectively, compared to between 0.4 and 3.2 per 100,000 per year in the other states and territories. Serogroup W IMD notification rates were highest among Aboriginal and Torres Strait Islander children aged 0–4 years (58 notifications, rate 15.4 per 100,000 per year; compared to 33 notifications, rate 0.6 per 100,000 per year among other children; RR: 27.5; 95% CI: 17.7–43.6); and among children/adolescents aged 5–14 years (21 notifications, rate 2.9 per 100,000 per year; compared to 3 notifications, rate 0.03 per 100,000 per year in other children/adolescents; RR: 111.2; 95% CI: 33.2–582.1). </w:t>
      </w:r>
    </w:p>
    <w:p w14:paraId="0A2A9E9C" w14:textId="77777777" w:rsidR="0033445F" w:rsidRPr="00834CDC" w:rsidRDefault="0033445F" w:rsidP="0033445F">
      <w:pPr>
        <w:divId w:val="1988506822"/>
      </w:pPr>
      <w:r w:rsidRPr="00834CDC">
        <w:t xml:space="preserve">Notifications of serogroup Y IMD also </w:t>
      </w:r>
      <w:proofErr w:type="gramStart"/>
      <w:r w:rsidRPr="00834CDC">
        <w:t>emerged</w:t>
      </w:r>
      <w:proofErr w:type="gramEnd"/>
      <w:r w:rsidRPr="00834CDC">
        <w:t xml:space="preserve"> in 2015, peaking at 72 (0.3 per 100,000 per year) in 2017. Serogroup Y IMD </w:t>
      </w:r>
      <w:proofErr w:type="gramStart"/>
      <w:r w:rsidRPr="00834CDC">
        <w:t>predominantly affected</w:t>
      </w:r>
      <w:proofErr w:type="gramEnd"/>
      <w:r w:rsidRPr="00834CDC">
        <w:t xml:space="preserve"> older age groups (mean age = 48 years), with notification rates in the 2016–2019 period similar in Aboriginal and Torres Strait Islander and other people. </w:t>
      </w:r>
    </w:p>
    <w:p w14:paraId="2013822B" w14:textId="77777777" w:rsidR="0033445F" w:rsidRPr="00834CDC" w:rsidRDefault="0033445F" w:rsidP="0033445F">
      <w:pPr>
        <w:divId w:val="1988506822"/>
      </w:pPr>
      <w:r w:rsidRPr="00834CDC">
        <w:lastRenderedPageBreak/>
        <w:t xml:space="preserve">The notification rate of serogroup C IMD was low in both Aboriginal and Torres Strait Islander and other Australians throughout the 2010–2019 period. Apart from two notifications of serogroup E in 2018, there were no notifications of any other serogroups between 2010 and 2019. </w:t>
      </w:r>
    </w:p>
    <w:p w14:paraId="277567A4" w14:textId="77777777" w:rsidR="0033445F" w:rsidRPr="00834CDC" w:rsidRDefault="0033445F" w:rsidP="0033445F">
      <w:pPr>
        <w:divId w:val="1988506822"/>
      </w:pPr>
      <w:r w:rsidRPr="00834CDC">
        <w:t xml:space="preserve">In the period 2016–2019, the meningococcal disease hospitalisation rate was higher in Aboriginal and Torres Strait Islander people than in other people (RR: 3.2; 95% CI: 2.7–3.8), particularly in the age groups 0–4 years (RR: 7.5; 95% CI: 6.0–9.4) and 5–14 years (RR: 13.2; 95% CI: 8.9–19.5). More detailed hospitalisation data </w:t>
      </w:r>
      <w:proofErr w:type="gramStart"/>
      <w:r w:rsidRPr="00834CDC">
        <w:t>are not reported</w:t>
      </w:r>
      <w:proofErr w:type="gramEnd"/>
      <w:r w:rsidRPr="00834CDC">
        <w:t xml:space="preserve"> here due to known limitations in interpretation of hospitalisation data relating to meningococcal disease. While virtually all cases of IMD require hospitalisation, duplicate data due to inter-hospital transfers or readmissions cannot </w:t>
      </w:r>
      <w:proofErr w:type="gramStart"/>
      <w:r w:rsidRPr="00834CDC">
        <w:t>be excluded</w:t>
      </w:r>
      <w:proofErr w:type="gramEnd"/>
      <w:r w:rsidRPr="00834CDC">
        <w:t xml:space="preserve"> and serogroup-specific data are lacking. </w:t>
      </w:r>
    </w:p>
    <w:p w14:paraId="5E15C502" w14:textId="77777777" w:rsidR="0033445F" w:rsidRPr="00834CDC" w:rsidRDefault="0033445F" w:rsidP="0033445F">
      <w:pPr>
        <w:divId w:val="1988506822"/>
      </w:pPr>
      <w:r w:rsidRPr="00834CDC">
        <w:t xml:space="preserve">There were 67 deaths in the 2016–2019 period with meningococcal disease as the underlying (n = 62) or associated (n = 5) cause of death, of which 11 (16%) </w:t>
      </w:r>
      <w:proofErr w:type="gramStart"/>
      <w:r w:rsidRPr="00834CDC">
        <w:t>were recorded</w:t>
      </w:r>
      <w:proofErr w:type="gramEnd"/>
      <w:r w:rsidRPr="00834CDC">
        <w:t xml:space="preserve"> as being in Aboriginal and Torres Strait Islander people. </w:t>
      </w:r>
    </w:p>
    <w:p w14:paraId="0433D40B" w14:textId="77777777" w:rsidR="0033445F" w:rsidRPr="00834CDC" w:rsidRDefault="0033445F" w:rsidP="0033445F">
      <w:pPr>
        <w:pStyle w:val="Heading2"/>
        <w:divId w:val="1988506822"/>
      </w:pPr>
      <w:r w:rsidRPr="00834CDC">
        <w:t xml:space="preserve">Discussion </w:t>
      </w:r>
    </w:p>
    <w:p w14:paraId="535A5634" w14:textId="77777777" w:rsidR="0033445F" w:rsidRPr="00834CDC" w:rsidRDefault="0033445F" w:rsidP="0033445F">
      <w:pPr>
        <w:divId w:val="1988506822"/>
      </w:pPr>
      <w:r w:rsidRPr="00834CDC">
        <w:t>All-age IMD notification rates were 84% higher in Aboriginal and Torres Strait Islander people in the 2016–2019 period than in the previous reporting period (2011–2015), and 20% higher for other people.</w:t>
      </w:r>
      <w:r w:rsidRPr="00834CDC">
        <w:rPr>
          <w:vertAlign w:val="superscript"/>
        </w:rPr>
        <w:t>1</w:t>
      </w:r>
      <w:r w:rsidRPr="00834CDC">
        <w:t xml:space="preserve"> These higher rates were contributed to by the emergence of serogroup W, which caused an outbreak of IMD in Central Australia in 2017, predominantly affecting Aboriginal and Torres Strait Islander children under the age of 15 years,</w:t>
      </w:r>
      <w:r w:rsidRPr="00834CDC">
        <w:rPr>
          <w:vertAlign w:val="superscript"/>
        </w:rPr>
        <w:t>132</w:t>
      </w:r>
      <w:r w:rsidRPr="00834CDC">
        <w:t xml:space="preserve"> and to a lesser extent by serogroup Y. Notification rates for both serogroup W and Y IMD declined following the progressive implementation of state– and territory-funded meningococcal ACWY vaccination programs from late 2016 and then inclusion under the NIP in early 2019.</w:t>
      </w:r>
      <w:r w:rsidRPr="00834CDC">
        <w:rPr>
          <w:vertAlign w:val="superscript"/>
        </w:rPr>
        <w:t>133</w:t>
      </w:r>
      <w:r w:rsidRPr="00834CDC">
        <w:t xml:space="preserve"> Evaluation of these programs to identify any gaps in vaccination coverage will be important, along with ongoing monitoring of epidemiology of IMD due to these serogroups. </w:t>
      </w:r>
    </w:p>
    <w:p w14:paraId="4BA9E92C" w14:textId="77777777" w:rsidR="0033445F" w:rsidRPr="00834CDC" w:rsidRDefault="0033445F" w:rsidP="0033445F">
      <w:pPr>
        <w:divId w:val="1988506822"/>
      </w:pPr>
      <w:r w:rsidRPr="00834CDC">
        <w:t xml:space="preserve">Notification rates of serogroup C meningococcal disease remained stable and low for the duration of the 2016–2019 period, reflecting the success of the meningococcal C vaccination program implemented under the NIP in 2003. </w:t>
      </w:r>
    </w:p>
    <w:p w14:paraId="5063267C" w14:textId="77777777" w:rsidR="0033445F" w:rsidRPr="00834CDC" w:rsidRDefault="0033445F" w:rsidP="0033445F">
      <w:pPr>
        <w:divId w:val="1988506822"/>
      </w:pPr>
      <w:r w:rsidRPr="00834CDC">
        <w:t>While serogroup B IMD notification rates in the 2016–2019 period were broadly similar to the 2011–2015 period,</w:t>
      </w:r>
      <w:r w:rsidRPr="00834CDC">
        <w:rPr>
          <w:vertAlign w:val="superscript"/>
        </w:rPr>
        <w:t>1</w:t>
      </w:r>
      <w:r w:rsidRPr="00834CDC">
        <w:t xml:space="preserve"> the rate in Aboriginal and Torres Strait Islander children and adolescents aged &lt; 15 years remained high, almost tenfold higher in children aged &lt; 5 years and 20-fold in children/adolescents aged 5–14 years, which is similar to previous studies.</w:t>
      </w:r>
      <w:r w:rsidRPr="00834CDC">
        <w:rPr>
          <w:vertAlign w:val="superscript"/>
        </w:rPr>
        <w:t>134</w:t>
      </w:r>
      <w:r w:rsidRPr="00834CDC">
        <w:t xml:space="preserve"> Higher rates in Aboriginal and Torres Strait Islander children and adolescents are contributed to by social and environmental determinants of health such as overcrowding and tobacco smoke exposure, secondary to a long history of colonisation, dispossession and disadvantage.</w:t>
      </w:r>
      <w:r w:rsidRPr="00834CDC">
        <w:rPr>
          <w:vertAlign w:val="superscript"/>
        </w:rPr>
        <w:t>135,136</w:t>
      </w:r>
      <w:r w:rsidRPr="00834CDC">
        <w:t xml:space="preserve"> In mid–2020, a national meningococcal B vaccination program for Aboriginal and Torres Strait Islander infants 12 months and younger was commenced under the NIP, along with all individuals of any age with a limited range of specified medical conditions. A catch-up program for Aboriginal and Torres Strait Islander children under the age of two years is available until June 2023. Meningococcal B vaccine is not funded under the NIP for non-Indigenous infants due to the lower rates of disease and lack of cost-effectiveness.</w:t>
      </w:r>
      <w:r w:rsidRPr="00834CDC">
        <w:rPr>
          <w:vertAlign w:val="superscript"/>
        </w:rPr>
        <w:t>137</w:t>
      </w:r>
      <w:r w:rsidRPr="00834CDC">
        <w:t xml:space="preserve"> However, due to higher incidence locally, meningococcal B vaccination has been state-funded in South Australia for all infants since 2018, and for adolescents since 2019.</w:t>
      </w:r>
      <w:r w:rsidRPr="00834CDC">
        <w:rPr>
          <w:vertAlign w:val="superscript"/>
        </w:rPr>
        <w:t>138</w:t>
      </w:r>
      <w:r w:rsidRPr="00834CDC">
        <w:t xml:space="preserve"> Recently, a randomised-controlled trial among South Australian adolescents demonstrated no effect of the 4-component meningococcal B vaccine Bexsero on nasopharyngeal carriage of disease-causing meningococci, suggesting that the vaccine does not reduce transmission or contribute to herd immunity.</w:t>
      </w:r>
      <w:r w:rsidRPr="00834CDC">
        <w:rPr>
          <w:vertAlign w:val="superscript"/>
        </w:rPr>
        <w:t>139,140</w:t>
      </w:r>
      <w:r w:rsidRPr="00834CDC">
        <w:t xml:space="preserve"> Vaccination prior to exposure is therefore needed to ensure direct protection in high-risk groups. Evaluation of the impact of the national and South Australian meningococcal B vaccination programs and ongoing monitoring of serogroup B IMD epidemiology will be important to determine whether eligibility under the NIP needs to be expanded </w:t>
      </w:r>
      <w:proofErr w:type="gramStart"/>
      <w:r w:rsidRPr="00834CDC">
        <w:t>e.g.</w:t>
      </w:r>
      <w:proofErr w:type="gramEnd"/>
      <w:r w:rsidRPr="00834CDC">
        <w:t xml:space="preserve"> to older Aboriginal and Torres Strait Islander children and adolescents.</w:t>
      </w:r>
    </w:p>
    <w:p w14:paraId="1498AA15" w14:textId="17096B2F" w:rsidR="0033445F" w:rsidRPr="00834CDC" w:rsidRDefault="0033445F" w:rsidP="0033445F">
      <w:pPr>
        <w:pStyle w:val="Heading1"/>
        <w:divId w:val="1988506822"/>
      </w:pPr>
      <w:r w:rsidRPr="00834CDC">
        <w:lastRenderedPageBreak/>
        <w:t xml:space="preserve">9. Mumps </w:t>
      </w:r>
    </w:p>
    <w:p w14:paraId="2613A83A" w14:textId="667FF61E" w:rsidR="00C16929" w:rsidRDefault="00C16929" w:rsidP="009E25A5">
      <w:pPr>
        <w:pStyle w:val="Heading2"/>
        <w:divId w:val="1988506822"/>
      </w:pPr>
      <w:r w:rsidRPr="00834CDC">
        <w:t>Relevant vaccine history</w:t>
      </w:r>
    </w:p>
    <w:p w14:paraId="5611D130" w14:textId="77777777" w:rsidR="009E25A5" w:rsidRPr="009E25A5" w:rsidRDefault="009E25A5" w:rsidP="009E25A5">
      <w:pPr>
        <w:divId w:val="1988506822"/>
      </w:pPr>
    </w:p>
    <w:p w14:paraId="08BA9D80" w14:textId="26038EA9" w:rsidR="003F6543" w:rsidRPr="00834CDC" w:rsidRDefault="003F6543" w:rsidP="0033445F">
      <w:pPr>
        <w:divId w:val="1988506822"/>
      </w:pPr>
      <w:r w:rsidRPr="00834CDC">
        <w:rPr>
          <w:noProof/>
        </w:rPr>
        <mc:AlternateContent>
          <mc:Choice Requires="wps">
            <w:drawing>
              <wp:inline distT="0" distB="0" distL="0" distR="0" wp14:anchorId="71849D3E" wp14:editId="5FBCCD1C">
                <wp:extent cx="6625424" cy="1404620"/>
                <wp:effectExtent l="0" t="0" r="4445" b="190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1404620"/>
                        </a:xfrm>
                        <a:prstGeom prst="rect">
                          <a:avLst/>
                        </a:prstGeom>
                        <a:solidFill>
                          <a:srgbClr val="F7ECDD"/>
                        </a:solidFill>
                        <a:ln w="9525">
                          <a:noFill/>
                          <a:miter lim="800000"/>
                          <a:headEnd/>
                          <a:tailEnd/>
                        </a:ln>
                      </wps:spPr>
                      <wps:txbx>
                        <w:txbxContent>
                          <w:p w14:paraId="08E15C37" w14:textId="77777777" w:rsidR="003F6543" w:rsidRPr="00FA285E" w:rsidRDefault="003F6543" w:rsidP="003F6543">
                            <w:pPr>
                              <w:spacing w:after="0" w:line="240" w:lineRule="auto"/>
                              <w:rPr>
                                <w:b/>
                                <w:bCs/>
                              </w:rPr>
                            </w:pPr>
                            <w:r w:rsidRPr="00FA285E">
                              <w:rPr>
                                <w:b/>
                                <w:bCs/>
                              </w:rPr>
                              <w:t>1983</w:t>
                            </w:r>
                          </w:p>
                          <w:p w14:paraId="0BBBFEE9" w14:textId="664F944B" w:rsidR="003F6543" w:rsidRDefault="003F6543" w:rsidP="00653125">
                            <w:pPr>
                              <w:pStyle w:val="ListParagraph"/>
                              <w:numPr>
                                <w:ilvl w:val="0"/>
                                <w:numId w:val="30"/>
                              </w:numPr>
                              <w:spacing w:after="0" w:line="240" w:lineRule="auto"/>
                            </w:pPr>
                            <w:r>
                              <w:t>Single dose of MM</w:t>
                            </w:r>
                            <w:r w:rsidRPr="003F6543">
                              <w:rPr>
                                <w:vertAlign w:val="superscript"/>
                              </w:rPr>
                              <w:t>i</w:t>
                            </w:r>
                            <w:r>
                              <w:t xml:space="preserve"> vaccine funded for all Australian infants at 12 months of age</w:t>
                            </w:r>
                          </w:p>
                          <w:p w14:paraId="462EF521" w14:textId="77777777" w:rsidR="003F6543" w:rsidRPr="00FA285E" w:rsidRDefault="003F6543" w:rsidP="003F6543">
                            <w:pPr>
                              <w:spacing w:after="0" w:line="240" w:lineRule="auto"/>
                              <w:rPr>
                                <w:b/>
                                <w:bCs/>
                              </w:rPr>
                            </w:pPr>
                            <w:r w:rsidRPr="00FA285E">
                              <w:rPr>
                                <w:b/>
                                <w:bCs/>
                              </w:rPr>
                              <w:t>1984</w:t>
                            </w:r>
                          </w:p>
                          <w:p w14:paraId="2663FDC5" w14:textId="21302A08" w:rsidR="003F6543" w:rsidRDefault="003F6543" w:rsidP="00653125">
                            <w:pPr>
                              <w:pStyle w:val="ListParagraph"/>
                              <w:numPr>
                                <w:ilvl w:val="0"/>
                                <w:numId w:val="30"/>
                              </w:numPr>
                              <w:spacing w:after="0" w:line="240" w:lineRule="auto"/>
                            </w:pPr>
                            <w:r>
                              <w:t>Single dose of MM vaccination of Aboriginal and Torres Strait Islander children in the Northern Territory changed from 12 months to 9 months of age</w:t>
                            </w:r>
                          </w:p>
                          <w:p w14:paraId="650B3D77" w14:textId="77777777" w:rsidR="003F6543" w:rsidRPr="00FA285E" w:rsidRDefault="003F6543" w:rsidP="003F6543">
                            <w:pPr>
                              <w:spacing w:after="0" w:line="240" w:lineRule="auto"/>
                              <w:rPr>
                                <w:b/>
                                <w:bCs/>
                              </w:rPr>
                            </w:pPr>
                            <w:r w:rsidRPr="00FA285E">
                              <w:rPr>
                                <w:b/>
                                <w:bCs/>
                              </w:rPr>
                              <w:t>1989</w:t>
                            </w:r>
                          </w:p>
                          <w:p w14:paraId="749E9ED5" w14:textId="067E888A" w:rsidR="003F6543" w:rsidRDefault="003F6543" w:rsidP="00653125">
                            <w:pPr>
                              <w:pStyle w:val="ListParagraph"/>
                              <w:numPr>
                                <w:ilvl w:val="0"/>
                                <w:numId w:val="30"/>
                              </w:numPr>
                              <w:spacing w:after="0" w:line="240" w:lineRule="auto"/>
                            </w:pPr>
                            <w:r>
                              <w:t>Single dose of MMR</w:t>
                            </w:r>
                            <w:r w:rsidRPr="003F6543">
                              <w:rPr>
                                <w:vertAlign w:val="superscript"/>
                              </w:rPr>
                              <w:t>ii</w:t>
                            </w:r>
                            <w:r>
                              <w:t xml:space="preserve"> vaccine recommended and funded on the national schedule at 12 months of age (9 months for Aboriginal and Torres Strait Islander infants in the Northern Territory)</w:t>
                            </w:r>
                          </w:p>
                          <w:p w14:paraId="0440540F" w14:textId="77777777" w:rsidR="003F6543" w:rsidRPr="00FA285E" w:rsidRDefault="003F6543" w:rsidP="003F6543">
                            <w:pPr>
                              <w:spacing w:after="0" w:line="240" w:lineRule="auto"/>
                              <w:rPr>
                                <w:b/>
                                <w:bCs/>
                              </w:rPr>
                            </w:pPr>
                            <w:r w:rsidRPr="00FA285E">
                              <w:rPr>
                                <w:b/>
                                <w:bCs/>
                              </w:rPr>
                              <w:t>1994</w:t>
                            </w:r>
                          </w:p>
                          <w:p w14:paraId="51D09233" w14:textId="5264AC42" w:rsidR="003F6543" w:rsidRDefault="003F6543" w:rsidP="00653125">
                            <w:pPr>
                              <w:pStyle w:val="ListParagraph"/>
                              <w:numPr>
                                <w:ilvl w:val="0"/>
                                <w:numId w:val="30"/>
                              </w:numPr>
                              <w:spacing w:after="0" w:line="240" w:lineRule="auto"/>
                            </w:pPr>
                            <w:r>
                              <w:t>MMR funded as second dose of mumps-containing vaccine for adolescent females</w:t>
                            </w:r>
                          </w:p>
                          <w:p w14:paraId="49859F85" w14:textId="77777777" w:rsidR="003F6543" w:rsidRPr="00FA285E" w:rsidRDefault="003F6543" w:rsidP="003F6543">
                            <w:pPr>
                              <w:spacing w:after="0" w:line="240" w:lineRule="auto"/>
                              <w:rPr>
                                <w:b/>
                                <w:bCs/>
                              </w:rPr>
                            </w:pPr>
                            <w:r w:rsidRPr="00FA285E">
                              <w:rPr>
                                <w:b/>
                                <w:bCs/>
                              </w:rPr>
                              <w:t>1996</w:t>
                            </w:r>
                          </w:p>
                          <w:p w14:paraId="5479D4E4" w14:textId="691585D5" w:rsidR="003F6543" w:rsidRDefault="003F6543" w:rsidP="00653125">
                            <w:pPr>
                              <w:pStyle w:val="ListParagraph"/>
                              <w:numPr>
                                <w:ilvl w:val="0"/>
                                <w:numId w:val="30"/>
                              </w:numPr>
                              <w:spacing w:after="0" w:line="240" w:lineRule="auto"/>
                            </w:pPr>
                            <w:r>
                              <w:t>MMR funded as second dose of mumps containing vaccine for all adolescents</w:t>
                            </w:r>
                          </w:p>
                          <w:p w14:paraId="60E92417" w14:textId="77777777" w:rsidR="003F6543" w:rsidRPr="00FA285E" w:rsidRDefault="003F6543" w:rsidP="003F6543">
                            <w:pPr>
                              <w:spacing w:after="0" w:line="240" w:lineRule="auto"/>
                              <w:rPr>
                                <w:b/>
                                <w:bCs/>
                              </w:rPr>
                            </w:pPr>
                            <w:r w:rsidRPr="00FA285E">
                              <w:rPr>
                                <w:b/>
                                <w:bCs/>
                              </w:rPr>
                              <w:t>1998</w:t>
                            </w:r>
                          </w:p>
                          <w:p w14:paraId="772D80D4" w14:textId="1BDA778C" w:rsidR="003F6543" w:rsidRDefault="003F6543" w:rsidP="00653125">
                            <w:pPr>
                              <w:pStyle w:val="ListParagraph"/>
                              <w:numPr>
                                <w:ilvl w:val="0"/>
                                <w:numId w:val="30"/>
                              </w:numPr>
                              <w:spacing w:after="0" w:line="240" w:lineRule="auto"/>
                            </w:pPr>
                            <w:r>
                              <w:t>Recommended age for first dose of MMR vaccine for Aboriginal and Torres Strait Islander children in the Northern Territory increased from 9 months to 12 months of age</w:t>
                            </w:r>
                          </w:p>
                          <w:p w14:paraId="4996C9AD" w14:textId="693598BA" w:rsidR="003F6543" w:rsidRDefault="003F6543" w:rsidP="00653125">
                            <w:pPr>
                              <w:pStyle w:val="ListParagraph"/>
                              <w:numPr>
                                <w:ilvl w:val="0"/>
                                <w:numId w:val="30"/>
                              </w:numPr>
                              <w:spacing w:after="0" w:line="240" w:lineRule="auto"/>
                            </w:pPr>
                            <w:r>
                              <w:t>Recommended age for second dose of MMR vaccine lowered to 4–5 years</w:t>
                            </w:r>
                          </w:p>
                          <w:p w14:paraId="38C3D7E7" w14:textId="77777777" w:rsidR="003F6543" w:rsidRPr="00FA285E" w:rsidRDefault="003F6543" w:rsidP="003F6543">
                            <w:pPr>
                              <w:spacing w:after="0" w:line="240" w:lineRule="auto"/>
                              <w:rPr>
                                <w:b/>
                                <w:bCs/>
                              </w:rPr>
                            </w:pPr>
                            <w:r w:rsidRPr="00FA285E">
                              <w:rPr>
                                <w:b/>
                                <w:bCs/>
                              </w:rPr>
                              <w:t>2013</w:t>
                            </w:r>
                          </w:p>
                          <w:p w14:paraId="2064A16E" w14:textId="3F6D5E33" w:rsidR="003F6543" w:rsidRDefault="003F6543" w:rsidP="00653125">
                            <w:pPr>
                              <w:pStyle w:val="ListParagraph"/>
                              <w:numPr>
                                <w:ilvl w:val="0"/>
                                <w:numId w:val="30"/>
                              </w:numPr>
                              <w:spacing w:after="0" w:line="240" w:lineRule="auto"/>
                            </w:pPr>
                            <w:r>
                              <w:t>Second dose of MMR vaccine lowered to 18 months of age, given as MMRV</w:t>
                            </w:r>
                            <w:r w:rsidRPr="003F6543">
                              <w:rPr>
                                <w:vertAlign w:val="superscript"/>
                              </w:rPr>
                              <w:t>iii</w:t>
                            </w:r>
                          </w:p>
                        </w:txbxContent>
                      </wps:txbx>
                      <wps:bodyPr rot="0" vert="horz" wrap="square" lIns="91440" tIns="45720" rIns="91440" bIns="45720" anchor="t" anchorCtr="0">
                        <a:spAutoFit/>
                      </wps:bodyPr>
                    </wps:wsp>
                  </a:graphicData>
                </a:graphic>
              </wp:inline>
            </w:drawing>
          </mc:Choice>
          <mc:Fallback>
            <w:pict>
              <v:shape w14:anchorId="71849D3E" id="_x0000_s1033"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" fillcolor="#f7ecdd" stroked="f">
                <v:textbox style="mso-fit-shape-to-text:t">
                  <w:txbxContent>
                    <w:p w14:paraId="08E15C37" w14:textId="77777777" w:rsidR="003F6543" w:rsidRPr="00FA285E" w:rsidRDefault="003F6543" w:rsidP="003F6543">
                      <w:pPr>
                        <w:spacing w:after="0" w:line="240" w:lineRule="auto"/>
                        <w:rPr>
                          <w:b/>
                          <w:bCs/>
                        </w:rPr>
                      </w:pPr>
                      <w:r w:rsidRPr="00FA285E">
                        <w:rPr>
                          <w:b/>
                          <w:bCs/>
                        </w:rPr>
                        <w:t>1983</w:t>
                      </w:r>
                    </w:p>
                    <w:p w14:paraId="0BBBFEE9" w14:textId="664F944B" w:rsidR="003F6543" w:rsidRDefault="003F6543" w:rsidP="00653125">
                      <w:pPr>
                        <w:pStyle w:val="ListParagraph"/>
                        <w:numPr>
                          <w:ilvl w:val="0"/>
                          <w:numId w:val="30"/>
                        </w:numPr>
                        <w:spacing w:after="0" w:line="240" w:lineRule="auto"/>
                      </w:pPr>
                      <w:r>
                        <w:t>Single dose of MM</w:t>
                      </w:r>
                      <w:r w:rsidRPr="003F6543">
                        <w:rPr>
                          <w:vertAlign w:val="superscript"/>
                        </w:rPr>
                        <w:t>i</w:t>
                      </w:r>
                      <w:r>
                        <w:t xml:space="preserve"> vaccine funded for all Australian infants at 12 months of age</w:t>
                      </w:r>
                    </w:p>
                    <w:p w14:paraId="462EF521" w14:textId="77777777" w:rsidR="003F6543" w:rsidRPr="00FA285E" w:rsidRDefault="003F6543" w:rsidP="003F6543">
                      <w:pPr>
                        <w:spacing w:after="0" w:line="240" w:lineRule="auto"/>
                        <w:rPr>
                          <w:b/>
                          <w:bCs/>
                        </w:rPr>
                      </w:pPr>
                      <w:r w:rsidRPr="00FA285E">
                        <w:rPr>
                          <w:b/>
                          <w:bCs/>
                        </w:rPr>
                        <w:t>1984</w:t>
                      </w:r>
                    </w:p>
                    <w:p w14:paraId="2663FDC5" w14:textId="21302A08" w:rsidR="003F6543" w:rsidRDefault="003F6543" w:rsidP="00653125">
                      <w:pPr>
                        <w:pStyle w:val="ListParagraph"/>
                        <w:numPr>
                          <w:ilvl w:val="0"/>
                          <w:numId w:val="30"/>
                        </w:numPr>
                        <w:spacing w:after="0" w:line="240" w:lineRule="auto"/>
                      </w:pPr>
                      <w:r>
                        <w:t>Single dose of MM vaccination of Aboriginal and Torres Strait Islander children in the Northern Territory changed from 12 months to 9 months of age</w:t>
                      </w:r>
                    </w:p>
                    <w:p w14:paraId="650B3D77" w14:textId="77777777" w:rsidR="003F6543" w:rsidRPr="00FA285E" w:rsidRDefault="003F6543" w:rsidP="003F6543">
                      <w:pPr>
                        <w:spacing w:after="0" w:line="240" w:lineRule="auto"/>
                        <w:rPr>
                          <w:b/>
                          <w:bCs/>
                        </w:rPr>
                      </w:pPr>
                      <w:r w:rsidRPr="00FA285E">
                        <w:rPr>
                          <w:b/>
                          <w:bCs/>
                        </w:rPr>
                        <w:t>1989</w:t>
                      </w:r>
                    </w:p>
                    <w:p w14:paraId="749E9ED5" w14:textId="067E888A" w:rsidR="003F6543" w:rsidRDefault="003F6543" w:rsidP="00653125">
                      <w:pPr>
                        <w:pStyle w:val="ListParagraph"/>
                        <w:numPr>
                          <w:ilvl w:val="0"/>
                          <w:numId w:val="30"/>
                        </w:numPr>
                        <w:spacing w:after="0" w:line="240" w:lineRule="auto"/>
                      </w:pPr>
                      <w:r>
                        <w:t>Single dose of MMR</w:t>
                      </w:r>
                      <w:r w:rsidRPr="003F6543">
                        <w:rPr>
                          <w:vertAlign w:val="superscript"/>
                        </w:rPr>
                        <w:t>ii</w:t>
                      </w:r>
                      <w:r>
                        <w:t xml:space="preserve"> vaccine recommended and funded on the national schedule at 12 months of age (9 months for Aboriginal and Torres Strait Islander infants in the Northern Territory)</w:t>
                      </w:r>
                    </w:p>
                    <w:p w14:paraId="0440540F" w14:textId="77777777" w:rsidR="003F6543" w:rsidRPr="00FA285E" w:rsidRDefault="003F6543" w:rsidP="003F6543">
                      <w:pPr>
                        <w:spacing w:after="0" w:line="240" w:lineRule="auto"/>
                        <w:rPr>
                          <w:b/>
                          <w:bCs/>
                        </w:rPr>
                      </w:pPr>
                      <w:r w:rsidRPr="00FA285E">
                        <w:rPr>
                          <w:b/>
                          <w:bCs/>
                        </w:rPr>
                        <w:t>1994</w:t>
                      </w:r>
                    </w:p>
                    <w:p w14:paraId="51D09233" w14:textId="5264AC42" w:rsidR="003F6543" w:rsidRDefault="003F6543" w:rsidP="00653125">
                      <w:pPr>
                        <w:pStyle w:val="ListParagraph"/>
                        <w:numPr>
                          <w:ilvl w:val="0"/>
                          <w:numId w:val="30"/>
                        </w:numPr>
                        <w:spacing w:after="0" w:line="240" w:lineRule="auto"/>
                      </w:pPr>
                      <w:r>
                        <w:t>MMR funded as second dose of mumps-containing vaccine for adolescent females</w:t>
                      </w:r>
                    </w:p>
                    <w:p w14:paraId="49859F85" w14:textId="77777777" w:rsidR="003F6543" w:rsidRPr="00FA285E" w:rsidRDefault="003F6543" w:rsidP="003F6543">
                      <w:pPr>
                        <w:spacing w:after="0" w:line="240" w:lineRule="auto"/>
                        <w:rPr>
                          <w:b/>
                          <w:bCs/>
                        </w:rPr>
                      </w:pPr>
                      <w:r w:rsidRPr="00FA285E">
                        <w:rPr>
                          <w:b/>
                          <w:bCs/>
                        </w:rPr>
                        <w:t>1996</w:t>
                      </w:r>
                    </w:p>
                    <w:p w14:paraId="5479D4E4" w14:textId="691585D5" w:rsidR="003F6543" w:rsidRDefault="003F6543" w:rsidP="00653125">
                      <w:pPr>
                        <w:pStyle w:val="ListParagraph"/>
                        <w:numPr>
                          <w:ilvl w:val="0"/>
                          <w:numId w:val="30"/>
                        </w:numPr>
                        <w:spacing w:after="0" w:line="240" w:lineRule="auto"/>
                      </w:pPr>
                      <w:r>
                        <w:t>MMR funded as second dose of mumps containing vaccine for all adolescents</w:t>
                      </w:r>
                    </w:p>
                    <w:p w14:paraId="60E92417" w14:textId="77777777" w:rsidR="003F6543" w:rsidRPr="00FA285E" w:rsidRDefault="003F6543" w:rsidP="003F6543">
                      <w:pPr>
                        <w:spacing w:after="0" w:line="240" w:lineRule="auto"/>
                        <w:rPr>
                          <w:b/>
                          <w:bCs/>
                        </w:rPr>
                      </w:pPr>
                      <w:r w:rsidRPr="00FA285E">
                        <w:rPr>
                          <w:b/>
                          <w:bCs/>
                        </w:rPr>
                        <w:t>1998</w:t>
                      </w:r>
                    </w:p>
                    <w:p w14:paraId="772D80D4" w14:textId="1BDA778C" w:rsidR="003F6543" w:rsidRDefault="003F6543" w:rsidP="00653125">
                      <w:pPr>
                        <w:pStyle w:val="ListParagraph"/>
                        <w:numPr>
                          <w:ilvl w:val="0"/>
                          <w:numId w:val="30"/>
                        </w:numPr>
                        <w:spacing w:after="0" w:line="240" w:lineRule="auto"/>
                      </w:pPr>
                      <w:r>
                        <w:t>Recommended age for first dose of MMR vaccine for Aboriginal and Torres Strait Islander children in the Northern Territory increased from 9 months to 12 months of age</w:t>
                      </w:r>
                    </w:p>
                    <w:p w14:paraId="4996C9AD" w14:textId="693598BA" w:rsidR="003F6543" w:rsidRDefault="003F6543" w:rsidP="00653125">
                      <w:pPr>
                        <w:pStyle w:val="ListParagraph"/>
                        <w:numPr>
                          <w:ilvl w:val="0"/>
                          <w:numId w:val="30"/>
                        </w:numPr>
                        <w:spacing w:after="0" w:line="240" w:lineRule="auto"/>
                      </w:pPr>
                      <w:r>
                        <w:t>Recommended age for second dose of MMR vaccine lowered to 4–5 years</w:t>
                      </w:r>
                    </w:p>
                    <w:p w14:paraId="38C3D7E7" w14:textId="77777777" w:rsidR="003F6543" w:rsidRPr="00FA285E" w:rsidRDefault="003F6543" w:rsidP="003F6543">
                      <w:pPr>
                        <w:spacing w:after="0" w:line="240" w:lineRule="auto"/>
                        <w:rPr>
                          <w:b/>
                          <w:bCs/>
                        </w:rPr>
                      </w:pPr>
                      <w:r w:rsidRPr="00FA285E">
                        <w:rPr>
                          <w:b/>
                          <w:bCs/>
                        </w:rPr>
                        <w:t>2013</w:t>
                      </w:r>
                    </w:p>
                    <w:p w14:paraId="2064A16E" w14:textId="3F6D5E33" w:rsidR="003F6543" w:rsidRDefault="003F6543" w:rsidP="00653125">
                      <w:pPr>
                        <w:pStyle w:val="ListParagraph"/>
                        <w:numPr>
                          <w:ilvl w:val="0"/>
                          <w:numId w:val="30"/>
                        </w:numPr>
                        <w:spacing w:after="0" w:line="240" w:lineRule="auto"/>
                      </w:pPr>
                      <w:r>
                        <w:t>Second dose of MMR vaccine lowered to 18 months of age, given as MMRV</w:t>
                      </w:r>
                      <w:r w:rsidRPr="003F6543">
                        <w:rPr>
                          <w:vertAlign w:val="superscript"/>
                        </w:rPr>
                        <w:t>iii</w:t>
                      </w:r>
                    </w:p>
                  </w:txbxContent>
                </v:textbox>
                <w10:anchorlock/>
              </v:shape>
            </w:pict>
          </mc:Fallback>
        </mc:AlternateContent>
      </w:r>
    </w:p>
    <w:p w14:paraId="05B4F8FF" w14:textId="2A81CC60" w:rsidR="00195A17" w:rsidRPr="00834CDC" w:rsidRDefault="00195A17" w:rsidP="00195A17">
      <w:pPr>
        <w:pStyle w:val="CDIfootnotes"/>
        <w:divId w:val="1988506822"/>
      </w:pPr>
      <w:proofErr w:type="spellStart"/>
      <w:r w:rsidRPr="00834CDC">
        <w:t>i</w:t>
      </w:r>
      <w:proofErr w:type="spellEnd"/>
      <w:r w:rsidRPr="00834CDC">
        <w:tab/>
        <w:t>MM: measles and mumps.</w:t>
      </w:r>
    </w:p>
    <w:p w14:paraId="0AC103B1" w14:textId="466EFA36" w:rsidR="00195A17" w:rsidRPr="00834CDC" w:rsidRDefault="00195A17" w:rsidP="00195A17">
      <w:pPr>
        <w:pStyle w:val="CDIfootnotes"/>
        <w:divId w:val="1988506822"/>
      </w:pPr>
      <w:r w:rsidRPr="00834CDC">
        <w:t>ii</w:t>
      </w:r>
      <w:r w:rsidRPr="00834CDC">
        <w:tab/>
        <w:t xml:space="preserve">MMR: measles, </w:t>
      </w:r>
      <w:proofErr w:type="gramStart"/>
      <w:r w:rsidRPr="00834CDC">
        <w:t>mumps</w:t>
      </w:r>
      <w:proofErr w:type="gramEnd"/>
      <w:r w:rsidRPr="00834CDC">
        <w:t xml:space="preserve"> and rubella.</w:t>
      </w:r>
    </w:p>
    <w:p w14:paraId="2F3B72B0" w14:textId="4CB492C2" w:rsidR="00195A17" w:rsidRPr="00834CDC" w:rsidRDefault="00195A17" w:rsidP="00195A17">
      <w:pPr>
        <w:pStyle w:val="CDIfootnotes"/>
        <w:divId w:val="1988506822"/>
      </w:pPr>
      <w:r w:rsidRPr="00834CDC">
        <w:t>iii</w:t>
      </w:r>
      <w:r w:rsidRPr="00834CDC">
        <w:tab/>
        <w:t xml:space="preserve">MMRV: measles, mumps, </w:t>
      </w:r>
      <w:proofErr w:type="gramStart"/>
      <w:r w:rsidRPr="00834CDC">
        <w:t>rubella</w:t>
      </w:r>
      <w:proofErr w:type="gramEnd"/>
      <w:r w:rsidRPr="00834CDC">
        <w:t xml:space="preserve"> and varicella.</w:t>
      </w:r>
    </w:p>
    <w:p w14:paraId="3FC1A9CA" w14:textId="4E8714F2" w:rsidR="0033445F" w:rsidRPr="00834CDC" w:rsidRDefault="0033445F" w:rsidP="0033445F">
      <w:pPr>
        <w:divId w:val="1988506822"/>
      </w:pPr>
      <w:r w:rsidRPr="00834CDC">
        <w:t xml:space="preserve">Mumps is an acute viral disease caused by a paramyxovirus. Mumps infection involves variable pathology and symptomatology; however, the classical presentation is characterised by fever, painful </w:t>
      </w:r>
      <w:proofErr w:type="gramStart"/>
      <w:r w:rsidRPr="00834CDC">
        <w:t>swelling</w:t>
      </w:r>
      <w:proofErr w:type="gramEnd"/>
      <w:r w:rsidRPr="00834CDC">
        <w:t xml:space="preserve"> and inflammation of one or more salivary glands, commonly the parotid glands.</w:t>
      </w:r>
      <w:r w:rsidRPr="00834CDC">
        <w:rPr>
          <w:vertAlign w:val="superscript"/>
        </w:rPr>
        <w:t>141,142</w:t>
      </w:r>
      <w:r w:rsidRPr="00834CDC">
        <w:t xml:space="preserve"> Between 20% to 40% of cases are sub-clinical.</w:t>
      </w:r>
      <w:r w:rsidRPr="00834CDC">
        <w:rPr>
          <w:vertAlign w:val="superscript"/>
        </w:rPr>
        <w:t>142</w:t>
      </w:r>
      <w:r w:rsidRPr="00834CDC">
        <w:t xml:space="preserve"> Complications include orchitis, meningitis, encephalitis, hearing loss and pancreatitis.</w:t>
      </w:r>
      <w:r w:rsidRPr="00834CDC">
        <w:rPr>
          <w:vertAlign w:val="superscript"/>
        </w:rPr>
        <w:t xml:space="preserve">141,142 </w:t>
      </w:r>
    </w:p>
    <w:p w14:paraId="039B9323" w14:textId="77777777" w:rsidR="0033445F" w:rsidRPr="00834CDC" w:rsidRDefault="0033445F" w:rsidP="0033445F">
      <w:pPr>
        <w:pStyle w:val="Heading2"/>
        <w:divId w:val="1988506822"/>
      </w:pPr>
      <w:r w:rsidRPr="00834CDC">
        <w:t xml:space="preserve">Results </w:t>
      </w:r>
    </w:p>
    <w:p w14:paraId="026856A6" w14:textId="77777777" w:rsidR="0033445F" w:rsidRPr="00834CDC" w:rsidRDefault="0033445F" w:rsidP="0033445F">
      <w:pPr>
        <w:divId w:val="1988506822"/>
      </w:pPr>
      <w:r w:rsidRPr="00834CDC">
        <w:t xml:space="preserve">Notification data for mumps </w:t>
      </w:r>
      <w:proofErr w:type="gramStart"/>
      <w:r w:rsidRPr="00834CDC">
        <w:t>are presented</w:t>
      </w:r>
      <w:proofErr w:type="gramEnd"/>
      <w:r w:rsidRPr="00834CDC">
        <w:t xml:space="preserve"> for all states and territories for the 2016–2019 period in Table 14. Of the 2,422 cases of mumps in this period, 1,466 (60.5%) </w:t>
      </w:r>
      <w:proofErr w:type="gramStart"/>
      <w:r w:rsidRPr="00834CDC">
        <w:t>were reported</w:t>
      </w:r>
      <w:proofErr w:type="gramEnd"/>
      <w:r w:rsidRPr="00834CDC">
        <w:t xml:space="preserve"> as being in Aboriginal and Torres Strait Islander people. The overall all-age notification rate among Aboriginal and Torres Strait Islander people was 37.0 per 100,000 population per year, </w:t>
      </w:r>
      <w:proofErr w:type="gramStart"/>
      <w:r w:rsidRPr="00834CDC">
        <w:t>much</w:t>
      </w:r>
      <w:proofErr w:type="gramEnd"/>
      <w:r w:rsidRPr="00834CDC">
        <w:t xml:space="preserve"> higher than the rate among other people (1.0 per 100,000 per year). Notification rates in Aboriginal and Torres Strait Islander people were highest in the 15–24 years age group (73.1 per 100,000 per year for Aboriginal and Torres Strait Islander people versus 1.5 per 100,000 for other people), followed by 5–14 years (58.2 per 100,000 per year versus 0.9 per 100,000 per year) and 25–49 years (49.4 versus 1.2 per 100,000 per year). </w:t>
      </w:r>
    </w:p>
    <w:p w14:paraId="77D0C2DE" w14:textId="77777777" w:rsidR="0033445F" w:rsidRPr="00834CDC" w:rsidRDefault="0033445F" w:rsidP="0033445F">
      <w:pPr>
        <w:divId w:val="1988506822"/>
      </w:pPr>
      <w:r w:rsidRPr="00834CDC">
        <w:t xml:space="preserve">Trends in mumps notifications </w:t>
      </w:r>
      <w:proofErr w:type="gramStart"/>
      <w:r w:rsidRPr="00834CDC">
        <w:t>are presented</w:t>
      </w:r>
      <w:proofErr w:type="gramEnd"/>
      <w:r w:rsidRPr="00834CDC">
        <w:t xml:space="preserve"> for all states and territories for the 2010–2019 period in Figure 11. Notification rates in Aboriginal and Torres Strait Islander people were low and were </w:t>
      </w:r>
      <w:proofErr w:type="gramStart"/>
      <w:r w:rsidRPr="00834CDC">
        <w:t>similar to</w:t>
      </w:r>
      <w:proofErr w:type="gramEnd"/>
      <w:r w:rsidRPr="00834CDC">
        <w:t xml:space="preserve"> rates in other people until they increased sharply in 2015 to 51.4 per 100,000 population per year, peaking at 68.9 per 100,000 per year in 2016. Rates remained elevated in 2017 and 2018 (60.2 and 49.9 per 100,000 per year, respectively) before decreasing to 1.4 per 100,000 per year in 2019. Rates among other people remained low over the same period, reaching a peak of 1.3 per 100,000 population per year in 2017. </w:t>
      </w:r>
    </w:p>
    <w:p w14:paraId="66E0F64C" w14:textId="77777777" w:rsidR="00A362A9" w:rsidRPr="00834CDC" w:rsidRDefault="00A362A9" w:rsidP="0033445F">
      <w:pPr>
        <w:divId w:val="1988506822"/>
      </w:pPr>
    </w:p>
    <w:p w14:paraId="05D0E78D" w14:textId="77777777" w:rsidR="00A362A9" w:rsidRPr="00834CDC" w:rsidRDefault="00A362A9" w:rsidP="00A362A9">
      <w:pPr>
        <w:pStyle w:val="NormalWeb"/>
        <w:divId w:val="1988506822"/>
      </w:pPr>
      <w:r w:rsidRPr="00834CDC">
        <w:rPr>
          <w:rStyle w:val="Strong"/>
        </w:rPr>
        <w:lastRenderedPageBreak/>
        <w:t>Figure 11: Mumps notification rates, Australia (all states and territories), 2010–</w:t>
      </w:r>
      <w:proofErr w:type="gramStart"/>
      <w:r w:rsidRPr="00834CDC">
        <w:rPr>
          <w:rStyle w:val="Strong"/>
        </w:rPr>
        <w:t>2019,</w:t>
      </w:r>
      <w:r w:rsidRPr="009E25A5">
        <w:rPr>
          <w:rStyle w:val="Strong"/>
          <w:vertAlign w:val="superscript"/>
        </w:rPr>
        <w:t>a</w:t>
      </w:r>
      <w:proofErr w:type="gramEnd"/>
      <w:r w:rsidRPr="00834CDC">
        <w:rPr>
          <w:rStyle w:val="Strong"/>
        </w:rPr>
        <w:t xml:space="preserve"> by Aboriginal and Torres Strait Islander status</w:t>
      </w:r>
    </w:p>
    <w:p w14:paraId="3A4FAEC4" w14:textId="77777777" w:rsidR="00A362A9" w:rsidRPr="00834CDC" w:rsidRDefault="00A362A9" w:rsidP="00A362A9">
      <w:pPr>
        <w:divId w:val="1988506822"/>
        <w:rPr>
          <w:rFonts w:eastAsia="Times New Roman"/>
        </w:rPr>
      </w:pPr>
      <w:r w:rsidRPr="00834CDC">
        <w:rPr>
          <w:rFonts w:eastAsia="Times New Roman"/>
          <w:noProof/>
        </w:rPr>
        <w:drawing>
          <wp:inline distT="0" distB="0" distL="0" distR="0" wp14:anchorId="1DF064EE" wp14:editId="6756930E">
            <wp:extent cx="6625424" cy="4240565"/>
            <wp:effectExtent l="0" t="0" r="4445" b="7620"/>
            <wp:docPr id="15" name="Picture 15" descr="Line graph showing mumps notification rates for the period 2010 to 2019. Rates in Aboriginal and Torres Strait Islander people were low and similar to other people until the increased sharply in 2015 to 51 per 100,000 population, peaking at 69 per 100,000 in 2016. Rates remained elevated in 2017 and 2018 before decreasing to 1.4 per 100,000 in 2019.  increased in 2007-2008, peaking at 22.6 per 100,000 in 2007, then returned to a low level until 2015 when the rate increased sharply to 58.1 per 100,000. Rates in other people remained low throughout the entire period (less than 1.3 per 100,000 popul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ne graph showing mumps notification rates for the period 2010 to 2019. Rates in Aboriginal and Torres Strait Islander people were low and similar to other people until the increased sharply in 2015 to 51 per 100,000 population, peaking at 69 per 100,000 in 2016. Rates remained elevated in 2017 and 2018 before decreasing to 1.4 per 100,000 in 2019.  increased in 2007-2008, peaking at 22.6 per 100,000 in 2007, then returned to a low level until 2015 when the rate increased sharply to 58.1 per 100,000. Rates in other people remained low throughout the entire period (less than 1.3 per 100,000 population).&#10;"/>
                    <pic:cNvPicPr>
                      <a:picLocks noChangeAspect="1" noChangeArrowheads="1"/>
                    </pic:cNvPicPr>
                  </pic:nvPicPr>
                  <pic:blipFill>
                    <a:blip r:link="rId22">
                      <a:extLst>
                        <a:ext uri="{28A0092B-C50C-407E-A947-70E740481C1C}">
                          <a14:useLocalDpi xmlns:a14="http://schemas.microsoft.com/office/drawing/2010/main" val="0"/>
                        </a:ext>
                      </a:extLst>
                    </a:blip>
                    <a:stretch>
                      <a:fillRect/>
                    </a:stretch>
                  </pic:blipFill>
                  <pic:spPr bwMode="auto">
                    <a:xfrm>
                      <a:off x="0" y="0"/>
                      <a:ext cx="6637185" cy="4248092"/>
                    </a:xfrm>
                    <a:prstGeom prst="rect">
                      <a:avLst/>
                    </a:prstGeom>
                  </pic:spPr>
                </pic:pic>
              </a:graphicData>
            </a:graphic>
          </wp:inline>
        </w:drawing>
      </w:r>
    </w:p>
    <w:p w14:paraId="73365111" w14:textId="3FCA8253" w:rsidR="00A362A9" w:rsidRPr="00834CDC" w:rsidRDefault="00A362A9" w:rsidP="00A362A9">
      <w:pPr>
        <w:pStyle w:val="CDIfootnotes"/>
        <w:divId w:val="1988506822"/>
      </w:pPr>
      <w:r w:rsidRPr="00834CDC">
        <w:t>a</w:t>
      </w:r>
      <w:r w:rsidRPr="00834CDC">
        <w:tab/>
        <w:t>Notifications where the date of diagnosis was between 1 January 2010 and 31 December 2019.</w:t>
      </w:r>
    </w:p>
    <w:p w14:paraId="1ED0B112" w14:textId="5F55A20A" w:rsidR="0033445F" w:rsidRPr="00834CDC" w:rsidRDefault="0033445F" w:rsidP="0033445F">
      <w:pPr>
        <w:divId w:val="1988506822"/>
      </w:pPr>
      <w:r w:rsidRPr="00834CDC">
        <w:t xml:space="preserve">Hospital admission data </w:t>
      </w:r>
      <w:proofErr w:type="gramStart"/>
      <w:r w:rsidRPr="00834CDC">
        <w:t>are presented</w:t>
      </w:r>
      <w:proofErr w:type="gramEnd"/>
      <w:r w:rsidRPr="00834CDC">
        <w:t xml:space="preserve"> for all states and territories for the 2016–2019 period in Table 15. There were 472 hospital admissions for mumps, of which 102 (21.6%) </w:t>
      </w:r>
      <w:proofErr w:type="gramStart"/>
      <w:r w:rsidRPr="00834CDC">
        <w:t>were recorded</w:t>
      </w:r>
      <w:proofErr w:type="gramEnd"/>
      <w:r w:rsidRPr="00834CDC">
        <w:t xml:space="preserve"> as being in Aboriginal and Torres Strait Islander people. </w:t>
      </w:r>
      <w:proofErr w:type="gramStart"/>
      <w:r w:rsidRPr="00834CDC">
        <w:t>Similar to</w:t>
      </w:r>
      <w:proofErr w:type="gramEnd"/>
      <w:r w:rsidRPr="00834CDC">
        <w:t xml:space="preserve"> notifications, the hospitalisation rate was highest among Aboriginal and Torres Strait Islander adolescents and young adults aged 15–24 years (6.1 per 100,000 population per year). Hospitalisation rates were also relatively high in Aboriginal and Torres Strait Islander adults aged 25–49 years (4.9 per 100,000 per year) and children/adolescents aged 5–14 years (3.0 per 100,000 per year). Hospitalisation rates were significantly higher in Aboriginal and Torres Strait Islander people than in other people across all age groups except the 0–4 years and ≥ 50 years age groups, with the all-age rate 7.2 times higher. </w:t>
      </w:r>
    </w:p>
    <w:p w14:paraId="0F0E6FAF" w14:textId="77777777" w:rsidR="00516031" w:rsidRPr="00834CDC" w:rsidRDefault="00516031">
      <w:pPr>
        <w:rPr>
          <w:rStyle w:val="Strong"/>
          <w:bCs w:val="0"/>
        </w:rPr>
      </w:pPr>
      <w:r w:rsidRPr="00834CDC">
        <w:rPr>
          <w:rStyle w:val="Strong"/>
          <w:b w:val="0"/>
          <w:bCs w:val="0"/>
        </w:rPr>
        <w:br w:type="page"/>
      </w:r>
    </w:p>
    <w:p w14:paraId="3B49BFBC" w14:textId="09D6C349" w:rsidR="00EC4B52" w:rsidRPr="00834CDC" w:rsidRDefault="00EC4B52" w:rsidP="00EC4B52">
      <w:pPr>
        <w:pStyle w:val="CDIFigures"/>
        <w:divId w:val="1988506822"/>
      </w:pPr>
      <w:r w:rsidRPr="00834CDC">
        <w:rPr>
          <w:rStyle w:val="Strong"/>
          <w:b/>
          <w:bCs w:val="0"/>
        </w:rPr>
        <w:lastRenderedPageBreak/>
        <w:t>Table 14: Mumps notifications, Australia (all states and territories), 2016–2019, by age and Aboriginal and Torres Strait Islander status</w:t>
      </w:r>
    </w:p>
    <w:tbl>
      <w:tblPr>
        <w:tblStyle w:val="CDI-StandardTable"/>
        <w:tblW w:w="0" w:type="auto"/>
        <w:tblLook w:val="04A0" w:firstRow="1" w:lastRow="0" w:firstColumn="1" w:lastColumn="0" w:noHBand="0" w:noVBand="1"/>
        <w:tblDescription w:val="Table 14 shows the number and rates per 100,000 population of mumps notifications by age and Aboriginal and Torres Strait Islander status, Australia, 2016 to 2019.&#10;"/>
      </w:tblPr>
      <w:tblGrid>
        <w:gridCol w:w="1701"/>
        <w:gridCol w:w="4111"/>
        <w:gridCol w:w="851"/>
        <w:gridCol w:w="990"/>
        <w:gridCol w:w="986"/>
        <w:gridCol w:w="1799"/>
      </w:tblGrid>
      <w:tr w:rsidR="00EC4B52" w:rsidRPr="00834CDC" w14:paraId="14AD7E53" w14:textId="77777777" w:rsidTr="00EC4B52">
        <w:trPr>
          <w:cnfStyle w:val="100000000000" w:firstRow="1" w:lastRow="0" w:firstColumn="0" w:lastColumn="0" w:oddVBand="0" w:evenVBand="0" w:oddHBand="0" w:evenHBand="0" w:firstRowFirstColumn="0" w:firstRowLastColumn="0" w:lastRowFirstColumn="0" w:lastRowLastColumn="0"/>
          <w:divId w:val="1988506822"/>
          <w:tblHeader/>
        </w:trPr>
        <w:tc>
          <w:tcPr>
            <w:tcW w:w="1701" w:type="dxa"/>
            <w:vMerge w:val="restart"/>
            <w:hideMark/>
          </w:tcPr>
          <w:p w14:paraId="0FB0366D" w14:textId="5F10F61E" w:rsidR="00EC4B52" w:rsidRPr="00834CDC" w:rsidRDefault="00EC4B52" w:rsidP="00EC4B52">
            <w:pPr>
              <w:pStyle w:val="NormalWeb"/>
              <w:rPr>
                <w:sz w:val="18"/>
                <w:szCs w:val="18"/>
              </w:rPr>
            </w:pPr>
            <w:r w:rsidRPr="00834CDC">
              <w:rPr>
                <w:sz w:val="18"/>
                <w:szCs w:val="18"/>
              </w:rPr>
              <w:t>Age group (years)</w:t>
            </w:r>
          </w:p>
        </w:tc>
        <w:tc>
          <w:tcPr>
            <w:tcW w:w="4111" w:type="dxa"/>
            <w:vMerge w:val="restart"/>
            <w:hideMark/>
          </w:tcPr>
          <w:p w14:paraId="7624A13A" w14:textId="77777777" w:rsidR="00EC4B52" w:rsidRPr="00834CDC" w:rsidRDefault="00EC4B52" w:rsidP="003058F5">
            <w:pPr>
              <w:pStyle w:val="NormalWeb"/>
              <w:rPr>
                <w:sz w:val="18"/>
                <w:szCs w:val="18"/>
              </w:rPr>
            </w:pPr>
            <w:r w:rsidRPr="00834CDC">
              <w:rPr>
                <w:sz w:val="18"/>
                <w:szCs w:val="18"/>
              </w:rPr>
              <w:t>Aboriginal and Torres Strait Islander status</w:t>
            </w:r>
          </w:p>
        </w:tc>
        <w:tc>
          <w:tcPr>
            <w:tcW w:w="4626" w:type="dxa"/>
            <w:gridSpan w:val="4"/>
            <w:hideMark/>
          </w:tcPr>
          <w:p w14:paraId="764A1FA9" w14:textId="6579855D" w:rsidR="00EC4B52" w:rsidRPr="00834CDC" w:rsidRDefault="00EC4B52" w:rsidP="003058F5">
            <w:pPr>
              <w:pStyle w:val="NormalWeb"/>
              <w:rPr>
                <w:sz w:val="18"/>
                <w:szCs w:val="18"/>
              </w:rPr>
            </w:pPr>
            <w:r w:rsidRPr="00834CDC">
              <w:rPr>
                <w:sz w:val="18"/>
                <w:szCs w:val="18"/>
              </w:rPr>
              <w:t>Notifications</w:t>
            </w:r>
            <w:r w:rsidR="00326AA0" w:rsidRPr="00834CDC">
              <w:rPr>
                <w:sz w:val="18"/>
                <w:szCs w:val="18"/>
              </w:rPr>
              <w:t xml:space="preserve"> </w:t>
            </w:r>
            <w:r w:rsidRPr="00834CDC">
              <w:rPr>
                <w:sz w:val="18"/>
                <w:szCs w:val="18"/>
                <w:vertAlign w:val="superscript"/>
              </w:rPr>
              <w:t>a</w:t>
            </w:r>
            <w:r w:rsidRPr="00834CDC">
              <w:rPr>
                <w:sz w:val="18"/>
                <w:szCs w:val="18"/>
              </w:rPr>
              <w:t xml:space="preserve"> (2016–2019)</w:t>
            </w:r>
          </w:p>
        </w:tc>
      </w:tr>
      <w:tr w:rsidR="00EC4B52" w:rsidRPr="00834CDC" w14:paraId="24DB6034" w14:textId="77777777" w:rsidTr="00EC4B52">
        <w:trPr>
          <w:cnfStyle w:val="100000000000" w:firstRow="1" w:lastRow="0" w:firstColumn="0" w:lastColumn="0" w:oddVBand="0" w:evenVBand="0" w:oddHBand="0" w:evenHBand="0" w:firstRowFirstColumn="0" w:firstRowLastColumn="0" w:lastRowFirstColumn="0" w:lastRowLastColumn="0"/>
          <w:divId w:val="1988506822"/>
          <w:tblHeader/>
        </w:trPr>
        <w:tc>
          <w:tcPr>
            <w:tcW w:w="1701" w:type="dxa"/>
            <w:vMerge/>
            <w:tcBorders>
              <w:bottom w:val="single" w:sz="2" w:space="0" w:color="808080" w:themeColor="background1" w:themeShade="80"/>
            </w:tcBorders>
            <w:hideMark/>
          </w:tcPr>
          <w:p w14:paraId="5ED3E73B" w14:textId="77777777" w:rsidR="00EC4B52" w:rsidRPr="00834CDC" w:rsidRDefault="00EC4B52" w:rsidP="003058F5">
            <w:pPr>
              <w:rPr>
                <w:sz w:val="18"/>
                <w:szCs w:val="18"/>
              </w:rPr>
            </w:pPr>
          </w:p>
        </w:tc>
        <w:tc>
          <w:tcPr>
            <w:tcW w:w="4111" w:type="dxa"/>
            <w:vMerge/>
            <w:tcBorders>
              <w:bottom w:val="single" w:sz="2" w:space="0" w:color="808080" w:themeColor="background1" w:themeShade="80"/>
            </w:tcBorders>
            <w:hideMark/>
          </w:tcPr>
          <w:p w14:paraId="025A9B4D" w14:textId="77777777" w:rsidR="00EC4B52" w:rsidRPr="00834CDC" w:rsidRDefault="00EC4B52" w:rsidP="003058F5">
            <w:pPr>
              <w:rPr>
                <w:sz w:val="18"/>
                <w:szCs w:val="18"/>
              </w:rPr>
            </w:pPr>
          </w:p>
        </w:tc>
        <w:tc>
          <w:tcPr>
            <w:tcW w:w="851" w:type="dxa"/>
            <w:tcBorders>
              <w:bottom w:val="single" w:sz="2" w:space="0" w:color="808080" w:themeColor="background1" w:themeShade="80"/>
            </w:tcBorders>
            <w:hideMark/>
          </w:tcPr>
          <w:p w14:paraId="69049CC8" w14:textId="77777777" w:rsidR="00EC4B52" w:rsidRPr="00834CDC" w:rsidRDefault="00EC4B52" w:rsidP="003058F5">
            <w:pPr>
              <w:pStyle w:val="NormalWeb"/>
              <w:rPr>
                <w:sz w:val="18"/>
                <w:szCs w:val="18"/>
              </w:rPr>
            </w:pPr>
            <w:r w:rsidRPr="00834CDC">
              <w:rPr>
                <w:sz w:val="18"/>
                <w:szCs w:val="18"/>
              </w:rPr>
              <w:t>N</w:t>
            </w:r>
          </w:p>
        </w:tc>
        <w:tc>
          <w:tcPr>
            <w:tcW w:w="990" w:type="dxa"/>
            <w:tcBorders>
              <w:bottom w:val="single" w:sz="2" w:space="0" w:color="808080" w:themeColor="background1" w:themeShade="80"/>
            </w:tcBorders>
            <w:hideMark/>
          </w:tcPr>
          <w:p w14:paraId="70FF8D41" w14:textId="44FAD2E5" w:rsidR="00EC4B52" w:rsidRPr="00834CDC" w:rsidRDefault="00EC4B52" w:rsidP="003058F5">
            <w:pPr>
              <w:pStyle w:val="NormalWeb"/>
              <w:rPr>
                <w:sz w:val="18"/>
                <w:szCs w:val="18"/>
              </w:rPr>
            </w:pPr>
            <w:r w:rsidRPr="00834CDC">
              <w:rPr>
                <w:sz w:val="18"/>
                <w:szCs w:val="18"/>
              </w:rPr>
              <w:t>Rate</w:t>
            </w:r>
            <w:r w:rsidR="00326AA0" w:rsidRPr="00834CDC">
              <w:rPr>
                <w:sz w:val="18"/>
                <w:szCs w:val="18"/>
              </w:rPr>
              <w:t xml:space="preserve"> </w:t>
            </w:r>
            <w:r w:rsidRPr="00834CDC">
              <w:rPr>
                <w:sz w:val="18"/>
                <w:szCs w:val="18"/>
                <w:vertAlign w:val="superscript"/>
              </w:rPr>
              <w:t>b</w:t>
            </w:r>
          </w:p>
        </w:tc>
        <w:tc>
          <w:tcPr>
            <w:tcW w:w="986" w:type="dxa"/>
            <w:tcBorders>
              <w:bottom w:val="single" w:sz="2" w:space="0" w:color="808080" w:themeColor="background1" w:themeShade="80"/>
            </w:tcBorders>
            <w:hideMark/>
          </w:tcPr>
          <w:p w14:paraId="16DAFD56" w14:textId="77777777" w:rsidR="00EC4B52" w:rsidRPr="00834CDC" w:rsidRDefault="00EC4B52" w:rsidP="003058F5">
            <w:pPr>
              <w:pStyle w:val="NormalWeb"/>
              <w:rPr>
                <w:sz w:val="18"/>
                <w:szCs w:val="18"/>
              </w:rPr>
            </w:pPr>
            <w:r w:rsidRPr="00834CDC">
              <w:rPr>
                <w:sz w:val="18"/>
                <w:szCs w:val="18"/>
              </w:rPr>
              <w:t>Rate ratio</w:t>
            </w:r>
          </w:p>
        </w:tc>
        <w:tc>
          <w:tcPr>
            <w:tcW w:w="1799" w:type="dxa"/>
            <w:tcBorders>
              <w:bottom w:val="single" w:sz="2" w:space="0" w:color="808080" w:themeColor="background1" w:themeShade="80"/>
            </w:tcBorders>
            <w:hideMark/>
          </w:tcPr>
          <w:p w14:paraId="6A35967E" w14:textId="77777777" w:rsidR="00EC4B52" w:rsidRPr="00834CDC" w:rsidRDefault="00EC4B52" w:rsidP="003058F5">
            <w:pPr>
              <w:pStyle w:val="NormalWeb"/>
              <w:rPr>
                <w:sz w:val="18"/>
                <w:szCs w:val="18"/>
              </w:rPr>
            </w:pPr>
            <w:proofErr w:type="gramStart"/>
            <w:r w:rsidRPr="00834CDC">
              <w:rPr>
                <w:sz w:val="18"/>
                <w:szCs w:val="18"/>
              </w:rPr>
              <w:t>95%</w:t>
            </w:r>
            <w:proofErr w:type="gramEnd"/>
            <w:r w:rsidRPr="00834CDC">
              <w:rPr>
                <w:sz w:val="18"/>
                <w:szCs w:val="18"/>
              </w:rPr>
              <w:t xml:space="preserve"> CI for rate ratio</w:t>
            </w:r>
          </w:p>
        </w:tc>
      </w:tr>
      <w:tr w:rsidR="00EC4B52" w:rsidRPr="00834CDC" w14:paraId="7ABF198D" w14:textId="77777777" w:rsidTr="00EC4B52">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066B1C" w14:textId="77777777" w:rsidR="00EC4B52" w:rsidRPr="00834CDC" w:rsidRDefault="00EC4B52" w:rsidP="003058F5">
            <w:pPr>
              <w:pStyle w:val="NormalWeb"/>
              <w:rPr>
                <w:sz w:val="18"/>
                <w:szCs w:val="18"/>
              </w:rPr>
            </w:pPr>
            <w:r w:rsidRPr="00834CDC">
              <w:rPr>
                <w:sz w:val="18"/>
                <w:szCs w:val="18"/>
              </w:rPr>
              <w:t>0–4</w:t>
            </w: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47B7D7" w14:textId="77777777" w:rsidR="00EC4B52" w:rsidRPr="00834CDC" w:rsidRDefault="00EC4B52" w:rsidP="003058F5">
            <w:pPr>
              <w:pStyle w:val="NormalWeb"/>
              <w:rPr>
                <w:sz w:val="18"/>
                <w:szCs w:val="18"/>
              </w:rPr>
            </w:pPr>
            <w:r w:rsidRPr="00834CDC">
              <w:rPr>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645C17" w14:textId="77777777" w:rsidR="00EC4B52" w:rsidRPr="00834CDC" w:rsidRDefault="00EC4B52" w:rsidP="003058F5">
            <w:pPr>
              <w:pStyle w:val="NormalWeb"/>
              <w:rPr>
                <w:sz w:val="18"/>
                <w:szCs w:val="18"/>
              </w:rPr>
            </w:pPr>
            <w:r w:rsidRPr="00834CDC">
              <w:rPr>
                <w:sz w:val="18"/>
                <w:szCs w:val="18"/>
              </w:rPr>
              <w:t>38</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2DC5E7" w14:textId="77777777" w:rsidR="00EC4B52" w:rsidRPr="00834CDC" w:rsidRDefault="00EC4B52" w:rsidP="003058F5">
            <w:pPr>
              <w:pStyle w:val="NormalWeb"/>
              <w:rPr>
                <w:sz w:val="18"/>
                <w:szCs w:val="18"/>
              </w:rPr>
            </w:pPr>
            <w:r w:rsidRPr="00834CDC">
              <w:rPr>
                <w:sz w:val="18"/>
                <w:szCs w:val="18"/>
              </w:rPr>
              <w:t>10.07</w:t>
            </w:r>
          </w:p>
        </w:tc>
        <w:tc>
          <w:tcPr>
            <w:tcW w:w="98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0E302C" w14:textId="77777777" w:rsidR="00EC4B52" w:rsidRPr="00834CDC" w:rsidRDefault="00EC4B52" w:rsidP="003058F5">
            <w:pPr>
              <w:pStyle w:val="NormalWeb"/>
              <w:rPr>
                <w:sz w:val="18"/>
                <w:szCs w:val="18"/>
              </w:rPr>
            </w:pPr>
            <w:r w:rsidRPr="00834CDC">
              <w:rPr>
                <w:sz w:val="18"/>
                <w:szCs w:val="18"/>
              </w:rPr>
              <w:t>9.0</w:t>
            </w:r>
          </w:p>
        </w:tc>
        <w:tc>
          <w:tcPr>
            <w:tcW w:w="179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5AC834" w14:textId="77777777" w:rsidR="00EC4B52" w:rsidRPr="00834CDC" w:rsidRDefault="00EC4B52" w:rsidP="003058F5">
            <w:pPr>
              <w:pStyle w:val="NormalWeb"/>
              <w:rPr>
                <w:sz w:val="18"/>
                <w:szCs w:val="18"/>
              </w:rPr>
            </w:pPr>
            <w:r w:rsidRPr="00834CDC">
              <w:rPr>
                <w:sz w:val="18"/>
                <w:szCs w:val="18"/>
              </w:rPr>
              <w:t>5.9–13.6</w:t>
            </w:r>
          </w:p>
        </w:tc>
      </w:tr>
      <w:tr w:rsidR="00EC4B52" w:rsidRPr="00834CDC" w14:paraId="4A63163F" w14:textId="77777777" w:rsidTr="00EC4B52">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442BF0" w14:textId="77777777" w:rsidR="00EC4B52" w:rsidRPr="00834CDC" w:rsidRDefault="00EC4B52" w:rsidP="003058F5">
            <w:pPr>
              <w:rPr>
                <w:sz w:val="18"/>
                <w:szCs w:val="18"/>
              </w:rPr>
            </w:pP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565774" w14:textId="77777777" w:rsidR="00EC4B52" w:rsidRPr="00834CDC" w:rsidRDefault="00EC4B52" w:rsidP="003058F5">
            <w:pPr>
              <w:pStyle w:val="NormalWeb"/>
              <w:rPr>
                <w:sz w:val="18"/>
                <w:szCs w:val="18"/>
              </w:rPr>
            </w:pPr>
            <w:r w:rsidRPr="00834CDC">
              <w:rPr>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65B8A2" w14:textId="77777777" w:rsidR="00EC4B52" w:rsidRPr="00834CDC" w:rsidRDefault="00EC4B52" w:rsidP="003058F5">
            <w:pPr>
              <w:pStyle w:val="NormalWeb"/>
              <w:rPr>
                <w:sz w:val="18"/>
                <w:szCs w:val="18"/>
              </w:rPr>
            </w:pPr>
            <w:r w:rsidRPr="00834CDC">
              <w:rPr>
                <w:sz w:val="18"/>
                <w:szCs w:val="18"/>
              </w:rPr>
              <w:t>66</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69013C" w14:textId="77777777" w:rsidR="00EC4B52" w:rsidRPr="00834CDC" w:rsidRDefault="00EC4B52" w:rsidP="003058F5">
            <w:pPr>
              <w:pStyle w:val="NormalWeb"/>
              <w:rPr>
                <w:sz w:val="18"/>
                <w:szCs w:val="18"/>
              </w:rPr>
            </w:pPr>
            <w:r w:rsidRPr="00834CDC">
              <w:rPr>
                <w:sz w:val="18"/>
                <w:szCs w:val="18"/>
              </w:rPr>
              <w:t>1.12</w:t>
            </w:r>
          </w:p>
        </w:tc>
        <w:tc>
          <w:tcPr>
            <w:tcW w:w="98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61213A" w14:textId="77777777" w:rsidR="00EC4B52" w:rsidRPr="00834CDC" w:rsidRDefault="00EC4B52" w:rsidP="003058F5">
            <w:pPr>
              <w:rPr>
                <w:sz w:val="18"/>
                <w:szCs w:val="18"/>
              </w:rPr>
            </w:pPr>
          </w:p>
        </w:tc>
        <w:tc>
          <w:tcPr>
            <w:tcW w:w="179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44A462" w14:textId="77777777" w:rsidR="00EC4B52" w:rsidRPr="00834CDC" w:rsidRDefault="00EC4B52" w:rsidP="003058F5">
            <w:pPr>
              <w:rPr>
                <w:sz w:val="18"/>
                <w:szCs w:val="18"/>
              </w:rPr>
            </w:pPr>
          </w:p>
        </w:tc>
      </w:tr>
      <w:tr w:rsidR="00EC4B52" w:rsidRPr="00834CDC" w14:paraId="35C69E0F" w14:textId="77777777" w:rsidTr="00EC4B52">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595623" w14:textId="77777777" w:rsidR="00EC4B52" w:rsidRPr="00834CDC" w:rsidRDefault="00EC4B52" w:rsidP="003058F5">
            <w:pPr>
              <w:pStyle w:val="NormalWeb"/>
              <w:rPr>
                <w:sz w:val="18"/>
                <w:szCs w:val="18"/>
              </w:rPr>
            </w:pPr>
            <w:r w:rsidRPr="00834CDC">
              <w:rPr>
                <w:sz w:val="18"/>
                <w:szCs w:val="18"/>
              </w:rPr>
              <w:t>5–14</w:t>
            </w: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4A6218" w14:textId="77777777" w:rsidR="00EC4B52" w:rsidRPr="00834CDC" w:rsidRDefault="00EC4B52" w:rsidP="003058F5">
            <w:pPr>
              <w:pStyle w:val="NormalWeb"/>
              <w:rPr>
                <w:sz w:val="18"/>
                <w:szCs w:val="18"/>
              </w:rPr>
            </w:pPr>
            <w:r w:rsidRPr="00834CDC">
              <w:rPr>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A20358" w14:textId="77777777" w:rsidR="00EC4B52" w:rsidRPr="00834CDC" w:rsidRDefault="00EC4B52" w:rsidP="003058F5">
            <w:pPr>
              <w:pStyle w:val="NormalWeb"/>
              <w:rPr>
                <w:sz w:val="18"/>
                <w:szCs w:val="18"/>
              </w:rPr>
            </w:pPr>
            <w:r w:rsidRPr="00834CDC">
              <w:rPr>
                <w:sz w:val="18"/>
                <w:szCs w:val="18"/>
              </w:rPr>
              <w:t>426</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670B87" w14:textId="77777777" w:rsidR="00EC4B52" w:rsidRPr="00834CDC" w:rsidRDefault="00EC4B52" w:rsidP="003058F5">
            <w:pPr>
              <w:pStyle w:val="NormalWeb"/>
              <w:rPr>
                <w:sz w:val="18"/>
                <w:szCs w:val="18"/>
              </w:rPr>
            </w:pPr>
            <w:r w:rsidRPr="00834CDC">
              <w:rPr>
                <w:sz w:val="18"/>
                <w:szCs w:val="18"/>
              </w:rPr>
              <w:t>58.21</w:t>
            </w:r>
          </w:p>
        </w:tc>
        <w:tc>
          <w:tcPr>
            <w:tcW w:w="98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321B9A" w14:textId="77777777" w:rsidR="00EC4B52" w:rsidRPr="00834CDC" w:rsidRDefault="00EC4B52" w:rsidP="003058F5">
            <w:pPr>
              <w:pStyle w:val="NormalWeb"/>
              <w:rPr>
                <w:sz w:val="18"/>
                <w:szCs w:val="18"/>
              </w:rPr>
            </w:pPr>
            <w:r w:rsidRPr="00834CDC">
              <w:rPr>
                <w:sz w:val="18"/>
                <w:szCs w:val="18"/>
              </w:rPr>
              <w:t>62.1</w:t>
            </w:r>
          </w:p>
        </w:tc>
        <w:tc>
          <w:tcPr>
            <w:tcW w:w="179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59A974" w14:textId="77777777" w:rsidR="00EC4B52" w:rsidRPr="00834CDC" w:rsidRDefault="00EC4B52" w:rsidP="003058F5">
            <w:pPr>
              <w:pStyle w:val="NormalWeb"/>
              <w:rPr>
                <w:sz w:val="18"/>
                <w:szCs w:val="18"/>
              </w:rPr>
            </w:pPr>
            <w:r w:rsidRPr="00834CDC">
              <w:rPr>
                <w:sz w:val="18"/>
                <w:szCs w:val="18"/>
              </w:rPr>
              <w:t>50.2–77.3</w:t>
            </w:r>
          </w:p>
        </w:tc>
      </w:tr>
      <w:tr w:rsidR="00EC4B52" w:rsidRPr="00834CDC" w14:paraId="5377F74A" w14:textId="77777777" w:rsidTr="00EC4B52">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AA73E7" w14:textId="77777777" w:rsidR="00EC4B52" w:rsidRPr="00834CDC" w:rsidRDefault="00EC4B52" w:rsidP="003058F5">
            <w:pPr>
              <w:rPr>
                <w:sz w:val="18"/>
                <w:szCs w:val="18"/>
              </w:rPr>
            </w:pP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2D1F36" w14:textId="77777777" w:rsidR="00EC4B52" w:rsidRPr="00834CDC" w:rsidRDefault="00EC4B52" w:rsidP="003058F5">
            <w:pPr>
              <w:pStyle w:val="NormalWeb"/>
              <w:rPr>
                <w:sz w:val="18"/>
                <w:szCs w:val="18"/>
              </w:rPr>
            </w:pPr>
            <w:r w:rsidRPr="00834CDC">
              <w:rPr>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134099" w14:textId="77777777" w:rsidR="00EC4B52" w:rsidRPr="00834CDC" w:rsidRDefault="00EC4B52" w:rsidP="003058F5">
            <w:pPr>
              <w:pStyle w:val="NormalWeb"/>
              <w:rPr>
                <w:sz w:val="18"/>
                <w:szCs w:val="18"/>
              </w:rPr>
            </w:pPr>
            <w:r w:rsidRPr="00834CDC">
              <w:rPr>
                <w:sz w:val="18"/>
                <w:szCs w:val="18"/>
              </w:rPr>
              <w:t>109</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A1E93A" w14:textId="77777777" w:rsidR="00EC4B52" w:rsidRPr="00834CDC" w:rsidRDefault="00EC4B52" w:rsidP="003058F5">
            <w:pPr>
              <w:pStyle w:val="NormalWeb"/>
              <w:rPr>
                <w:sz w:val="18"/>
                <w:szCs w:val="18"/>
              </w:rPr>
            </w:pPr>
            <w:r w:rsidRPr="00834CDC">
              <w:rPr>
                <w:sz w:val="18"/>
                <w:szCs w:val="18"/>
              </w:rPr>
              <w:t>0.94</w:t>
            </w:r>
          </w:p>
        </w:tc>
        <w:tc>
          <w:tcPr>
            <w:tcW w:w="98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7D2007" w14:textId="77777777" w:rsidR="00EC4B52" w:rsidRPr="00834CDC" w:rsidRDefault="00EC4B52" w:rsidP="003058F5">
            <w:pPr>
              <w:rPr>
                <w:sz w:val="18"/>
                <w:szCs w:val="18"/>
              </w:rPr>
            </w:pPr>
          </w:p>
        </w:tc>
        <w:tc>
          <w:tcPr>
            <w:tcW w:w="179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4281BD" w14:textId="77777777" w:rsidR="00EC4B52" w:rsidRPr="00834CDC" w:rsidRDefault="00EC4B52" w:rsidP="003058F5">
            <w:pPr>
              <w:rPr>
                <w:sz w:val="18"/>
                <w:szCs w:val="18"/>
              </w:rPr>
            </w:pPr>
          </w:p>
        </w:tc>
      </w:tr>
      <w:tr w:rsidR="00EC4B52" w:rsidRPr="00834CDC" w14:paraId="3DD65098" w14:textId="77777777" w:rsidTr="00EC4B52">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56C499" w14:textId="77777777" w:rsidR="00EC4B52" w:rsidRPr="00834CDC" w:rsidRDefault="00EC4B52" w:rsidP="003058F5">
            <w:pPr>
              <w:pStyle w:val="NormalWeb"/>
              <w:rPr>
                <w:sz w:val="18"/>
                <w:szCs w:val="18"/>
              </w:rPr>
            </w:pPr>
            <w:r w:rsidRPr="00834CDC">
              <w:rPr>
                <w:sz w:val="18"/>
                <w:szCs w:val="18"/>
              </w:rPr>
              <w:t>15–24</w:t>
            </w: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C0FEF1" w14:textId="77777777" w:rsidR="00EC4B52" w:rsidRPr="00834CDC" w:rsidRDefault="00EC4B52" w:rsidP="003058F5">
            <w:pPr>
              <w:pStyle w:val="NormalWeb"/>
              <w:rPr>
                <w:sz w:val="18"/>
                <w:szCs w:val="18"/>
              </w:rPr>
            </w:pPr>
            <w:r w:rsidRPr="00834CDC">
              <w:rPr>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0149D3" w14:textId="77777777" w:rsidR="00EC4B52" w:rsidRPr="00834CDC" w:rsidRDefault="00EC4B52" w:rsidP="003058F5">
            <w:pPr>
              <w:pStyle w:val="NormalWeb"/>
              <w:rPr>
                <w:sz w:val="18"/>
                <w:szCs w:val="18"/>
              </w:rPr>
            </w:pPr>
            <w:r w:rsidRPr="00834CDC">
              <w:rPr>
                <w:sz w:val="18"/>
                <w:szCs w:val="18"/>
              </w:rPr>
              <w:t>465</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7A2188" w14:textId="77777777" w:rsidR="00EC4B52" w:rsidRPr="00834CDC" w:rsidRDefault="00EC4B52" w:rsidP="003058F5">
            <w:pPr>
              <w:pStyle w:val="NormalWeb"/>
              <w:rPr>
                <w:sz w:val="18"/>
                <w:szCs w:val="18"/>
              </w:rPr>
            </w:pPr>
            <w:r w:rsidRPr="00834CDC">
              <w:rPr>
                <w:sz w:val="18"/>
                <w:szCs w:val="18"/>
              </w:rPr>
              <w:t>73.05</w:t>
            </w:r>
          </w:p>
        </w:tc>
        <w:tc>
          <w:tcPr>
            <w:tcW w:w="98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653E3E" w14:textId="77777777" w:rsidR="00EC4B52" w:rsidRPr="00834CDC" w:rsidRDefault="00EC4B52" w:rsidP="003058F5">
            <w:pPr>
              <w:pStyle w:val="NormalWeb"/>
              <w:rPr>
                <w:sz w:val="18"/>
                <w:szCs w:val="18"/>
              </w:rPr>
            </w:pPr>
            <w:r w:rsidRPr="00834CDC">
              <w:rPr>
                <w:sz w:val="18"/>
                <w:szCs w:val="18"/>
              </w:rPr>
              <w:t>48.8</w:t>
            </w:r>
          </w:p>
        </w:tc>
        <w:tc>
          <w:tcPr>
            <w:tcW w:w="179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119036" w14:textId="77777777" w:rsidR="00EC4B52" w:rsidRPr="00834CDC" w:rsidRDefault="00EC4B52" w:rsidP="003058F5">
            <w:pPr>
              <w:pStyle w:val="NormalWeb"/>
              <w:rPr>
                <w:sz w:val="18"/>
                <w:szCs w:val="18"/>
              </w:rPr>
            </w:pPr>
            <w:r w:rsidRPr="00834CDC">
              <w:rPr>
                <w:sz w:val="18"/>
                <w:szCs w:val="18"/>
              </w:rPr>
              <w:t>41.0–58.2</w:t>
            </w:r>
          </w:p>
        </w:tc>
      </w:tr>
      <w:tr w:rsidR="00EC4B52" w:rsidRPr="00834CDC" w14:paraId="37ACB97F" w14:textId="77777777" w:rsidTr="00EC4B52">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DE9D20" w14:textId="77777777" w:rsidR="00EC4B52" w:rsidRPr="00834CDC" w:rsidRDefault="00EC4B52" w:rsidP="003058F5">
            <w:pPr>
              <w:rPr>
                <w:sz w:val="18"/>
                <w:szCs w:val="18"/>
              </w:rPr>
            </w:pP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3EC086" w14:textId="77777777" w:rsidR="00EC4B52" w:rsidRPr="00834CDC" w:rsidRDefault="00EC4B52" w:rsidP="003058F5">
            <w:pPr>
              <w:pStyle w:val="NormalWeb"/>
              <w:rPr>
                <w:sz w:val="18"/>
                <w:szCs w:val="18"/>
              </w:rPr>
            </w:pPr>
            <w:r w:rsidRPr="00834CDC">
              <w:rPr>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6C9DBC" w14:textId="77777777" w:rsidR="00EC4B52" w:rsidRPr="00834CDC" w:rsidRDefault="00EC4B52" w:rsidP="003058F5">
            <w:pPr>
              <w:pStyle w:val="NormalWeb"/>
              <w:rPr>
                <w:sz w:val="18"/>
                <w:szCs w:val="18"/>
              </w:rPr>
            </w:pPr>
            <w:r w:rsidRPr="00834CDC">
              <w:rPr>
                <w:sz w:val="18"/>
                <w:szCs w:val="18"/>
              </w:rPr>
              <w:t>183</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EC12F4" w14:textId="77777777" w:rsidR="00EC4B52" w:rsidRPr="00834CDC" w:rsidRDefault="00EC4B52" w:rsidP="003058F5">
            <w:pPr>
              <w:pStyle w:val="NormalWeb"/>
              <w:rPr>
                <w:sz w:val="18"/>
                <w:szCs w:val="18"/>
              </w:rPr>
            </w:pPr>
            <w:r w:rsidRPr="00834CDC">
              <w:rPr>
                <w:sz w:val="18"/>
                <w:szCs w:val="18"/>
              </w:rPr>
              <w:t>1.50</w:t>
            </w:r>
          </w:p>
        </w:tc>
        <w:tc>
          <w:tcPr>
            <w:tcW w:w="98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A01CCA" w14:textId="77777777" w:rsidR="00EC4B52" w:rsidRPr="00834CDC" w:rsidRDefault="00EC4B52" w:rsidP="003058F5">
            <w:pPr>
              <w:rPr>
                <w:sz w:val="18"/>
                <w:szCs w:val="18"/>
              </w:rPr>
            </w:pPr>
          </w:p>
        </w:tc>
        <w:tc>
          <w:tcPr>
            <w:tcW w:w="179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7D5EDA" w14:textId="77777777" w:rsidR="00EC4B52" w:rsidRPr="00834CDC" w:rsidRDefault="00EC4B52" w:rsidP="003058F5">
            <w:pPr>
              <w:rPr>
                <w:sz w:val="18"/>
                <w:szCs w:val="18"/>
              </w:rPr>
            </w:pPr>
          </w:p>
        </w:tc>
      </w:tr>
      <w:tr w:rsidR="00EC4B52" w:rsidRPr="00834CDC" w14:paraId="50C1593E" w14:textId="77777777" w:rsidTr="00EC4B52">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5510FA" w14:textId="77777777" w:rsidR="00EC4B52" w:rsidRPr="00834CDC" w:rsidRDefault="00EC4B52" w:rsidP="003058F5">
            <w:pPr>
              <w:pStyle w:val="NormalWeb"/>
              <w:rPr>
                <w:sz w:val="18"/>
                <w:szCs w:val="18"/>
              </w:rPr>
            </w:pPr>
            <w:r w:rsidRPr="00834CDC">
              <w:rPr>
                <w:sz w:val="18"/>
                <w:szCs w:val="18"/>
              </w:rPr>
              <w:t>25–49</w:t>
            </w: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7950D6" w14:textId="77777777" w:rsidR="00EC4B52" w:rsidRPr="00834CDC" w:rsidRDefault="00EC4B52" w:rsidP="003058F5">
            <w:pPr>
              <w:pStyle w:val="NormalWeb"/>
              <w:rPr>
                <w:sz w:val="18"/>
                <w:szCs w:val="18"/>
              </w:rPr>
            </w:pPr>
            <w:r w:rsidRPr="00834CDC">
              <w:rPr>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1F1210" w14:textId="77777777" w:rsidR="00EC4B52" w:rsidRPr="00834CDC" w:rsidRDefault="00EC4B52" w:rsidP="003058F5">
            <w:pPr>
              <w:pStyle w:val="NormalWeb"/>
              <w:rPr>
                <w:sz w:val="18"/>
                <w:szCs w:val="18"/>
              </w:rPr>
            </w:pPr>
            <w:r w:rsidRPr="00834CDC">
              <w:rPr>
                <w:sz w:val="18"/>
                <w:szCs w:val="18"/>
              </w:rPr>
              <w:t>500</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04AE14" w14:textId="77777777" w:rsidR="00EC4B52" w:rsidRPr="00834CDC" w:rsidRDefault="00EC4B52" w:rsidP="003058F5">
            <w:pPr>
              <w:pStyle w:val="NormalWeb"/>
              <w:rPr>
                <w:sz w:val="18"/>
                <w:szCs w:val="18"/>
              </w:rPr>
            </w:pPr>
            <w:r w:rsidRPr="00834CDC">
              <w:rPr>
                <w:sz w:val="18"/>
                <w:szCs w:val="18"/>
              </w:rPr>
              <w:t>49.36</w:t>
            </w:r>
          </w:p>
        </w:tc>
        <w:tc>
          <w:tcPr>
            <w:tcW w:w="98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970CEF" w14:textId="77777777" w:rsidR="00EC4B52" w:rsidRPr="00834CDC" w:rsidRDefault="00EC4B52" w:rsidP="003058F5">
            <w:pPr>
              <w:pStyle w:val="NormalWeb"/>
              <w:rPr>
                <w:sz w:val="18"/>
                <w:szCs w:val="18"/>
              </w:rPr>
            </w:pPr>
            <w:r w:rsidRPr="00834CDC">
              <w:rPr>
                <w:sz w:val="18"/>
                <w:szCs w:val="18"/>
              </w:rPr>
              <w:t>40.4</w:t>
            </w:r>
          </w:p>
        </w:tc>
        <w:tc>
          <w:tcPr>
            <w:tcW w:w="179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D7F43B" w14:textId="77777777" w:rsidR="00EC4B52" w:rsidRPr="00834CDC" w:rsidRDefault="00EC4B52" w:rsidP="003058F5">
            <w:pPr>
              <w:pStyle w:val="NormalWeb"/>
              <w:rPr>
                <w:sz w:val="18"/>
                <w:szCs w:val="18"/>
              </w:rPr>
            </w:pPr>
            <w:r w:rsidRPr="00834CDC">
              <w:rPr>
                <w:sz w:val="18"/>
                <w:szCs w:val="18"/>
              </w:rPr>
              <w:t>35.4–46.1</w:t>
            </w:r>
          </w:p>
        </w:tc>
      </w:tr>
      <w:tr w:rsidR="00EC4B52" w:rsidRPr="00834CDC" w14:paraId="065B9314" w14:textId="77777777" w:rsidTr="00EC4B52">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898940" w14:textId="77777777" w:rsidR="00EC4B52" w:rsidRPr="00834CDC" w:rsidRDefault="00EC4B52" w:rsidP="003058F5">
            <w:pPr>
              <w:rPr>
                <w:sz w:val="18"/>
                <w:szCs w:val="18"/>
              </w:rPr>
            </w:pP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631B0A" w14:textId="77777777" w:rsidR="00EC4B52" w:rsidRPr="00834CDC" w:rsidRDefault="00EC4B52" w:rsidP="003058F5">
            <w:pPr>
              <w:pStyle w:val="NormalWeb"/>
              <w:rPr>
                <w:sz w:val="18"/>
                <w:szCs w:val="18"/>
              </w:rPr>
            </w:pPr>
            <w:r w:rsidRPr="00834CDC">
              <w:rPr>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1130B7" w14:textId="77777777" w:rsidR="00EC4B52" w:rsidRPr="00834CDC" w:rsidRDefault="00EC4B52" w:rsidP="003058F5">
            <w:pPr>
              <w:pStyle w:val="NormalWeb"/>
              <w:rPr>
                <w:sz w:val="18"/>
                <w:szCs w:val="18"/>
              </w:rPr>
            </w:pPr>
            <w:r w:rsidRPr="00834CDC">
              <w:rPr>
                <w:sz w:val="18"/>
                <w:szCs w:val="18"/>
              </w:rPr>
              <w:t>411</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86AD68" w14:textId="77777777" w:rsidR="00EC4B52" w:rsidRPr="00834CDC" w:rsidRDefault="00EC4B52" w:rsidP="003058F5">
            <w:pPr>
              <w:pStyle w:val="NormalWeb"/>
              <w:rPr>
                <w:sz w:val="18"/>
                <w:szCs w:val="18"/>
              </w:rPr>
            </w:pPr>
            <w:r w:rsidRPr="00834CDC">
              <w:rPr>
                <w:sz w:val="18"/>
                <w:szCs w:val="18"/>
              </w:rPr>
              <w:t>1.22</w:t>
            </w:r>
          </w:p>
        </w:tc>
        <w:tc>
          <w:tcPr>
            <w:tcW w:w="98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B728DA" w14:textId="77777777" w:rsidR="00EC4B52" w:rsidRPr="00834CDC" w:rsidRDefault="00EC4B52" w:rsidP="003058F5">
            <w:pPr>
              <w:rPr>
                <w:sz w:val="18"/>
                <w:szCs w:val="18"/>
              </w:rPr>
            </w:pPr>
          </w:p>
        </w:tc>
        <w:tc>
          <w:tcPr>
            <w:tcW w:w="179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A70445" w14:textId="77777777" w:rsidR="00EC4B52" w:rsidRPr="00834CDC" w:rsidRDefault="00EC4B52" w:rsidP="003058F5">
            <w:pPr>
              <w:rPr>
                <w:sz w:val="18"/>
                <w:szCs w:val="18"/>
              </w:rPr>
            </w:pPr>
          </w:p>
        </w:tc>
      </w:tr>
      <w:tr w:rsidR="00EC4B52" w:rsidRPr="00834CDC" w14:paraId="7585C540" w14:textId="77777777" w:rsidTr="00EC4B52">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2608BD" w14:textId="77777777" w:rsidR="00EC4B52" w:rsidRPr="00834CDC" w:rsidRDefault="00EC4B52" w:rsidP="003058F5">
            <w:pPr>
              <w:pStyle w:val="NormalWeb"/>
              <w:rPr>
                <w:sz w:val="18"/>
                <w:szCs w:val="18"/>
              </w:rPr>
            </w:pPr>
            <w:r w:rsidRPr="00834CDC">
              <w:rPr>
                <w:sz w:val="18"/>
                <w:szCs w:val="18"/>
              </w:rPr>
              <w:t>50+</w:t>
            </w: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29DD0E" w14:textId="77777777" w:rsidR="00EC4B52" w:rsidRPr="00834CDC" w:rsidRDefault="00EC4B52" w:rsidP="003058F5">
            <w:pPr>
              <w:pStyle w:val="NormalWeb"/>
              <w:rPr>
                <w:sz w:val="18"/>
                <w:szCs w:val="18"/>
              </w:rPr>
            </w:pPr>
            <w:r w:rsidRPr="00834CDC">
              <w:rPr>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1223E0" w14:textId="77777777" w:rsidR="00EC4B52" w:rsidRPr="00834CDC" w:rsidRDefault="00EC4B52" w:rsidP="003058F5">
            <w:pPr>
              <w:pStyle w:val="NormalWeb"/>
              <w:rPr>
                <w:sz w:val="18"/>
                <w:szCs w:val="18"/>
              </w:rPr>
            </w:pPr>
            <w:r w:rsidRPr="00834CDC">
              <w:rPr>
                <w:sz w:val="18"/>
                <w:szCs w:val="18"/>
              </w:rPr>
              <w:t>37</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F72547" w14:textId="77777777" w:rsidR="00EC4B52" w:rsidRPr="00834CDC" w:rsidRDefault="00EC4B52" w:rsidP="003058F5">
            <w:pPr>
              <w:pStyle w:val="NormalWeb"/>
              <w:rPr>
                <w:sz w:val="18"/>
                <w:szCs w:val="18"/>
              </w:rPr>
            </w:pPr>
            <w:r w:rsidRPr="00834CDC">
              <w:rPr>
                <w:sz w:val="18"/>
                <w:szCs w:val="18"/>
              </w:rPr>
              <w:t>6.96</w:t>
            </w:r>
          </w:p>
        </w:tc>
        <w:tc>
          <w:tcPr>
            <w:tcW w:w="98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5DE857" w14:textId="77777777" w:rsidR="00EC4B52" w:rsidRPr="00834CDC" w:rsidRDefault="00EC4B52" w:rsidP="003058F5">
            <w:pPr>
              <w:pStyle w:val="NormalWeb"/>
              <w:rPr>
                <w:sz w:val="18"/>
                <w:szCs w:val="18"/>
              </w:rPr>
            </w:pPr>
            <w:r w:rsidRPr="00834CDC">
              <w:rPr>
                <w:sz w:val="18"/>
                <w:szCs w:val="18"/>
              </w:rPr>
              <w:t>12.1</w:t>
            </w:r>
          </w:p>
        </w:tc>
        <w:tc>
          <w:tcPr>
            <w:tcW w:w="179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A71964" w14:textId="77777777" w:rsidR="00EC4B52" w:rsidRPr="00834CDC" w:rsidRDefault="00EC4B52" w:rsidP="003058F5">
            <w:pPr>
              <w:pStyle w:val="NormalWeb"/>
              <w:rPr>
                <w:sz w:val="18"/>
                <w:szCs w:val="18"/>
              </w:rPr>
            </w:pPr>
            <w:r w:rsidRPr="00834CDC">
              <w:rPr>
                <w:sz w:val="18"/>
                <w:szCs w:val="18"/>
              </w:rPr>
              <w:t>8.3–17.3</w:t>
            </w:r>
          </w:p>
        </w:tc>
      </w:tr>
      <w:tr w:rsidR="00EC4B52" w:rsidRPr="00834CDC" w14:paraId="6D02F1D7" w14:textId="77777777" w:rsidTr="00EC4B52">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ED23BC" w14:textId="77777777" w:rsidR="00EC4B52" w:rsidRPr="00834CDC" w:rsidRDefault="00EC4B52" w:rsidP="003058F5">
            <w:pPr>
              <w:rPr>
                <w:sz w:val="18"/>
                <w:szCs w:val="18"/>
              </w:rPr>
            </w:pP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80A3F6" w14:textId="77777777" w:rsidR="00EC4B52" w:rsidRPr="00834CDC" w:rsidRDefault="00EC4B52" w:rsidP="003058F5">
            <w:pPr>
              <w:pStyle w:val="NormalWeb"/>
              <w:rPr>
                <w:sz w:val="18"/>
                <w:szCs w:val="18"/>
              </w:rPr>
            </w:pPr>
            <w:r w:rsidRPr="00834CDC">
              <w:rPr>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1EE4D8" w14:textId="77777777" w:rsidR="00EC4B52" w:rsidRPr="00834CDC" w:rsidRDefault="00EC4B52" w:rsidP="003058F5">
            <w:pPr>
              <w:pStyle w:val="NormalWeb"/>
              <w:rPr>
                <w:sz w:val="18"/>
                <w:szCs w:val="18"/>
              </w:rPr>
            </w:pPr>
            <w:r w:rsidRPr="00834CDC">
              <w:rPr>
                <w:sz w:val="18"/>
                <w:szCs w:val="18"/>
              </w:rPr>
              <w:t>187</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3DE917" w14:textId="77777777" w:rsidR="00EC4B52" w:rsidRPr="00834CDC" w:rsidRDefault="00EC4B52" w:rsidP="003058F5">
            <w:pPr>
              <w:pStyle w:val="NormalWeb"/>
              <w:rPr>
                <w:sz w:val="18"/>
                <w:szCs w:val="18"/>
              </w:rPr>
            </w:pPr>
            <w:r w:rsidRPr="00834CDC">
              <w:rPr>
                <w:sz w:val="18"/>
                <w:szCs w:val="18"/>
              </w:rPr>
              <w:t>0.58</w:t>
            </w:r>
          </w:p>
        </w:tc>
        <w:tc>
          <w:tcPr>
            <w:tcW w:w="98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240128" w14:textId="77777777" w:rsidR="00EC4B52" w:rsidRPr="00834CDC" w:rsidRDefault="00EC4B52" w:rsidP="003058F5">
            <w:pPr>
              <w:rPr>
                <w:sz w:val="18"/>
                <w:szCs w:val="18"/>
              </w:rPr>
            </w:pPr>
          </w:p>
        </w:tc>
        <w:tc>
          <w:tcPr>
            <w:tcW w:w="179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4D214B" w14:textId="77777777" w:rsidR="00EC4B52" w:rsidRPr="00834CDC" w:rsidRDefault="00EC4B52" w:rsidP="003058F5">
            <w:pPr>
              <w:rPr>
                <w:sz w:val="18"/>
                <w:szCs w:val="18"/>
              </w:rPr>
            </w:pPr>
          </w:p>
        </w:tc>
      </w:tr>
      <w:tr w:rsidR="00EC4B52" w:rsidRPr="00834CDC" w14:paraId="18CE2E43" w14:textId="77777777" w:rsidTr="00B00666">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504BCC5" w14:textId="01FE2964" w:rsidR="00EC4B52" w:rsidRPr="00834CDC" w:rsidRDefault="00EC4B52" w:rsidP="003058F5">
            <w:pPr>
              <w:pStyle w:val="NormalWeb"/>
              <w:rPr>
                <w:b/>
                <w:bCs/>
                <w:sz w:val="18"/>
                <w:szCs w:val="18"/>
              </w:rPr>
            </w:pPr>
            <w:r w:rsidRPr="00834CDC">
              <w:rPr>
                <w:b/>
                <w:bCs/>
                <w:sz w:val="18"/>
                <w:szCs w:val="18"/>
              </w:rPr>
              <w:t>All ages</w:t>
            </w:r>
            <w:r w:rsidR="00326AA0" w:rsidRPr="00834CDC">
              <w:rPr>
                <w:b/>
                <w:bCs/>
                <w:sz w:val="18"/>
                <w:szCs w:val="18"/>
              </w:rPr>
              <w:t xml:space="preserve"> </w:t>
            </w:r>
            <w:r w:rsidRPr="00834CDC">
              <w:rPr>
                <w:b/>
                <w:bCs/>
                <w:sz w:val="18"/>
                <w:szCs w:val="18"/>
                <w:vertAlign w:val="superscript"/>
              </w:rPr>
              <w:t>c</w:t>
            </w: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1CA8830" w14:textId="77777777" w:rsidR="00EC4B52" w:rsidRPr="00834CDC" w:rsidRDefault="00EC4B52" w:rsidP="003058F5">
            <w:pPr>
              <w:pStyle w:val="NormalWeb"/>
              <w:rPr>
                <w:b/>
                <w:bCs/>
                <w:sz w:val="18"/>
                <w:szCs w:val="18"/>
              </w:rPr>
            </w:pPr>
            <w:r w:rsidRPr="00834CDC">
              <w:rPr>
                <w:b/>
                <w:bCs/>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1D7833D" w14:textId="77777777" w:rsidR="00EC4B52" w:rsidRPr="00834CDC" w:rsidRDefault="00EC4B52" w:rsidP="003058F5">
            <w:pPr>
              <w:pStyle w:val="NormalWeb"/>
              <w:rPr>
                <w:b/>
                <w:bCs/>
                <w:sz w:val="18"/>
                <w:szCs w:val="18"/>
              </w:rPr>
            </w:pPr>
            <w:r w:rsidRPr="00834CDC">
              <w:rPr>
                <w:b/>
                <w:bCs/>
                <w:sz w:val="18"/>
                <w:szCs w:val="18"/>
              </w:rPr>
              <w:t>1,466</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3D280EC" w14:textId="77777777" w:rsidR="00EC4B52" w:rsidRPr="00834CDC" w:rsidRDefault="00EC4B52" w:rsidP="003058F5">
            <w:pPr>
              <w:pStyle w:val="NormalWeb"/>
              <w:rPr>
                <w:b/>
                <w:bCs/>
                <w:sz w:val="18"/>
                <w:szCs w:val="18"/>
              </w:rPr>
            </w:pPr>
            <w:r w:rsidRPr="00834CDC">
              <w:rPr>
                <w:b/>
                <w:bCs/>
                <w:sz w:val="18"/>
                <w:szCs w:val="18"/>
              </w:rPr>
              <w:t>36.98</w:t>
            </w:r>
          </w:p>
        </w:tc>
        <w:tc>
          <w:tcPr>
            <w:tcW w:w="98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DA89556" w14:textId="77777777" w:rsidR="00EC4B52" w:rsidRPr="00834CDC" w:rsidRDefault="00EC4B52" w:rsidP="003058F5">
            <w:pPr>
              <w:pStyle w:val="NormalWeb"/>
              <w:rPr>
                <w:b/>
                <w:bCs/>
                <w:sz w:val="18"/>
                <w:szCs w:val="18"/>
              </w:rPr>
            </w:pPr>
            <w:r w:rsidRPr="00834CDC">
              <w:rPr>
                <w:b/>
                <w:bCs/>
                <w:sz w:val="18"/>
                <w:szCs w:val="18"/>
              </w:rPr>
              <w:t>36.9</w:t>
            </w:r>
          </w:p>
        </w:tc>
        <w:tc>
          <w:tcPr>
            <w:tcW w:w="1799"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775AF2E" w14:textId="77777777" w:rsidR="00EC4B52" w:rsidRPr="00834CDC" w:rsidRDefault="00EC4B52" w:rsidP="003058F5">
            <w:pPr>
              <w:pStyle w:val="NormalWeb"/>
              <w:rPr>
                <w:b/>
                <w:bCs/>
                <w:sz w:val="18"/>
                <w:szCs w:val="18"/>
              </w:rPr>
            </w:pPr>
            <w:r w:rsidRPr="00834CDC">
              <w:rPr>
                <w:b/>
                <w:bCs/>
                <w:sz w:val="18"/>
                <w:szCs w:val="18"/>
              </w:rPr>
              <w:t>33.9–40.2</w:t>
            </w:r>
          </w:p>
        </w:tc>
      </w:tr>
      <w:tr w:rsidR="00EC4B52" w:rsidRPr="00834CDC" w14:paraId="4FB03A31" w14:textId="77777777" w:rsidTr="00B00666">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8D17CCF" w14:textId="77777777" w:rsidR="00EC4B52" w:rsidRPr="00834CDC" w:rsidRDefault="00EC4B52" w:rsidP="003058F5">
            <w:pPr>
              <w:rPr>
                <w:b/>
                <w:bCs/>
                <w:sz w:val="18"/>
                <w:szCs w:val="18"/>
              </w:rPr>
            </w:pPr>
          </w:p>
        </w:tc>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7ADDB14" w14:textId="77777777" w:rsidR="00EC4B52" w:rsidRPr="00834CDC" w:rsidRDefault="00EC4B52" w:rsidP="003058F5">
            <w:pPr>
              <w:pStyle w:val="NormalWeb"/>
              <w:rPr>
                <w:b/>
                <w:bCs/>
                <w:sz w:val="18"/>
                <w:szCs w:val="18"/>
              </w:rPr>
            </w:pPr>
            <w:r w:rsidRPr="00834CDC">
              <w:rPr>
                <w:b/>
                <w:bCs/>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3BA6BDA" w14:textId="77777777" w:rsidR="00EC4B52" w:rsidRPr="00834CDC" w:rsidRDefault="00EC4B52" w:rsidP="003058F5">
            <w:pPr>
              <w:pStyle w:val="NormalWeb"/>
              <w:rPr>
                <w:b/>
                <w:bCs/>
                <w:sz w:val="18"/>
                <w:szCs w:val="18"/>
              </w:rPr>
            </w:pPr>
            <w:r w:rsidRPr="00834CDC">
              <w:rPr>
                <w:b/>
                <w:bCs/>
                <w:sz w:val="18"/>
                <w:szCs w:val="18"/>
              </w:rPr>
              <w:t>956</w:t>
            </w:r>
          </w:p>
        </w:tc>
        <w:tc>
          <w:tcPr>
            <w:tcW w:w="9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1C85F03" w14:textId="77777777" w:rsidR="00EC4B52" w:rsidRPr="00834CDC" w:rsidRDefault="00EC4B52" w:rsidP="003058F5">
            <w:pPr>
              <w:pStyle w:val="NormalWeb"/>
              <w:rPr>
                <w:b/>
                <w:bCs/>
                <w:sz w:val="18"/>
                <w:szCs w:val="18"/>
              </w:rPr>
            </w:pPr>
            <w:r w:rsidRPr="00834CDC">
              <w:rPr>
                <w:b/>
                <w:bCs/>
                <w:sz w:val="18"/>
                <w:szCs w:val="18"/>
              </w:rPr>
              <w:t>1.00</w:t>
            </w:r>
          </w:p>
        </w:tc>
        <w:tc>
          <w:tcPr>
            <w:tcW w:w="98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EF1E79B" w14:textId="77777777" w:rsidR="00EC4B52" w:rsidRPr="00834CDC" w:rsidRDefault="00EC4B52" w:rsidP="003058F5">
            <w:pPr>
              <w:rPr>
                <w:b/>
                <w:bCs/>
                <w:sz w:val="18"/>
                <w:szCs w:val="18"/>
              </w:rPr>
            </w:pPr>
          </w:p>
        </w:tc>
        <w:tc>
          <w:tcPr>
            <w:tcW w:w="1799"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14F0645" w14:textId="77777777" w:rsidR="00EC4B52" w:rsidRPr="00834CDC" w:rsidRDefault="00EC4B52" w:rsidP="003058F5">
            <w:pPr>
              <w:rPr>
                <w:b/>
                <w:bCs/>
                <w:sz w:val="18"/>
                <w:szCs w:val="18"/>
              </w:rPr>
            </w:pPr>
          </w:p>
        </w:tc>
      </w:tr>
    </w:tbl>
    <w:p w14:paraId="36B53B53" w14:textId="77777777" w:rsidR="00EC4B52" w:rsidRPr="00834CDC" w:rsidRDefault="00EC4B52" w:rsidP="00BC0AA0">
      <w:pPr>
        <w:pStyle w:val="CDIfootnotes"/>
        <w:divId w:val="1988506822"/>
      </w:pPr>
      <w:r w:rsidRPr="00834CDC">
        <w:t>a</w:t>
      </w:r>
      <w:r w:rsidRPr="00834CDC">
        <w:tab/>
        <w:t>Notifications where the date of diagnosis was between 1 January 2016 and 31 December 2019.</w:t>
      </w:r>
    </w:p>
    <w:p w14:paraId="61B1B611" w14:textId="77777777" w:rsidR="00EC4B52" w:rsidRPr="00834CDC" w:rsidRDefault="00EC4B52" w:rsidP="00BC0AA0">
      <w:pPr>
        <w:pStyle w:val="CDIfootnotes"/>
        <w:divId w:val="1988506822"/>
      </w:pPr>
      <w:r w:rsidRPr="00834CDC">
        <w:t>b</w:t>
      </w:r>
      <w:r w:rsidRPr="00834CDC">
        <w:tab/>
        <w:t>Average annual age-specific rate per 100,000 population.</w:t>
      </w:r>
    </w:p>
    <w:p w14:paraId="79A29EFC" w14:textId="77777777" w:rsidR="00EC4B52" w:rsidRPr="00834CDC" w:rsidRDefault="00EC4B52" w:rsidP="00BC0AA0">
      <w:pPr>
        <w:pStyle w:val="CDIfootnotes"/>
        <w:divId w:val="1988506822"/>
      </w:pPr>
      <w:r w:rsidRPr="00834CDC">
        <w:t>c</w:t>
      </w:r>
      <w:r w:rsidRPr="00834CDC">
        <w:tab/>
        <w:t>Rates for all ages combined are age-standardised in standard population following the Australian Bureau of Statistics Australian population estimates for 2016.</w:t>
      </w:r>
    </w:p>
    <w:p w14:paraId="4725B1AA" w14:textId="77777777" w:rsidR="0033445F" w:rsidRPr="00834CDC" w:rsidRDefault="0033445F" w:rsidP="0033445F">
      <w:pPr>
        <w:divId w:val="1988506822"/>
      </w:pPr>
      <w:r w:rsidRPr="00834CDC">
        <w:t xml:space="preserve">Trends in hospitalisations </w:t>
      </w:r>
      <w:proofErr w:type="gramStart"/>
      <w:r w:rsidRPr="00834CDC">
        <w:t>are presented</w:t>
      </w:r>
      <w:proofErr w:type="gramEnd"/>
      <w:r w:rsidRPr="00834CDC">
        <w:t xml:space="preserve"> for six states and territories (excluding the Australian Capital Territory and Tasmania) for the 2010–2019 period in Figure 12. Hospitalisation rates in Aboriginal and Torres Strait Islander people were </w:t>
      </w:r>
      <w:proofErr w:type="gramStart"/>
      <w:r w:rsidRPr="00834CDC">
        <w:t>similar to</w:t>
      </w:r>
      <w:proofErr w:type="gramEnd"/>
      <w:r w:rsidRPr="00834CDC">
        <w:t xml:space="preserve"> those in other people until 2014 but then increased in 2015 and 2016, peaking in 2017, then decreasing in 2018 and returning to baseline level in 2019. Hospitalisation rates in other people remained stable and low over the entire period. </w:t>
      </w:r>
    </w:p>
    <w:p w14:paraId="0C1DB475" w14:textId="61E79AB4" w:rsidR="0033445F" w:rsidRDefault="0033445F" w:rsidP="0033445F">
      <w:pPr>
        <w:divId w:val="1988506822"/>
      </w:pPr>
      <w:r w:rsidRPr="00834CDC">
        <w:t xml:space="preserve">Over the 2016–2019 period, there were 1–5 </w:t>
      </w:r>
      <w:proofErr w:type="spellStart"/>
      <w:r w:rsidRPr="00834CDC">
        <w:t>deaths</w:t>
      </w:r>
      <w:r w:rsidR="00392C9B" w:rsidRPr="00834CDC">
        <w:rPr>
          <w:vertAlign w:val="superscript"/>
        </w:rPr>
        <w:t>iv</w:t>
      </w:r>
      <w:proofErr w:type="spellEnd"/>
      <w:r w:rsidRPr="00834CDC">
        <w:t xml:space="preserve"> where mumps </w:t>
      </w:r>
      <w:proofErr w:type="gramStart"/>
      <w:r w:rsidRPr="00834CDC">
        <w:t>was reported</w:t>
      </w:r>
      <w:proofErr w:type="gramEnd"/>
      <w:r w:rsidRPr="00834CDC">
        <w:t xml:space="preserve"> as an underlying or associated cause of death, all among people aged 50 years or older. There were no deaths recorded as being in Aboriginal and Torres Strait Islander people. </w:t>
      </w:r>
    </w:p>
    <w:p w14:paraId="0D26C562" w14:textId="236EF9D9" w:rsidR="004E44A3" w:rsidRDefault="004E44A3" w:rsidP="0033445F">
      <w:pPr>
        <w:divId w:val="1988506822"/>
      </w:pPr>
    </w:p>
    <w:p w14:paraId="7373CAFA" w14:textId="3C3ECE29" w:rsidR="004E44A3" w:rsidRDefault="004E44A3" w:rsidP="0033445F">
      <w:pPr>
        <w:divId w:val="1988506822"/>
      </w:pPr>
    </w:p>
    <w:p w14:paraId="5077BFC1" w14:textId="1D04262F" w:rsidR="004E44A3" w:rsidRDefault="004E44A3" w:rsidP="0033445F">
      <w:pPr>
        <w:divId w:val="1988506822"/>
      </w:pPr>
    </w:p>
    <w:p w14:paraId="43398F19" w14:textId="12338A80" w:rsidR="004E44A3" w:rsidRDefault="004E44A3" w:rsidP="0033445F">
      <w:pPr>
        <w:divId w:val="1988506822"/>
      </w:pPr>
    </w:p>
    <w:p w14:paraId="1B59635C" w14:textId="77777777" w:rsidR="004E44A3" w:rsidRPr="00834CDC" w:rsidRDefault="004E44A3" w:rsidP="0033445F">
      <w:pPr>
        <w:divId w:val="1988506822"/>
      </w:pPr>
    </w:p>
    <w:p w14:paraId="726A317D" w14:textId="77777777" w:rsidR="004E44A3" w:rsidRDefault="00392C9B" w:rsidP="00392C9B">
      <w:pPr>
        <w:pStyle w:val="CDIfootnotes"/>
        <w:divId w:val="1988506822"/>
      </w:pPr>
      <w:r w:rsidRPr="00834CDC">
        <w:t>_______</w:t>
      </w:r>
    </w:p>
    <w:p w14:paraId="25361F73" w14:textId="7631DFF8" w:rsidR="00392C9B" w:rsidRPr="00834CDC" w:rsidRDefault="00392C9B" w:rsidP="00392C9B">
      <w:pPr>
        <w:pStyle w:val="CDIfootnotes"/>
        <w:divId w:val="1988506822"/>
      </w:pPr>
      <w:r w:rsidRPr="00834CDC">
        <w:t>_________________________________________________________________________________________________________</w:t>
      </w:r>
    </w:p>
    <w:p w14:paraId="51026C16" w14:textId="76488FDA" w:rsidR="00392C9B" w:rsidRPr="00834CDC" w:rsidRDefault="00392C9B" w:rsidP="00BE22E7">
      <w:pPr>
        <w:pStyle w:val="CDIfootnotes"/>
        <w:divId w:val="1988506822"/>
      </w:pPr>
      <w:r w:rsidRPr="00834CDC">
        <w:t>iv</w:t>
      </w:r>
      <w:r w:rsidRPr="00834CDC">
        <w:tab/>
      </w:r>
      <w:proofErr w:type="gramStart"/>
      <w:r w:rsidRPr="00834CDC">
        <w:t>To</w:t>
      </w:r>
      <w:proofErr w:type="gramEnd"/>
      <w:r w:rsidRPr="00834CDC">
        <w:t xml:space="preserve"> comply with the Australian Coordinating Registry’s data release condition that death counts &lt; 6 be suppressed in published reports, counts between 1 and 5 are reported as a range.</w:t>
      </w:r>
    </w:p>
    <w:p w14:paraId="6378429C" w14:textId="77777777" w:rsidR="00BE22E7" w:rsidRPr="00834CDC" w:rsidRDefault="00BE22E7">
      <w:pPr>
        <w:rPr>
          <w:rFonts w:asciiTheme="majorHAnsi" w:eastAsiaTheme="majorEastAsia" w:hAnsiTheme="majorHAnsi" w:cstheme="majorBidi"/>
          <w:b/>
          <w:bCs/>
          <w:sz w:val="26"/>
          <w:szCs w:val="26"/>
        </w:rPr>
      </w:pPr>
      <w:r w:rsidRPr="00834CDC">
        <w:br w:type="page"/>
      </w:r>
    </w:p>
    <w:p w14:paraId="62278BA3" w14:textId="77777777" w:rsidR="00516031" w:rsidRPr="00834CDC" w:rsidRDefault="00516031" w:rsidP="00516031">
      <w:pPr>
        <w:pStyle w:val="CDIFigures"/>
        <w:divId w:val="1988506822"/>
      </w:pPr>
      <w:r w:rsidRPr="00834CDC">
        <w:rPr>
          <w:rStyle w:val="Strong"/>
          <w:b/>
          <w:bCs w:val="0"/>
        </w:rPr>
        <w:lastRenderedPageBreak/>
        <w:t>Figure 12: Mumps hospitalisation rates, Australia (selected states and territories</w:t>
      </w:r>
      <w:proofErr w:type="gramStart"/>
      <w:r w:rsidRPr="00834CDC">
        <w:rPr>
          <w:rStyle w:val="Strong"/>
          <w:b/>
          <w:bCs w:val="0"/>
        </w:rPr>
        <w:t>),</w:t>
      </w:r>
      <w:r w:rsidRPr="00834CDC">
        <w:rPr>
          <w:rStyle w:val="Strong"/>
          <w:b/>
          <w:bCs w:val="0"/>
          <w:vertAlign w:val="superscript"/>
        </w:rPr>
        <w:t>a</w:t>
      </w:r>
      <w:proofErr w:type="gramEnd"/>
      <w:r w:rsidRPr="00834CDC">
        <w:rPr>
          <w:rStyle w:val="Strong"/>
          <w:b/>
          <w:bCs w:val="0"/>
        </w:rPr>
        <w:t xml:space="preserve"> 2010–2019,</w:t>
      </w:r>
      <w:r w:rsidRPr="00D24B47">
        <w:rPr>
          <w:rStyle w:val="Strong"/>
          <w:b/>
          <w:bCs w:val="0"/>
          <w:vertAlign w:val="superscript"/>
        </w:rPr>
        <w:t>b</w:t>
      </w:r>
      <w:r w:rsidRPr="00834CDC">
        <w:rPr>
          <w:rStyle w:val="Strong"/>
          <w:b/>
          <w:bCs w:val="0"/>
        </w:rPr>
        <w:t xml:space="preserve"> by Aboriginal and Torres Strait Islander status</w:t>
      </w:r>
    </w:p>
    <w:p w14:paraId="2224E347" w14:textId="77777777" w:rsidR="00516031" w:rsidRPr="00834CDC" w:rsidRDefault="00516031" w:rsidP="004E44A3">
      <w:pPr>
        <w:jc w:val="center"/>
        <w:divId w:val="1988506822"/>
        <w:rPr>
          <w:rFonts w:eastAsia="Times New Roman"/>
        </w:rPr>
      </w:pPr>
      <w:r w:rsidRPr="00834CDC">
        <w:rPr>
          <w:rFonts w:eastAsia="Times New Roman"/>
          <w:noProof/>
        </w:rPr>
        <w:drawing>
          <wp:inline distT="0" distB="0" distL="0" distR="0" wp14:anchorId="276C3907" wp14:editId="0BB413B3">
            <wp:extent cx="5404998" cy="3514299"/>
            <wp:effectExtent l="0" t="0" r="5715" b="0"/>
            <wp:docPr id="16" name="Picture 16" descr="Line graph showing mumps hospitalisation rates for the period 2010 to 2019 in selected jurisdictions (Northern Territory, Queensland, New South Wales, Victoria, South Australia and Western Australia). Rates in Aboriginal and Torres Strait Islander people were similar to those in other people until 2014 but then increased in 2015 and 2016, peaking in 2017 at 4.9 per 100,000, then decreasing in 2018 and returning to baseline level in 2019. Hospitalisation rates in other people remained stable and low over the entire perio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ne graph showing mumps hospitalisation rates for the period 2010 to 2019 in selected jurisdictions (Northern Territory, Queensland, New South Wales, Victoria, South Australia and Western Australia). Rates in Aboriginal and Torres Strait Islander people were similar to those in other people until 2014 but then increased in 2015 and 2016, peaking in 2017 at 4.9 per 100,000, then decreasing in 2018 and returning to baseline level in 2019. Hospitalisation rates in other people remained stable and low over the entire period.&#10;"/>
                    <pic:cNvPicPr>
                      <a:picLocks noChangeAspect="1" noChangeArrowheads="1"/>
                    </pic:cNvPicPr>
                  </pic:nvPicPr>
                  <pic:blipFill>
                    <a:blip r:link="rId23">
                      <a:extLst>
                        <a:ext uri="{28A0092B-C50C-407E-A947-70E740481C1C}">
                          <a14:useLocalDpi xmlns:a14="http://schemas.microsoft.com/office/drawing/2010/main" val="0"/>
                        </a:ext>
                      </a:extLst>
                    </a:blip>
                    <a:stretch>
                      <a:fillRect/>
                    </a:stretch>
                  </pic:blipFill>
                  <pic:spPr bwMode="auto">
                    <a:xfrm>
                      <a:off x="0" y="0"/>
                      <a:ext cx="5436517" cy="3534792"/>
                    </a:xfrm>
                    <a:prstGeom prst="rect">
                      <a:avLst/>
                    </a:prstGeom>
                  </pic:spPr>
                </pic:pic>
              </a:graphicData>
            </a:graphic>
          </wp:inline>
        </w:drawing>
      </w:r>
    </w:p>
    <w:p w14:paraId="7C2FE651" w14:textId="77777777" w:rsidR="00516031" w:rsidRPr="00834CDC" w:rsidRDefault="00516031" w:rsidP="00516031">
      <w:pPr>
        <w:pStyle w:val="CDIfootnotes"/>
        <w:divId w:val="1988506822"/>
      </w:pPr>
      <w:r w:rsidRPr="00834CDC">
        <w:t>a</w:t>
      </w:r>
      <w:r w:rsidRPr="00834CDC">
        <w:tab/>
        <w:t xml:space="preserve">States and territories with satisfactory data quality over the whole </w:t>
      </w:r>
      <w:proofErr w:type="gramStart"/>
      <w:r w:rsidRPr="00834CDC">
        <w:t>time period</w:t>
      </w:r>
      <w:proofErr w:type="gramEnd"/>
      <w:r w:rsidRPr="00834CDC">
        <w:t xml:space="preserve"> (refer to Appendix A): the Northern Territory, Queensland, New South Wales, Victoria, South Australia and Western Australia.</w:t>
      </w:r>
    </w:p>
    <w:p w14:paraId="3A78BD4A" w14:textId="38A6E2C5" w:rsidR="00B66781" w:rsidRPr="004E44A3" w:rsidRDefault="00516031" w:rsidP="004E44A3">
      <w:pPr>
        <w:pStyle w:val="CDIfootnotes"/>
        <w:divId w:val="1988506822"/>
      </w:pPr>
      <w:r w:rsidRPr="00834CDC">
        <w:t>b</w:t>
      </w:r>
      <w:r w:rsidRPr="00834CDC">
        <w:tab/>
        <w:t>Hospital admissions where the date of admission was between 1 January 2010 and 30 June 2019. 2019 hospitalisation data was annualised.</w:t>
      </w:r>
    </w:p>
    <w:p w14:paraId="4502A51C" w14:textId="77777777" w:rsidR="00B66781" w:rsidRPr="00834CDC" w:rsidRDefault="00B66781" w:rsidP="00B66781">
      <w:pPr>
        <w:pStyle w:val="CDIFigures"/>
        <w:divId w:val="1988506822"/>
      </w:pPr>
      <w:r w:rsidRPr="00834CDC">
        <w:rPr>
          <w:rStyle w:val="Strong"/>
          <w:b/>
          <w:bCs w:val="0"/>
        </w:rPr>
        <w:t>Table 15: Mumps hospitalisations, Australia (all states and territories), 2016–2019, by age and Aboriginal and Torres Strait Islander status</w:t>
      </w:r>
    </w:p>
    <w:tbl>
      <w:tblPr>
        <w:tblStyle w:val="CDI-StandardTable"/>
        <w:tblW w:w="0" w:type="auto"/>
        <w:tblCellMar>
          <w:top w:w="28" w:type="dxa"/>
          <w:bottom w:w="28" w:type="dxa"/>
        </w:tblCellMar>
        <w:tblLook w:val="04A0" w:firstRow="1" w:lastRow="0" w:firstColumn="1" w:lastColumn="0" w:noHBand="0" w:noVBand="1"/>
        <w:tblDescription w:val="Table 15 shows the number and rates per 100,000 population of mumps hospitalisations by age and Aboriginal and Torres Strait Islander status, Australia, 2016 to 2019.&#10;"/>
      </w:tblPr>
      <w:tblGrid>
        <w:gridCol w:w="1418"/>
        <w:gridCol w:w="4562"/>
        <w:gridCol w:w="709"/>
        <w:gridCol w:w="992"/>
        <w:gridCol w:w="992"/>
        <w:gridCol w:w="1793"/>
      </w:tblGrid>
      <w:tr w:rsidR="00B66781" w:rsidRPr="00834CDC" w14:paraId="1B1DDB0E" w14:textId="77777777" w:rsidTr="00055F0B">
        <w:trPr>
          <w:cnfStyle w:val="100000000000" w:firstRow="1" w:lastRow="0" w:firstColumn="0" w:lastColumn="0" w:oddVBand="0" w:evenVBand="0" w:oddHBand="0" w:evenHBand="0" w:firstRowFirstColumn="0" w:firstRowLastColumn="0" w:lastRowFirstColumn="0" w:lastRowLastColumn="0"/>
          <w:divId w:val="1988506822"/>
          <w:tblHeader/>
        </w:trPr>
        <w:tc>
          <w:tcPr>
            <w:tcW w:w="1418" w:type="dxa"/>
            <w:vMerge w:val="restart"/>
            <w:hideMark/>
          </w:tcPr>
          <w:p w14:paraId="3832B382" w14:textId="6241FFA3" w:rsidR="00B66781" w:rsidRPr="00834CDC" w:rsidRDefault="00B66781" w:rsidP="00EE7B8E">
            <w:pPr>
              <w:pStyle w:val="NormalWeb"/>
              <w:jc w:val="left"/>
              <w:rPr>
                <w:sz w:val="18"/>
                <w:szCs w:val="18"/>
              </w:rPr>
            </w:pPr>
            <w:r w:rsidRPr="00834CDC">
              <w:rPr>
                <w:sz w:val="18"/>
                <w:szCs w:val="18"/>
              </w:rPr>
              <w:t>Age group</w:t>
            </w:r>
            <w:r w:rsidR="00EE7B8E" w:rsidRPr="00834CDC">
              <w:rPr>
                <w:sz w:val="18"/>
                <w:szCs w:val="18"/>
              </w:rPr>
              <w:t xml:space="preserve"> </w:t>
            </w:r>
            <w:r w:rsidRPr="00834CDC">
              <w:rPr>
                <w:sz w:val="18"/>
                <w:szCs w:val="18"/>
              </w:rPr>
              <w:t>(years)</w:t>
            </w:r>
          </w:p>
        </w:tc>
        <w:tc>
          <w:tcPr>
            <w:tcW w:w="4562" w:type="dxa"/>
            <w:vMerge w:val="restart"/>
            <w:hideMark/>
          </w:tcPr>
          <w:p w14:paraId="0C1D630A" w14:textId="77777777" w:rsidR="00B66781" w:rsidRPr="00834CDC" w:rsidRDefault="00B66781" w:rsidP="00EE7B8E">
            <w:pPr>
              <w:pStyle w:val="NormalWeb"/>
              <w:jc w:val="left"/>
              <w:rPr>
                <w:sz w:val="18"/>
                <w:szCs w:val="18"/>
              </w:rPr>
            </w:pPr>
            <w:r w:rsidRPr="00834CDC">
              <w:rPr>
                <w:sz w:val="18"/>
                <w:szCs w:val="18"/>
              </w:rPr>
              <w:t>Aboriginal and Torres Strait Islander status</w:t>
            </w:r>
          </w:p>
        </w:tc>
        <w:tc>
          <w:tcPr>
            <w:tcW w:w="4486" w:type="dxa"/>
            <w:gridSpan w:val="4"/>
            <w:hideMark/>
          </w:tcPr>
          <w:p w14:paraId="5E6D1DD2" w14:textId="5ED10344" w:rsidR="00B66781" w:rsidRPr="00834CDC" w:rsidRDefault="00B66781" w:rsidP="003058F5">
            <w:pPr>
              <w:pStyle w:val="NormalWeb"/>
              <w:rPr>
                <w:sz w:val="18"/>
                <w:szCs w:val="18"/>
              </w:rPr>
            </w:pPr>
            <w:r w:rsidRPr="00834CDC">
              <w:rPr>
                <w:sz w:val="18"/>
                <w:szCs w:val="18"/>
              </w:rPr>
              <w:t>Hospitalisations</w:t>
            </w:r>
            <w:r w:rsidR="00D24B47">
              <w:rPr>
                <w:sz w:val="18"/>
                <w:szCs w:val="18"/>
              </w:rPr>
              <w:t xml:space="preserve"> </w:t>
            </w:r>
            <w:r w:rsidRPr="00834CDC">
              <w:rPr>
                <w:sz w:val="18"/>
                <w:szCs w:val="18"/>
                <w:vertAlign w:val="superscript"/>
              </w:rPr>
              <w:t>a</w:t>
            </w:r>
            <w:r w:rsidRPr="00834CDC">
              <w:rPr>
                <w:sz w:val="18"/>
                <w:szCs w:val="18"/>
              </w:rPr>
              <w:t xml:space="preserve"> (2016–2019)</w:t>
            </w:r>
          </w:p>
        </w:tc>
      </w:tr>
      <w:tr w:rsidR="00EE7B8E" w:rsidRPr="00834CDC" w14:paraId="5872A930" w14:textId="77777777" w:rsidTr="00055F0B">
        <w:trPr>
          <w:cnfStyle w:val="100000000000" w:firstRow="1" w:lastRow="0" w:firstColumn="0" w:lastColumn="0" w:oddVBand="0" w:evenVBand="0" w:oddHBand="0" w:evenHBand="0" w:firstRowFirstColumn="0" w:firstRowLastColumn="0" w:lastRowFirstColumn="0" w:lastRowLastColumn="0"/>
          <w:divId w:val="1988506822"/>
          <w:tblHeader/>
        </w:trPr>
        <w:tc>
          <w:tcPr>
            <w:tcW w:w="1418" w:type="dxa"/>
            <w:vMerge/>
            <w:tcBorders>
              <w:bottom w:val="single" w:sz="2" w:space="0" w:color="808080" w:themeColor="background1" w:themeShade="80"/>
            </w:tcBorders>
            <w:hideMark/>
          </w:tcPr>
          <w:p w14:paraId="636972CA" w14:textId="77777777" w:rsidR="00B66781" w:rsidRPr="00834CDC" w:rsidRDefault="00B66781" w:rsidP="003058F5">
            <w:pPr>
              <w:rPr>
                <w:sz w:val="18"/>
                <w:szCs w:val="18"/>
              </w:rPr>
            </w:pPr>
          </w:p>
        </w:tc>
        <w:tc>
          <w:tcPr>
            <w:tcW w:w="4562" w:type="dxa"/>
            <w:vMerge/>
            <w:tcBorders>
              <w:bottom w:val="single" w:sz="2" w:space="0" w:color="808080" w:themeColor="background1" w:themeShade="80"/>
            </w:tcBorders>
            <w:hideMark/>
          </w:tcPr>
          <w:p w14:paraId="5F658CE4" w14:textId="77777777" w:rsidR="00B66781" w:rsidRPr="00834CDC" w:rsidRDefault="00B66781" w:rsidP="00EE7B8E">
            <w:pPr>
              <w:jc w:val="left"/>
              <w:rPr>
                <w:sz w:val="18"/>
                <w:szCs w:val="18"/>
              </w:rPr>
            </w:pPr>
          </w:p>
        </w:tc>
        <w:tc>
          <w:tcPr>
            <w:tcW w:w="709" w:type="dxa"/>
            <w:tcBorders>
              <w:bottom w:val="single" w:sz="2" w:space="0" w:color="808080" w:themeColor="background1" w:themeShade="80"/>
            </w:tcBorders>
            <w:hideMark/>
          </w:tcPr>
          <w:p w14:paraId="55DAFB0A" w14:textId="77777777" w:rsidR="00B66781" w:rsidRPr="00834CDC" w:rsidRDefault="00B66781" w:rsidP="003058F5">
            <w:pPr>
              <w:pStyle w:val="NormalWeb"/>
              <w:rPr>
                <w:sz w:val="18"/>
                <w:szCs w:val="18"/>
              </w:rPr>
            </w:pPr>
            <w:r w:rsidRPr="00834CDC">
              <w:rPr>
                <w:sz w:val="18"/>
                <w:szCs w:val="18"/>
              </w:rPr>
              <w:t>n</w:t>
            </w:r>
          </w:p>
        </w:tc>
        <w:tc>
          <w:tcPr>
            <w:tcW w:w="992" w:type="dxa"/>
            <w:tcBorders>
              <w:bottom w:val="single" w:sz="2" w:space="0" w:color="808080" w:themeColor="background1" w:themeShade="80"/>
            </w:tcBorders>
            <w:hideMark/>
          </w:tcPr>
          <w:p w14:paraId="4CDDA445" w14:textId="47E60816" w:rsidR="00B66781" w:rsidRPr="00834CDC" w:rsidRDefault="00B66781" w:rsidP="003058F5">
            <w:pPr>
              <w:pStyle w:val="NormalWeb"/>
              <w:rPr>
                <w:sz w:val="18"/>
                <w:szCs w:val="18"/>
              </w:rPr>
            </w:pPr>
            <w:r w:rsidRPr="00834CDC">
              <w:rPr>
                <w:sz w:val="18"/>
                <w:szCs w:val="18"/>
              </w:rPr>
              <w:t>Rate</w:t>
            </w:r>
            <w:r w:rsidR="00D24B47">
              <w:rPr>
                <w:sz w:val="18"/>
                <w:szCs w:val="18"/>
              </w:rPr>
              <w:t xml:space="preserve"> </w:t>
            </w:r>
            <w:r w:rsidRPr="00834CDC">
              <w:rPr>
                <w:sz w:val="18"/>
                <w:szCs w:val="18"/>
                <w:vertAlign w:val="superscript"/>
              </w:rPr>
              <w:t>b</w:t>
            </w:r>
          </w:p>
        </w:tc>
        <w:tc>
          <w:tcPr>
            <w:tcW w:w="992" w:type="dxa"/>
            <w:tcBorders>
              <w:bottom w:val="single" w:sz="2" w:space="0" w:color="808080" w:themeColor="background1" w:themeShade="80"/>
            </w:tcBorders>
            <w:hideMark/>
          </w:tcPr>
          <w:p w14:paraId="6DF3CBA6" w14:textId="77777777" w:rsidR="00B66781" w:rsidRPr="00834CDC" w:rsidRDefault="00B66781" w:rsidP="003058F5">
            <w:pPr>
              <w:pStyle w:val="NormalWeb"/>
              <w:rPr>
                <w:sz w:val="18"/>
                <w:szCs w:val="18"/>
              </w:rPr>
            </w:pPr>
            <w:r w:rsidRPr="00834CDC">
              <w:rPr>
                <w:sz w:val="18"/>
                <w:szCs w:val="18"/>
              </w:rPr>
              <w:t>Rate ratio</w:t>
            </w:r>
          </w:p>
        </w:tc>
        <w:tc>
          <w:tcPr>
            <w:tcW w:w="1793" w:type="dxa"/>
            <w:tcBorders>
              <w:bottom w:val="single" w:sz="2" w:space="0" w:color="808080" w:themeColor="background1" w:themeShade="80"/>
            </w:tcBorders>
            <w:hideMark/>
          </w:tcPr>
          <w:p w14:paraId="3CD87E50" w14:textId="77777777" w:rsidR="00B66781" w:rsidRPr="00834CDC" w:rsidRDefault="00B66781" w:rsidP="003058F5">
            <w:pPr>
              <w:pStyle w:val="NormalWeb"/>
              <w:rPr>
                <w:sz w:val="18"/>
                <w:szCs w:val="18"/>
              </w:rPr>
            </w:pPr>
            <w:proofErr w:type="gramStart"/>
            <w:r w:rsidRPr="00834CDC">
              <w:rPr>
                <w:sz w:val="18"/>
                <w:szCs w:val="18"/>
              </w:rPr>
              <w:t>95%</w:t>
            </w:r>
            <w:proofErr w:type="gramEnd"/>
            <w:r w:rsidRPr="00834CDC">
              <w:rPr>
                <w:sz w:val="18"/>
                <w:szCs w:val="18"/>
              </w:rPr>
              <w:t xml:space="preserve"> CI for rate ratio</w:t>
            </w:r>
          </w:p>
        </w:tc>
      </w:tr>
      <w:tr w:rsidR="00EE7B8E" w:rsidRPr="00834CDC" w14:paraId="024D1CC0" w14:textId="77777777" w:rsidTr="00055F0B">
        <w:trPr>
          <w:divId w:val="1988506822"/>
        </w:trPr>
        <w:tc>
          <w:tcPr>
            <w:tcW w:w="141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D18661" w14:textId="77777777" w:rsidR="00B66781" w:rsidRPr="00834CDC" w:rsidRDefault="00B66781" w:rsidP="00EE7B8E">
            <w:pPr>
              <w:pStyle w:val="NormalWeb"/>
              <w:jc w:val="left"/>
              <w:rPr>
                <w:sz w:val="18"/>
                <w:szCs w:val="18"/>
              </w:rPr>
            </w:pPr>
            <w:r w:rsidRPr="00834CDC">
              <w:rPr>
                <w:sz w:val="18"/>
                <w:szCs w:val="18"/>
              </w:rPr>
              <w:t>0–4</w:t>
            </w:r>
          </w:p>
        </w:tc>
        <w:tc>
          <w:tcPr>
            <w:tcW w:w="45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1D1F51" w14:textId="77777777" w:rsidR="00B66781" w:rsidRPr="00834CDC" w:rsidRDefault="00B66781" w:rsidP="00EE7B8E">
            <w:pPr>
              <w:pStyle w:val="NormalWeb"/>
              <w:jc w:val="left"/>
              <w:rPr>
                <w:sz w:val="18"/>
                <w:szCs w:val="18"/>
              </w:rPr>
            </w:pPr>
            <w:r w:rsidRPr="00834CDC">
              <w:rPr>
                <w:sz w:val="18"/>
                <w:szCs w:val="18"/>
              </w:rPr>
              <w:t>Aboriginal and Torres Strait Islander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47255D" w14:textId="77777777" w:rsidR="00B66781" w:rsidRPr="00834CDC" w:rsidRDefault="00B66781" w:rsidP="003058F5">
            <w:pPr>
              <w:pStyle w:val="NormalWeb"/>
              <w:rPr>
                <w:sz w:val="18"/>
                <w:szCs w:val="18"/>
              </w:rPr>
            </w:pPr>
            <w:r w:rsidRPr="00834CDC">
              <w:rPr>
                <w:sz w:val="18"/>
                <w:szCs w:val="18"/>
              </w:rPr>
              <w:t>1–4</w:t>
            </w:r>
            <w:r w:rsidRPr="00834CDC">
              <w:rPr>
                <w:sz w:val="18"/>
                <w:szCs w:val="18"/>
                <w:vertAlign w:val="superscript"/>
              </w:rPr>
              <w:t>c</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7150CD" w14:textId="77777777" w:rsidR="00B66781" w:rsidRPr="00834CDC" w:rsidRDefault="00B66781" w:rsidP="003058F5">
            <w:pPr>
              <w:pStyle w:val="NormalWeb"/>
              <w:rPr>
                <w:sz w:val="18"/>
                <w:szCs w:val="18"/>
              </w:rPr>
            </w:pPr>
            <w:r w:rsidRPr="00834CDC">
              <w:rPr>
                <w:sz w:val="18"/>
                <w:szCs w:val="18"/>
              </w:rPr>
              <w:t>0.61</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35B785" w14:textId="77777777" w:rsidR="00B66781" w:rsidRPr="00834CDC" w:rsidRDefault="00B66781" w:rsidP="003058F5">
            <w:pPr>
              <w:pStyle w:val="NormalWeb"/>
              <w:rPr>
                <w:sz w:val="18"/>
                <w:szCs w:val="18"/>
              </w:rPr>
            </w:pPr>
            <w:r w:rsidRPr="00834CDC">
              <w:rPr>
                <w:sz w:val="18"/>
                <w:szCs w:val="18"/>
              </w:rPr>
              <w:t>1.0</w:t>
            </w:r>
          </w:p>
        </w:tc>
        <w:tc>
          <w:tcPr>
            <w:tcW w:w="179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CE2422" w14:textId="77777777" w:rsidR="00B66781" w:rsidRPr="00834CDC" w:rsidRDefault="00B66781" w:rsidP="003058F5">
            <w:pPr>
              <w:pStyle w:val="NormalWeb"/>
              <w:rPr>
                <w:sz w:val="18"/>
                <w:szCs w:val="18"/>
              </w:rPr>
            </w:pPr>
            <w:r w:rsidRPr="00834CDC">
              <w:rPr>
                <w:sz w:val="18"/>
                <w:szCs w:val="18"/>
              </w:rPr>
              <w:t>0.1–3.7</w:t>
            </w:r>
          </w:p>
        </w:tc>
      </w:tr>
      <w:tr w:rsidR="00EE7B8E" w:rsidRPr="00834CDC" w14:paraId="74FB668F" w14:textId="77777777" w:rsidTr="00055F0B">
        <w:trPr>
          <w:cnfStyle w:val="000000010000" w:firstRow="0" w:lastRow="0" w:firstColumn="0" w:lastColumn="0" w:oddVBand="0" w:evenVBand="0" w:oddHBand="0" w:evenHBand="1" w:firstRowFirstColumn="0" w:firstRowLastColumn="0" w:lastRowFirstColumn="0" w:lastRowLastColumn="0"/>
          <w:divId w:val="1988506822"/>
        </w:trPr>
        <w:tc>
          <w:tcPr>
            <w:tcW w:w="141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54908B" w14:textId="77777777" w:rsidR="00B66781" w:rsidRPr="00834CDC" w:rsidRDefault="00B66781" w:rsidP="00EE7B8E">
            <w:pPr>
              <w:jc w:val="left"/>
              <w:rPr>
                <w:sz w:val="18"/>
                <w:szCs w:val="18"/>
              </w:rPr>
            </w:pPr>
          </w:p>
        </w:tc>
        <w:tc>
          <w:tcPr>
            <w:tcW w:w="45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3A1770" w14:textId="77777777" w:rsidR="00B66781" w:rsidRPr="00834CDC" w:rsidRDefault="00B66781" w:rsidP="00EE7B8E">
            <w:pPr>
              <w:pStyle w:val="NormalWeb"/>
              <w:jc w:val="left"/>
              <w:rPr>
                <w:sz w:val="18"/>
                <w:szCs w:val="18"/>
              </w:rPr>
            </w:pPr>
            <w:r w:rsidRPr="00834CDC">
              <w:rPr>
                <w:sz w:val="18"/>
                <w:szCs w:val="18"/>
              </w:rPr>
              <w:t>Other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A20698" w14:textId="77777777" w:rsidR="00B66781" w:rsidRPr="00834CDC" w:rsidRDefault="00B66781" w:rsidP="003058F5">
            <w:pPr>
              <w:pStyle w:val="NormalWeb"/>
              <w:rPr>
                <w:sz w:val="18"/>
                <w:szCs w:val="18"/>
              </w:rPr>
            </w:pPr>
            <w:r w:rsidRPr="00834CDC">
              <w:rPr>
                <w:sz w:val="18"/>
                <w:szCs w:val="18"/>
              </w:rPr>
              <w:t>33</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E3C611" w14:textId="77777777" w:rsidR="00B66781" w:rsidRPr="00834CDC" w:rsidRDefault="00B66781" w:rsidP="003058F5">
            <w:pPr>
              <w:pStyle w:val="NormalWeb"/>
              <w:rPr>
                <w:sz w:val="18"/>
                <w:szCs w:val="18"/>
              </w:rPr>
            </w:pPr>
            <w:r w:rsidRPr="00834CDC">
              <w:rPr>
                <w:sz w:val="18"/>
                <w:szCs w:val="18"/>
              </w:rPr>
              <w:t>0.64</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3253A5" w14:textId="77777777" w:rsidR="00B66781" w:rsidRPr="00834CDC" w:rsidRDefault="00B66781" w:rsidP="003058F5">
            <w:pPr>
              <w:rPr>
                <w:sz w:val="18"/>
                <w:szCs w:val="18"/>
              </w:rPr>
            </w:pPr>
          </w:p>
        </w:tc>
        <w:tc>
          <w:tcPr>
            <w:tcW w:w="179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BF8FC5" w14:textId="77777777" w:rsidR="00B66781" w:rsidRPr="00834CDC" w:rsidRDefault="00B66781" w:rsidP="003058F5">
            <w:pPr>
              <w:rPr>
                <w:sz w:val="18"/>
                <w:szCs w:val="18"/>
              </w:rPr>
            </w:pPr>
          </w:p>
        </w:tc>
      </w:tr>
      <w:tr w:rsidR="00EE7B8E" w:rsidRPr="00834CDC" w14:paraId="0B7BD688" w14:textId="77777777" w:rsidTr="00055F0B">
        <w:trPr>
          <w:divId w:val="1988506822"/>
        </w:trPr>
        <w:tc>
          <w:tcPr>
            <w:tcW w:w="141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9A6EA9" w14:textId="77777777" w:rsidR="00B66781" w:rsidRPr="00834CDC" w:rsidRDefault="00B66781" w:rsidP="00EE7B8E">
            <w:pPr>
              <w:pStyle w:val="NormalWeb"/>
              <w:jc w:val="left"/>
              <w:rPr>
                <w:sz w:val="18"/>
                <w:szCs w:val="18"/>
              </w:rPr>
            </w:pPr>
            <w:r w:rsidRPr="00834CDC">
              <w:rPr>
                <w:sz w:val="18"/>
                <w:szCs w:val="18"/>
              </w:rPr>
              <w:t>5–14</w:t>
            </w:r>
          </w:p>
        </w:tc>
        <w:tc>
          <w:tcPr>
            <w:tcW w:w="45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944D32" w14:textId="77777777" w:rsidR="00B66781" w:rsidRPr="00834CDC" w:rsidRDefault="00B66781" w:rsidP="00EE7B8E">
            <w:pPr>
              <w:pStyle w:val="NormalWeb"/>
              <w:jc w:val="left"/>
              <w:rPr>
                <w:sz w:val="18"/>
                <w:szCs w:val="18"/>
              </w:rPr>
            </w:pPr>
            <w:r w:rsidRPr="00834CDC">
              <w:rPr>
                <w:sz w:val="18"/>
                <w:szCs w:val="18"/>
              </w:rPr>
              <w:t>Aboriginal and Torres Strait Islander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623E1F" w14:textId="77777777" w:rsidR="00B66781" w:rsidRPr="00834CDC" w:rsidRDefault="00B66781" w:rsidP="003058F5">
            <w:pPr>
              <w:pStyle w:val="NormalWeb"/>
              <w:rPr>
                <w:sz w:val="18"/>
                <w:szCs w:val="18"/>
              </w:rPr>
            </w:pPr>
            <w:r w:rsidRPr="00834CDC">
              <w:rPr>
                <w:sz w:val="18"/>
                <w:szCs w:val="18"/>
              </w:rPr>
              <w:t>19</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F605A0" w14:textId="77777777" w:rsidR="00B66781" w:rsidRPr="00834CDC" w:rsidRDefault="00B66781" w:rsidP="003058F5">
            <w:pPr>
              <w:pStyle w:val="NormalWeb"/>
              <w:rPr>
                <w:sz w:val="18"/>
                <w:szCs w:val="18"/>
              </w:rPr>
            </w:pPr>
            <w:r w:rsidRPr="00834CDC">
              <w:rPr>
                <w:sz w:val="18"/>
                <w:szCs w:val="18"/>
              </w:rPr>
              <w:t>2.97</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42A737" w14:textId="77777777" w:rsidR="00B66781" w:rsidRPr="00834CDC" w:rsidRDefault="00B66781" w:rsidP="003058F5">
            <w:pPr>
              <w:pStyle w:val="NormalWeb"/>
              <w:rPr>
                <w:sz w:val="18"/>
                <w:szCs w:val="18"/>
              </w:rPr>
            </w:pPr>
            <w:r w:rsidRPr="00834CDC">
              <w:rPr>
                <w:sz w:val="18"/>
                <w:szCs w:val="18"/>
              </w:rPr>
              <w:t>5.6</w:t>
            </w:r>
          </w:p>
        </w:tc>
        <w:tc>
          <w:tcPr>
            <w:tcW w:w="179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15A585" w14:textId="77777777" w:rsidR="00B66781" w:rsidRPr="00834CDC" w:rsidRDefault="00B66781" w:rsidP="003058F5">
            <w:pPr>
              <w:pStyle w:val="NormalWeb"/>
              <w:rPr>
                <w:sz w:val="18"/>
                <w:szCs w:val="18"/>
              </w:rPr>
            </w:pPr>
            <w:r w:rsidRPr="00834CDC">
              <w:rPr>
                <w:sz w:val="18"/>
                <w:szCs w:val="18"/>
              </w:rPr>
              <w:t>3.1–9.6</w:t>
            </w:r>
          </w:p>
        </w:tc>
      </w:tr>
      <w:tr w:rsidR="00EE7B8E" w:rsidRPr="00834CDC" w14:paraId="653A7F8B" w14:textId="77777777" w:rsidTr="00055F0B">
        <w:trPr>
          <w:cnfStyle w:val="000000010000" w:firstRow="0" w:lastRow="0" w:firstColumn="0" w:lastColumn="0" w:oddVBand="0" w:evenVBand="0" w:oddHBand="0" w:evenHBand="1" w:firstRowFirstColumn="0" w:firstRowLastColumn="0" w:lastRowFirstColumn="0" w:lastRowLastColumn="0"/>
          <w:divId w:val="1988506822"/>
        </w:trPr>
        <w:tc>
          <w:tcPr>
            <w:tcW w:w="141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E1D282" w14:textId="77777777" w:rsidR="00B66781" w:rsidRPr="00834CDC" w:rsidRDefault="00B66781" w:rsidP="00EE7B8E">
            <w:pPr>
              <w:jc w:val="left"/>
              <w:rPr>
                <w:sz w:val="18"/>
                <w:szCs w:val="18"/>
              </w:rPr>
            </w:pPr>
          </w:p>
        </w:tc>
        <w:tc>
          <w:tcPr>
            <w:tcW w:w="45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559A6B" w14:textId="77777777" w:rsidR="00B66781" w:rsidRPr="00834CDC" w:rsidRDefault="00B66781" w:rsidP="00EE7B8E">
            <w:pPr>
              <w:pStyle w:val="NormalWeb"/>
              <w:jc w:val="left"/>
              <w:rPr>
                <w:sz w:val="18"/>
                <w:szCs w:val="18"/>
              </w:rPr>
            </w:pPr>
            <w:r w:rsidRPr="00834CDC">
              <w:rPr>
                <w:sz w:val="18"/>
                <w:szCs w:val="18"/>
              </w:rPr>
              <w:t>Other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11E8DE" w14:textId="77777777" w:rsidR="00B66781" w:rsidRPr="00834CDC" w:rsidRDefault="00B66781" w:rsidP="003058F5">
            <w:pPr>
              <w:pStyle w:val="NormalWeb"/>
              <w:rPr>
                <w:sz w:val="18"/>
                <w:szCs w:val="18"/>
              </w:rPr>
            </w:pPr>
            <w:r w:rsidRPr="00834CDC">
              <w:rPr>
                <w:sz w:val="18"/>
                <w:szCs w:val="18"/>
              </w:rPr>
              <w:t>54</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1F5900" w14:textId="77777777" w:rsidR="00B66781" w:rsidRPr="00834CDC" w:rsidRDefault="00B66781" w:rsidP="003058F5">
            <w:pPr>
              <w:pStyle w:val="NormalWeb"/>
              <w:rPr>
                <w:sz w:val="18"/>
                <w:szCs w:val="18"/>
              </w:rPr>
            </w:pPr>
            <w:r w:rsidRPr="00834CDC">
              <w:rPr>
                <w:sz w:val="18"/>
                <w:szCs w:val="18"/>
              </w:rPr>
              <w:t>0.53</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A6325D" w14:textId="77777777" w:rsidR="00B66781" w:rsidRPr="00834CDC" w:rsidRDefault="00B66781" w:rsidP="003058F5">
            <w:pPr>
              <w:rPr>
                <w:sz w:val="18"/>
                <w:szCs w:val="18"/>
              </w:rPr>
            </w:pPr>
          </w:p>
        </w:tc>
        <w:tc>
          <w:tcPr>
            <w:tcW w:w="179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E6D9B3" w14:textId="77777777" w:rsidR="00B66781" w:rsidRPr="00834CDC" w:rsidRDefault="00B66781" w:rsidP="003058F5">
            <w:pPr>
              <w:rPr>
                <w:sz w:val="18"/>
                <w:szCs w:val="18"/>
              </w:rPr>
            </w:pPr>
          </w:p>
        </w:tc>
      </w:tr>
      <w:tr w:rsidR="00EE7B8E" w:rsidRPr="00834CDC" w14:paraId="1BED45E0" w14:textId="77777777" w:rsidTr="00055F0B">
        <w:trPr>
          <w:divId w:val="1988506822"/>
        </w:trPr>
        <w:tc>
          <w:tcPr>
            <w:tcW w:w="141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3BD755" w14:textId="77777777" w:rsidR="00B66781" w:rsidRPr="00834CDC" w:rsidRDefault="00B66781" w:rsidP="00EE7B8E">
            <w:pPr>
              <w:pStyle w:val="NormalWeb"/>
              <w:jc w:val="left"/>
              <w:rPr>
                <w:sz w:val="18"/>
                <w:szCs w:val="18"/>
              </w:rPr>
            </w:pPr>
            <w:r w:rsidRPr="00834CDC">
              <w:rPr>
                <w:sz w:val="18"/>
                <w:szCs w:val="18"/>
              </w:rPr>
              <w:t>15–24</w:t>
            </w:r>
          </w:p>
        </w:tc>
        <w:tc>
          <w:tcPr>
            <w:tcW w:w="45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C09791" w14:textId="77777777" w:rsidR="00B66781" w:rsidRPr="00834CDC" w:rsidRDefault="00B66781" w:rsidP="00EE7B8E">
            <w:pPr>
              <w:pStyle w:val="NormalWeb"/>
              <w:jc w:val="left"/>
              <w:rPr>
                <w:sz w:val="18"/>
                <w:szCs w:val="18"/>
              </w:rPr>
            </w:pPr>
            <w:r w:rsidRPr="00834CDC">
              <w:rPr>
                <w:sz w:val="18"/>
                <w:szCs w:val="18"/>
              </w:rPr>
              <w:t>Aboriginal and Torres Strait Islander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837EA7" w14:textId="77777777" w:rsidR="00B66781" w:rsidRPr="00834CDC" w:rsidRDefault="00B66781" w:rsidP="003058F5">
            <w:pPr>
              <w:pStyle w:val="NormalWeb"/>
              <w:rPr>
                <w:sz w:val="18"/>
                <w:szCs w:val="18"/>
              </w:rPr>
            </w:pPr>
            <w:r w:rsidRPr="00834CDC">
              <w:rPr>
                <w:sz w:val="18"/>
                <w:szCs w:val="18"/>
              </w:rPr>
              <w:t>34</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9E927F" w14:textId="77777777" w:rsidR="00B66781" w:rsidRPr="00834CDC" w:rsidRDefault="00B66781" w:rsidP="003058F5">
            <w:pPr>
              <w:pStyle w:val="NormalWeb"/>
              <w:rPr>
                <w:sz w:val="18"/>
                <w:szCs w:val="18"/>
              </w:rPr>
            </w:pPr>
            <w:r w:rsidRPr="00834CDC">
              <w:rPr>
                <w:sz w:val="18"/>
                <w:szCs w:val="18"/>
              </w:rPr>
              <w:t>6.12</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671D6D" w14:textId="77777777" w:rsidR="00B66781" w:rsidRPr="00834CDC" w:rsidRDefault="00B66781" w:rsidP="003058F5">
            <w:pPr>
              <w:pStyle w:val="NormalWeb"/>
              <w:rPr>
                <w:sz w:val="18"/>
                <w:szCs w:val="18"/>
              </w:rPr>
            </w:pPr>
            <w:r w:rsidRPr="00834CDC">
              <w:rPr>
                <w:sz w:val="18"/>
                <w:szCs w:val="18"/>
              </w:rPr>
              <w:t>13.9</w:t>
            </w:r>
          </w:p>
        </w:tc>
        <w:tc>
          <w:tcPr>
            <w:tcW w:w="179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E0D237" w14:textId="77777777" w:rsidR="00B66781" w:rsidRPr="00834CDC" w:rsidRDefault="00B66781" w:rsidP="003058F5">
            <w:pPr>
              <w:pStyle w:val="NormalWeb"/>
              <w:rPr>
                <w:sz w:val="18"/>
                <w:szCs w:val="18"/>
              </w:rPr>
            </w:pPr>
            <w:r w:rsidRPr="00834CDC">
              <w:rPr>
                <w:sz w:val="18"/>
                <w:szCs w:val="18"/>
              </w:rPr>
              <w:t>8.7–22.1</w:t>
            </w:r>
          </w:p>
        </w:tc>
      </w:tr>
      <w:tr w:rsidR="00EE7B8E" w:rsidRPr="00834CDC" w14:paraId="18358CBE" w14:textId="77777777" w:rsidTr="00055F0B">
        <w:trPr>
          <w:cnfStyle w:val="000000010000" w:firstRow="0" w:lastRow="0" w:firstColumn="0" w:lastColumn="0" w:oddVBand="0" w:evenVBand="0" w:oddHBand="0" w:evenHBand="1" w:firstRowFirstColumn="0" w:firstRowLastColumn="0" w:lastRowFirstColumn="0" w:lastRowLastColumn="0"/>
          <w:divId w:val="1988506822"/>
        </w:trPr>
        <w:tc>
          <w:tcPr>
            <w:tcW w:w="141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9E5732" w14:textId="77777777" w:rsidR="00B66781" w:rsidRPr="00834CDC" w:rsidRDefault="00B66781" w:rsidP="00EE7B8E">
            <w:pPr>
              <w:jc w:val="left"/>
              <w:rPr>
                <w:sz w:val="18"/>
                <w:szCs w:val="18"/>
              </w:rPr>
            </w:pPr>
          </w:p>
        </w:tc>
        <w:tc>
          <w:tcPr>
            <w:tcW w:w="45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841B89" w14:textId="77777777" w:rsidR="00B66781" w:rsidRPr="00834CDC" w:rsidRDefault="00B66781" w:rsidP="00EE7B8E">
            <w:pPr>
              <w:pStyle w:val="NormalWeb"/>
              <w:jc w:val="left"/>
              <w:rPr>
                <w:sz w:val="18"/>
                <w:szCs w:val="18"/>
              </w:rPr>
            </w:pPr>
            <w:r w:rsidRPr="00834CDC">
              <w:rPr>
                <w:sz w:val="18"/>
                <w:szCs w:val="18"/>
              </w:rPr>
              <w:t>Other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215913" w14:textId="77777777" w:rsidR="00B66781" w:rsidRPr="00834CDC" w:rsidRDefault="00B66781" w:rsidP="003058F5">
            <w:pPr>
              <w:pStyle w:val="NormalWeb"/>
              <w:rPr>
                <w:sz w:val="18"/>
                <w:szCs w:val="18"/>
              </w:rPr>
            </w:pPr>
            <w:r w:rsidRPr="00834CDC">
              <w:rPr>
                <w:sz w:val="18"/>
                <w:szCs w:val="18"/>
              </w:rPr>
              <w:t>47</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62DC96" w14:textId="77777777" w:rsidR="00B66781" w:rsidRPr="00834CDC" w:rsidRDefault="00B66781" w:rsidP="003058F5">
            <w:pPr>
              <w:pStyle w:val="NormalWeb"/>
              <w:rPr>
                <w:sz w:val="18"/>
                <w:szCs w:val="18"/>
              </w:rPr>
            </w:pPr>
            <w:r w:rsidRPr="00834CDC">
              <w:rPr>
                <w:sz w:val="18"/>
                <w:szCs w:val="18"/>
              </w:rPr>
              <w:t>0.44</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B52030" w14:textId="77777777" w:rsidR="00B66781" w:rsidRPr="00834CDC" w:rsidRDefault="00B66781" w:rsidP="003058F5">
            <w:pPr>
              <w:rPr>
                <w:sz w:val="18"/>
                <w:szCs w:val="18"/>
              </w:rPr>
            </w:pPr>
          </w:p>
        </w:tc>
        <w:tc>
          <w:tcPr>
            <w:tcW w:w="179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A0B467" w14:textId="77777777" w:rsidR="00B66781" w:rsidRPr="00834CDC" w:rsidRDefault="00B66781" w:rsidP="003058F5">
            <w:pPr>
              <w:rPr>
                <w:sz w:val="18"/>
                <w:szCs w:val="18"/>
              </w:rPr>
            </w:pPr>
          </w:p>
        </w:tc>
      </w:tr>
      <w:tr w:rsidR="00EE7B8E" w:rsidRPr="00834CDC" w14:paraId="593B9944" w14:textId="77777777" w:rsidTr="00055F0B">
        <w:trPr>
          <w:divId w:val="1988506822"/>
        </w:trPr>
        <w:tc>
          <w:tcPr>
            <w:tcW w:w="141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6506C6" w14:textId="77777777" w:rsidR="00B66781" w:rsidRPr="00834CDC" w:rsidRDefault="00B66781" w:rsidP="00EE7B8E">
            <w:pPr>
              <w:pStyle w:val="NormalWeb"/>
              <w:jc w:val="left"/>
              <w:rPr>
                <w:sz w:val="18"/>
                <w:szCs w:val="18"/>
              </w:rPr>
            </w:pPr>
            <w:r w:rsidRPr="00834CDC">
              <w:rPr>
                <w:sz w:val="18"/>
                <w:szCs w:val="18"/>
              </w:rPr>
              <w:t>25–49</w:t>
            </w:r>
          </w:p>
        </w:tc>
        <w:tc>
          <w:tcPr>
            <w:tcW w:w="45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C1CB26" w14:textId="77777777" w:rsidR="00B66781" w:rsidRPr="00834CDC" w:rsidRDefault="00B66781" w:rsidP="00EE7B8E">
            <w:pPr>
              <w:pStyle w:val="NormalWeb"/>
              <w:jc w:val="left"/>
              <w:rPr>
                <w:sz w:val="18"/>
                <w:szCs w:val="18"/>
              </w:rPr>
            </w:pPr>
            <w:r w:rsidRPr="00834CDC">
              <w:rPr>
                <w:sz w:val="18"/>
                <w:szCs w:val="18"/>
              </w:rPr>
              <w:t>Aboriginal and Torres Strait Islander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9B35E4" w14:textId="77777777" w:rsidR="00B66781" w:rsidRPr="00834CDC" w:rsidRDefault="00B66781" w:rsidP="003058F5">
            <w:pPr>
              <w:pStyle w:val="NormalWeb"/>
              <w:rPr>
                <w:sz w:val="18"/>
                <w:szCs w:val="18"/>
              </w:rPr>
            </w:pPr>
            <w:r w:rsidRPr="00834CDC">
              <w:rPr>
                <w:sz w:val="18"/>
                <w:szCs w:val="18"/>
              </w:rPr>
              <w:t>43</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6F3170" w14:textId="77777777" w:rsidR="00B66781" w:rsidRPr="00834CDC" w:rsidRDefault="00B66781" w:rsidP="003058F5">
            <w:pPr>
              <w:pStyle w:val="NormalWeb"/>
              <w:rPr>
                <w:sz w:val="18"/>
                <w:szCs w:val="18"/>
              </w:rPr>
            </w:pPr>
            <w:r w:rsidRPr="00834CDC">
              <w:rPr>
                <w:sz w:val="18"/>
                <w:szCs w:val="18"/>
              </w:rPr>
              <w:t>4.88</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C865B5" w14:textId="77777777" w:rsidR="00B66781" w:rsidRPr="00834CDC" w:rsidRDefault="00B66781" w:rsidP="003058F5">
            <w:pPr>
              <w:pStyle w:val="NormalWeb"/>
              <w:rPr>
                <w:sz w:val="18"/>
                <w:szCs w:val="18"/>
              </w:rPr>
            </w:pPr>
            <w:r w:rsidRPr="00834CDC">
              <w:rPr>
                <w:sz w:val="18"/>
                <w:szCs w:val="18"/>
              </w:rPr>
              <w:t>11.3</w:t>
            </w:r>
          </w:p>
        </w:tc>
        <w:tc>
          <w:tcPr>
            <w:tcW w:w="179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F2D0A9" w14:textId="77777777" w:rsidR="00B66781" w:rsidRPr="00834CDC" w:rsidRDefault="00B66781" w:rsidP="003058F5">
            <w:pPr>
              <w:pStyle w:val="NormalWeb"/>
              <w:rPr>
                <w:sz w:val="18"/>
                <w:szCs w:val="18"/>
              </w:rPr>
            </w:pPr>
            <w:r w:rsidRPr="00834CDC">
              <w:rPr>
                <w:sz w:val="18"/>
                <w:szCs w:val="18"/>
              </w:rPr>
              <w:t>7.8–16.2</w:t>
            </w:r>
          </w:p>
        </w:tc>
      </w:tr>
      <w:tr w:rsidR="00EE7B8E" w:rsidRPr="00834CDC" w14:paraId="17DDBC0F" w14:textId="77777777" w:rsidTr="00055F0B">
        <w:trPr>
          <w:cnfStyle w:val="000000010000" w:firstRow="0" w:lastRow="0" w:firstColumn="0" w:lastColumn="0" w:oddVBand="0" w:evenVBand="0" w:oddHBand="0" w:evenHBand="1" w:firstRowFirstColumn="0" w:firstRowLastColumn="0" w:lastRowFirstColumn="0" w:lastRowLastColumn="0"/>
          <w:divId w:val="1988506822"/>
        </w:trPr>
        <w:tc>
          <w:tcPr>
            <w:tcW w:w="141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73B68B" w14:textId="77777777" w:rsidR="00B66781" w:rsidRPr="00834CDC" w:rsidRDefault="00B66781" w:rsidP="00EE7B8E">
            <w:pPr>
              <w:jc w:val="left"/>
              <w:rPr>
                <w:sz w:val="18"/>
                <w:szCs w:val="18"/>
              </w:rPr>
            </w:pPr>
          </w:p>
        </w:tc>
        <w:tc>
          <w:tcPr>
            <w:tcW w:w="45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2EE178" w14:textId="77777777" w:rsidR="00B66781" w:rsidRPr="00834CDC" w:rsidRDefault="00B66781" w:rsidP="00EE7B8E">
            <w:pPr>
              <w:pStyle w:val="NormalWeb"/>
              <w:jc w:val="left"/>
              <w:rPr>
                <w:sz w:val="18"/>
                <w:szCs w:val="18"/>
              </w:rPr>
            </w:pPr>
            <w:r w:rsidRPr="00834CDC">
              <w:rPr>
                <w:sz w:val="18"/>
                <w:szCs w:val="18"/>
              </w:rPr>
              <w:t>Other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8C6C71" w14:textId="77777777" w:rsidR="00B66781" w:rsidRPr="00834CDC" w:rsidRDefault="00B66781" w:rsidP="003058F5">
            <w:pPr>
              <w:pStyle w:val="NormalWeb"/>
              <w:rPr>
                <w:sz w:val="18"/>
                <w:szCs w:val="18"/>
              </w:rPr>
            </w:pPr>
            <w:r w:rsidRPr="00834CDC">
              <w:rPr>
                <w:sz w:val="18"/>
                <w:szCs w:val="18"/>
              </w:rPr>
              <w:t>126</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291F90" w14:textId="77777777" w:rsidR="00B66781" w:rsidRPr="00834CDC" w:rsidRDefault="00B66781" w:rsidP="003058F5">
            <w:pPr>
              <w:pStyle w:val="NormalWeb"/>
              <w:rPr>
                <w:sz w:val="18"/>
                <w:szCs w:val="18"/>
              </w:rPr>
            </w:pPr>
            <w:r w:rsidRPr="00834CDC">
              <w:rPr>
                <w:sz w:val="18"/>
                <w:szCs w:val="18"/>
              </w:rPr>
              <w:t>0.43</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ACC275" w14:textId="77777777" w:rsidR="00B66781" w:rsidRPr="00834CDC" w:rsidRDefault="00B66781" w:rsidP="003058F5">
            <w:pPr>
              <w:rPr>
                <w:sz w:val="18"/>
                <w:szCs w:val="18"/>
              </w:rPr>
            </w:pPr>
          </w:p>
        </w:tc>
        <w:tc>
          <w:tcPr>
            <w:tcW w:w="179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ACF91E" w14:textId="77777777" w:rsidR="00B66781" w:rsidRPr="00834CDC" w:rsidRDefault="00B66781" w:rsidP="003058F5">
            <w:pPr>
              <w:rPr>
                <w:sz w:val="18"/>
                <w:szCs w:val="18"/>
              </w:rPr>
            </w:pPr>
          </w:p>
        </w:tc>
      </w:tr>
      <w:tr w:rsidR="00EE7B8E" w:rsidRPr="00834CDC" w14:paraId="20F2611A" w14:textId="77777777" w:rsidTr="00055F0B">
        <w:trPr>
          <w:divId w:val="1988506822"/>
        </w:trPr>
        <w:tc>
          <w:tcPr>
            <w:tcW w:w="141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843BDB" w14:textId="77777777" w:rsidR="00B66781" w:rsidRPr="00834CDC" w:rsidRDefault="00B66781" w:rsidP="00EE7B8E">
            <w:pPr>
              <w:pStyle w:val="NormalWeb"/>
              <w:jc w:val="left"/>
              <w:rPr>
                <w:sz w:val="18"/>
                <w:szCs w:val="18"/>
              </w:rPr>
            </w:pPr>
            <w:r w:rsidRPr="00834CDC">
              <w:rPr>
                <w:sz w:val="18"/>
                <w:szCs w:val="18"/>
              </w:rPr>
              <w:t>50+</w:t>
            </w:r>
          </w:p>
        </w:tc>
        <w:tc>
          <w:tcPr>
            <w:tcW w:w="45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F90112" w14:textId="77777777" w:rsidR="00B66781" w:rsidRPr="00834CDC" w:rsidRDefault="00B66781" w:rsidP="00EE7B8E">
            <w:pPr>
              <w:pStyle w:val="NormalWeb"/>
              <w:jc w:val="left"/>
              <w:rPr>
                <w:sz w:val="18"/>
                <w:szCs w:val="18"/>
              </w:rPr>
            </w:pPr>
            <w:r w:rsidRPr="00834CDC">
              <w:rPr>
                <w:sz w:val="18"/>
                <w:szCs w:val="18"/>
              </w:rPr>
              <w:t>Aboriginal and Torres Strait Islander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AAF86F" w14:textId="77777777" w:rsidR="00B66781" w:rsidRPr="00834CDC" w:rsidRDefault="00B66781" w:rsidP="003058F5">
            <w:pPr>
              <w:pStyle w:val="NormalWeb"/>
              <w:rPr>
                <w:sz w:val="18"/>
                <w:szCs w:val="18"/>
              </w:rPr>
            </w:pPr>
            <w:r w:rsidRPr="00834CDC">
              <w:rPr>
                <w:sz w:val="18"/>
                <w:szCs w:val="18"/>
              </w:rPr>
              <w:t>1–4</w:t>
            </w:r>
            <w:r w:rsidRPr="00D24B47">
              <w:rPr>
                <w:sz w:val="18"/>
                <w:szCs w:val="18"/>
                <w:vertAlign w:val="superscript"/>
              </w:rPr>
              <w:t>c</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09C5EB" w14:textId="77777777" w:rsidR="00B66781" w:rsidRPr="00834CDC" w:rsidRDefault="00B66781" w:rsidP="003058F5">
            <w:pPr>
              <w:pStyle w:val="NormalWeb"/>
              <w:rPr>
                <w:sz w:val="18"/>
                <w:szCs w:val="18"/>
              </w:rPr>
            </w:pPr>
            <w:r w:rsidRPr="00834CDC">
              <w:rPr>
                <w:sz w:val="18"/>
                <w:szCs w:val="18"/>
              </w:rPr>
              <w:t>0.87</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FA8B21" w14:textId="77777777" w:rsidR="00B66781" w:rsidRPr="00834CDC" w:rsidRDefault="00B66781" w:rsidP="003058F5">
            <w:pPr>
              <w:pStyle w:val="NormalWeb"/>
              <w:rPr>
                <w:sz w:val="18"/>
                <w:szCs w:val="18"/>
              </w:rPr>
            </w:pPr>
            <w:r w:rsidRPr="00834CDC">
              <w:rPr>
                <w:sz w:val="18"/>
                <w:szCs w:val="18"/>
              </w:rPr>
              <w:t>2.2</w:t>
            </w:r>
          </w:p>
        </w:tc>
        <w:tc>
          <w:tcPr>
            <w:tcW w:w="179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B86B1F" w14:textId="77777777" w:rsidR="00B66781" w:rsidRPr="00834CDC" w:rsidRDefault="00B66781" w:rsidP="003058F5">
            <w:pPr>
              <w:pStyle w:val="NormalWeb"/>
              <w:rPr>
                <w:sz w:val="18"/>
                <w:szCs w:val="18"/>
              </w:rPr>
            </w:pPr>
            <w:r w:rsidRPr="00834CDC">
              <w:rPr>
                <w:sz w:val="18"/>
                <w:szCs w:val="18"/>
              </w:rPr>
              <w:t>0.6–5.9</w:t>
            </w:r>
          </w:p>
        </w:tc>
      </w:tr>
      <w:tr w:rsidR="00EE7B8E" w:rsidRPr="00834CDC" w14:paraId="4A4EF076" w14:textId="77777777" w:rsidTr="00055F0B">
        <w:trPr>
          <w:cnfStyle w:val="000000010000" w:firstRow="0" w:lastRow="0" w:firstColumn="0" w:lastColumn="0" w:oddVBand="0" w:evenVBand="0" w:oddHBand="0" w:evenHBand="1" w:firstRowFirstColumn="0" w:firstRowLastColumn="0" w:lastRowFirstColumn="0" w:lastRowLastColumn="0"/>
          <w:divId w:val="1988506822"/>
        </w:trPr>
        <w:tc>
          <w:tcPr>
            <w:tcW w:w="141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83D7F3" w14:textId="77777777" w:rsidR="00B66781" w:rsidRPr="00834CDC" w:rsidRDefault="00B66781" w:rsidP="00EE7B8E">
            <w:pPr>
              <w:jc w:val="left"/>
              <w:rPr>
                <w:sz w:val="18"/>
                <w:szCs w:val="18"/>
              </w:rPr>
            </w:pPr>
          </w:p>
        </w:tc>
        <w:tc>
          <w:tcPr>
            <w:tcW w:w="45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002CEB" w14:textId="77777777" w:rsidR="00B66781" w:rsidRPr="00834CDC" w:rsidRDefault="00B66781" w:rsidP="00EE7B8E">
            <w:pPr>
              <w:pStyle w:val="NormalWeb"/>
              <w:jc w:val="left"/>
              <w:rPr>
                <w:sz w:val="18"/>
                <w:szCs w:val="18"/>
              </w:rPr>
            </w:pPr>
            <w:r w:rsidRPr="00834CDC">
              <w:rPr>
                <w:sz w:val="18"/>
                <w:szCs w:val="18"/>
              </w:rPr>
              <w:t>Other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C7EA39" w14:textId="77777777" w:rsidR="00B66781" w:rsidRPr="00834CDC" w:rsidRDefault="00B66781" w:rsidP="003058F5">
            <w:pPr>
              <w:pStyle w:val="NormalWeb"/>
              <w:rPr>
                <w:sz w:val="18"/>
                <w:szCs w:val="18"/>
              </w:rPr>
            </w:pPr>
            <w:r w:rsidRPr="00834CDC">
              <w:rPr>
                <w:sz w:val="18"/>
                <w:szCs w:val="18"/>
              </w:rPr>
              <w:t>110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713EAF" w14:textId="77777777" w:rsidR="00B66781" w:rsidRPr="00834CDC" w:rsidRDefault="00B66781" w:rsidP="003058F5">
            <w:pPr>
              <w:pStyle w:val="NormalWeb"/>
              <w:rPr>
                <w:sz w:val="18"/>
                <w:szCs w:val="18"/>
              </w:rPr>
            </w:pPr>
            <w:r w:rsidRPr="00834CDC">
              <w:rPr>
                <w:sz w:val="18"/>
                <w:szCs w:val="18"/>
              </w:rPr>
              <w:t>0.39</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7E9F55" w14:textId="77777777" w:rsidR="00B66781" w:rsidRPr="00834CDC" w:rsidRDefault="00B66781" w:rsidP="003058F5">
            <w:pPr>
              <w:rPr>
                <w:sz w:val="18"/>
                <w:szCs w:val="18"/>
              </w:rPr>
            </w:pPr>
          </w:p>
        </w:tc>
        <w:tc>
          <w:tcPr>
            <w:tcW w:w="179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B35EF7" w14:textId="77777777" w:rsidR="00B66781" w:rsidRPr="00834CDC" w:rsidRDefault="00B66781" w:rsidP="003058F5">
            <w:pPr>
              <w:rPr>
                <w:sz w:val="18"/>
                <w:szCs w:val="18"/>
              </w:rPr>
            </w:pPr>
          </w:p>
        </w:tc>
      </w:tr>
      <w:tr w:rsidR="00EE7B8E" w:rsidRPr="00834CDC" w14:paraId="3AE846FE" w14:textId="77777777" w:rsidTr="00055F0B">
        <w:trPr>
          <w:divId w:val="1988506822"/>
        </w:trPr>
        <w:tc>
          <w:tcPr>
            <w:tcW w:w="141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16BCAB0" w14:textId="15E6876C" w:rsidR="00B66781" w:rsidRPr="00834CDC" w:rsidRDefault="00B66781" w:rsidP="00EE7B8E">
            <w:pPr>
              <w:pStyle w:val="NormalWeb"/>
              <w:jc w:val="left"/>
              <w:rPr>
                <w:b/>
                <w:bCs/>
                <w:sz w:val="18"/>
                <w:szCs w:val="18"/>
              </w:rPr>
            </w:pPr>
            <w:r w:rsidRPr="00834CDC">
              <w:rPr>
                <w:b/>
                <w:bCs/>
                <w:sz w:val="18"/>
                <w:szCs w:val="18"/>
              </w:rPr>
              <w:t>All ages</w:t>
            </w:r>
            <w:r w:rsidR="00D24B47">
              <w:rPr>
                <w:b/>
                <w:bCs/>
                <w:sz w:val="18"/>
                <w:szCs w:val="18"/>
              </w:rPr>
              <w:t xml:space="preserve"> </w:t>
            </w:r>
            <w:r w:rsidRPr="00834CDC">
              <w:rPr>
                <w:b/>
                <w:bCs/>
                <w:sz w:val="18"/>
                <w:szCs w:val="18"/>
                <w:vertAlign w:val="superscript"/>
              </w:rPr>
              <w:t>d</w:t>
            </w:r>
          </w:p>
        </w:tc>
        <w:tc>
          <w:tcPr>
            <w:tcW w:w="45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F4BAA64" w14:textId="77777777" w:rsidR="00B66781" w:rsidRPr="00834CDC" w:rsidRDefault="00B66781" w:rsidP="00EE7B8E">
            <w:pPr>
              <w:pStyle w:val="NormalWeb"/>
              <w:jc w:val="left"/>
              <w:rPr>
                <w:b/>
                <w:bCs/>
                <w:sz w:val="18"/>
                <w:szCs w:val="18"/>
              </w:rPr>
            </w:pPr>
            <w:r w:rsidRPr="00834CDC">
              <w:rPr>
                <w:b/>
                <w:bCs/>
                <w:sz w:val="18"/>
                <w:szCs w:val="18"/>
              </w:rPr>
              <w:t>Aboriginal and Torres Strait Islander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4D479C0" w14:textId="77777777" w:rsidR="00B66781" w:rsidRPr="00834CDC" w:rsidRDefault="00B66781" w:rsidP="003058F5">
            <w:pPr>
              <w:pStyle w:val="NormalWeb"/>
              <w:rPr>
                <w:b/>
                <w:bCs/>
                <w:sz w:val="18"/>
                <w:szCs w:val="18"/>
              </w:rPr>
            </w:pPr>
            <w:r w:rsidRPr="00834CDC">
              <w:rPr>
                <w:b/>
                <w:bCs/>
                <w:sz w:val="18"/>
                <w:szCs w:val="18"/>
              </w:rPr>
              <w:t>102</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64F6FCC" w14:textId="77777777" w:rsidR="00B66781" w:rsidRPr="00834CDC" w:rsidRDefault="00B66781" w:rsidP="003058F5">
            <w:pPr>
              <w:pStyle w:val="NormalWeb"/>
              <w:rPr>
                <w:b/>
                <w:bCs/>
                <w:sz w:val="18"/>
                <w:szCs w:val="18"/>
              </w:rPr>
            </w:pPr>
            <w:r w:rsidRPr="00834CDC">
              <w:rPr>
                <w:b/>
                <w:bCs/>
                <w:sz w:val="18"/>
                <w:szCs w:val="18"/>
              </w:rPr>
              <w:t>3.20</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080D608" w14:textId="77777777" w:rsidR="00B66781" w:rsidRPr="00834CDC" w:rsidRDefault="00B66781" w:rsidP="003058F5">
            <w:pPr>
              <w:pStyle w:val="NormalWeb"/>
              <w:rPr>
                <w:b/>
                <w:bCs/>
                <w:sz w:val="18"/>
                <w:szCs w:val="18"/>
              </w:rPr>
            </w:pPr>
            <w:r w:rsidRPr="00834CDC">
              <w:rPr>
                <w:b/>
                <w:bCs/>
                <w:sz w:val="18"/>
                <w:szCs w:val="18"/>
              </w:rPr>
              <w:t>7.2</w:t>
            </w:r>
          </w:p>
        </w:tc>
        <w:tc>
          <w:tcPr>
            <w:tcW w:w="179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99F9A1E" w14:textId="77777777" w:rsidR="00B66781" w:rsidRPr="00834CDC" w:rsidRDefault="00B66781" w:rsidP="003058F5">
            <w:pPr>
              <w:pStyle w:val="NormalWeb"/>
              <w:rPr>
                <w:b/>
                <w:bCs/>
                <w:sz w:val="18"/>
                <w:szCs w:val="18"/>
              </w:rPr>
            </w:pPr>
            <w:r w:rsidRPr="00834CDC">
              <w:rPr>
                <w:b/>
                <w:bCs/>
                <w:sz w:val="18"/>
                <w:szCs w:val="18"/>
              </w:rPr>
              <w:t>5.7–9.1</w:t>
            </w:r>
          </w:p>
        </w:tc>
      </w:tr>
      <w:tr w:rsidR="00EE7B8E" w:rsidRPr="00834CDC" w14:paraId="626C0353" w14:textId="77777777" w:rsidTr="00055F0B">
        <w:trPr>
          <w:cnfStyle w:val="000000010000" w:firstRow="0" w:lastRow="0" w:firstColumn="0" w:lastColumn="0" w:oddVBand="0" w:evenVBand="0" w:oddHBand="0" w:evenHBand="1" w:firstRowFirstColumn="0" w:firstRowLastColumn="0" w:lastRowFirstColumn="0" w:lastRowLastColumn="0"/>
          <w:divId w:val="1988506822"/>
        </w:trPr>
        <w:tc>
          <w:tcPr>
            <w:tcW w:w="141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BF84CCC" w14:textId="77777777" w:rsidR="00B66781" w:rsidRPr="00834CDC" w:rsidRDefault="00B66781" w:rsidP="003058F5">
            <w:pPr>
              <w:rPr>
                <w:b/>
                <w:bCs/>
                <w:sz w:val="18"/>
                <w:szCs w:val="18"/>
              </w:rPr>
            </w:pPr>
          </w:p>
        </w:tc>
        <w:tc>
          <w:tcPr>
            <w:tcW w:w="45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FA715BB" w14:textId="77777777" w:rsidR="00B66781" w:rsidRPr="00834CDC" w:rsidRDefault="00B66781" w:rsidP="00EE7B8E">
            <w:pPr>
              <w:pStyle w:val="NormalWeb"/>
              <w:jc w:val="left"/>
              <w:rPr>
                <w:b/>
                <w:bCs/>
                <w:sz w:val="18"/>
                <w:szCs w:val="18"/>
              </w:rPr>
            </w:pPr>
            <w:r w:rsidRPr="00834CDC">
              <w:rPr>
                <w:b/>
                <w:bCs/>
                <w:sz w:val="18"/>
                <w:szCs w:val="18"/>
              </w:rPr>
              <w:t>Other</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7F9AF3A" w14:textId="77777777" w:rsidR="00B66781" w:rsidRPr="00834CDC" w:rsidRDefault="00B66781" w:rsidP="003058F5">
            <w:pPr>
              <w:pStyle w:val="NormalWeb"/>
              <w:rPr>
                <w:b/>
                <w:bCs/>
                <w:sz w:val="18"/>
                <w:szCs w:val="18"/>
              </w:rPr>
            </w:pPr>
            <w:r w:rsidRPr="00834CDC">
              <w:rPr>
                <w:b/>
                <w:bCs/>
                <w:sz w:val="18"/>
                <w:szCs w:val="18"/>
              </w:rPr>
              <w:t>370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0C42D7E" w14:textId="77777777" w:rsidR="00B66781" w:rsidRPr="00834CDC" w:rsidRDefault="00B66781" w:rsidP="003058F5">
            <w:pPr>
              <w:pStyle w:val="NormalWeb"/>
              <w:rPr>
                <w:b/>
                <w:bCs/>
                <w:sz w:val="18"/>
                <w:szCs w:val="18"/>
              </w:rPr>
            </w:pPr>
            <w:r w:rsidRPr="00834CDC">
              <w:rPr>
                <w:b/>
                <w:bCs/>
                <w:sz w:val="18"/>
                <w:szCs w:val="18"/>
              </w:rPr>
              <w:t>0.44</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1122A6B" w14:textId="77777777" w:rsidR="00B66781" w:rsidRPr="00834CDC" w:rsidRDefault="00B66781" w:rsidP="003058F5">
            <w:pPr>
              <w:rPr>
                <w:b/>
                <w:bCs/>
                <w:sz w:val="18"/>
                <w:szCs w:val="18"/>
              </w:rPr>
            </w:pPr>
          </w:p>
        </w:tc>
        <w:tc>
          <w:tcPr>
            <w:tcW w:w="179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0F21714" w14:textId="77777777" w:rsidR="00B66781" w:rsidRPr="00834CDC" w:rsidRDefault="00B66781" w:rsidP="003058F5">
            <w:pPr>
              <w:rPr>
                <w:b/>
                <w:bCs/>
                <w:sz w:val="18"/>
                <w:szCs w:val="18"/>
              </w:rPr>
            </w:pPr>
          </w:p>
        </w:tc>
      </w:tr>
    </w:tbl>
    <w:p w14:paraId="64C875AC" w14:textId="77777777" w:rsidR="00B66781" w:rsidRPr="00834CDC" w:rsidRDefault="00B66781" w:rsidP="00EE7B8E">
      <w:pPr>
        <w:pStyle w:val="CDIfootnotes"/>
        <w:divId w:val="1988506822"/>
      </w:pPr>
      <w:r w:rsidRPr="00834CDC">
        <w:t>a</w:t>
      </w:r>
      <w:r w:rsidRPr="00834CDC">
        <w:tab/>
      </w:r>
      <w:proofErr w:type="gramStart"/>
      <w:r w:rsidRPr="00834CDC">
        <w:t>Hospital admissions</w:t>
      </w:r>
      <w:proofErr w:type="gramEnd"/>
      <w:r w:rsidRPr="00834CDC">
        <w:t xml:space="preserve"> where the date of admission was between 1 January 2016 and 30 June 2019. 2019 hospitalisation data were annualised.</w:t>
      </w:r>
    </w:p>
    <w:p w14:paraId="795729B6" w14:textId="77777777" w:rsidR="00B66781" w:rsidRPr="00834CDC" w:rsidRDefault="00B66781" w:rsidP="00EE7B8E">
      <w:pPr>
        <w:pStyle w:val="CDIfootnotes"/>
        <w:divId w:val="1988506822"/>
      </w:pPr>
      <w:r w:rsidRPr="00834CDC">
        <w:t>b</w:t>
      </w:r>
      <w:r w:rsidRPr="00834CDC">
        <w:tab/>
        <w:t>Average annual age-specific rate per 100,000 population.</w:t>
      </w:r>
    </w:p>
    <w:p w14:paraId="1FE83058" w14:textId="77777777" w:rsidR="00B66781" w:rsidRPr="00834CDC" w:rsidRDefault="00B66781" w:rsidP="00EE7B8E">
      <w:pPr>
        <w:pStyle w:val="CDIfootnotes"/>
        <w:divId w:val="1988506822"/>
      </w:pPr>
      <w:r w:rsidRPr="00834CDC">
        <w:t>c</w:t>
      </w:r>
      <w:r w:rsidRPr="00834CDC">
        <w:tab/>
      </w:r>
      <w:proofErr w:type="gramStart"/>
      <w:r w:rsidRPr="00834CDC">
        <w:t>To</w:t>
      </w:r>
      <w:proofErr w:type="gramEnd"/>
      <w:r w:rsidRPr="00834CDC">
        <w:t xml:space="preserve"> comply with the AIHW’s data release condition that hospitalisation counts &lt; 5 be suppressed in published reports, counts between 1 and 4 are reported as a range.</w:t>
      </w:r>
    </w:p>
    <w:p w14:paraId="299351F3" w14:textId="77777777" w:rsidR="00B66781" w:rsidRPr="00834CDC" w:rsidRDefault="00B66781" w:rsidP="00EE7B8E">
      <w:pPr>
        <w:pStyle w:val="CDIfootnotes"/>
        <w:divId w:val="1988506822"/>
      </w:pPr>
      <w:r w:rsidRPr="00834CDC">
        <w:t>d</w:t>
      </w:r>
      <w:r w:rsidRPr="00834CDC">
        <w:tab/>
        <w:t>Rates for all ages combined are age-standardised to the ABS Australian population estimates for 2016.</w:t>
      </w:r>
    </w:p>
    <w:p w14:paraId="6AA09CFB" w14:textId="7A1CB5D6" w:rsidR="0033445F" w:rsidRPr="00834CDC" w:rsidRDefault="0033445F" w:rsidP="0033445F">
      <w:pPr>
        <w:pStyle w:val="Heading2"/>
        <w:divId w:val="1988506822"/>
      </w:pPr>
      <w:r w:rsidRPr="00834CDC">
        <w:lastRenderedPageBreak/>
        <w:t xml:space="preserve">Discussion </w:t>
      </w:r>
    </w:p>
    <w:p w14:paraId="2EB33708" w14:textId="77777777" w:rsidR="0033445F" w:rsidRPr="00834CDC" w:rsidRDefault="0033445F" w:rsidP="0033445F">
      <w:pPr>
        <w:divId w:val="1988506822"/>
      </w:pPr>
      <w:r w:rsidRPr="00834CDC">
        <w:t>The mumps notification rate was substantially higher among Aboriginal and Torres Strait Islander people in the 2016–2019 period (37.0 per 100,000 population per year) than in the 2011–2015 period (10.4 per 100,000 per year</w:t>
      </w:r>
      <w:proofErr w:type="gramStart"/>
      <w:r w:rsidRPr="00834CDC">
        <w:t>), but</w:t>
      </w:r>
      <w:proofErr w:type="gramEnd"/>
      <w:r w:rsidRPr="00834CDC">
        <w:t xml:space="preserve"> remained low in other people. This is due to a series of large mumps outbreaks, commencing in 2015 and lasting until 2018, with cases predominantly among adolescents and young adults in Aboriginal communities in northern Australia across multiple states and territories.</w:t>
      </w:r>
      <w:r w:rsidRPr="00834CDC">
        <w:rPr>
          <w:vertAlign w:val="superscript"/>
        </w:rPr>
        <w:t>32,33</w:t>
      </w:r>
      <w:r w:rsidRPr="00834CDC">
        <w:t xml:space="preserve"> Most cases had at least two documented doses of mumps vaccine.</w:t>
      </w:r>
      <w:r w:rsidRPr="00834CDC">
        <w:rPr>
          <w:vertAlign w:val="superscript"/>
        </w:rPr>
        <w:t>32,143</w:t>
      </w:r>
      <w:r w:rsidRPr="00834CDC">
        <w:t xml:space="preserve"> A similar outbreak in Aboriginal and Torres Strait Islander communities in the Kimberley in Western Australia was reported in 2007–2008, although with only half having received two doses of mumps vaccine.</w:t>
      </w:r>
      <w:r w:rsidRPr="00834CDC">
        <w:rPr>
          <w:vertAlign w:val="superscript"/>
        </w:rPr>
        <w:t>144,145</w:t>
      </w:r>
      <w:r w:rsidRPr="00834CDC">
        <w:t xml:space="preserve"> </w:t>
      </w:r>
    </w:p>
    <w:p w14:paraId="2C52EC53" w14:textId="77777777" w:rsidR="0033445F" w:rsidRPr="00834CDC" w:rsidRDefault="0033445F" w:rsidP="0033445F">
      <w:pPr>
        <w:divId w:val="1988506822"/>
      </w:pPr>
      <w:r w:rsidRPr="00834CDC">
        <w:t>Outbreaks of mumps have been increasingly observed globally among adolescent and young adult populations with high coverage of two doses of mumps-containing vaccine and living in close contact.</w:t>
      </w:r>
      <w:r w:rsidRPr="00834CDC">
        <w:rPr>
          <w:vertAlign w:val="superscript"/>
        </w:rPr>
        <w:t>32,146–153</w:t>
      </w:r>
      <w:r w:rsidRPr="00834CDC">
        <w:t xml:space="preserve"> Waning immunity and lower vaccine effectiveness has been reported with increasing time since vaccination, particularly among those who completed vaccination more than 10 years prior to disease exposure.</w:t>
      </w:r>
      <w:r w:rsidRPr="00834CDC">
        <w:rPr>
          <w:vertAlign w:val="superscript"/>
        </w:rPr>
        <w:t>154,155</w:t>
      </w:r>
      <w:r w:rsidRPr="00834CDC">
        <w:t xml:space="preserve"> In 2017, the United States Advisory Committee on Immunization Practices recommended a third dose of mumps-containing vaccine for groups at increased risk for mumps during an outbreak.</w:t>
      </w:r>
      <w:r w:rsidRPr="00834CDC">
        <w:rPr>
          <w:vertAlign w:val="superscript"/>
        </w:rPr>
        <w:t>156</w:t>
      </w:r>
      <w:r w:rsidRPr="00834CDC">
        <w:t xml:space="preserve"> Australian guidelines now state that adolescents and adults at risk of acquiring mumps in the context of an outbreak can receive a third dose of mumps-containing vaccine.</w:t>
      </w:r>
      <w:r w:rsidRPr="00834CDC">
        <w:rPr>
          <w:vertAlign w:val="superscript"/>
        </w:rPr>
        <w:t>63</w:t>
      </w:r>
      <w:r w:rsidRPr="00834CDC">
        <w:t xml:space="preserve"> </w:t>
      </w:r>
    </w:p>
    <w:p w14:paraId="521FAF24" w14:textId="248ED837" w:rsidR="00C16929" w:rsidRPr="00834CDC" w:rsidRDefault="0033445F" w:rsidP="00C16929">
      <w:pPr>
        <w:divId w:val="1988506822"/>
      </w:pPr>
      <w:r w:rsidRPr="00834CDC">
        <w:t>Immunity against mumps in the Australian population is moderate to high, with 82% demonstrating evidence of antibodies against mumps in a 2012–2013 serosurvey.</w:t>
      </w:r>
      <w:r w:rsidRPr="00834CDC">
        <w:rPr>
          <w:vertAlign w:val="superscript"/>
        </w:rPr>
        <w:t>157</w:t>
      </w:r>
      <w:r w:rsidRPr="00834CDC">
        <w:t xml:space="preserve"> However, this was lower than similar estimates for measles</w:t>
      </w:r>
      <w:r w:rsidRPr="00834CDC">
        <w:rPr>
          <w:vertAlign w:val="superscript"/>
        </w:rPr>
        <w:t>158</w:t>
      </w:r>
      <w:r w:rsidRPr="00834CDC">
        <w:t xml:space="preserve"> and rubella,</w:t>
      </w:r>
      <w:r w:rsidRPr="00834CDC">
        <w:rPr>
          <w:vertAlign w:val="superscript"/>
        </w:rPr>
        <w:t>159</w:t>
      </w:r>
      <w:r w:rsidRPr="00834CDC">
        <w:t xml:space="preserve"> the other components of the MMR vaccine, and is lower than the estimated threshold for herd immunity for mumps of 90–92%</w:t>
      </w:r>
      <w:r w:rsidRPr="00834CDC">
        <w:rPr>
          <w:vertAlign w:val="superscript"/>
        </w:rPr>
        <w:t>160</w:t>
      </w:r>
      <w:r w:rsidRPr="00834CDC">
        <w:t xml:space="preserve"> Despite this, widespread outbreaks across the population have not been observed. The outbreaks </w:t>
      </w:r>
      <w:proofErr w:type="gramStart"/>
      <w:r w:rsidRPr="00834CDC">
        <w:t>observed</w:t>
      </w:r>
      <w:proofErr w:type="gramEnd"/>
      <w:r w:rsidRPr="00834CDC">
        <w:t xml:space="preserve"> among Aboriginal and Torres Strait Islander communities in Australia are likely reflective of a combination of waning immunity from a two-dose vaccination course received a decade or more prior, in a close contact setting with high force of infection.</w:t>
      </w:r>
      <w:r w:rsidR="00C16929" w:rsidRPr="00834CDC">
        <w:rPr>
          <w:rFonts w:eastAsia="Times New Roman"/>
        </w:rPr>
        <w:br w:type="page"/>
      </w:r>
    </w:p>
    <w:p w14:paraId="2088BD13" w14:textId="41A33E67" w:rsidR="0033445F" w:rsidRPr="00834CDC" w:rsidRDefault="0033445F" w:rsidP="00395C89">
      <w:pPr>
        <w:pStyle w:val="Heading1"/>
        <w:divId w:val="1988506822"/>
      </w:pPr>
      <w:r w:rsidRPr="00834CDC">
        <w:lastRenderedPageBreak/>
        <w:t xml:space="preserve">10. Pertussis </w:t>
      </w:r>
    </w:p>
    <w:p w14:paraId="6B4D3068" w14:textId="4E886E72" w:rsidR="00565C43" w:rsidRPr="00834CDC" w:rsidRDefault="00565C43" w:rsidP="00287605">
      <w:pPr>
        <w:pStyle w:val="Heading2"/>
        <w:divId w:val="1988506822"/>
      </w:pPr>
      <w:r w:rsidRPr="00834CDC">
        <w:t>Relevant vaccine history</w:t>
      </w:r>
    </w:p>
    <w:p w14:paraId="6301E0AE" w14:textId="77777777" w:rsidR="00287605" w:rsidRPr="00834CDC" w:rsidRDefault="00287605" w:rsidP="00287605">
      <w:pPr>
        <w:divId w:val="1988506822"/>
      </w:pPr>
    </w:p>
    <w:p w14:paraId="26D5B953" w14:textId="719D33EB" w:rsidR="007723F9" w:rsidRPr="00834CDC" w:rsidRDefault="007723F9" w:rsidP="007723F9">
      <w:pPr>
        <w:divId w:val="1988506822"/>
      </w:pPr>
      <w:r w:rsidRPr="00834CDC">
        <w:rPr>
          <w:noProof/>
        </w:rPr>
        <mc:AlternateContent>
          <mc:Choice Requires="wps">
            <w:drawing>
              <wp:inline distT="0" distB="0" distL="0" distR="0" wp14:anchorId="790B74E5" wp14:editId="5306B29E">
                <wp:extent cx="6625424" cy="1404620"/>
                <wp:effectExtent l="0" t="0" r="4445" b="508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1404620"/>
                        </a:xfrm>
                        <a:prstGeom prst="rect">
                          <a:avLst/>
                        </a:prstGeom>
                        <a:solidFill>
                          <a:srgbClr val="F7ECDD"/>
                        </a:solidFill>
                        <a:ln w="9525">
                          <a:noFill/>
                          <a:miter lim="800000"/>
                          <a:headEnd/>
                          <a:tailEnd/>
                        </a:ln>
                      </wps:spPr>
                      <wps:txbx>
                        <w:txbxContent>
                          <w:p w14:paraId="694CEFF9" w14:textId="77777777" w:rsidR="007723F9" w:rsidRPr="007723F9" w:rsidRDefault="007723F9" w:rsidP="007723F9">
                            <w:pPr>
                              <w:spacing w:after="0" w:line="240" w:lineRule="auto"/>
                              <w:rPr>
                                <w:b/>
                                <w:bCs/>
                              </w:rPr>
                            </w:pPr>
                            <w:r w:rsidRPr="007723F9">
                              <w:rPr>
                                <w:b/>
                                <w:bCs/>
                              </w:rPr>
                              <w:t>1942</w:t>
                            </w:r>
                          </w:p>
                          <w:p w14:paraId="479F17BF" w14:textId="181B52F9" w:rsidR="007723F9" w:rsidRDefault="007723F9" w:rsidP="00653125">
                            <w:pPr>
                              <w:pStyle w:val="ListParagraph"/>
                              <w:numPr>
                                <w:ilvl w:val="0"/>
                                <w:numId w:val="31"/>
                              </w:numPr>
                              <w:spacing w:after="0" w:line="240" w:lineRule="auto"/>
                            </w:pPr>
                            <w:r>
                              <w:t>Pertussis vaccination programs started in most jurisdictions/territories using three doses of wholecell pertussis vaccine (Pw).</w:t>
                            </w:r>
                          </w:p>
                          <w:p w14:paraId="3D5ED0A1" w14:textId="77777777" w:rsidR="007723F9" w:rsidRPr="007723F9" w:rsidRDefault="007723F9" w:rsidP="007723F9">
                            <w:pPr>
                              <w:spacing w:after="0" w:line="240" w:lineRule="auto"/>
                              <w:rPr>
                                <w:b/>
                                <w:bCs/>
                              </w:rPr>
                            </w:pPr>
                            <w:r w:rsidRPr="007723F9">
                              <w:rPr>
                                <w:b/>
                                <w:bCs/>
                              </w:rPr>
                              <w:t>1975</w:t>
                            </w:r>
                          </w:p>
                          <w:p w14:paraId="79768CF2" w14:textId="6C6F52C6" w:rsidR="007723F9" w:rsidRDefault="007723F9" w:rsidP="00653125">
                            <w:pPr>
                              <w:pStyle w:val="ListParagraph"/>
                              <w:numPr>
                                <w:ilvl w:val="0"/>
                                <w:numId w:val="31"/>
                              </w:numPr>
                              <w:spacing w:after="0" w:line="240" w:lineRule="auto"/>
                            </w:pPr>
                            <w:r>
                              <w:t>First national vaccination schedule recommended and funded four DTPw</w:t>
                            </w:r>
                            <w:r w:rsidRPr="005B710F">
                              <w:rPr>
                                <w:vertAlign w:val="superscript"/>
                              </w:rPr>
                              <w:t>i</w:t>
                            </w:r>
                            <w:r>
                              <w:t xml:space="preserve"> vaccine doses for infants at 3, 4, 5 and 18 months of age.</w:t>
                            </w:r>
                          </w:p>
                          <w:p w14:paraId="540A25A9" w14:textId="77777777" w:rsidR="007723F9" w:rsidRPr="007723F9" w:rsidRDefault="007723F9" w:rsidP="007723F9">
                            <w:pPr>
                              <w:spacing w:after="0" w:line="240" w:lineRule="auto"/>
                              <w:rPr>
                                <w:b/>
                                <w:bCs/>
                              </w:rPr>
                            </w:pPr>
                            <w:r w:rsidRPr="007723F9">
                              <w:rPr>
                                <w:b/>
                                <w:bCs/>
                              </w:rPr>
                              <w:t>1994</w:t>
                            </w:r>
                          </w:p>
                          <w:p w14:paraId="2453A714" w14:textId="3817D092" w:rsidR="007723F9" w:rsidRDefault="007723F9" w:rsidP="00653125">
                            <w:pPr>
                              <w:pStyle w:val="ListParagraph"/>
                              <w:numPr>
                                <w:ilvl w:val="0"/>
                                <w:numId w:val="31"/>
                              </w:numPr>
                              <w:spacing w:after="0" w:line="240" w:lineRule="auto"/>
                            </w:pPr>
                            <w:r>
                              <w:t>Fifth dose of DTPw vaccine added at 4–5 years of age.</w:t>
                            </w:r>
                          </w:p>
                          <w:p w14:paraId="383D6636" w14:textId="77777777" w:rsidR="007723F9" w:rsidRPr="007723F9" w:rsidRDefault="007723F9" w:rsidP="007723F9">
                            <w:pPr>
                              <w:spacing w:after="0" w:line="240" w:lineRule="auto"/>
                              <w:rPr>
                                <w:b/>
                                <w:bCs/>
                              </w:rPr>
                            </w:pPr>
                            <w:r w:rsidRPr="007723F9">
                              <w:rPr>
                                <w:b/>
                                <w:bCs/>
                              </w:rPr>
                              <w:t>1999</w:t>
                            </w:r>
                          </w:p>
                          <w:p w14:paraId="2686E515" w14:textId="09A57F5D" w:rsidR="007723F9" w:rsidRDefault="007723F9" w:rsidP="00653125">
                            <w:pPr>
                              <w:pStyle w:val="ListParagraph"/>
                              <w:numPr>
                                <w:ilvl w:val="0"/>
                                <w:numId w:val="31"/>
                              </w:numPr>
                              <w:spacing w:after="0" w:line="240" w:lineRule="auto"/>
                            </w:pPr>
                            <w:r>
                              <w:t>DTPa</w:t>
                            </w:r>
                            <w:r w:rsidR="005B710F">
                              <w:t xml:space="preserve"> </w:t>
                            </w:r>
                            <w:r w:rsidRPr="005B710F">
                              <w:rPr>
                                <w:vertAlign w:val="superscript"/>
                              </w:rPr>
                              <w:t>ii</w:t>
                            </w:r>
                            <w:r>
                              <w:t xml:space="preserve"> vaccine recommended and funded for all five childhood doses.</w:t>
                            </w:r>
                          </w:p>
                          <w:p w14:paraId="200F2AB3" w14:textId="77777777" w:rsidR="007723F9" w:rsidRPr="007723F9" w:rsidRDefault="007723F9" w:rsidP="007723F9">
                            <w:pPr>
                              <w:spacing w:after="0" w:line="240" w:lineRule="auto"/>
                              <w:rPr>
                                <w:b/>
                                <w:bCs/>
                              </w:rPr>
                            </w:pPr>
                            <w:r w:rsidRPr="007723F9">
                              <w:rPr>
                                <w:b/>
                                <w:bCs/>
                              </w:rPr>
                              <w:t>2003</w:t>
                            </w:r>
                          </w:p>
                          <w:p w14:paraId="00E5E73A" w14:textId="00C477DA" w:rsidR="007723F9" w:rsidRDefault="007723F9" w:rsidP="00653125">
                            <w:pPr>
                              <w:pStyle w:val="ListParagraph"/>
                              <w:numPr>
                                <w:ilvl w:val="0"/>
                                <w:numId w:val="31"/>
                              </w:numPr>
                              <w:spacing w:after="0" w:line="240" w:lineRule="auto"/>
                            </w:pPr>
                            <w:r>
                              <w:t>18-month booster ceased.</w:t>
                            </w:r>
                          </w:p>
                          <w:p w14:paraId="0EE45984" w14:textId="718B576A" w:rsidR="007723F9" w:rsidRDefault="007723F9" w:rsidP="00653125">
                            <w:pPr>
                              <w:pStyle w:val="ListParagraph"/>
                              <w:numPr>
                                <w:ilvl w:val="0"/>
                                <w:numId w:val="31"/>
                              </w:numPr>
                              <w:spacing w:after="0" w:line="240" w:lineRule="auto"/>
                            </w:pPr>
                            <w:r>
                              <w:t>Adolescent dTpa</w:t>
                            </w:r>
                            <w:r w:rsidR="005B710F">
                              <w:t xml:space="preserve"> </w:t>
                            </w:r>
                            <w:r w:rsidRPr="005B710F">
                              <w:rPr>
                                <w:vertAlign w:val="superscript"/>
                              </w:rPr>
                              <w:t>iii</w:t>
                            </w:r>
                            <w:r>
                              <w:t xml:space="preserve"> booster introduced; the eligible age group varied in different jurisdictions.</w:t>
                            </w:r>
                          </w:p>
                          <w:p w14:paraId="694ACE54" w14:textId="77777777" w:rsidR="007723F9" w:rsidRPr="007723F9" w:rsidRDefault="007723F9" w:rsidP="007723F9">
                            <w:pPr>
                              <w:spacing w:after="0" w:line="240" w:lineRule="auto"/>
                              <w:rPr>
                                <w:b/>
                                <w:bCs/>
                              </w:rPr>
                            </w:pPr>
                            <w:r w:rsidRPr="007723F9">
                              <w:rPr>
                                <w:b/>
                                <w:bCs/>
                              </w:rPr>
                              <w:t>2008–2012</w:t>
                            </w:r>
                          </w:p>
                          <w:p w14:paraId="75DA6CC1" w14:textId="6DC78E00" w:rsidR="007723F9" w:rsidRDefault="007723F9" w:rsidP="00653125">
                            <w:pPr>
                              <w:pStyle w:val="ListParagraph"/>
                              <w:numPr>
                                <w:ilvl w:val="0"/>
                                <w:numId w:val="31"/>
                              </w:numPr>
                              <w:spacing w:after="0" w:line="240" w:lineRule="auto"/>
                            </w:pPr>
                            <w:r>
                              <w:t>dTpa vaccine funded temporarily by various jurisdictions for parents/contacts of infants under cocoon strategy during an epidemic. Program timing and eligibility criteria differed between jurisdictions.</w:t>
                            </w:r>
                          </w:p>
                          <w:p w14:paraId="578B106A" w14:textId="77777777" w:rsidR="007723F9" w:rsidRPr="007723F9" w:rsidRDefault="007723F9" w:rsidP="007723F9">
                            <w:pPr>
                              <w:spacing w:after="0" w:line="240" w:lineRule="auto"/>
                              <w:rPr>
                                <w:b/>
                                <w:bCs/>
                              </w:rPr>
                            </w:pPr>
                            <w:r w:rsidRPr="007723F9">
                              <w:rPr>
                                <w:b/>
                                <w:bCs/>
                              </w:rPr>
                              <w:t>2013</w:t>
                            </w:r>
                          </w:p>
                          <w:p w14:paraId="0D01865B" w14:textId="3431E3FA" w:rsidR="007723F9" w:rsidRDefault="007723F9" w:rsidP="00653125">
                            <w:pPr>
                              <w:pStyle w:val="ListParagraph"/>
                              <w:numPr>
                                <w:ilvl w:val="0"/>
                                <w:numId w:val="31"/>
                              </w:numPr>
                              <w:spacing w:after="0" w:line="240" w:lineRule="auto"/>
                            </w:pPr>
                            <w:r>
                              <w:t>A dose of dTpa vaccine recommended for adults aged &gt; 65 years, if 10 years or more since the last dose.</w:t>
                            </w:r>
                          </w:p>
                          <w:p w14:paraId="0E8C0E5A" w14:textId="32EB3B8C" w:rsidR="007723F9" w:rsidRDefault="007723F9" w:rsidP="00653125">
                            <w:pPr>
                              <w:pStyle w:val="ListParagraph"/>
                              <w:numPr>
                                <w:ilvl w:val="0"/>
                                <w:numId w:val="31"/>
                              </w:numPr>
                              <w:spacing w:after="0" w:line="240" w:lineRule="auto"/>
                            </w:pPr>
                            <w:r>
                              <w:t>dTpa vaccine recommended for women, either during pre-pregnancy planning, during the third trimester or as soon as possible after delivery.</w:t>
                            </w:r>
                          </w:p>
                          <w:p w14:paraId="2E0F5C80" w14:textId="77777777" w:rsidR="007723F9" w:rsidRPr="007723F9" w:rsidRDefault="007723F9" w:rsidP="007723F9">
                            <w:pPr>
                              <w:spacing w:after="0" w:line="240" w:lineRule="auto"/>
                              <w:rPr>
                                <w:b/>
                                <w:bCs/>
                              </w:rPr>
                            </w:pPr>
                            <w:r w:rsidRPr="007723F9">
                              <w:rPr>
                                <w:b/>
                                <w:bCs/>
                              </w:rPr>
                              <w:t>2014–2015</w:t>
                            </w:r>
                          </w:p>
                          <w:p w14:paraId="1E5C711F" w14:textId="05AAEBAE" w:rsidR="007723F9" w:rsidRDefault="007723F9" w:rsidP="00653125">
                            <w:pPr>
                              <w:pStyle w:val="ListParagraph"/>
                              <w:numPr>
                                <w:ilvl w:val="0"/>
                                <w:numId w:val="31"/>
                              </w:numPr>
                              <w:spacing w:after="0" w:line="240" w:lineRule="auto"/>
                            </w:pPr>
                            <w:r>
                              <w:t>dTpa vaccine funded for pregnant women by all jurisdictions. Program timing differed between jurisdictions.</w:t>
                            </w:r>
                          </w:p>
                          <w:p w14:paraId="5B6C64D6" w14:textId="77777777" w:rsidR="007723F9" w:rsidRPr="007723F9" w:rsidRDefault="007723F9" w:rsidP="007723F9">
                            <w:pPr>
                              <w:spacing w:after="0" w:line="240" w:lineRule="auto"/>
                              <w:rPr>
                                <w:b/>
                                <w:bCs/>
                              </w:rPr>
                            </w:pPr>
                            <w:r w:rsidRPr="007723F9">
                              <w:rPr>
                                <w:b/>
                                <w:bCs/>
                              </w:rPr>
                              <w:t>2016</w:t>
                            </w:r>
                          </w:p>
                          <w:p w14:paraId="686556E2" w14:textId="25D3B7C9" w:rsidR="007723F9" w:rsidRDefault="007723F9" w:rsidP="00653125">
                            <w:pPr>
                              <w:pStyle w:val="ListParagraph"/>
                              <w:numPr>
                                <w:ilvl w:val="0"/>
                                <w:numId w:val="31"/>
                              </w:numPr>
                              <w:spacing w:after="0" w:line="240" w:lineRule="auto"/>
                            </w:pPr>
                            <w:r>
                              <w:t>DTPa 18-month booster dose funded.</w:t>
                            </w:r>
                          </w:p>
                          <w:p w14:paraId="12C30095" w14:textId="77777777" w:rsidR="007723F9" w:rsidRPr="007723F9" w:rsidRDefault="007723F9" w:rsidP="007723F9">
                            <w:pPr>
                              <w:spacing w:after="0" w:line="240" w:lineRule="auto"/>
                              <w:rPr>
                                <w:b/>
                                <w:bCs/>
                              </w:rPr>
                            </w:pPr>
                            <w:r w:rsidRPr="007723F9">
                              <w:rPr>
                                <w:b/>
                                <w:bCs/>
                              </w:rPr>
                              <w:t>2017</w:t>
                            </w:r>
                          </w:p>
                          <w:p w14:paraId="5DFA1DDB" w14:textId="348D5515" w:rsidR="007723F9" w:rsidRDefault="007723F9" w:rsidP="00653125">
                            <w:pPr>
                              <w:pStyle w:val="ListParagraph"/>
                              <w:numPr>
                                <w:ilvl w:val="0"/>
                                <w:numId w:val="31"/>
                              </w:numPr>
                              <w:spacing w:after="0" w:line="240" w:lineRule="auto"/>
                            </w:pPr>
                            <w:r>
                              <w:t>The combined DTPa-IPV-Hib vaccine became unavailable for use in Australia.</w:t>
                            </w:r>
                          </w:p>
                          <w:p w14:paraId="5F585092" w14:textId="77777777" w:rsidR="007723F9" w:rsidRPr="007723F9" w:rsidRDefault="007723F9" w:rsidP="007723F9">
                            <w:pPr>
                              <w:spacing w:after="0" w:line="240" w:lineRule="auto"/>
                              <w:rPr>
                                <w:b/>
                                <w:bCs/>
                              </w:rPr>
                            </w:pPr>
                            <w:r w:rsidRPr="007723F9">
                              <w:rPr>
                                <w:b/>
                                <w:bCs/>
                              </w:rPr>
                              <w:t>2018</w:t>
                            </w:r>
                          </w:p>
                          <w:p w14:paraId="74B9977D" w14:textId="1453CC90" w:rsidR="007723F9" w:rsidRDefault="007723F9" w:rsidP="00653125">
                            <w:pPr>
                              <w:pStyle w:val="ListParagraph"/>
                              <w:numPr>
                                <w:ilvl w:val="0"/>
                                <w:numId w:val="31"/>
                              </w:numPr>
                              <w:spacing w:after="0" w:line="240" w:lineRule="auto"/>
                            </w:pPr>
                            <w:r>
                              <w:t>dTpa vaccine funded under the NIP for all pregnant women during the third trimester, replacing previous state funding.</w:t>
                            </w:r>
                          </w:p>
                        </w:txbxContent>
                      </wps:txbx>
                      <wps:bodyPr rot="0" vert="horz" wrap="square" lIns="91440" tIns="45720" rIns="91440" bIns="45720" anchor="t" anchorCtr="0">
                        <a:spAutoFit/>
                      </wps:bodyPr>
                    </wps:wsp>
                  </a:graphicData>
                </a:graphic>
              </wp:inline>
            </w:drawing>
          </mc:Choice>
          <mc:Fallback>
            <w:pict>
              <v:shape w14:anchorId="790B74E5" id="_x0000_s1034"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" fillcolor="#f7ecdd" stroked="f">
                <v:textbox style="mso-fit-shape-to-text:t">
                  <w:txbxContent>
                    <w:p w14:paraId="694CEFF9" w14:textId="77777777" w:rsidR="007723F9" w:rsidRPr="007723F9" w:rsidRDefault="007723F9" w:rsidP="007723F9">
                      <w:pPr>
                        <w:spacing w:after="0" w:line="240" w:lineRule="auto"/>
                        <w:rPr>
                          <w:b/>
                          <w:bCs/>
                        </w:rPr>
                      </w:pPr>
                      <w:r w:rsidRPr="007723F9">
                        <w:rPr>
                          <w:b/>
                          <w:bCs/>
                        </w:rPr>
                        <w:t>1942</w:t>
                      </w:r>
                    </w:p>
                    <w:p w14:paraId="479F17BF" w14:textId="181B52F9" w:rsidR="007723F9" w:rsidRDefault="007723F9" w:rsidP="00653125">
                      <w:pPr>
                        <w:pStyle w:val="ListParagraph"/>
                        <w:numPr>
                          <w:ilvl w:val="0"/>
                          <w:numId w:val="31"/>
                        </w:numPr>
                        <w:spacing w:after="0" w:line="240" w:lineRule="auto"/>
                      </w:pPr>
                      <w:r>
                        <w:t>Pertussis vaccination programs started in most jurisdictions/territories using three doses of wholecell pertussis vaccine (Pw).</w:t>
                      </w:r>
                    </w:p>
                    <w:p w14:paraId="3D5ED0A1" w14:textId="77777777" w:rsidR="007723F9" w:rsidRPr="007723F9" w:rsidRDefault="007723F9" w:rsidP="007723F9">
                      <w:pPr>
                        <w:spacing w:after="0" w:line="240" w:lineRule="auto"/>
                        <w:rPr>
                          <w:b/>
                          <w:bCs/>
                        </w:rPr>
                      </w:pPr>
                      <w:r w:rsidRPr="007723F9">
                        <w:rPr>
                          <w:b/>
                          <w:bCs/>
                        </w:rPr>
                        <w:t>1975</w:t>
                      </w:r>
                    </w:p>
                    <w:p w14:paraId="79768CF2" w14:textId="6C6F52C6" w:rsidR="007723F9" w:rsidRDefault="007723F9" w:rsidP="00653125">
                      <w:pPr>
                        <w:pStyle w:val="ListParagraph"/>
                        <w:numPr>
                          <w:ilvl w:val="0"/>
                          <w:numId w:val="31"/>
                        </w:numPr>
                        <w:spacing w:after="0" w:line="240" w:lineRule="auto"/>
                      </w:pPr>
                      <w:r>
                        <w:t>First national vaccination schedule recommended and funded four DTPw</w:t>
                      </w:r>
                      <w:r w:rsidRPr="005B710F">
                        <w:rPr>
                          <w:vertAlign w:val="superscript"/>
                        </w:rPr>
                        <w:t>i</w:t>
                      </w:r>
                      <w:r>
                        <w:t xml:space="preserve"> vaccine doses for infants at 3, 4, 5 and 18 months of age.</w:t>
                      </w:r>
                    </w:p>
                    <w:p w14:paraId="540A25A9" w14:textId="77777777" w:rsidR="007723F9" w:rsidRPr="007723F9" w:rsidRDefault="007723F9" w:rsidP="007723F9">
                      <w:pPr>
                        <w:spacing w:after="0" w:line="240" w:lineRule="auto"/>
                        <w:rPr>
                          <w:b/>
                          <w:bCs/>
                        </w:rPr>
                      </w:pPr>
                      <w:r w:rsidRPr="007723F9">
                        <w:rPr>
                          <w:b/>
                          <w:bCs/>
                        </w:rPr>
                        <w:t>1994</w:t>
                      </w:r>
                    </w:p>
                    <w:p w14:paraId="2453A714" w14:textId="3817D092" w:rsidR="007723F9" w:rsidRDefault="007723F9" w:rsidP="00653125">
                      <w:pPr>
                        <w:pStyle w:val="ListParagraph"/>
                        <w:numPr>
                          <w:ilvl w:val="0"/>
                          <w:numId w:val="31"/>
                        </w:numPr>
                        <w:spacing w:after="0" w:line="240" w:lineRule="auto"/>
                      </w:pPr>
                      <w:r>
                        <w:t>Fifth dose of DTPw vaccine added at 4–5 years of age.</w:t>
                      </w:r>
                    </w:p>
                    <w:p w14:paraId="383D6636" w14:textId="77777777" w:rsidR="007723F9" w:rsidRPr="007723F9" w:rsidRDefault="007723F9" w:rsidP="007723F9">
                      <w:pPr>
                        <w:spacing w:after="0" w:line="240" w:lineRule="auto"/>
                        <w:rPr>
                          <w:b/>
                          <w:bCs/>
                        </w:rPr>
                      </w:pPr>
                      <w:r w:rsidRPr="007723F9">
                        <w:rPr>
                          <w:b/>
                          <w:bCs/>
                        </w:rPr>
                        <w:t>1999</w:t>
                      </w:r>
                    </w:p>
                    <w:p w14:paraId="2686E515" w14:textId="09A57F5D" w:rsidR="007723F9" w:rsidRDefault="007723F9" w:rsidP="00653125">
                      <w:pPr>
                        <w:pStyle w:val="ListParagraph"/>
                        <w:numPr>
                          <w:ilvl w:val="0"/>
                          <w:numId w:val="31"/>
                        </w:numPr>
                        <w:spacing w:after="0" w:line="240" w:lineRule="auto"/>
                      </w:pPr>
                      <w:r>
                        <w:t>DTPa</w:t>
                      </w:r>
                      <w:r w:rsidR="005B710F">
                        <w:t xml:space="preserve"> </w:t>
                      </w:r>
                      <w:r w:rsidRPr="005B710F">
                        <w:rPr>
                          <w:vertAlign w:val="superscript"/>
                        </w:rPr>
                        <w:t>ii</w:t>
                      </w:r>
                      <w:r>
                        <w:t xml:space="preserve"> vaccine recommended and funded for all five childhood doses.</w:t>
                      </w:r>
                    </w:p>
                    <w:p w14:paraId="200F2AB3" w14:textId="77777777" w:rsidR="007723F9" w:rsidRPr="007723F9" w:rsidRDefault="007723F9" w:rsidP="007723F9">
                      <w:pPr>
                        <w:spacing w:after="0" w:line="240" w:lineRule="auto"/>
                        <w:rPr>
                          <w:b/>
                          <w:bCs/>
                        </w:rPr>
                      </w:pPr>
                      <w:r w:rsidRPr="007723F9">
                        <w:rPr>
                          <w:b/>
                          <w:bCs/>
                        </w:rPr>
                        <w:t>2003</w:t>
                      </w:r>
                    </w:p>
                    <w:p w14:paraId="00E5E73A" w14:textId="00C477DA" w:rsidR="007723F9" w:rsidRDefault="007723F9" w:rsidP="00653125">
                      <w:pPr>
                        <w:pStyle w:val="ListParagraph"/>
                        <w:numPr>
                          <w:ilvl w:val="0"/>
                          <w:numId w:val="31"/>
                        </w:numPr>
                        <w:spacing w:after="0" w:line="240" w:lineRule="auto"/>
                      </w:pPr>
                      <w:r>
                        <w:t>18-month booster ceased.</w:t>
                      </w:r>
                    </w:p>
                    <w:p w14:paraId="0EE45984" w14:textId="718B576A" w:rsidR="007723F9" w:rsidRDefault="007723F9" w:rsidP="00653125">
                      <w:pPr>
                        <w:pStyle w:val="ListParagraph"/>
                        <w:numPr>
                          <w:ilvl w:val="0"/>
                          <w:numId w:val="31"/>
                        </w:numPr>
                        <w:spacing w:after="0" w:line="240" w:lineRule="auto"/>
                      </w:pPr>
                      <w:r>
                        <w:t>Adolescent dTpa</w:t>
                      </w:r>
                      <w:r w:rsidR="005B710F">
                        <w:t xml:space="preserve"> </w:t>
                      </w:r>
                      <w:r w:rsidRPr="005B710F">
                        <w:rPr>
                          <w:vertAlign w:val="superscript"/>
                        </w:rPr>
                        <w:t>iii</w:t>
                      </w:r>
                      <w:r>
                        <w:t xml:space="preserve"> booster introduced; the eligible age group varied in different jurisdictions.</w:t>
                      </w:r>
                    </w:p>
                    <w:p w14:paraId="694ACE54" w14:textId="77777777" w:rsidR="007723F9" w:rsidRPr="007723F9" w:rsidRDefault="007723F9" w:rsidP="007723F9">
                      <w:pPr>
                        <w:spacing w:after="0" w:line="240" w:lineRule="auto"/>
                        <w:rPr>
                          <w:b/>
                          <w:bCs/>
                        </w:rPr>
                      </w:pPr>
                      <w:r w:rsidRPr="007723F9">
                        <w:rPr>
                          <w:b/>
                          <w:bCs/>
                        </w:rPr>
                        <w:t>2008–2012</w:t>
                      </w:r>
                    </w:p>
                    <w:p w14:paraId="75DA6CC1" w14:textId="6DC78E00" w:rsidR="007723F9" w:rsidRDefault="007723F9" w:rsidP="00653125">
                      <w:pPr>
                        <w:pStyle w:val="ListParagraph"/>
                        <w:numPr>
                          <w:ilvl w:val="0"/>
                          <w:numId w:val="31"/>
                        </w:numPr>
                        <w:spacing w:after="0" w:line="240" w:lineRule="auto"/>
                      </w:pPr>
                      <w:r>
                        <w:t>dTpa vaccine funded temporarily by various jurisdictions for parents/contacts of infants under cocoon strategy during an epidemic. Program timing and eligibility criteria differed between jurisdictions.</w:t>
                      </w:r>
                    </w:p>
                    <w:p w14:paraId="578B106A" w14:textId="77777777" w:rsidR="007723F9" w:rsidRPr="007723F9" w:rsidRDefault="007723F9" w:rsidP="007723F9">
                      <w:pPr>
                        <w:spacing w:after="0" w:line="240" w:lineRule="auto"/>
                        <w:rPr>
                          <w:b/>
                          <w:bCs/>
                        </w:rPr>
                      </w:pPr>
                      <w:r w:rsidRPr="007723F9">
                        <w:rPr>
                          <w:b/>
                          <w:bCs/>
                        </w:rPr>
                        <w:t>2013</w:t>
                      </w:r>
                    </w:p>
                    <w:p w14:paraId="0D01865B" w14:textId="3431E3FA" w:rsidR="007723F9" w:rsidRDefault="007723F9" w:rsidP="00653125">
                      <w:pPr>
                        <w:pStyle w:val="ListParagraph"/>
                        <w:numPr>
                          <w:ilvl w:val="0"/>
                          <w:numId w:val="31"/>
                        </w:numPr>
                        <w:spacing w:after="0" w:line="240" w:lineRule="auto"/>
                      </w:pPr>
                      <w:r>
                        <w:t>A dose of dTpa vaccine recommended for adults aged &gt; 65 years, if 10 years or more since the last dose.</w:t>
                      </w:r>
                    </w:p>
                    <w:p w14:paraId="0E8C0E5A" w14:textId="32EB3B8C" w:rsidR="007723F9" w:rsidRDefault="007723F9" w:rsidP="00653125">
                      <w:pPr>
                        <w:pStyle w:val="ListParagraph"/>
                        <w:numPr>
                          <w:ilvl w:val="0"/>
                          <w:numId w:val="31"/>
                        </w:numPr>
                        <w:spacing w:after="0" w:line="240" w:lineRule="auto"/>
                      </w:pPr>
                      <w:r>
                        <w:t>dTpa vaccine recommended for women, either during pre-pregnancy planning, during the third trimester or as soon as possible after delivery.</w:t>
                      </w:r>
                    </w:p>
                    <w:p w14:paraId="2E0F5C80" w14:textId="77777777" w:rsidR="007723F9" w:rsidRPr="007723F9" w:rsidRDefault="007723F9" w:rsidP="007723F9">
                      <w:pPr>
                        <w:spacing w:after="0" w:line="240" w:lineRule="auto"/>
                        <w:rPr>
                          <w:b/>
                          <w:bCs/>
                        </w:rPr>
                      </w:pPr>
                      <w:r w:rsidRPr="007723F9">
                        <w:rPr>
                          <w:b/>
                          <w:bCs/>
                        </w:rPr>
                        <w:t>2014–2015</w:t>
                      </w:r>
                    </w:p>
                    <w:p w14:paraId="1E5C711F" w14:textId="05AAEBAE" w:rsidR="007723F9" w:rsidRDefault="007723F9" w:rsidP="00653125">
                      <w:pPr>
                        <w:pStyle w:val="ListParagraph"/>
                        <w:numPr>
                          <w:ilvl w:val="0"/>
                          <w:numId w:val="31"/>
                        </w:numPr>
                        <w:spacing w:after="0" w:line="240" w:lineRule="auto"/>
                      </w:pPr>
                      <w:r>
                        <w:t>dTpa vaccine funded for pregnant women by all jurisdictions. Program timing differed between jurisdictions.</w:t>
                      </w:r>
                    </w:p>
                    <w:p w14:paraId="5B6C64D6" w14:textId="77777777" w:rsidR="007723F9" w:rsidRPr="007723F9" w:rsidRDefault="007723F9" w:rsidP="007723F9">
                      <w:pPr>
                        <w:spacing w:after="0" w:line="240" w:lineRule="auto"/>
                        <w:rPr>
                          <w:b/>
                          <w:bCs/>
                        </w:rPr>
                      </w:pPr>
                      <w:r w:rsidRPr="007723F9">
                        <w:rPr>
                          <w:b/>
                          <w:bCs/>
                        </w:rPr>
                        <w:t>2016</w:t>
                      </w:r>
                    </w:p>
                    <w:p w14:paraId="686556E2" w14:textId="25D3B7C9" w:rsidR="007723F9" w:rsidRDefault="007723F9" w:rsidP="00653125">
                      <w:pPr>
                        <w:pStyle w:val="ListParagraph"/>
                        <w:numPr>
                          <w:ilvl w:val="0"/>
                          <w:numId w:val="31"/>
                        </w:numPr>
                        <w:spacing w:after="0" w:line="240" w:lineRule="auto"/>
                      </w:pPr>
                      <w:r>
                        <w:t>DTPa 18-month booster dose funded.</w:t>
                      </w:r>
                    </w:p>
                    <w:p w14:paraId="12C30095" w14:textId="77777777" w:rsidR="007723F9" w:rsidRPr="007723F9" w:rsidRDefault="007723F9" w:rsidP="007723F9">
                      <w:pPr>
                        <w:spacing w:after="0" w:line="240" w:lineRule="auto"/>
                        <w:rPr>
                          <w:b/>
                          <w:bCs/>
                        </w:rPr>
                      </w:pPr>
                      <w:r w:rsidRPr="007723F9">
                        <w:rPr>
                          <w:b/>
                          <w:bCs/>
                        </w:rPr>
                        <w:t>2017</w:t>
                      </w:r>
                    </w:p>
                    <w:p w14:paraId="5DFA1DDB" w14:textId="348D5515" w:rsidR="007723F9" w:rsidRDefault="007723F9" w:rsidP="00653125">
                      <w:pPr>
                        <w:pStyle w:val="ListParagraph"/>
                        <w:numPr>
                          <w:ilvl w:val="0"/>
                          <w:numId w:val="31"/>
                        </w:numPr>
                        <w:spacing w:after="0" w:line="240" w:lineRule="auto"/>
                      </w:pPr>
                      <w:r>
                        <w:t>The combined DTPa-IPV-Hib vaccine became unavailable for use in Australia.</w:t>
                      </w:r>
                    </w:p>
                    <w:p w14:paraId="5F585092" w14:textId="77777777" w:rsidR="007723F9" w:rsidRPr="007723F9" w:rsidRDefault="007723F9" w:rsidP="007723F9">
                      <w:pPr>
                        <w:spacing w:after="0" w:line="240" w:lineRule="auto"/>
                        <w:rPr>
                          <w:b/>
                          <w:bCs/>
                        </w:rPr>
                      </w:pPr>
                      <w:r w:rsidRPr="007723F9">
                        <w:rPr>
                          <w:b/>
                          <w:bCs/>
                        </w:rPr>
                        <w:t>2018</w:t>
                      </w:r>
                    </w:p>
                    <w:p w14:paraId="74B9977D" w14:textId="1453CC90" w:rsidR="007723F9" w:rsidRDefault="007723F9" w:rsidP="00653125">
                      <w:pPr>
                        <w:pStyle w:val="ListParagraph"/>
                        <w:numPr>
                          <w:ilvl w:val="0"/>
                          <w:numId w:val="31"/>
                        </w:numPr>
                        <w:spacing w:after="0" w:line="240" w:lineRule="auto"/>
                      </w:pPr>
                      <w:r>
                        <w:t>dTpa vaccine funded under the NIP for all pregnant women during the third trimester, replacing previous state funding.</w:t>
                      </w:r>
                    </w:p>
                  </w:txbxContent>
                </v:textbox>
                <w10:anchorlock/>
              </v:shape>
            </w:pict>
          </mc:Fallback>
        </mc:AlternateContent>
      </w:r>
    </w:p>
    <w:p w14:paraId="4BB9AE22" w14:textId="7DB25F60" w:rsidR="009C338A" w:rsidRPr="00834CDC" w:rsidRDefault="009C338A" w:rsidP="009C338A">
      <w:pPr>
        <w:pStyle w:val="CDIfootnotes"/>
        <w:divId w:val="1988506822"/>
      </w:pPr>
      <w:proofErr w:type="spellStart"/>
      <w:r w:rsidRPr="00834CDC">
        <w:t>i</w:t>
      </w:r>
      <w:proofErr w:type="spellEnd"/>
      <w:r w:rsidRPr="00834CDC">
        <w:tab/>
      </w:r>
      <w:proofErr w:type="spellStart"/>
      <w:r w:rsidRPr="00834CDC">
        <w:t>DTPw</w:t>
      </w:r>
      <w:proofErr w:type="spellEnd"/>
      <w:r w:rsidRPr="00834CDC">
        <w:t>: diphtheria, tetanus and pertussis (</w:t>
      </w:r>
      <w:proofErr w:type="gramStart"/>
      <w:r w:rsidRPr="00834CDC">
        <w:t>whole-cell</w:t>
      </w:r>
      <w:proofErr w:type="gramEnd"/>
      <w:r w:rsidRPr="00834CDC">
        <w:t xml:space="preserve">). </w:t>
      </w:r>
    </w:p>
    <w:p w14:paraId="2D5A3C7F" w14:textId="34A37453" w:rsidR="009C338A" w:rsidRPr="00834CDC" w:rsidRDefault="009C338A" w:rsidP="009C338A">
      <w:pPr>
        <w:pStyle w:val="CDIfootnotes"/>
        <w:divId w:val="1988506822"/>
      </w:pPr>
      <w:r w:rsidRPr="00834CDC">
        <w:t>ii</w:t>
      </w:r>
      <w:r w:rsidRPr="00834CDC">
        <w:tab/>
      </w:r>
      <w:proofErr w:type="spellStart"/>
      <w:r w:rsidRPr="00834CDC">
        <w:t>DTPa</w:t>
      </w:r>
      <w:proofErr w:type="spellEnd"/>
      <w:r w:rsidRPr="00834CDC">
        <w:t xml:space="preserve">: diphtheria, </w:t>
      </w:r>
      <w:proofErr w:type="gramStart"/>
      <w:r w:rsidRPr="00834CDC">
        <w:t>tetanus</w:t>
      </w:r>
      <w:proofErr w:type="gramEnd"/>
      <w:r w:rsidRPr="00834CDC">
        <w:t xml:space="preserve"> and pertussis (acellular). </w:t>
      </w:r>
    </w:p>
    <w:p w14:paraId="36DDB1E9" w14:textId="2B63F464" w:rsidR="009C338A" w:rsidRPr="00834CDC" w:rsidRDefault="009C338A" w:rsidP="009C338A">
      <w:pPr>
        <w:pStyle w:val="CDIfootnotes"/>
        <w:divId w:val="1988506822"/>
      </w:pPr>
      <w:r w:rsidRPr="00834CDC">
        <w:t>iii</w:t>
      </w:r>
      <w:r w:rsidRPr="00834CDC">
        <w:tab/>
      </w:r>
      <w:proofErr w:type="spellStart"/>
      <w:r w:rsidRPr="00834CDC">
        <w:t>dTpa</w:t>
      </w:r>
      <w:proofErr w:type="spellEnd"/>
      <w:r w:rsidRPr="00834CDC">
        <w:t xml:space="preserve">: diphtheria, </w:t>
      </w:r>
      <w:proofErr w:type="gramStart"/>
      <w:r w:rsidRPr="00834CDC">
        <w:t>tetanus</w:t>
      </w:r>
      <w:proofErr w:type="gramEnd"/>
      <w:r w:rsidRPr="00834CDC">
        <w:t xml:space="preserve"> and pertussis (acellular), reduced antigen content.</w:t>
      </w:r>
    </w:p>
    <w:p w14:paraId="423A8738" w14:textId="77777777" w:rsidR="0033445F" w:rsidRPr="00834CDC" w:rsidRDefault="0033445F" w:rsidP="0033445F">
      <w:pPr>
        <w:divId w:val="1988506822"/>
      </w:pPr>
      <w:r w:rsidRPr="00834CDC">
        <w:t xml:space="preserve">Pertussis (whooping cough) is caused by </w:t>
      </w:r>
      <w:r w:rsidRPr="00834CDC">
        <w:rPr>
          <w:rStyle w:val="Emphasis"/>
          <w:b w:val="0"/>
          <w:bCs w:val="0"/>
        </w:rPr>
        <w:t>Bordetella pertussis</w:t>
      </w:r>
      <w:r w:rsidRPr="00834CDC">
        <w:t>, a gram-negative bacterium.</w:t>
      </w:r>
      <w:r w:rsidRPr="00834CDC">
        <w:rPr>
          <w:vertAlign w:val="superscript"/>
        </w:rPr>
        <w:t>161</w:t>
      </w:r>
      <w:r w:rsidRPr="00834CDC">
        <w:t xml:space="preserve"> The disease is characterised by an insidious onset of minor upper respiratory symptoms, minimal fever and mild cough, with more typical pertussis symptoms of paroxysmal cough starting approximately 1–2 weeks after symptom onset.</w:t>
      </w:r>
      <w:r w:rsidRPr="00834CDC">
        <w:rPr>
          <w:vertAlign w:val="superscript"/>
        </w:rPr>
        <w:t>161</w:t>
      </w:r>
      <w:r w:rsidRPr="00834CDC">
        <w:t xml:space="preserve"> During this paroxysmal stage, the cough is most severe, characterised by the typical whooping sound, and can be associated with vomiting and exhaustion.</w:t>
      </w:r>
      <w:r w:rsidRPr="00834CDC">
        <w:rPr>
          <w:vertAlign w:val="superscript"/>
        </w:rPr>
        <w:t>161</w:t>
      </w:r>
      <w:r w:rsidRPr="00834CDC">
        <w:t xml:space="preserve"> Complications include pneumonia, seizures and hypoxic encephalopathy, and can lead to death.</w:t>
      </w:r>
      <w:r w:rsidRPr="00834CDC">
        <w:rPr>
          <w:vertAlign w:val="superscript"/>
        </w:rPr>
        <w:t>161</w:t>
      </w:r>
      <w:r w:rsidRPr="00834CDC">
        <w:t xml:space="preserve"> The vast majority of deaths occur in infants aged &lt; 6 months, with the case-fatality rate in unvaccinated infants &lt; 6 months of age 0.8%.</w:t>
      </w:r>
      <w:r w:rsidRPr="00834CDC">
        <w:rPr>
          <w:vertAlign w:val="superscript"/>
        </w:rPr>
        <w:t>63</w:t>
      </w:r>
      <w:r w:rsidRPr="00834CDC">
        <w:t xml:space="preserve"> </w:t>
      </w:r>
    </w:p>
    <w:p w14:paraId="7CB4DB16" w14:textId="77777777" w:rsidR="007F2F52" w:rsidRPr="00834CDC" w:rsidRDefault="007F2F52">
      <w:pPr>
        <w:rPr>
          <w:rFonts w:asciiTheme="majorHAnsi" w:eastAsiaTheme="majorEastAsia" w:hAnsiTheme="majorHAnsi" w:cstheme="majorBidi"/>
          <w:b/>
          <w:bCs/>
          <w:sz w:val="26"/>
          <w:szCs w:val="26"/>
        </w:rPr>
      </w:pPr>
      <w:r w:rsidRPr="00834CDC">
        <w:br w:type="page"/>
      </w:r>
    </w:p>
    <w:p w14:paraId="5A62418A" w14:textId="06AB825D" w:rsidR="0033445F" w:rsidRPr="00834CDC" w:rsidRDefault="0033445F" w:rsidP="0033445F">
      <w:pPr>
        <w:pStyle w:val="Heading2"/>
        <w:divId w:val="1988506822"/>
      </w:pPr>
      <w:r w:rsidRPr="00834CDC">
        <w:lastRenderedPageBreak/>
        <w:t xml:space="preserve">Results </w:t>
      </w:r>
    </w:p>
    <w:p w14:paraId="06792EF1" w14:textId="77777777" w:rsidR="0033445F" w:rsidRPr="00834CDC" w:rsidRDefault="0033445F" w:rsidP="0033445F">
      <w:pPr>
        <w:divId w:val="1988506822"/>
      </w:pPr>
      <w:r w:rsidRPr="00834CDC">
        <w:t xml:space="preserve">In total, 56,963 pertussis notifications </w:t>
      </w:r>
      <w:proofErr w:type="gramStart"/>
      <w:r w:rsidRPr="00834CDC">
        <w:t>were recorded</w:t>
      </w:r>
      <w:proofErr w:type="gramEnd"/>
      <w:r w:rsidRPr="00834CDC">
        <w:t xml:space="preserve"> for the 2016–2019 period for all ages combined, with Aboriginal and Torres Strait Islander status reported for 33,701 (59.2%). When restricting analyses to notifications with a reported Aboriginal and Torres Strait Islander status (i.e., omitting those with an unknown status), 5.5% (1,855/33,701) </w:t>
      </w:r>
      <w:proofErr w:type="gramStart"/>
      <w:r w:rsidRPr="00834CDC">
        <w:t>were reported</w:t>
      </w:r>
      <w:proofErr w:type="gramEnd"/>
      <w:r w:rsidRPr="00834CDC">
        <w:t xml:space="preserve"> as being in Aboriginal and Torres Strait Islander people. Aboriginal and Torres Strait Islander status completeness was higher at 92.6% (7,054/7,615) among children younger than 5 years of age. Completeness was &lt; 70% in other age groups (58.7% in 5–14 years; 52.6% in 15–24 years; 48.8% in 25–49 years; 50.8% in ≥ 50 years); therefore, pertussis notification rates by Aboriginal and Torres Strait Islander status are presented for children under the age of 5 years only (see Chapter 1 for further information on Aboriginal and Torres Strait Islander status data completeness). </w:t>
      </w:r>
    </w:p>
    <w:p w14:paraId="720A84ED" w14:textId="213DC185" w:rsidR="0033445F" w:rsidRPr="00834CDC" w:rsidRDefault="0033445F" w:rsidP="0033445F">
      <w:pPr>
        <w:divId w:val="1988506822"/>
      </w:pPr>
      <w:r w:rsidRPr="00834CDC">
        <w:t xml:space="preserve">Pertussis notification data for all states and territories in children younger than 5 years of age for the 2016–2019 period </w:t>
      </w:r>
      <w:proofErr w:type="gramStart"/>
      <w:r w:rsidRPr="00834CDC">
        <w:t>are</w:t>
      </w:r>
      <w:proofErr w:type="gramEnd"/>
      <w:r w:rsidRPr="00834CDC">
        <w:t xml:space="preserve"> presented in Table 16. A total of 7,615 notifications </w:t>
      </w:r>
      <w:proofErr w:type="gramStart"/>
      <w:r w:rsidRPr="00834CDC">
        <w:t>were recorded</w:t>
      </w:r>
      <w:proofErr w:type="gramEnd"/>
      <w:r w:rsidRPr="00834CDC">
        <w:t xml:space="preserve"> during the reporting period in this age group, 636 of which (8.4%) were in Aboriginal and Torres Strait Islander children. The highest notification rate of pertussis among Aboriginal and Torres Strait Islander children was in the &lt; 6 months age group (323.2 per 100,000 per year), whilst for other Australian children it was in the 6–11 months age group (136.1 per 100,000 per year). The pertussis notification rate was significantly higher among Aboriginal and Torres Strait Islander than other children in all age groups, and particularly in the &lt; 6 months age group (RR: 2.8; 95% CI: 2.3–3.4). Overall, in children under 5 years old, the rate ratio was 1.4 (95% CI: 1.3–1.6).</w:t>
      </w:r>
    </w:p>
    <w:p w14:paraId="02CD6AE8" w14:textId="77777777" w:rsidR="009B03F8" w:rsidRPr="00834CDC" w:rsidRDefault="009B03F8" w:rsidP="009B03F8">
      <w:pPr>
        <w:pStyle w:val="CDIFigures"/>
        <w:divId w:val="1988506822"/>
      </w:pPr>
      <w:r w:rsidRPr="00834CDC">
        <w:rPr>
          <w:rStyle w:val="Strong"/>
          <w:b/>
          <w:bCs w:val="0"/>
        </w:rPr>
        <w:t>Table 16: Pertussis notifications, Australia (all states and territories), 2016–2019, for selected age groups by Aboriginal and Torres Strait Islander status</w:t>
      </w:r>
    </w:p>
    <w:tbl>
      <w:tblPr>
        <w:tblStyle w:val="CDI-StandardTable"/>
        <w:tblW w:w="0" w:type="auto"/>
        <w:tblLook w:val="04A0" w:firstRow="1" w:lastRow="0" w:firstColumn="1" w:lastColumn="0" w:noHBand="0" w:noVBand="1"/>
        <w:tblDescription w:val="Table 16 shows the number and rates per 100,000 population of pertussis notifications by age (under 5 years of age) and Aboriginal and Torres Strait Islander status, Australia, 2016 to 2019.&#10;"/>
      </w:tblPr>
      <w:tblGrid>
        <w:gridCol w:w="1492"/>
        <w:gridCol w:w="4574"/>
        <w:gridCol w:w="850"/>
        <w:gridCol w:w="851"/>
        <w:gridCol w:w="992"/>
        <w:gridCol w:w="1651"/>
      </w:tblGrid>
      <w:tr w:rsidR="009B03F8" w:rsidRPr="00834CDC" w14:paraId="3F37596D" w14:textId="77777777" w:rsidTr="00337FA1">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val="restart"/>
            <w:hideMark/>
          </w:tcPr>
          <w:p w14:paraId="1D8AFB7C" w14:textId="77777777" w:rsidR="009B03F8" w:rsidRPr="00834CDC" w:rsidRDefault="009B03F8" w:rsidP="003058F5">
            <w:pPr>
              <w:pStyle w:val="NormalWeb"/>
              <w:rPr>
                <w:sz w:val="18"/>
                <w:szCs w:val="18"/>
              </w:rPr>
            </w:pPr>
            <w:r w:rsidRPr="00834CDC">
              <w:rPr>
                <w:sz w:val="18"/>
                <w:szCs w:val="18"/>
              </w:rPr>
              <w:t>Age group (years)</w:t>
            </w:r>
            <w:r w:rsidRPr="00460EF6">
              <w:rPr>
                <w:sz w:val="18"/>
                <w:szCs w:val="18"/>
                <w:vertAlign w:val="superscript"/>
              </w:rPr>
              <w:t>a</w:t>
            </w:r>
          </w:p>
        </w:tc>
        <w:tc>
          <w:tcPr>
            <w:tcW w:w="4574" w:type="dxa"/>
            <w:vMerge w:val="restart"/>
            <w:hideMark/>
          </w:tcPr>
          <w:p w14:paraId="77DE762C" w14:textId="77777777" w:rsidR="009B03F8" w:rsidRPr="00834CDC" w:rsidRDefault="009B03F8" w:rsidP="00F966BF">
            <w:pPr>
              <w:pStyle w:val="NormalWeb"/>
              <w:jc w:val="left"/>
              <w:rPr>
                <w:sz w:val="18"/>
                <w:szCs w:val="18"/>
              </w:rPr>
            </w:pPr>
            <w:r w:rsidRPr="00834CDC">
              <w:rPr>
                <w:sz w:val="18"/>
                <w:szCs w:val="18"/>
              </w:rPr>
              <w:t>Aboriginal and Torres Strait Islander status</w:t>
            </w:r>
          </w:p>
        </w:tc>
        <w:tc>
          <w:tcPr>
            <w:tcW w:w="4344" w:type="dxa"/>
            <w:gridSpan w:val="4"/>
            <w:hideMark/>
          </w:tcPr>
          <w:p w14:paraId="2C687AAF" w14:textId="7C3901DB" w:rsidR="009B03F8" w:rsidRPr="00834CDC" w:rsidRDefault="009B03F8" w:rsidP="003058F5">
            <w:pPr>
              <w:pStyle w:val="NormalWeb"/>
              <w:rPr>
                <w:sz w:val="18"/>
                <w:szCs w:val="18"/>
              </w:rPr>
            </w:pPr>
            <w:r w:rsidRPr="00834CDC">
              <w:rPr>
                <w:sz w:val="18"/>
                <w:szCs w:val="18"/>
              </w:rPr>
              <w:t>Notifications</w:t>
            </w:r>
            <w:r w:rsidR="008B2178" w:rsidRPr="00834CDC">
              <w:rPr>
                <w:sz w:val="18"/>
                <w:szCs w:val="18"/>
              </w:rPr>
              <w:t xml:space="preserve"> </w:t>
            </w:r>
            <w:r w:rsidRPr="00834CDC">
              <w:rPr>
                <w:sz w:val="18"/>
                <w:szCs w:val="18"/>
                <w:vertAlign w:val="superscript"/>
              </w:rPr>
              <w:t>b</w:t>
            </w:r>
            <w:r w:rsidRPr="00834CDC">
              <w:rPr>
                <w:sz w:val="18"/>
                <w:szCs w:val="18"/>
              </w:rPr>
              <w:t xml:space="preserve"> (2016–2019)</w:t>
            </w:r>
          </w:p>
        </w:tc>
      </w:tr>
      <w:tr w:rsidR="00337FA1" w:rsidRPr="00834CDC" w14:paraId="66FB2167" w14:textId="77777777" w:rsidTr="00337FA1">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tcBorders>
              <w:bottom w:val="single" w:sz="2" w:space="0" w:color="808080" w:themeColor="background1" w:themeShade="80"/>
            </w:tcBorders>
            <w:hideMark/>
          </w:tcPr>
          <w:p w14:paraId="496E79DF" w14:textId="77777777" w:rsidR="009B03F8" w:rsidRPr="00834CDC" w:rsidRDefault="009B03F8" w:rsidP="003058F5">
            <w:pPr>
              <w:rPr>
                <w:sz w:val="18"/>
                <w:szCs w:val="18"/>
              </w:rPr>
            </w:pPr>
          </w:p>
        </w:tc>
        <w:tc>
          <w:tcPr>
            <w:tcW w:w="4574" w:type="dxa"/>
            <w:vMerge/>
            <w:tcBorders>
              <w:bottom w:val="single" w:sz="2" w:space="0" w:color="808080" w:themeColor="background1" w:themeShade="80"/>
            </w:tcBorders>
            <w:hideMark/>
          </w:tcPr>
          <w:p w14:paraId="2E464098" w14:textId="77777777" w:rsidR="009B03F8" w:rsidRPr="00834CDC" w:rsidRDefault="009B03F8" w:rsidP="003058F5">
            <w:pPr>
              <w:rPr>
                <w:sz w:val="18"/>
                <w:szCs w:val="18"/>
              </w:rPr>
            </w:pPr>
          </w:p>
        </w:tc>
        <w:tc>
          <w:tcPr>
            <w:tcW w:w="850" w:type="dxa"/>
            <w:tcBorders>
              <w:bottom w:val="single" w:sz="2" w:space="0" w:color="808080" w:themeColor="background1" w:themeShade="80"/>
            </w:tcBorders>
            <w:hideMark/>
          </w:tcPr>
          <w:p w14:paraId="5828E63A" w14:textId="77777777" w:rsidR="009B03F8" w:rsidRPr="00834CDC" w:rsidRDefault="009B03F8" w:rsidP="003058F5">
            <w:pPr>
              <w:pStyle w:val="NormalWeb"/>
              <w:rPr>
                <w:sz w:val="18"/>
                <w:szCs w:val="18"/>
              </w:rPr>
            </w:pPr>
            <w:r w:rsidRPr="00834CDC">
              <w:rPr>
                <w:sz w:val="18"/>
                <w:szCs w:val="18"/>
              </w:rPr>
              <w:t>N</w:t>
            </w:r>
          </w:p>
        </w:tc>
        <w:tc>
          <w:tcPr>
            <w:tcW w:w="851" w:type="dxa"/>
            <w:tcBorders>
              <w:bottom w:val="single" w:sz="2" w:space="0" w:color="808080" w:themeColor="background1" w:themeShade="80"/>
            </w:tcBorders>
            <w:hideMark/>
          </w:tcPr>
          <w:p w14:paraId="34152533" w14:textId="3A8E32A0" w:rsidR="009B03F8" w:rsidRPr="00834CDC" w:rsidRDefault="009B03F8" w:rsidP="003058F5">
            <w:pPr>
              <w:pStyle w:val="NormalWeb"/>
              <w:rPr>
                <w:sz w:val="18"/>
                <w:szCs w:val="18"/>
              </w:rPr>
            </w:pPr>
            <w:r w:rsidRPr="00834CDC">
              <w:rPr>
                <w:sz w:val="18"/>
                <w:szCs w:val="18"/>
              </w:rPr>
              <w:t>Rate</w:t>
            </w:r>
            <w:r w:rsidR="008B2178" w:rsidRPr="00834CDC">
              <w:rPr>
                <w:sz w:val="18"/>
                <w:szCs w:val="18"/>
              </w:rPr>
              <w:t xml:space="preserve"> </w:t>
            </w:r>
            <w:r w:rsidRPr="00834CDC">
              <w:rPr>
                <w:sz w:val="18"/>
                <w:szCs w:val="18"/>
                <w:vertAlign w:val="superscript"/>
              </w:rPr>
              <w:t>c</w:t>
            </w:r>
          </w:p>
        </w:tc>
        <w:tc>
          <w:tcPr>
            <w:tcW w:w="992" w:type="dxa"/>
            <w:tcBorders>
              <w:bottom w:val="single" w:sz="2" w:space="0" w:color="808080" w:themeColor="background1" w:themeShade="80"/>
            </w:tcBorders>
            <w:hideMark/>
          </w:tcPr>
          <w:p w14:paraId="2A40DF1C" w14:textId="77777777" w:rsidR="009B03F8" w:rsidRPr="00834CDC" w:rsidRDefault="009B03F8" w:rsidP="003058F5">
            <w:pPr>
              <w:pStyle w:val="NormalWeb"/>
              <w:rPr>
                <w:sz w:val="18"/>
                <w:szCs w:val="18"/>
              </w:rPr>
            </w:pPr>
            <w:r w:rsidRPr="00834CDC">
              <w:rPr>
                <w:sz w:val="18"/>
                <w:szCs w:val="18"/>
              </w:rPr>
              <w:t>Rate ratio</w:t>
            </w:r>
          </w:p>
        </w:tc>
        <w:tc>
          <w:tcPr>
            <w:tcW w:w="1651" w:type="dxa"/>
            <w:tcBorders>
              <w:bottom w:val="single" w:sz="2" w:space="0" w:color="808080" w:themeColor="background1" w:themeShade="80"/>
            </w:tcBorders>
            <w:hideMark/>
          </w:tcPr>
          <w:p w14:paraId="15BBF6E3" w14:textId="77777777" w:rsidR="009B03F8" w:rsidRPr="00834CDC" w:rsidRDefault="009B03F8" w:rsidP="003058F5">
            <w:pPr>
              <w:pStyle w:val="NormalWeb"/>
              <w:rPr>
                <w:sz w:val="18"/>
                <w:szCs w:val="18"/>
              </w:rPr>
            </w:pPr>
            <w:proofErr w:type="gramStart"/>
            <w:r w:rsidRPr="00834CDC">
              <w:rPr>
                <w:sz w:val="18"/>
                <w:szCs w:val="18"/>
              </w:rPr>
              <w:t>95%</w:t>
            </w:r>
            <w:proofErr w:type="gramEnd"/>
            <w:r w:rsidRPr="00834CDC">
              <w:rPr>
                <w:sz w:val="18"/>
                <w:szCs w:val="18"/>
              </w:rPr>
              <w:t xml:space="preserve"> CI for rate ratio</w:t>
            </w:r>
          </w:p>
        </w:tc>
      </w:tr>
      <w:tr w:rsidR="009B03F8" w:rsidRPr="00834CDC" w14:paraId="362F925B" w14:textId="77777777" w:rsidTr="00337FA1">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3D5C6F" w14:textId="77777777" w:rsidR="009B03F8" w:rsidRPr="00834CDC" w:rsidRDefault="009B03F8" w:rsidP="00337FA1">
            <w:pPr>
              <w:pStyle w:val="NormalWeb"/>
              <w:jc w:val="left"/>
              <w:rPr>
                <w:sz w:val="18"/>
                <w:szCs w:val="18"/>
              </w:rPr>
            </w:pPr>
            <w:r w:rsidRPr="00834CDC">
              <w:rPr>
                <w:sz w:val="18"/>
                <w:szCs w:val="18"/>
              </w:rPr>
              <w:t>&lt; 1</w:t>
            </w:r>
          </w:p>
        </w:tc>
        <w:tc>
          <w:tcPr>
            <w:tcW w:w="45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0FFD5F" w14:textId="77777777" w:rsidR="009B03F8" w:rsidRPr="00834CDC" w:rsidRDefault="009B03F8" w:rsidP="00F966BF">
            <w:pPr>
              <w:pStyle w:val="NormalWeb"/>
              <w:jc w:val="left"/>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77E054" w14:textId="77777777" w:rsidR="009B03F8" w:rsidRPr="00834CDC" w:rsidRDefault="009B03F8" w:rsidP="003058F5">
            <w:pPr>
              <w:pStyle w:val="NormalWeb"/>
              <w:rPr>
                <w:sz w:val="18"/>
                <w:szCs w:val="18"/>
              </w:rPr>
            </w:pPr>
            <w:r w:rsidRPr="00834CDC">
              <w:rPr>
                <w:sz w:val="18"/>
                <w:szCs w:val="18"/>
              </w:rPr>
              <w:t>205</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E5E6E8" w14:textId="77777777" w:rsidR="009B03F8" w:rsidRPr="00834CDC" w:rsidRDefault="009B03F8" w:rsidP="003058F5">
            <w:pPr>
              <w:pStyle w:val="NormalWeb"/>
              <w:rPr>
                <w:sz w:val="18"/>
                <w:szCs w:val="18"/>
              </w:rPr>
            </w:pPr>
            <w:r w:rsidRPr="00834CDC">
              <w:rPr>
                <w:sz w:val="18"/>
                <w:szCs w:val="18"/>
              </w:rPr>
              <w:t>267.18</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D83DCD" w14:textId="77777777" w:rsidR="009B03F8" w:rsidRPr="00834CDC" w:rsidRDefault="009B03F8" w:rsidP="003058F5">
            <w:pPr>
              <w:pStyle w:val="NormalWeb"/>
              <w:rPr>
                <w:sz w:val="18"/>
                <w:szCs w:val="18"/>
              </w:rPr>
            </w:pPr>
            <w:r w:rsidRPr="00834CDC">
              <w:rPr>
                <w:sz w:val="18"/>
                <w:szCs w:val="18"/>
              </w:rPr>
              <w:t>2.1</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C7D47D" w14:textId="77777777" w:rsidR="009B03F8" w:rsidRPr="00834CDC" w:rsidRDefault="009B03F8" w:rsidP="003058F5">
            <w:pPr>
              <w:pStyle w:val="NormalWeb"/>
              <w:rPr>
                <w:sz w:val="18"/>
                <w:szCs w:val="18"/>
              </w:rPr>
            </w:pPr>
            <w:r w:rsidRPr="00834CDC">
              <w:rPr>
                <w:sz w:val="18"/>
                <w:szCs w:val="18"/>
              </w:rPr>
              <w:t>1.8 – 2.5</w:t>
            </w:r>
          </w:p>
        </w:tc>
      </w:tr>
      <w:tr w:rsidR="00337FA1" w:rsidRPr="00834CDC" w14:paraId="62805ABB" w14:textId="77777777" w:rsidTr="00337FA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0E89D2" w14:textId="77777777" w:rsidR="009B03F8" w:rsidRPr="00834CDC" w:rsidRDefault="009B03F8" w:rsidP="003058F5">
            <w:pPr>
              <w:rPr>
                <w:sz w:val="18"/>
                <w:szCs w:val="18"/>
              </w:rPr>
            </w:pPr>
          </w:p>
        </w:tc>
        <w:tc>
          <w:tcPr>
            <w:tcW w:w="45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CA122E" w14:textId="77777777" w:rsidR="009B03F8" w:rsidRPr="00834CDC" w:rsidRDefault="009B03F8" w:rsidP="00F966BF">
            <w:pPr>
              <w:pStyle w:val="NormalWeb"/>
              <w:jc w:val="left"/>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286732" w14:textId="77777777" w:rsidR="009B03F8" w:rsidRPr="00834CDC" w:rsidRDefault="009B03F8" w:rsidP="003058F5">
            <w:pPr>
              <w:pStyle w:val="NormalWeb"/>
              <w:rPr>
                <w:sz w:val="18"/>
                <w:szCs w:val="18"/>
              </w:rPr>
            </w:pPr>
            <w:r w:rsidRPr="00834CDC">
              <w:rPr>
                <w:sz w:val="18"/>
                <w:szCs w:val="18"/>
              </w:rPr>
              <w:t>1,440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0BC5FF" w14:textId="77777777" w:rsidR="009B03F8" w:rsidRPr="00834CDC" w:rsidRDefault="009B03F8" w:rsidP="003058F5">
            <w:pPr>
              <w:pStyle w:val="NormalWeb"/>
              <w:rPr>
                <w:sz w:val="18"/>
                <w:szCs w:val="18"/>
              </w:rPr>
            </w:pPr>
            <w:r w:rsidRPr="00834CDC">
              <w:rPr>
                <w:sz w:val="18"/>
                <w:szCs w:val="18"/>
              </w:rPr>
              <w:t>124.67</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B7C9DC" w14:textId="77777777" w:rsidR="009B03F8" w:rsidRPr="00834CDC" w:rsidRDefault="009B03F8" w:rsidP="003058F5">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C7F14A" w14:textId="77777777" w:rsidR="009B03F8" w:rsidRPr="00834CDC" w:rsidRDefault="009B03F8" w:rsidP="003058F5">
            <w:pPr>
              <w:rPr>
                <w:sz w:val="18"/>
                <w:szCs w:val="18"/>
              </w:rPr>
            </w:pPr>
          </w:p>
        </w:tc>
      </w:tr>
      <w:tr w:rsidR="009B03F8" w:rsidRPr="00834CDC" w14:paraId="0EFCA404" w14:textId="77777777" w:rsidTr="00337FA1">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259045" w14:textId="77777777" w:rsidR="009B03F8" w:rsidRPr="00834CDC" w:rsidRDefault="009B03F8" w:rsidP="00337FA1">
            <w:pPr>
              <w:pStyle w:val="NormalWeb"/>
              <w:jc w:val="right"/>
              <w:rPr>
                <w:sz w:val="18"/>
                <w:szCs w:val="18"/>
              </w:rPr>
            </w:pPr>
            <w:r w:rsidRPr="00834CDC">
              <w:rPr>
                <w:sz w:val="18"/>
                <w:szCs w:val="18"/>
              </w:rPr>
              <w:t>&lt; 6 months</w:t>
            </w:r>
          </w:p>
        </w:tc>
        <w:tc>
          <w:tcPr>
            <w:tcW w:w="45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1CAD30" w14:textId="77777777" w:rsidR="009B03F8" w:rsidRPr="00834CDC" w:rsidRDefault="009B03F8" w:rsidP="00F966BF">
            <w:pPr>
              <w:pStyle w:val="NormalWeb"/>
              <w:jc w:val="left"/>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2CE9AB" w14:textId="77777777" w:rsidR="009B03F8" w:rsidRPr="00834CDC" w:rsidRDefault="009B03F8" w:rsidP="003058F5">
            <w:pPr>
              <w:pStyle w:val="NormalWeb"/>
              <w:rPr>
                <w:sz w:val="18"/>
                <w:szCs w:val="18"/>
              </w:rPr>
            </w:pPr>
            <w:r w:rsidRPr="00834CDC">
              <w:rPr>
                <w:sz w:val="18"/>
                <w:szCs w:val="18"/>
              </w:rPr>
              <w:t>124</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0D4028" w14:textId="77777777" w:rsidR="009B03F8" w:rsidRPr="00834CDC" w:rsidRDefault="009B03F8" w:rsidP="003058F5">
            <w:pPr>
              <w:pStyle w:val="NormalWeb"/>
              <w:rPr>
                <w:sz w:val="18"/>
                <w:szCs w:val="18"/>
              </w:rPr>
            </w:pPr>
            <w:r w:rsidRPr="00834CDC">
              <w:rPr>
                <w:sz w:val="18"/>
                <w:szCs w:val="18"/>
              </w:rPr>
              <w:t>323.23</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62FBE6" w14:textId="77777777" w:rsidR="009B03F8" w:rsidRPr="00834CDC" w:rsidRDefault="009B03F8" w:rsidP="003058F5">
            <w:pPr>
              <w:pStyle w:val="NormalWeb"/>
              <w:rPr>
                <w:sz w:val="18"/>
                <w:szCs w:val="18"/>
              </w:rPr>
            </w:pPr>
            <w:r w:rsidRPr="00834CDC">
              <w:rPr>
                <w:sz w:val="18"/>
                <w:szCs w:val="18"/>
              </w:rPr>
              <w:t>2.8</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667753" w14:textId="77777777" w:rsidR="009B03F8" w:rsidRPr="00834CDC" w:rsidRDefault="009B03F8" w:rsidP="003058F5">
            <w:pPr>
              <w:pStyle w:val="NormalWeb"/>
              <w:rPr>
                <w:sz w:val="18"/>
                <w:szCs w:val="18"/>
              </w:rPr>
            </w:pPr>
            <w:r w:rsidRPr="00834CDC">
              <w:rPr>
                <w:sz w:val="18"/>
                <w:szCs w:val="18"/>
              </w:rPr>
              <w:t>2.3 – 3.4</w:t>
            </w:r>
          </w:p>
        </w:tc>
      </w:tr>
      <w:tr w:rsidR="00337FA1" w:rsidRPr="00834CDC" w14:paraId="0D1FDE90" w14:textId="77777777" w:rsidTr="00337FA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2CE07C" w14:textId="77777777" w:rsidR="009B03F8" w:rsidRPr="00834CDC" w:rsidRDefault="009B03F8" w:rsidP="003058F5">
            <w:pPr>
              <w:rPr>
                <w:sz w:val="18"/>
                <w:szCs w:val="18"/>
              </w:rPr>
            </w:pPr>
          </w:p>
        </w:tc>
        <w:tc>
          <w:tcPr>
            <w:tcW w:w="45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AC9CEA" w14:textId="77777777" w:rsidR="009B03F8" w:rsidRPr="00834CDC" w:rsidRDefault="009B03F8" w:rsidP="00F966BF">
            <w:pPr>
              <w:pStyle w:val="NormalWeb"/>
              <w:jc w:val="left"/>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0C6266" w14:textId="77777777" w:rsidR="009B03F8" w:rsidRPr="00834CDC" w:rsidRDefault="009B03F8" w:rsidP="003058F5">
            <w:pPr>
              <w:pStyle w:val="NormalWeb"/>
              <w:rPr>
                <w:sz w:val="18"/>
                <w:szCs w:val="18"/>
              </w:rPr>
            </w:pPr>
            <w:r w:rsidRPr="00834CDC">
              <w:rPr>
                <w:sz w:val="18"/>
                <w:szCs w:val="18"/>
              </w:rPr>
              <w:t>660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027AF09" w14:textId="77777777" w:rsidR="009B03F8" w:rsidRPr="00834CDC" w:rsidRDefault="009B03F8" w:rsidP="003058F5">
            <w:pPr>
              <w:pStyle w:val="NormalWeb"/>
              <w:rPr>
                <w:sz w:val="18"/>
                <w:szCs w:val="18"/>
              </w:rPr>
            </w:pPr>
            <w:r w:rsidRPr="00834CDC">
              <w:rPr>
                <w:sz w:val="18"/>
                <w:szCs w:val="18"/>
              </w:rPr>
              <w:t>114.28</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72A6CA" w14:textId="77777777" w:rsidR="009B03F8" w:rsidRPr="00834CDC" w:rsidRDefault="009B03F8" w:rsidP="003058F5">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7567E7" w14:textId="77777777" w:rsidR="009B03F8" w:rsidRPr="00834CDC" w:rsidRDefault="009B03F8" w:rsidP="003058F5">
            <w:pPr>
              <w:rPr>
                <w:sz w:val="18"/>
                <w:szCs w:val="18"/>
              </w:rPr>
            </w:pPr>
          </w:p>
        </w:tc>
      </w:tr>
      <w:tr w:rsidR="009B03F8" w:rsidRPr="00834CDC" w14:paraId="4C19D1B3" w14:textId="77777777" w:rsidTr="00337FA1">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AA0565" w14:textId="77777777" w:rsidR="009B03F8" w:rsidRPr="00834CDC" w:rsidRDefault="009B03F8" w:rsidP="00337FA1">
            <w:pPr>
              <w:pStyle w:val="NormalWeb"/>
              <w:jc w:val="right"/>
              <w:rPr>
                <w:sz w:val="18"/>
                <w:szCs w:val="18"/>
              </w:rPr>
            </w:pPr>
            <w:r w:rsidRPr="00834CDC">
              <w:rPr>
                <w:sz w:val="18"/>
                <w:szCs w:val="18"/>
              </w:rPr>
              <w:t>6–11 months</w:t>
            </w:r>
          </w:p>
        </w:tc>
        <w:tc>
          <w:tcPr>
            <w:tcW w:w="45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9DA752" w14:textId="77777777" w:rsidR="009B03F8" w:rsidRPr="00834CDC" w:rsidRDefault="009B03F8" w:rsidP="00F966BF">
            <w:pPr>
              <w:pStyle w:val="NormalWeb"/>
              <w:jc w:val="left"/>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28AE09" w14:textId="77777777" w:rsidR="009B03F8" w:rsidRPr="00834CDC" w:rsidRDefault="009B03F8" w:rsidP="003058F5">
            <w:pPr>
              <w:pStyle w:val="NormalWeb"/>
              <w:rPr>
                <w:sz w:val="18"/>
                <w:szCs w:val="18"/>
              </w:rPr>
            </w:pPr>
            <w:r w:rsidRPr="00834CDC">
              <w:rPr>
                <w:sz w:val="18"/>
                <w:szCs w:val="18"/>
              </w:rPr>
              <w:t>84</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A9606B" w14:textId="77777777" w:rsidR="009B03F8" w:rsidRPr="00834CDC" w:rsidRDefault="009B03F8" w:rsidP="003058F5">
            <w:pPr>
              <w:pStyle w:val="NormalWeb"/>
              <w:rPr>
                <w:sz w:val="18"/>
                <w:szCs w:val="18"/>
              </w:rPr>
            </w:pPr>
            <w:r w:rsidRPr="00834CDC">
              <w:rPr>
                <w:sz w:val="18"/>
                <w:szCs w:val="18"/>
              </w:rPr>
              <w:t>218.96</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E4B7D8" w14:textId="77777777" w:rsidR="009B03F8" w:rsidRPr="00834CDC" w:rsidRDefault="009B03F8" w:rsidP="003058F5">
            <w:pPr>
              <w:pStyle w:val="NormalWeb"/>
              <w:rPr>
                <w:sz w:val="18"/>
                <w:szCs w:val="18"/>
              </w:rPr>
            </w:pPr>
            <w:r w:rsidRPr="00834CDC">
              <w:rPr>
                <w:sz w:val="18"/>
                <w:szCs w:val="18"/>
              </w:rPr>
              <w:t>1.6</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6DC48A" w14:textId="77777777" w:rsidR="009B03F8" w:rsidRPr="00834CDC" w:rsidRDefault="009B03F8" w:rsidP="003058F5">
            <w:pPr>
              <w:pStyle w:val="NormalWeb"/>
              <w:rPr>
                <w:sz w:val="18"/>
                <w:szCs w:val="18"/>
              </w:rPr>
            </w:pPr>
            <w:r w:rsidRPr="00834CDC">
              <w:rPr>
                <w:sz w:val="18"/>
                <w:szCs w:val="18"/>
              </w:rPr>
              <w:t>1.3 – 2.0</w:t>
            </w:r>
          </w:p>
        </w:tc>
      </w:tr>
      <w:tr w:rsidR="00337FA1" w:rsidRPr="00834CDC" w14:paraId="6E505387" w14:textId="77777777" w:rsidTr="00337FA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8EABA1" w14:textId="77777777" w:rsidR="009B03F8" w:rsidRPr="00834CDC" w:rsidRDefault="009B03F8" w:rsidP="003058F5">
            <w:pPr>
              <w:rPr>
                <w:sz w:val="18"/>
                <w:szCs w:val="18"/>
              </w:rPr>
            </w:pPr>
          </w:p>
        </w:tc>
        <w:tc>
          <w:tcPr>
            <w:tcW w:w="45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5AECAC" w14:textId="77777777" w:rsidR="009B03F8" w:rsidRPr="00834CDC" w:rsidRDefault="009B03F8" w:rsidP="00F966BF">
            <w:pPr>
              <w:pStyle w:val="NormalWeb"/>
              <w:jc w:val="left"/>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364A44" w14:textId="77777777" w:rsidR="009B03F8" w:rsidRPr="00834CDC" w:rsidRDefault="009B03F8" w:rsidP="003058F5">
            <w:pPr>
              <w:pStyle w:val="NormalWeb"/>
              <w:rPr>
                <w:sz w:val="18"/>
                <w:szCs w:val="18"/>
              </w:rPr>
            </w:pPr>
            <w:r w:rsidRPr="00834CDC">
              <w:rPr>
                <w:sz w:val="18"/>
                <w:szCs w:val="18"/>
              </w:rPr>
              <w:t>786</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CBECFD" w14:textId="77777777" w:rsidR="009B03F8" w:rsidRPr="00834CDC" w:rsidRDefault="009B03F8" w:rsidP="003058F5">
            <w:pPr>
              <w:pStyle w:val="NormalWeb"/>
              <w:rPr>
                <w:sz w:val="18"/>
                <w:szCs w:val="18"/>
              </w:rPr>
            </w:pPr>
            <w:r w:rsidRPr="00834CDC">
              <w:rPr>
                <w:sz w:val="18"/>
                <w:szCs w:val="18"/>
              </w:rPr>
              <w:t>136.10</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4FA165" w14:textId="77777777" w:rsidR="009B03F8" w:rsidRPr="00834CDC" w:rsidRDefault="009B03F8" w:rsidP="003058F5">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EF605C" w14:textId="77777777" w:rsidR="009B03F8" w:rsidRPr="00834CDC" w:rsidRDefault="009B03F8" w:rsidP="003058F5">
            <w:pPr>
              <w:rPr>
                <w:sz w:val="18"/>
                <w:szCs w:val="18"/>
              </w:rPr>
            </w:pPr>
          </w:p>
        </w:tc>
      </w:tr>
      <w:tr w:rsidR="009B03F8" w:rsidRPr="00834CDC" w14:paraId="1DF199CB" w14:textId="77777777" w:rsidTr="00337FA1">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A16565" w14:textId="77777777" w:rsidR="009B03F8" w:rsidRPr="00834CDC" w:rsidRDefault="009B03F8" w:rsidP="00337FA1">
            <w:pPr>
              <w:pStyle w:val="NormalWeb"/>
              <w:jc w:val="left"/>
              <w:rPr>
                <w:sz w:val="18"/>
                <w:szCs w:val="18"/>
              </w:rPr>
            </w:pPr>
            <w:r w:rsidRPr="00834CDC">
              <w:rPr>
                <w:sz w:val="18"/>
                <w:szCs w:val="18"/>
              </w:rPr>
              <w:t>1–4</w:t>
            </w:r>
          </w:p>
        </w:tc>
        <w:tc>
          <w:tcPr>
            <w:tcW w:w="45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BB9734" w14:textId="77777777" w:rsidR="009B03F8" w:rsidRPr="00834CDC" w:rsidRDefault="009B03F8" w:rsidP="00F966BF">
            <w:pPr>
              <w:pStyle w:val="NormalWeb"/>
              <w:jc w:val="left"/>
              <w:rPr>
                <w:sz w:val="18"/>
                <w:szCs w:val="18"/>
              </w:rPr>
            </w:pPr>
            <w:r w:rsidRPr="00834CDC">
              <w:rPr>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A4729F" w14:textId="77777777" w:rsidR="009B03F8" w:rsidRPr="00834CDC" w:rsidRDefault="009B03F8" w:rsidP="003058F5">
            <w:pPr>
              <w:pStyle w:val="NormalWeb"/>
              <w:rPr>
                <w:sz w:val="18"/>
                <w:szCs w:val="18"/>
              </w:rPr>
            </w:pPr>
            <w:r w:rsidRPr="00834CDC">
              <w:rPr>
                <w:sz w:val="18"/>
                <w:szCs w:val="18"/>
              </w:rPr>
              <w:t>431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CDF13D" w14:textId="77777777" w:rsidR="009B03F8" w:rsidRPr="00834CDC" w:rsidRDefault="009B03F8" w:rsidP="003058F5">
            <w:pPr>
              <w:pStyle w:val="NormalWeb"/>
              <w:rPr>
                <w:sz w:val="18"/>
                <w:szCs w:val="18"/>
              </w:rPr>
            </w:pPr>
            <w:r w:rsidRPr="00834CDC">
              <w:rPr>
                <w:sz w:val="18"/>
                <w:szCs w:val="18"/>
              </w:rPr>
              <w:t>143.28</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AC82D5" w14:textId="77777777" w:rsidR="009B03F8" w:rsidRPr="00834CDC" w:rsidRDefault="009B03F8" w:rsidP="003058F5">
            <w:pPr>
              <w:pStyle w:val="NormalWeb"/>
              <w:rPr>
                <w:sz w:val="18"/>
                <w:szCs w:val="18"/>
              </w:rPr>
            </w:pPr>
            <w:r w:rsidRPr="00834CDC">
              <w:rPr>
                <w:sz w:val="18"/>
                <w:szCs w:val="18"/>
              </w:rPr>
              <w:t>1.2</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23FEC5" w14:textId="77777777" w:rsidR="009B03F8" w:rsidRPr="00834CDC" w:rsidRDefault="009B03F8" w:rsidP="003058F5">
            <w:pPr>
              <w:pStyle w:val="NormalWeb"/>
              <w:rPr>
                <w:sz w:val="18"/>
                <w:szCs w:val="18"/>
              </w:rPr>
            </w:pPr>
            <w:r w:rsidRPr="00834CDC">
              <w:rPr>
                <w:sz w:val="18"/>
                <w:szCs w:val="18"/>
              </w:rPr>
              <w:t>1.1 – 1.4</w:t>
            </w:r>
          </w:p>
        </w:tc>
      </w:tr>
      <w:tr w:rsidR="00337FA1" w:rsidRPr="00834CDC" w14:paraId="4D9C740F" w14:textId="77777777" w:rsidTr="00337FA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A5CC7F" w14:textId="77777777" w:rsidR="009B03F8" w:rsidRPr="00834CDC" w:rsidRDefault="009B03F8" w:rsidP="003058F5">
            <w:pPr>
              <w:rPr>
                <w:sz w:val="18"/>
                <w:szCs w:val="18"/>
              </w:rPr>
            </w:pPr>
          </w:p>
        </w:tc>
        <w:tc>
          <w:tcPr>
            <w:tcW w:w="45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A3167A" w14:textId="77777777" w:rsidR="009B03F8" w:rsidRPr="00834CDC" w:rsidRDefault="009B03F8" w:rsidP="00F966BF">
            <w:pPr>
              <w:pStyle w:val="NormalWeb"/>
              <w:jc w:val="left"/>
              <w:rPr>
                <w:sz w:val="18"/>
                <w:szCs w:val="18"/>
              </w:rPr>
            </w:pPr>
            <w:r w:rsidRPr="00834CDC">
              <w:rPr>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A22733" w14:textId="77777777" w:rsidR="009B03F8" w:rsidRPr="00834CDC" w:rsidRDefault="009B03F8" w:rsidP="003058F5">
            <w:pPr>
              <w:pStyle w:val="NormalWeb"/>
              <w:rPr>
                <w:sz w:val="18"/>
                <w:szCs w:val="18"/>
              </w:rPr>
            </w:pPr>
            <w:r w:rsidRPr="00834CDC">
              <w:rPr>
                <w:sz w:val="18"/>
                <w:szCs w:val="18"/>
              </w:rPr>
              <w:t>5,539</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C6CA7C" w14:textId="77777777" w:rsidR="009B03F8" w:rsidRPr="00834CDC" w:rsidRDefault="009B03F8" w:rsidP="003058F5">
            <w:pPr>
              <w:pStyle w:val="NormalWeb"/>
              <w:rPr>
                <w:sz w:val="18"/>
                <w:szCs w:val="18"/>
              </w:rPr>
            </w:pPr>
            <w:r w:rsidRPr="00834CDC">
              <w:rPr>
                <w:sz w:val="18"/>
                <w:szCs w:val="18"/>
              </w:rPr>
              <w:t>116.38</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52D3A9" w14:textId="77777777" w:rsidR="009B03F8" w:rsidRPr="00834CDC" w:rsidRDefault="009B03F8" w:rsidP="003058F5">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8EC15A" w14:textId="77777777" w:rsidR="009B03F8" w:rsidRPr="00834CDC" w:rsidRDefault="009B03F8" w:rsidP="003058F5">
            <w:pPr>
              <w:rPr>
                <w:sz w:val="18"/>
                <w:szCs w:val="18"/>
              </w:rPr>
            </w:pPr>
          </w:p>
        </w:tc>
      </w:tr>
      <w:tr w:rsidR="009B03F8" w:rsidRPr="00834CDC" w14:paraId="425AA91B" w14:textId="77777777" w:rsidTr="00F966BF">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61D3F8A" w14:textId="77777777" w:rsidR="009B03F8" w:rsidRPr="00834CDC" w:rsidRDefault="009B03F8" w:rsidP="003058F5">
            <w:pPr>
              <w:pStyle w:val="NormalWeb"/>
              <w:rPr>
                <w:b/>
                <w:bCs/>
                <w:sz w:val="18"/>
                <w:szCs w:val="18"/>
              </w:rPr>
            </w:pPr>
            <w:r w:rsidRPr="00834CDC">
              <w:rPr>
                <w:b/>
                <w:bCs/>
                <w:sz w:val="18"/>
                <w:szCs w:val="18"/>
              </w:rPr>
              <w:t>&lt; 5 (total)</w:t>
            </w:r>
          </w:p>
        </w:tc>
        <w:tc>
          <w:tcPr>
            <w:tcW w:w="45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B1B4DAD" w14:textId="77777777" w:rsidR="009B03F8" w:rsidRPr="00834CDC" w:rsidRDefault="009B03F8" w:rsidP="00F966BF">
            <w:pPr>
              <w:pStyle w:val="NormalWeb"/>
              <w:jc w:val="left"/>
              <w:rPr>
                <w:b/>
                <w:bCs/>
                <w:sz w:val="18"/>
                <w:szCs w:val="18"/>
              </w:rPr>
            </w:pPr>
            <w:r w:rsidRPr="00834CDC">
              <w:rPr>
                <w:b/>
                <w:bCs/>
                <w:sz w:val="18"/>
                <w:szCs w:val="18"/>
              </w:rPr>
              <w:t>Aboriginal and Torres Strait Islander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17FB6B2" w14:textId="77777777" w:rsidR="009B03F8" w:rsidRPr="00834CDC" w:rsidRDefault="009B03F8" w:rsidP="003058F5">
            <w:pPr>
              <w:pStyle w:val="NormalWeb"/>
              <w:rPr>
                <w:b/>
                <w:bCs/>
                <w:sz w:val="18"/>
                <w:szCs w:val="18"/>
              </w:rPr>
            </w:pPr>
            <w:r w:rsidRPr="00834CDC">
              <w:rPr>
                <w:b/>
                <w:bCs/>
                <w:sz w:val="18"/>
                <w:szCs w:val="18"/>
              </w:rPr>
              <w:t>636</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B90A421" w14:textId="77777777" w:rsidR="009B03F8" w:rsidRPr="00834CDC" w:rsidRDefault="009B03F8" w:rsidP="003058F5">
            <w:pPr>
              <w:pStyle w:val="NormalWeb"/>
              <w:rPr>
                <w:b/>
                <w:bCs/>
                <w:sz w:val="18"/>
                <w:szCs w:val="18"/>
              </w:rPr>
            </w:pPr>
            <w:r w:rsidRPr="00834CDC">
              <w:rPr>
                <w:b/>
                <w:bCs/>
                <w:sz w:val="18"/>
                <w:szCs w:val="18"/>
              </w:rPr>
              <w:t>168.46</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6F55B2E" w14:textId="77777777" w:rsidR="009B03F8" w:rsidRPr="00834CDC" w:rsidRDefault="009B03F8" w:rsidP="003058F5">
            <w:pPr>
              <w:pStyle w:val="NormalWeb"/>
              <w:rPr>
                <w:b/>
                <w:bCs/>
                <w:sz w:val="18"/>
                <w:szCs w:val="18"/>
              </w:rPr>
            </w:pPr>
            <w:r w:rsidRPr="00834CDC">
              <w:rPr>
                <w:b/>
                <w:bCs/>
                <w:sz w:val="18"/>
                <w:szCs w:val="18"/>
              </w:rPr>
              <w:t>1.4</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DB7E1B4" w14:textId="77777777" w:rsidR="009B03F8" w:rsidRPr="00834CDC" w:rsidRDefault="009B03F8" w:rsidP="003058F5">
            <w:pPr>
              <w:pStyle w:val="NormalWeb"/>
              <w:rPr>
                <w:b/>
                <w:bCs/>
                <w:sz w:val="18"/>
                <w:szCs w:val="18"/>
              </w:rPr>
            </w:pPr>
            <w:r w:rsidRPr="00834CDC">
              <w:rPr>
                <w:b/>
                <w:bCs/>
                <w:sz w:val="18"/>
                <w:szCs w:val="18"/>
              </w:rPr>
              <w:t>1.3– 1.6</w:t>
            </w:r>
          </w:p>
        </w:tc>
      </w:tr>
      <w:tr w:rsidR="00337FA1" w:rsidRPr="00834CDC" w14:paraId="21C939DF" w14:textId="77777777" w:rsidTr="00F966BF">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B164E3F" w14:textId="77777777" w:rsidR="009B03F8" w:rsidRPr="00834CDC" w:rsidRDefault="009B03F8" w:rsidP="003058F5">
            <w:pPr>
              <w:rPr>
                <w:b/>
                <w:bCs/>
                <w:sz w:val="18"/>
                <w:szCs w:val="18"/>
              </w:rPr>
            </w:pPr>
          </w:p>
        </w:tc>
        <w:tc>
          <w:tcPr>
            <w:tcW w:w="45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1C48DC6" w14:textId="77777777" w:rsidR="009B03F8" w:rsidRPr="00834CDC" w:rsidRDefault="009B03F8" w:rsidP="00F966BF">
            <w:pPr>
              <w:pStyle w:val="NormalWeb"/>
              <w:jc w:val="left"/>
              <w:rPr>
                <w:b/>
                <w:bCs/>
                <w:sz w:val="18"/>
                <w:szCs w:val="18"/>
              </w:rPr>
            </w:pPr>
            <w:r w:rsidRPr="00834CDC">
              <w:rPr>
                <w:b/>
                <w:bCs/>
                <w:sz w:val="18"/>
                <w:szCs w:val="18"/>
              </w:rPr>
              <w:t>Other</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C7F91F6" w14:textId="77777777" w:rsidR="009B03F8" w:rsidRPr="00834CDC" w:rsidRDefault="009B03F8" w:rsidP="003058F5">
            <w:pPr>
              <w:pStyle w:val="NormalWeb"/>
              <w:rPr>
                <w:b/>
                <w:bCs/>
                <w:sz w:val="18"/>
                <w:szCs w:val="18"/>
              </w:rPr>
            </w:pPr>
            <w:r w:rsidRPr="00834CDC">
              <w:rPr>
                <w:b/>
                <w:bCs/>
                <w:sz w:val="18"/>
                <w:szCs w:val="18"/>
              </w:rPr>
              <w:t>6,979</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50F6A94" w14:textId="77777777" w:rsidR="009B03F8" w:rsidRPr="00834CDC" w:rsidRDefault="009B03F8" w:rsidP="003058F5">
            <w:pPr>
              <w:pStyle w:val="NormalWeb"/>
              <w:rPr>
                <w:b/>
                <w:bCs/>
                <w:sz w:val="18"/>
                <w:szCs w:val="18"/>
              </w:rPr>
            </w:pPr>
            <w:r w:rsidRPr="00834CDC">
              <w:rPr>
                <w:b/>
                <w:bCs/>
                <w:sz w:val="18"/>
                <w:szCs w:val="18"/>
              </w:rPr>
              <w:t>118.00</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B786BEF" w14:textId="77777777" w:rsidR="009B03F8" w:rsidRPr="00834CDC" w:rsidRDefault="009B03F8" w:rsidP="003058F5">
            <w:pPr>
              <w:rPr>
                <w:b/>
                <w:bCs/>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5D18432" w14:textId="77777777" w:rsidR="009B03F8" w:rsidRPr="00834CDC" w:rsidRDefault="009B03F8" w:rsidP="003058F5">
            <w:pPr>
              <w:rPr>
                <w:b/>
                <w:bCs/>
                <w:sz w:val="18"/>
                <w:szCs w:val="18"/>
              </w:rPr>
            </w:pPr>
          </w:p>
        </w:tc>
      </w:tr>
    </w:tbl>
    <w:p w14:paraId="3FBDF355" w14:textId="77777777" w:rsidR="009B03F8" w:rsidRPr="00834CDC" w:rsidRDefault="009B03F8" w:rsidP="00515520">
      <w:pPr>
        <w:pStyle w:val="CDIfootnotes"/>
        <w:divId w:val="1988506822"/>
      </w:pPr>
      <w:r w:rsidRPr="00834CDC">
        <w:t>a</w:t>
      </w:r>
      <w:r w:rsidRPr="00834CDC">
        <w:tab/>
        <w:t xml:space="preserve">Data field used to determine the age of children in the 0 –&lt; </w:t>
      </w:r>
      <w:proofErr w:type="gramStart"/>
      <w:r w:rsidRPr="00834CDC">
        <w:t>6 month</w:t>
      </w:r>
      <w:proofErr w:type="gramEnd"/>
      <w:r w:rsidRPr="00834CDC">
        <w:t xml:space="preserve"> age group and the 6 months –&lt; 1 year age group was ‘age in weeks.’ Data field used to </w:t>
      </w:r>
      <w:proofErr w:type="gramStart"/>
      <w:r w:rsidRPr="00834CDC">
        <w:t>determine</w:t>
      </w:r>
      <w:proofErr w:type="gramEnd"/>
      <w:r w:rsidRPr="00834CDC">
        <w:t xml:space="preserve"> the age of children in the &lt; 1, 1–4 and 0–4 years age groups was ‘age in years.’</w:t>
      </w:r>
    </w:p>
    <w:p w14:paraId="752CDD1E" w14:textId="77777777" w:rsidR="009B03F8" w:rsidRPr="00834CDC" w:rsidRDefault="009B03F8" w:rsidP="00515520">
      <w:pPr>
        <w:pStyle w:val="CDIfootnotes"/>
        <w:divId w:val="1988506822"/>
      </w:pPr>
      <w:r w:rsidRPr="00834CDC">
        <w:t>b</w:t>
      </w:r>
      <w:r w:rsidRPr="00834CDC">
        <w:tab/>
        <w:t>Notifications where the date of diagnosis was between 1 January 2016 and 31 December 2019.</w:t>
      </w:r>
    </w:p>
    <w:p w14:paraId="5935DF89" w14:textId="054DFFE2" w:rsidR="009B03F8" w:rsidRPr="00834CDC" w:rsidRDefault="009B03F8" w:rsidP="00A65342">
      <w:pPr>
        <w:pStyle w:val="CDIfootnotes"/>
        <w:divId w:val="1988506822"/>
      </w:pPr>
      <w:r w:rsidRPr="00834CDC">
        <w:t>c</w:t>
      </w:r>
      <w:r w:rsidRPr="00834CDC">
        <w:tab/>
        <w:t>Average annual age-specific rate per 100,000 population.</w:t>
      </w:r>
    </w:p>
    <w:p w14:paraId="189A6CD7" w14:textId="19619C74" w:rsidR="0033445F" w:rsidRPr="00834CDC" w:rsidRDefault="0033445F" w:rsidP="003B5C41">
      <w:pPr>
        <w:divId w:val="1988506822"/>
      </w:pPr>
      <w:r w:rsidRPr="00834CDC">
        <w:t xml:space="preserve">Hospitalisation data </w:t>
      </w:r>
      <w:proofErr w:type="gramStart"/>
      <w:r w:rsidRPr="00834CDC">
        <w:t>are presented</w:t>
      </w:r>
      <w:proofErr w:type="gramEnd"/>
      <w:r w:rsidRPr="00834CDC">
        <w:t xml:space="preserve"> for all states and territories and all age groups for the 2016–2019 period in Table</w:t>
      </w:r>
      <w:r w:rsidR="002C7821" w:rsidRPr="00834CDC">
        <w:t> </w:t>
      </w:r>
      <w:r w:rsidRPr="00834CDC">
        <w:t xml:space="preserve">17. In total, 2,034 hospitalisations for pertussis </w:t>
      </w:r>
      <w:proofErr w:type="gramStart"/>
      <w:r w:rsidRPr="00834CDC">
        <w:t>were recorded</w:t>
      </w:r>
      <w:proofErr w:type="gramEnd"/>
      <w:r w:rsidRPr="00834CDC">
        <w:t xml:space="preserve">, 193 of which (9.5%) were among Aboriginal and Torres Strait Islander people. The highest hospitalisation rates </w:t>
      </w:r>
      <w:proofErr w:type="gramStart"/>
      <w:r w:rsidRPr="00834CDC">
        <w:t>were seen</w:t>
      </w:r>
      <w:proofErr w:type="gramEnd"/>
      <w:r w:rsidRPr="00834CDC">
        <w:t xml:space="preserve"> in the &lt; 6 months age group (293.1 per 100,000 per year for Aboriginal and Torres Strait Islander children and 69.1 per 100,000 per year for other children; RR: 4.2; 95% CI: 3.4-5.3). Hospitalisation rates were higher in Aboriginal and Torres Strait Islander than in other </w:t>
      </w:r>
      <w:r w:rsidRPr="00834CDC">
        <w:lastRenderedPageBreak/>
        <w:t xml:space="preserve">people across all age groups, statistically significantly so for the &lt; 6 months, &lt; 1 year, 5–14 year, 25–49 year and ≥ 50 years age groups, with overall rate ratio 2.4 (95% Cl: 2.0–2.8). </w:t>
      </w:r>
    </w:p>
    <w:p w14:paraId="50E53AB4" w14:textId="77777777" w:rsidR="00027830" w:rsidRPr="00834CDC" w:rsidRDefault="00027830" w:rsidP="00027830">
      <w:pPr>
        <w:pStyle w:val="NormalWeb"/>
        <w:divId w:val="1988506822"/>
      </w:pPr>
      <w:r w:rsidRPr="00834CDC">
        <w:rPr>
          <w:rStyle w:val="Strong"/>
        </w:rPr>
        <w:t>Table 17: Pertussis hospitalisations, Australia (all states and territories), 2016–2019, by age and Aboriginal and Torres Strait Islander status</w:t>
      </w:r>
    </w:p>
    <w:tbl>
      <w:tblPr>
        <w:tblStyle w:val="CDI-StandardTable"/>
        <w:tblW w:w="0" w:type="auto"/>
        <w:tblLook w:val="04A0" w:firstRow="1" w:lastRow="0" w:firstColumn="1" w:lastColumn="0" w:noHBand="0" w:noVBand="1"/>
        <w:tblDescription w:val="Table 17 shows the number and rates per 100,000 population of pertussis hospitalisations by age and Aboriginal and Torres Strait Islander status, Australia, 2016 to 2019.&#10;"/>
      </w:tblPr>
      <w:tblGrid>
        <w:gridCol w:w="1843"/>
        <w:gridCol w:w="3544"/>
        <w:gridCol w:w="1417"/>
        <w:gridCol w:w="993"/>
        <w:gridCol w:w="992"/>
        <w:gridCol w:w="1651"/>
      </w:tblGrid>
      <w:tr w:rsidR="00027830" w:rsidRPr="00834CDC" w14:paraId="2578F887" w14:textId="77777777" w:rsidTr="00B6040D">
        <w:trPr>
          <w:cnfStyle w:val="100000000000" w:firstRow="1" w:lastRow="0" w:firstColumn="0" w:lastColumn="0" w:oddVBand="0" w:evenVBand="0" w:oddHBand="0" w:evenHBand="0" w:firstRowFirstColumn="0" w:firstRowLastColumn="0" w:lastRowFirstColumn="0" w:lastRowLastColumn="0"/>
          <w:divId w:val="1988506822"/>
          <w:tblHeader/>
        </w:trPr>
        <w:tc>
          <w:tcPr>
            <w:tcW w:w="1843" w:type="dxa"/>
            <w:vMerge w:val="restart"/>
            <w:hideMark/>
          </w:tcPr>
          <w:p w14:paraId="693E47FF" w14:textId="5CB5DEB7" w:rsidR="00027830" w:rsidRPr="00834CDC" w:rsidRDefault="00027830" w:rsidP="00FB7DF1">
            <w:pPr>
              <w:pStyle w:val="NormalWeb"/>
              <w:rPr>
                <w:sz w:val="18"/>
                <w:szCs w:val="18"/>
              </w:rPr>
            </w:pPr>
            <w:r w:rsidRPr="00834CDC">
              <w:rPr>
                <w:sz w:val="18"/>
                <w:szCs w:val="18"/>
              </w:rPr>
              <w:t>Age group</w:t>
            </w:r>
            <w:r w:rsidR="00FB7DF1" w:rsidRPr="00834CDC">
              <w:rPr>
                <w:sz w:val="18"/>
                <w:szCs w:val="18"/>
              </w:rPr>
              <w:t xml:space="preserve"> </w:t>
            </w:r>
            <w:r w:rsidRPr="00834CDC">
              <w:rPr>
                <w:sz w:val="18"/>
                <w:szCs w:val="18"/>
              </w:rPr>
              <w:t>(years)</w:t>
            </w:r>
          </w:p>
        </w:tc>
        <w:tc>
          <w:tcPr>
            <w:tcW w:w="3544" w:type="dxa"/>
            <w:vMerge w:val="restart"/>
            <w:hideMark/>
          </w:tcPr>
          <w:p w14:paraId="155CFFE5" w14:textId="77777777" w:rsidR="00027830" w:rsidRPr="00834CDC" w:rsidRDefault="00027830" w:rsidP="00B6040D">
            <w:pPr>
              <w:pStyle w:val="NormalWeb"/>
              <w:jc w:val="left"/>
              <w:rPr>
                <w:sz w:val="18"/>
                <w:szCs w:val="18"/>
              </w:rPr>
            </w:pPr>
            <w:r w:rsidRPr="00834CDC">
              <w:rPr>
                <w:sz w:val="18"/>
                <w:szCs w:val="18"/>
              </w:rPr>
              <w:t>Aboriginal and Torres Strait Islander status</w:t>
            </w:r>
          </w:p>
        </w:tc>
        <w:tc>
          <w:tcPr>
            <w:tcW w:w="5053" w:type="dxa"/>
            <w:gridSpan w:val="4"/>
            <w:hideMark/>
          </w:tcPr>
          <w:p w14:paraId="2BD1AA24" w14:textId="1E453A5C" w:rsidR="00027830" w:rsidRPr="00834CDC" w:rsidRDefault="00027830" w:rsidP="003058F5">
            <w:pPr>
              <w:pStyle w:val="NormalWeb"/>
              <w:rPr>
                <w:sz w:val="18"/>
                <w:szCs w:val="18"/>
              </w:rPr>
            </w:pPr>
            <w:r w:rsidRPr="00834CDC">
              <w:rPr>
                <w:sz w:val="18"/>
                <w:szCs w:val="18"/>
              </w:rPr>
              <w:t>Hospitalisations</w:t>
            </w:r>
            <w:r w:rsidR="00001C4E" w:rsidRPr="00834CDC">
              <w:rPr>
                <w:sz w:val="18"/>
                <w:szCs w:val="18"/>
              </w:rPr>
              <w:t xml:space="preserve"> </w:t>
            </w:r>
            <w:r w:rsidRPr="00834CDC">
              <w:rPr>
                <w:sz w:val="18"/>
                <w:szCs w:val="18"/>
                <w:vertAlign w:val="superscript"/>
              </w:rPr>
              <w:t>a</w:t>
            </w:r>
            <w:r w:rsidRPr="00834CDC">
              <w:rPr>
                <w:sz w:val="18"/>
                <w:szCs w:val="18"/>
              </w:rPr>
              <w:t xml:space="preserve"> (2016–2019)</w:t>
            </w:r>
          </w:p>
        </w:tc>
      </w:tr>
      <w:tr w:rsidR="00D54F61" w:rsidRPr="00834CDC" w14:paraId="7410882F" w14:textId="77777777" w:rsidTr="00B6040D">
        <w:trPr>
          <w:cnfStyle w:val="100000000000" w:firstRow="1" w:lastRow="0" w:firstColumn="0" w:lastColumn="0" w:oddVBand="0" w:evenVBand="0" w:oddHBand="0" w:evenHBand="0" w:firstRowFirstColumn="0" w:firstRowLastColumn="0" w:lastRowFirstColumn="0" w:lastRowLastColumn="0"/>
          <w:divId w:val="1988506822"/>
          <w:tblHeader/>
        </w:trPr>
        <w:tc>
          <w:tcPr>
            <w:tcW w:w="1843" w:type="dxa"/>
            <w:vMerge/>
            <w:tcBorders>
              <w:bottom w:val="single" w:sz="2" w:space="0" w:color="808080" w:themeColor="background1" w:themeShade="80"/>
            </w:tcBorders>
            <w:hideMark/>
          </w:tcPr>
          <w:p w14:paraId="2CE31787" w14:textId="77777777" w:rsidR="00027830" w:rsidRPr="00834CDC" w:rsidRDefault="00027830" w:rsidP="003058F5">
            <w:pPr>
              <w:rPr>
                <w:sz w:val="18"/>
                <w:szCs w:val="18"/>
              </w:rPr>
            </w:pPr>
          </w:p>
        </w:tc>
        <w:tc>
          <w:tcPr>
            <w:tcW w:w="3544" w:type="dxa"/>
            <w:vMerge/>
            <w:tcBorders>
              <w:bottom w:val="single" w:sz="2" w:space="0" w:color="808080" w:themeColor="background1" w:themeShade="80"/>
            </w:tcBorders>
            <w:hideMark/>
          </w:tcPr>
          <w:p w14:paraId="1F0A70A2" w14:textId="77777777" w:rsidR="00027830" w:rsidRPr="00834CDC" w:rsidRDefault="00027830" w:rsidP="00B6040D">
            <w:pPr>
              <w:jc w:val="left"/>
              <w:rPr>
                <w:sz w:val="18"/>
                <w:szCs w:val="18"/>
              </w:rPr>
            </w:pPr>
          </w:p>
        </w:tc>
        <w:tc>
          <w:tcPr>
            <w:tcW w:w="1417" w:type="dxa"/>
            <w:tcBorders>
              <w:bottom w:val="single" w:sz="2" w:space="0" w:color="808080" w:themeColor="background1" w:themeShade="80"/>
            </w:tcBorders>
            <w:hideMark/>
          </w:tcPr>
          <w:p w14:paraId="6E8FC17A" w14:textId="77777777" w:rsidR="00027830" w:rsidRPr="00834CDC" w:rsidRDefault="00027830" w:rsidP="003058F5">
            <w:pPr>
              <w:pStyle w:val="NormalWeb"/>
              <w:rPr>
                <w:sz w:val="18"/>
                <w:szCs w:val="18"/>
              </w:rPr>
            </w:pPr>
            <w:r w:rsidRPr="00834CDC">
              <w:rPr>
                <w:sz w:val="18"/>
                <w:szCs w:val="18"/>
              </w:rPr>
              <w:t>n</w:t>
            </w:r>
          </w:p>
        </w:tc>
        <w:tc>
          <w:tcPr>
            <w:tcW w:w="993" w:type="dxa"/>
            <w:tcBorders>
              <w:bottom w:val="single" w:sz="2" w:space="0" w:color="808080" w:themeColor="background1" w:themeShade="80"/>
            </w:tcBorders>
            <w:hideMark/>
          </w:tcPr>
          <w:p w14:paraId="1BFE623A" w14:textId="60DCA97F" w:rsidR="00027830" w:rsidRPr="00834CDC" w:rsidRDefault="00027830" w:rsidP="003058F5">
            <w:pPr>
              <w:pStyle w:val="NormalWeb"/>
              <w:rPr>
                <w:sz w:val="18"/>
                <w:szCs w:val="18"/>
              </w:rPr>
            </w:pPr>
            <w:r w:rsidRPr="00834CDC">
              <w:rPr>
                <w:sz w:val="18"/>
                <w:szCs w:val="18"/>
              </w:rPr>
              <w:t>Rate</w:t>
            </w:r>
            <w:r w:rsidR="00001C4E" w:rsidRPr="00834CDC">
              <w:rPr>
                <w:sz w:val="18"/>
                <w:szCs w:val="18"/>
              </w:rPr>
              <w:t xml:space="preserve"> </w:t>
            </w:r>
            <w:r w:rsidRPr="00834CDC">
              <w:rPr>
                <w:sz w:val="18"/>
                <w:szCs w:val="18"/>
                <w:vertAlign w:val="superscript"/>
              </w:rPr>
              <w:t>b</w:t>
            </w:r>
          </w:p>
        </w:tc>
        <w:tc>
          <w:tcPr>
            <w:tcW w:w="992" w:type="dxa"/>
            <w:tcBorders>
              <w:bottom w:val="single" w:sz="2" w:space="0" w:color="808080" w:themeColor="background1" w:themeShade="80"/>
            </w:tcBorders>
            <w:hideMark/>
          </w:tcPr>
          <w:p w14:paraId="090B1D1F" w14:textId="77777777" w:rsidR="00027830" w:rsidRPr="00834CDC" w:rsidRDefault="00027830" w:rsidP="003058F5">
            <w:pPr>
              <w:pStyle w:val="NormalWeb"/>
              <w:rPr>
                <w:sz w:val="18"/>
                <w:szCs w:val="18"/>
              </w:rPr>
            </w:pPr>
            <w:r w:rsidRPr="00834CDC">
              <w:rPr>
                <w:sz w:val="18"/>
                <w:szCs w:val="18"/>
              </w:rPr>
              <w:t>Rate ratio</w:t>
            </w:r>
          </w:p>
        </w:tc>
        <w:tc>
          <w:tcPr>
            <w:tcW w:w="1651" w:type="dxa"/>
            <w:tcBorders>
              <w:bottom w:val="single" w:sz="2" w:space="0" w:color="808080" w:themeColor="background1" w:themeShade="80"/>
            </w:tcBorders>
            <w:hideMark/>
          </w:tcPr>
          <w:p w14:paraId="0A68DDC5" w14:textId="77777777" w:rsidR="00027830" w:rsidRPr="00834CDC" w:rsidRDefault="00027830" w:rsidP="003058F5">
            <w:pPr>
              <w:pStyle w:val="NormalWeb"/>
              <w:rPr>
                <w:sz w:val="18"/>
                <w:szCs w:val="18"/>
              </w:rPr>
            </w:pPr>
            <w:r w:rsidRPr="00834CDC">
              <w:rPr>
                <w:sz w:val="18"/>
                <w:szCs w:val="18"/>
              </w:rPr>
              <w:t>95%CI for rate ratio</w:t>
            </w:r>
          </w:p>
        </w:tc>
      </w:tr>
      <w:tr w:rsidR="00D54F61" w:rsidRPr="00834CDC" w14:paraId="4AF1A101" w14:textId="77777777" w:rsidTr="00B6040D">
        <w:trPr>
          <w:divId w:val="1988506822"/>
        </w:trPr>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456710" w14:textId="77777777" w:rsidR="00027830" w:rsidRPr="00834CDC" w:rsidRDefault="00027830" w:rsidP="003058F5">
            <w:pPr>
              <w:pStyle w:val="NormalWeb"/>
              <w:rPr>
                <w:sz w:val="18"/>
                <w:szCs w:val="18"/>
              </w:rPr>
            </w:pPr>
            <w:r w:rsidRPr="00834CDC">
              <w:rPr>
                <w:sz w:val="18"/>
                <w:szCs w:val="18"/>
              </w:rPr>
              <w:t>&lt; 1</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8FB18C" w14:textId="77777777" w:rsidR="00027830" w:rsidRPr="00834CDC" w:rsidRDefault="00027830" w:rsidP="00B6040D">
            <w:pPr>
              <w:pStyle w:val="NormalWeb"/>
              <w:jc w:val="left"/>
              <w:rPr>
                <w:sz w:val="18"/>
                <w:szCs w:val="18"/>
              </w:rPr>
            </w:pPr>
            <w:r w:rsidRPr="00834CDC">
              <w:rPr>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9B0E71" w14:textId="77777777" w:rsidR="00027830" w:rsidRPr="00834CDC" w:rsidRDefault="00027830" w:rsidP="003058F5">
            <w:pPr>
              <w:pStyle w:val="NormalWeb"/>
              <w:rPr>
                <w:sz w:val="18"/>
                <w:szCs w:val="18"/>
              </w:rPr>
            </w:pPr>
            <w:r w:rsidRPr="00834CDC">
              <w:rPr>
                <w:sz w:val="18"/>
                <w:szCs w:val="18"/>
              </w:rPr>
              <w:t>110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85E2EF" w14:textId="77777777" w:rsidR="00027830" w:rsidRPr="00834CDC" w:rsidRDefault="00027830" w:rsidP="003058F5">
            <w:pPr>
              <w:pStyle w:val="NormalWeb"/>
              <w:rPr>
                <w:sz w:val="18"/>
                <w:szCs w:val="18"/>
              </w:rPr>
            </w:pPr>
            <w:r w:rsidRPr="00834CDC">
              <w:rPr>
                <w:sz w:val="18"/>
                <w:szCs w:val="18"/>
              </w:rPr>
              <w:t>164.49</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5FDB84" w14:textId="77777777" w:rsidR="00027830" w:rsidRPr="00834CDC" w:rsidRDefault="00027830" w:rsidP="003058F5">
            <w:pPr>
              <w:pStyle w:val="NormalWeb"/>
              <w:rPr>
                <w:sz w:val="18"/>
                <w:szCs w:val="18"/>
              </w:rPr>
            </w:pPr>
            <w:r w:rsidRPr="00834CDC">
              <w:rPr>
                <w:sz w:val="18"/>
                <w:szCs w:val="18"/>
              </w:rPr>
              <w:t>3.6</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7537FD" w14:textId="77777777" w:rsidR="00027830" w:rsidRPr="00834CDC" w:rsidRDefault="00027830" w:rsidP="003058F5">
            <w:pPr>
              <w:pStyle w:val="NormalWeb"/>
              <w:rPr>
                <w:sz w:val="18"/>
                <w:szCs w:val="18"/>
              </w:rPr>
            </w:pPr>
            <w:r w:rsidRPr="00834CDC">
              <w:rPr>
                <w:sz w:val="18"/>
                <w:szCs w:val="18"/>
              </w:rPr>
              <w:t>2.9 – 4.4</w:t>
            </w:r>
          </w:p>
        </w:tc>
      </w:tr>
      <w:tr w:rsidR="00D54F61" w:rsidRPr="00834CDC" w14:paraId="5252E8AF" w14:textId="77777777" w:rsidTr="00B6040D">
        <w:trPr>
          <w:cnfStyle w:val="000000010000" w:firstRow="0" w:lastRow="0" w:firstColumn="0" w:lastColumn="0" w:oddVBand="0" w:evenVBand="0" w:oddHBand="0" w:evenHBand="1" w:firstRowFirstColumn="0" w:firstRowLastColumn="0" w:lastRowFirstColumn="0" w:lastRowLastColumn="0"/>
          <w:divId w:val="1988506822"/>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BA70C4" w14:textId="77777777" w:rsidR="00027830" w:rsidRPr="00834CDC" w:rsidRDefault="00027830" w:rsidP="003058F5">
            <w:pPr>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84DB08" w14:textId="77777777" w:rsidR="00027830" w:rsidRPr="00834CDC" w:rsidRDefault="00027830" w:rsidP="00B6040D">
            <w:pPr>
              <w:pStyle w:val="NormalWeb"/>
              <w:jc w:val="left"/>
              <w:rPr>
                <w:sz w:val="18"/>
                <w:szCs w:val="18"/>
              </w:rPr>
            </w:pPr>
            <w:r w:rsidRPr="00834CDC">
              <w:rPr>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D394DA" w14:textId="77777777" w:rsidR="00027830" w:rsidRPr="00834CDC" w:rsidRDefault="00027830" w:rsidP="003058F5">
            <w:pPr>
              <w:pStyle w:val="NormalWeb"/>
              <w:rPr>
                <w:sz w:val="18"/>
                <w:szCs w:val="18"/>
              </w:rPr>
            </w:pPr>
            <w:r w:rsidRPr="00834CDC">
              <w:rPr>
                <w:sz w:val="18"/>
                <w:szCs w:val="18"/>
              </w:rPr>
              <w:t>463</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024BF6" w14:textId="77777777" w:rsidR="00027830" w:rsidRPr="00834CDC" w:rsidRDefault="00027830" w:rsidP="003058F5">
            <w:pPr>
              <w:pStyle w:val="NormalWeb"/>
              <w:rPr>
                <w:sz w:val="18"/>
                <w:szCs w:val="18"/>
              </w:rPr>
            </w:pPr>
            <w:r w:rsidRPr="00834CDC">
              <w:rPr>
                <w:sz w:val="18"/>
                <w:szCs w:val="18"/>
              </w:rPr>
              <w:t>45.68</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28CAE5" w14:textId="77777777" w:rsidR="00027830" w:rsidRPr="00834CDC" w:rsidRDefault="00027830" w:rsidP="003058F5">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FCABAE" w14:textId="77777777" w:rsidR="00027830" w:rsidRPr="00834CDC" w:rsidRDefault="00027830" w:rsidP="003058F5">
            <w:pPr>
              <w:rPr>
                <w:sz w:val="18"/>
                <w:szCs w:val="18"/>
              </w:rPr>
            </w:pPr>
          </w:p>
        </w:tc>
      </w:tr>
      <w:tr w:rsidR="00D54F61" w:rsidRPr="00834CDC" w14:paraId="721159C4" w14:textId="77777777" w:rsidTr="00B6040D">
        <w:trPr>
          <w:divId w:val="1988506822"/>
        </w:trPr>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B55D70" w14:textId="77777777" w:rsidR="00027830" w:rsidRPr="00834CDC" w:rsidRDefault="00027830" w:rsidP="00B6040D">
            <w:pPr>
              <w:pStyle w:val="NormalWeb"/>
              <w:jc w:val="right"/>
              <w:rPr>
                <w:sz w:val="18"/>
                <w:szCs w:val="18"/>
              </w:rPr>
            </w:pPr>
            <w:r w:rsidRPr="00834CDC">
              <w:rPr>
                <w:sz w:val="18"/>
                <w:szCs w:val="18"/>
              </w:rPr>
              <w:t>&lt; 6 months</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CE5FB0" w14:textId="77777777" w:rsidR="00027830" w:rsidRPr="00834CDC" w:rsidRDefault="00027830" w:rsidP="00B6040D">
            <w:pPr>
              <w:pStyle w:val="NormalWeb"/>
              <w:jc w:val="left"/>
              <w:rPr>
                <w:sz w:val="18"/>
                <w:szCs w:val="18"/>
              </w:rPr>
            </w:pPr>
            <w:r w:rsidRPr="00834CDC">
              <w:rPr>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39C026" w14:textId="77777777" w:rsidR="00027830" w:rsidRPr="00834CDC" w:rsidRDefault="00027830" w:rsidP="003058F5">
            <w:pPr>
              <w:pStyle w:val="NormalWeb"/>
              <w:rPr>
                <w:sz w:val="18"/>
                <w:szCs w:val="18"/>
              </w:rPr>
            </w:pPr>
            <w:r w:rsidRPr="00834CDC">
              <w:rPr>
                <w:sz w:val="18"/>
                <w:szCs w:val="18"/>
              </w:rPr>
              <w:t>98</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8D4A25" w14:textId="77777777" w:rsidR="00027830" w:rsidRPr="00834CDC" w:rsidRDefault="00027830" w:rsidP="003058F5">
            <w:pPr>
              <w:pStyle w:val="NormalWeb"/>
              <w:rPr>
                <w:sz w:val="18"/>
                <w:szCs w:val="18"/>
              </w:rPr>
            </w:pPr>
            <w:r w:rsidRPr="00834CDC">
              <w:rPr>
                <w:sz w:val="18"/>
                <w:szCs w:val="18"/>
              </w:rPr>
              <w:t>293.10</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624D34" w14:textId="77777777" w:rsidR="00027830" w:rsidRPr="00834CDC" w:rsidRDefault="00027830" w:rsidP="003058F5">
            <w:pPr>
              <w:pStyle w:val="NormalWeb"/>
              <w:rPr>
                <w:sz w:val="18"/>
                <w:szCs w:val="18"/>
              </w:rPr>
            </w:pPr>
            <w:r w:rsidRPr="00834CDC">
              <w:rPr>
                <w:sz w:val="18"/>
                <w:szCs w:val="18"/>
              </w:rPr>
              <w:t>4.2</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387C9C" w14:textId="77777777" w:rsidR="00027830" w:rsidRPr="00834CDC" w:rsidRDefault="00027830" w:rsidP="003058F5">
            <w:pPr>
              <w:pStyle w:val="NormalWeb"/>
              <w:rPr>
                <w:sz w:val="18"/>
                <w:szCs w:val="18"/>
              </w:rPr>
            </w:pPr>
            <w:r w:rsidRPr="00834CDC">
              <w:rPr>
                <w:sz w:val="18"/>
                <w:szCs w:val="18"/>
              </w:rPr>
              <w:t>3.4 – 5.3</w:t>
            </w:r>
          </w:p>
        </w:tc>
      </w:tr>
      <w:tr w:rsidR="00D54F61" w:rsidRPr="00834CDC" w14:paraId="69C03F4B" w14:textId="77777777" w:rsidTr="00B6040D">
        <w:trPr>
          <w:cnfStyle w:val="000000010000" w:firstRow="0" w:lastRow="0" w:firstColumn="0" w:lastColumn="0" w:oddVBand="0" w:evenVBand="0" w:oddHBand="0" w:evenHBand="1" w:firstRowFirstColumn="0" w:firstRowLastColumn="0" w:lastRowFirstColumn="0" w:lastRowLastColumn="0"/>
          <w:divId w:val="1988506822"/>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ADA007" w14:textId="77777777" w:rsidR="00027830" w:rsidRPr="00834CDC" w:rsidRDefault="00027830" w:rsidP="00B6040D">
            <w:pPr>
              <w:jc w:val="right"/>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E0EEB5" w14:textId="77777777" w:rsidR="00027830" w:rsidRPr="00834CDC" w:rsidRDefault="00027830" w:rsidP="00B6040D">
            <w:pPr>
              <w:pStyle w:val="NormalWeb"/>
              <w:jc w:val="left"/>
              <w:rPr>
                <w:sz w:val="18"/>
                <w:szCs w:val="18"/>
              </w:rPr>
            </w:pPr>
            <w:r w:rsidRPr="00834CDC">
              <w:rPr>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325825" w14:textId="77777777" w:rsidR="00027830" w:rsidRPr="00834CDC" w:rsidRDefault="00027830" w:rsidP="003058F5">
            <w:pPr>
              <w:pStyle w:val="NormalWeb"/>
              <w:rPr>
                <w:sz w:val="18"/>
                <w:szCs w:val="18"/>
              </w:rPr>
            </w:pPr>
            <w:r w:rsidRPr="00834CDC">
              <w:rPr>
                <w:sz w:val="18"/>
                <w:szCs w:val="18"/>
              </w:rPr>
              <w:t>350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6C345F" w14:textId="77777777" w:rsidR="00027830" w:rsidRPr="00834CDC" w:rsidRDefault="00027830" w:rsidP="003058F5">
            <w:pPr>
              <w:pStyle w:val="NormalWeb"/>
              <w:rPr>
                <w:sz w:val="18"/>
                <w:szCs w:val="18"/>
              </w:rPr>
            </w:pPr>
            <w:r w:rsidRPr="00834CDC">
              <w:rPr>
                <w:sz w:val="18"/>
                <w:szCs w:val="18"/>
              </w:rPr>
              <w:t>69.06</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21EB72" w14:textId="77777777" w:rsidR="00027830" w:rsidRPr="00834CDC" w:rsidRDefault="00027830" w:rsidP="003058F5">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521A1A" w14:textId="77777777" w:rsidR="00027830" w:rsidRPr="00834CDC" w:rsidRDefault="00027830" w:rsidP="003058F5">
            <w:pPr>
              <w:rPr>
                <w:sz w:val="18"/>
                <w:szCs w:val="18"/>
              </w:rPr>
            </w:pPr>
          </w:p>
        </w:tc>
      </w:tr>
      <w:tr w:rsidR="00D54F61" w:rsidRPr="00834CDC" w14:paraId="34778CC2" w14:textId="77777777" w:rsidTr="00B6040D">
        <w:trPr>
          <w:divId w:val="1988506822"/>
        </w:trPr>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491729" w14:textId="77777777" w:rsidR="00027830" w:rsidRPr="00834CDC" w:rsidRDefault="00027830" w:rsidP="00B6040D">
            <w:pPr>
              <w:pStyle w:val="NormalWeb"/>
              <w:jc w:val="right"/>
              <w:rPr>
                <w:sz w:val="18"/>
                <w:szCs w:val="18"/>
              </w:rPr>
            </w:pPr>
            <w:r w:rsidRPr="00834CDC">
              <w:rPr>
                <w:sz w:val="18"/>
                <w:szCs w:val="18"/>
              </w:rPr>
              <w:t>6–11 months</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0A3D7D" w14:textId="77777777" w:rsidR="00027830" w:rsidRPr="00834CDC" w:rsidRDefault="00027830" w:rsidP="00B6040D">
            <w:pPr>
              <w:pStyle w:val="NormalWeb"/>
              <w:jc w:val="left"/>
              <w:rPr>
                <w:sz w:val="18"/>
                <w:szCs w:val="18"/>
              </w:rPr>
            </w:pPr>
            <w:r w:rsidRPr="00834CDC">
              <w:rPr>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E5A3B9" w14:textId="0F754E13" w:rsidR="00027830" w:rsidRPr="00834CDC" w:rsidRDefault="00027830" w:rsidP="003058F5">
            <w:pPr>
              <w:pStyle w:val="NormalWeb"/>
              <w:rPr>
                <w:sz w:val="18"/>
                <w:szCs w:val="18"/>
              </w:rPr>
            </w:pPr>
            <w:r w:rsidRPr="00834CDC">
              <w:rPr>
                <w:sz w:val="18"/>
                <w:szCs w:val="18"/>
              </w:rPr>
              <w:t>NP</w:t>
            </w:r>
            <w:r w:rsidR="006113F0" w:rsidRPr="00834CDC">
              <w:rPr>
                <w:sz w:val="18"/>
                <w:szCs w:val="18"/>
              </w:rPr>
              <w:t xml:space="preserve"> </w:t>
            </w:r>
            <w:r w:rsidRPr="00834CDC">
              <w:rPr>
                <w:sz w:val="18"/>
                <w:szCs w:val="18"/>
                <w:vertAlign w:val="superscript"/>
              </w:rPr>
              <w:t>c</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C6DCB4" w14:textId="77777777" w:rsidR="00027830" w:rsidRPr="00834CDC" w:rsidRDefault="00027830" w:rsidP="003058F5">
            <w:pPr>
              <w:pStyle w:val="NormalWeb"/>
              <w:rPr>
                <w:sz w:val="18"/>
                <w:szCs w:val="18"/>
              </w:rPr>
            </w:pPr>
            <w:r w:rsidRPr="00834CDC">
              <w:rPr>
                <w:sz w:val="18"/>
                <w:szCs w:val="18"/>
              </w:rPr>
              <w:t>35.89</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0DD6D5" w14:textId="77777777" w:rsidR="00027830" w:rsidRPr="00834CDC" w:rsidRDefault="00027830" w:rsidP="003058F5">
            <w:pPr>
              <w:pStyle w:val="NormalWeb"/>
              <w:rPr>
                <w:sz w:val="18"/>
                <w:szCs w:val="18"/>
              </w:rPr>
            </w:pPr>
            <w:r w:rsidRPr="00834CDC">
              <w:rPr>
                <w:sz w:val="18"/>
                <w:szCs w:val="18"/>
              </w:rPr>
              <w:t>1.6</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F7835E" w14:textId="77777777" w:rsidR="00027830" w:rsidRPr="00834CDC" w:rsidRDefault="00027830" w:rsidP="003058F5">
            <w:pPr>
              <w:pStyle w:val="NormalWeb"/>
              <w:rPr>
                <w:sz w:val="18"/>
                <w:szCs w:val="18"/>
              </w:rPr>
            </w:pPr>
            <w:r w:rsidRPr="00834CDC">
              <w:rPr>
                <w:sz w:val="18"/>
                <w:szCs w:val="18"/>
              </w:rPr>
              <w:t>0.8 – 2.9</w:t>
            </w:r>
          </w:p>
        </w:tc>
      </w:tr>
      <w:tr w:rsidR="00D54F61" w:rsidRPr="00834CDC" w14:paraId="219D5664" w14:textId="77777777" w:rsidTr="00B6040D">
        <w:trPr>
          <w:cnfStyle w:val="000000010000" w:firstRow="0" w:lastRow="0" w:firstColumn="0" w:lastColumn="0" w:oddVBand="0" w:evenVBand="0" w:oddHBand="0" w:evenHBand="1" w:firstRowFirstColumn="0" w:firstRowLastColumn="0" w:lastRowFirstColumn="0" w:lastRowLastColumn="0"/>
          <w:divId w:val="1988506822"/>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5FBF9F" w14:textId="77777777" w:rsidR="00027830" w:rsidRPr="00834CDC" w:rsidRDefault="00027830" w:rsidP="003058F5">
            <w:pPr>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472C1A" w14:textId="77777777" w:rsidR="00027830" w:rsidRPr="00834CDC" w:rsidRDefault="00027830" w:rsidP="00B6040D">
            <w:pPr>
              <w:pStyle w:val="NormalWeb"/>
              <w:jc w:val="left"/>
              <w:rPr>
                <w:sz w:val="18"/>
                <w:szCs w:val="18"/>
              </w:rPr>
            </w:pPr>
            <w:r w:rsidRPr="00834CDC">
              <w:rPr>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73A627" w14:textId="77777777" w:rsidR="00027830" w:rsidRPr="00834CDC" w:rsidRDefault="00027830" w:rsidP="003058F5">
            <w:pPr>
              <w:pStyle w:val="NormalWeb"/>
              <w:rPr>
                <w:sz w:val="18"/>
                <w:szCs w:val="18"/>
              </w:rPr>
            </w:pPr>
            <w:r w:rsidRPr="00834CDC">
              <w:rPr>
                <w:sz w:val="18"/>
                <w:szCs w:val="18"/>
              </w:rPr>
              <w:t>113</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BA15AA" w14:textId="77777777" w:rsidR="00027830" w:rsidRPr="00834CDC" w:rsidRDefault="00027830" w:rsidP="003058F5">
            <w:pPr>
              <w:pStyle w:val="NormalWeb"/>
              <w:rPr>
                <w:sz w:val="18"/>
                <w:szCs w:val="18"/>
              </w:rPr>
            </w:pPr>
            <w:r w:rsidRPr="00834CDC">
              <w:rPr>
                <w:sz w:val="18"/>
                <w:szCs w:val="18"/>
              </w:rPr>
              <w:t>22.30</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DDD905" w14:textId="77777777" w:rsidR="00027830" w:rsidRPr="00834CDC" w:rsidRDefault="00027830" w:rsidP="003058F5">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DB92D9" w14:textId="77777777" w:rsidR="00027830" w:rsidRPr="00834CDC" w:rsidRDefault="00027830" w:rsidP="003058F5">
            <w:pPr>
              <w:rPr>
                <w:sz w:val="18"/>
                <w:szCs w:val="18"/>
              </w:rPr>
            </w:pPr>
          </w:p>
        </w:tc>
      </w:tr>
      <w:tr w:rsidR="00D54F61" w:rsidRPr="00834CDC" w14:paraId="06360648" w14:textId="77777777" w:rsidTr="00B6040D">
        <w:trPr>
          <w:divId w:val="1988506822"/>
        </w:trPr>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07FFB7" w14:textId="77777777" w:rsidR="00027830" w:rsidRPr="00834CDC" w:rsidRDefault="00027830" w:rsidP="003058F5">
            <w:pPr>
              <w:pStyle w:val="NormalWeb"/>
              <w:rPr>
                <w:sz w:val="18"/>
                <w:szCs w:val="18"/>
              </w:rPr>
            </w:pPr>
            <w:r w:rsidRPr="00834CDC">
              <w:rPr>
                <w:sz w:val="18"/>
                <w:szCs w:val="18"/>
              </w:rPr>
              <w:t>1–4</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E9CA99" w14:textId="77777777" w:rsidR="00027830" w:rsidRPr="00834CDC" w:rsidRDefault="00027830" w:rsidP="00B6040D">
            <w:pPr>
              <w:pStyle w:val="NormalWeb"/>
              <w:jc w:val="left"/>
              <w:rPr>
                <w:sz w:val="18"/>
                <w:szCs w:val="18"/>
              </w:rPr>
            </w:pPr>
            <w:r w:rsidRPr="00834CDC">
              <w:rPr>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0E357C" w14:textId="77777777" w:rsidR="00027830" w:rsidRPr="00834CDC" w:rsidRDefault="00027830" w:rsidP="003058F5">
            <w:pPr>
              <w:pStyle w:val="NormalWeb"/>
              <w:rPr>
                <w:sz w:val="18"/>
                <w:szCs w:val="18"/>
              </w:rPr>
            </w:pPr>
            <w:r w:rsidRPr="00834CDC">
              <w:rPr>
                <w:sz w:val="18"/>
                <w:szCs w:val="18"/>
              </w:rPr>
              <w:t>20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26B116" w14:textId="77777777" w:rsidR="00027830" w:rsidRPr="00834CDC" w:rsidRDefault="00027830" w:rsidP="003058F5">
            <w:pPr>
              <w:pStyle w:val="NormalWeb"/>
              <w:rPr>
                <w:sz w:val="18"/>
                <w:szCs w:val="18"/>
              </w:rPr>
            </w:pPr>
            <w:r w:rsidRPr="00834CDC">
              <w:rPr>
                <w:sz w:val="18"/>
                <w:szCs w:val="18"/>
              </w:rPr>
              <w:t>7.61</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646711" w14:textId="77777777" w:rsidR="00027830" w:rsidRPr="00834CDC" w:rsidRDefault="00027830" w:rsidP="003058F5">
            <w:pPr>
              <w:pStyle w:val="NormalWeb"/>
              <w:rPr>
                <w:sz w:val="18"/>
                <w:szCs w:val="18"/>
              </w:rPr>
            </w:pPr>
            <w:r w:rsidRPr="00834CDC">
              <w:rPr>
                <w:sz w:val="18"/>
                <w:szCs w:val="18"/>
              </w:rPr>
              <w:t>1.5</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D2DB5A" w14:textId="77777777" w:rsidR="00027830" w:rsidRPr="00834CDC" w:rsidRDefault="00027830" w:rsidP="003058F5">
            <w:pPr>
              <w:pStyle w:val="NormalWeb"/>
              <w:rPr>
                <w:sz w:val="18"/>
                <w:szCs w:val="18"/>
              </w:rPr>
            </w:pPr>
            <w:r w:rsidRPr="00834CDC">
              <w:rPr>
                <w:sz w:val="18"/>
                <w:szCs w:val="18"/>
              </w:rPr>
              <w:t>0.9 – 2.4</w:t>
            </w:r>
          </w:p>
        </w:tc>
      </w:tr>
      <w:tr w:rsidR="00D54F61" w:rsidRPr="00834CDC" w14:paraId="557657E9" w14:textId="77777777" w:rsidTr="00B6040D">
        <w:trPr>
          <w:cnfStyle w:val="000000010000" w:firstRow="0" w:lastRow="0" w:firstColumn="0" w:lastColumn="0" w:oddVBand="0" w:evenVBand="0" w:oddHBand="0" w:evenHBand="1" w:firstRowFirstColumn="0" w:firstRowLastColumn="0" w:lastRowFirstColumn="0" w:lastRowLastColumn="0"/>
          <w:divId w:val="1988506822"/>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9BB1ED" w14:textId="77777777" w:rsidR="00027830" w:rsidRPr="00834CDC" w:rsidRDefault="00027830" w:rsidP="003058F5">
            <w:pPr>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05ACA9" w14:textId="77777777" w:rsidR="00027830" w:rsidRPr="00834CDC" w:rsidRDefault="00027830" w:rsidP="00B6040D">
            <w:pPr>
              <w:pStyle w:val="NormalWeb"/>
              <w:jc w:val="left"/>
              <w:rPr>
                <w:sz w:val="18"/>
                <w:szCs w:val="18"/>
              </w:rPr>
            </w:pPr>
            <w:r w:rsidRPr="00834CDC">
              <w:rPr>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BDA7E2" w14:textId="77777777" w:rsidR="00027830" w:rsidRPr="00834CDC" w:rsidRDefault="00027830" w:rsidP="003058F5">
            <w:pPr>
              <w:pStyle w:val="NormalWeb"/>
              <w:rPr>
                <w:sz w:val="18"/>
                <w:szCs w:val="18"/>
              </w:rPr>
            </w:pPr>
            <w:r w:rsidRPr="00834CDC">
              <w:rPr>
                <w:sz w:val="18"/>
                <w:szCs w:val="18"/>
              </w:rPr>
              <w:t>209</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DE76CB" w14:textId="77777777" w:rsidR="00027830" w:rsidRPr="00834CDC" w:rsidRDefault="00027830" w:rsidP="003058F5">
            <w:pPr>
              <w:pStyle w:val="NormalWeb"/>
              <w:rPr>
                <w:sz w:val="18"/>
                <w:szCs w:val="18"/>
              </w:rPr>
            </w:pPr>
            <w:r w:rsidRPr="00834CDC">
              <w:rPr>
                <w:sz w:val="18"/>
                <w:szCs w:val="18"/>
              </w:rPr>
              <w:t>5.02</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8046F4" w14:textId="77777777" w:rsidR="00027830" w:rsidRPr="00834CDC" w:rsidRDefault="00027830" w:rsidP="003058F5">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2EC633" w14:textId="77777777" w:rsidR="00027830" w:rsidRPr="00834CDC" w:rsidRDefault="00027830" w:rsidP="003058F5">
            <w:pPr>
              <w:rPr>
                <w:sz w:val="18"/>
                <w:szCs w:val="18"/>
              </w:rPr>
            </w:pPr>
          </w:p>
        </w:tc>
      </w:tr>
      <w:tr w:rsidR="00D54F61" w:rsidRPr="00834CDC" w14:paraId="1CACFB51" w14:textId="77777777" w:rsidTr="00B6040D">
        <w:trPr>
          <w:divId w:val="1988506822"/>
        </w:trPr>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176721" w14:textId="77777777" w:rsidR="00027830" w:rsidRPr="00834CDC" w:rsidRDefault="00027830" w:rsidP="003058F5">
            <w:pPr>
              <w:pStyle w:val="NormalWeb"/>
              <w:rPr>
                <w:sz w:val="18"/>
                <w:szCs w:val="18"/>
              </w:rPr>
            </w:pPr>
            <w:r w:rsidRPr="00834CDC">
              <w:rPr>
                <w:sz w:val="18"/>
                <w:szCs w:val="18"/>
              </w:rPr>
              <w:t>5–14</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DC1C86" w14:textId="77777777" w:rsidR="00027830" w:rsidRPr="00834CDC" w:rsidRDefault="00027830" w:rsidP="00B6040D">
            <w:pPr>
              <w:pStyle w:val="NormalWeb"/>
              <w:jc w:val="left"/>
              <w:rPr>
                <w:sz w:val="18"/>
                <w:szCs w:val="18"/>
              </w:rPr>
            </w:pPr>
            <w:r w:rsidRPr="00834CDC">
              <w:rPr>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3F4215" w14:textId="77777777" w:rsidR="00027830" w:rsidRPr="00834CDC" w:rsidRDefault="00027830" w:rsidP="003058F5">
            <w:pPr>
              <w:pStyle w:val="NormalWeb"/>
              <w:rPr>
                <w:sz w:val="18"/>
                <w:szCs w:val="18"/>
              </w:rPr>
            </w:pPr>
            <w:r w:rsidRPr="00834CDC">
              <w:rPr>
                <w:sz w:val="18"/>
                <w:szCs w:val="18"/>
              </w:rPr>
              <w:t>16</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D6EDC8" w14:textId="77777777" w:rsidR="00027830" w:rsidRPr="00834CDC" w:rsidRDefault="00027830" w:rsidP="003058F5">
            <w:pPr>
              <w:pStyle w:val="NormalWeb"/>
              <w:rPr>
                <w:sz w:val="18"/>
                <w:szCs w:val="18"/>
              </w:rPr>
            </w:pPr>
            <w:r w:rsidRPr="00834CDC">
              <w:rPr>
                <w:sz w:val="18"/>
                <w:szCs w:val="18"/>
              </w:rPr>
              <w:t>2.50</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6CD671" w14:textId="77777777" w:rsidR="00027830" w:rsidRPr="00834CDC" w:rsidRDefault="00027830" w:rsidP="003058F5">
            <w:pPr>
              <w:pStyle w:val="NormalWeb"/>
              <w:rPr>
                <w:sz w:val="18"/>
                <w:szCs w:val="18"/>
              </w:rPr>
            </w:pPr>
            <w:r w:rsidRPr="00834CDC">
              <w:rPr>
                <w:sz w:val="18"/>
                <w:szCs w:val="18"/>
              </w:rPr>
              <w:t>1.8</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6B7D27" w14:textId="77777777" w:rsidR="00027830" w:rsidRPr="00834CDC" w:rsidRDefault="00027830" w:rsidP="003058F5">
            <w:pPr>
              <w:pStyle w:val="NormalWeb"/>
              <w:rPr>
                <w:sz w:val="18"/>
                <w:szCs w:val="18"/>
              </w:rPr>
            </w:pPr>
            <w:r w:rsidRPr="00834CDC">
              <w:rPr>
                <w:sz w:val="18"/>
                <w:szCs w:val="18"/>
              </w:rPr>
              <w:t>1.01 – 3.1</w:t>
            </w:r>
          </w:p>
        </w:tc>
      </w:tr>
      <w:tr w:rsidR="00D54F61" w:rsidRPr="00834CDC" w14:paraId="6B924818" w14:textId="77777777" w:rsidTr="00B6040D">
        <w:trPr>
          <w:cnfStyle w:val="000000010000" w:firstRow="0" w:lastRow="0" w:firstColumn="0" w:lastColumn="0" w:oddVBand="0" w:evenVBand="0" w:oddHBand="0" w:evenHBand="1" w:firstRowFirstColumn="0" w:firstRowLastColumn="0" w:lastRowFirstColumn="0" w:lastRowLastColumn="0"/>
          <w:divId w:val="1988506822"/>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32041B" w14:textId="77777777" w:rsidR="00027830" w:rsidRPr="00834CDC" w:rsidRDefault="00027830" w:rsidP="003058F5">
            <w:pPr>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0D443B2" w14:textId="77777777" w:rsidR="00027830" w:rsidRPr="00834CDC" w:rsidRDefault="00027830" w:rsidP="00B6040D">
            <w:pPr>
              <w:pStyle w:val="NormalWeb"/>
              <w:jc w:val="left"/>
              <w:rPr>
                <w:sz w:val="18"/>
                <w:szCs w:val="18"/>
              </w:rPr>
            </w:pPr>
            <w:r w:rsidRPr="00834CDC">
              <w:rPr>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35CCDF" w14:textId="77777777" w:rsidR="00027830" w:rsidRPr="00834CDC" w:rsidRDefault="00027830" w:rsidP="003058F5">
            <w:pPr>
              <w:pStyle w:val="NormalWeb"/>
              <w:rPr>
                <w:sz w:val="18"/>
                <w:szCs w:val="18"/>
              </w:rPr>
            </w:pPr>
            <w:r w:rsidRPr="00834CDC">
              <w:rPr>
                <w:sz w:val="18"/>
                <w:szCs w:val="18"/>
              </w:rPr>
              <w:t>140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014C3F" w14:textId="77777777" w:rsidR="00027830" w:rsidRPr="00834CDC" w:rsidRDefault="00027830" w:rsidP="003058F5">
            <w:pPr>
              <w:pStyle w:val="NormalWeb"/>
              <w:rPr>
                <w:sz w:val="18"/>
                <w:szCs w:val="18"/>
              </w:rPr>
            </w:pPr>
            <w:r w:rsidRPr="00834CDC">
              <w:rPr>
                <w:sz w:val="18"/>
                <w:szCs w:val="18"/>
              </w:rPr>
              <w:t>1.38</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D6E06F" w14:textId="77777777" w:rsidR="00027830" w:rsidRPr="00834CDC" w:rsidRDefault="00027830" w:rsidP="003058F5">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6CCA1B" w14:textId="77777777" w:rsidR="00027830" w:rsidRPr="00834CDC" w:rsidRDefault="00027830" w:rsidP="003058F5">
            <w:pPr>
              <w:rPr>
                <w:sz w:val="18"/>
                <w:szCs w:val="18"/>
              </w:rPr>
            </w:pPr>
          </w:p>
        </w:tc>
      </w:tr>
      <w:tr w:rsidR="00D54F61" w:rsidRPr="00834CDC" w14:paraId="7C6A55A2" w14:textId="77777777" w:rsidTr="00B6040D">
        <w:trPr>
          <w:divId w:val="1988506822"/>
        </w:trPr>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E4BC33" w14:textId="77777777" w:rsidR="00027830" w:rsidRPr="00834CDC" w:rsidRDefault="00027830" w:rsidP="003058F5">
            <w:pPr>
              <w:pStyle w:val="NormalWeb"/>
              <w:rPr>
                <w:sz w:val="18"/>
                <w:szCs w:val="18"/>
              </w:rPr>
            </w:pPr>
            <w:r w:rsidRPr="00834CDC">
              <w:rPr>
                <w:sz w:val="18"/>
                <w:szCs w:val="18"/>
              </w:rPr>
              <w:t>15–24</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14D78F" w14:textId="77777777" w:rsidR="00027830" w:rsidRPr="00834CDC" w:rsidRDefault="00027830" w:rsidP="00B6040D">
            <w:pPr>
              <w:pStyle w:val="NormalWeb"/>
              <w:jc w:val="left"/>
              <w:rPr>
                <w:sz w:val="18"/>
                <w:szCs w:val="18"/>
              </w:rPr>
            </w:pPr>
            <w:r w:rsidRPr="00834CDC">
              <w:rPr>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9E3310" w14:textId="77777777" w:rsidR="00027830" w:rsidRPr="00834CDC" w:rsidRDefault="00027830" w:rsidP="003058F5">
            <w:pPr>
              <w:pStyle w:val="NormalWeb"/>
              <w:rPr>
                <w:sz w:val="18"/>
                <w:szCs w:val="18"/>
              </w:rPr>
            </w:pPr>
            <w:r w:rsidRPr="00834CDC">
              <w:rPr>
                <w:sz w:val="18"/>
                <w:szCs w:val="18"/>
              </w:rPr>
              <w:t>1-5</w:t>
            </w:r>
            <w:r w:rsidRPr="00834CDC">
              <w:rPr>
                <w:sz w:val="18"/>
                <w:szCs w:val="18"/>
                <w:vertAlign w:val="superscript"/>
              </w:rPr>
              <w:t>c</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19A36F" w14:textId="77777777" w:rsidR="00027830" w:rsidRPr="00834CDC" w:rsidRDefault="00027830" w:rsidP="003058F5">
            <w:pPr>
              <w:pStyle w:val="NormalWeb"/>
              <w:rPr>
                <w:sz w:val="18"/>
                <w:szCs w:val="18"/>
              </w:rPr>
            </w:pPr>
            <w:r w:rsidRPr="00834CDC">
              <w:rPr>
                <w:sz w:val="18"/>
                <w:szCs w:val="18"/>
              </w:rPr>
              <w:t>0.72</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9FC31F" w14:textId="77777777" w:rsidR="00027830" w:rsidRPr="00834CDC" w:rsidRDefault="00027830" w:rsidP="003058F5">
            <w:pPr>
              <w:pStyle w:val="NormalWeb"/>
              <w:rPr>
                <w:sz w:val="18"/>
                <w:szCs w:val="18"/>
              </w:rPr>
            </w:pPr>
            <w:r w:rsidRPr="00834CDC">
              <w:rPr>
                <w:sz w:val="18"/>
                <w:szCs w:val="18"/>
              </w:rPr>
              <w:t>1.7</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0D6862" w14:textId="77777777" w:rsidR="00027830" w:rsidRPr="00834CDC" w:rsidRDefault="00027830" w:rsidP="003058F5">
            <w:pPr>
              <w:pStyle w:val="NormalWeb"/>
              <w:rPr>
                <w:sz w:val="18"/>
                <w:szCs w:val="18"/>
              </w:rPr>
            </w:pPr>
            <w:r w:rsidRPr="00834CDC">
              <w:rPr>
                <w:sz w:val="18"/>
                <w:szCs w:val="18"/>
              </w:rPr>
              <w:t>0.5 – 4.7</w:t>
            </w:r>
          </w:p>
        </w:tc>
      </w:tr>
      <w:tr w:rsidR="00D54F61" w:rsidRPr="00834CDC" w14:paraId="5E33916E" w14:textId="77777777" w:rsidTr="00B6040D">
        <w:trPr>
          <w:cnfStyle w:val="000000010000" w:firstRow="0" w:lastRow="0" w:firstColumn="0" w:lastColumn="0" w:oddVBand="0" w:evenVBand="0" w:oddHBand="0" w:evenHBand="1" w:firstRowFirstColumn="0" w:firstRowLastColumn="0" w:lastRowFirstColumn="0" w:lastRowLastColumn="0"/>
          <w:divId w:val="1988506822"/>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64268F" w14:textId="77777777" w:rsidR="00027830" w:rsidRPr="00834CDC" w:rsidRDefault="00027830" w:rsidP="003058F5">
            <w:pPr>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27F56C" w14:textId="77777777" w:rsidR="00027830" w:rsidRPr="00834CDC" w:rsidRDefault="00027830" w:rsidP="00B6040D">
            <w:pPr>
              <w:pStyle w:val="NormalWeb"/>
              <w:jc w:val="left"/>
              <w:rPr>
                <w:sz w:val="18"/>
                <w:szCs w:val="18"/>
              </w:rPr>
            </w:pPr>
            <w:r w:rsidRPr="00834CDC">
              <w:rPr>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FEEFEC" w14:textId="77777777" w:rsidR="00027830" w:rsidRPr="00834CDC" w:rsidRDefault="00027830" w:rsidP="003058F5">
            <w:pPr>
              <w:pStyle w:val="NormalWeb"/>
              <w:rPr>
                <w:sz w:val="18"/>
                <w:szCs w:val="18"/>
              </w:rPr>
            </w:pPr>
            <w:r w:rsidRPr="00834CDC">
              <w:rPr>
                <w:sz w:val="18"/>
                <w:szCs w:val="18"/>
              </w:rPr>
              <w:t>45</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4719B5" w14:textId="77777777" w:rsidR="00027830" w:rsidRPr="00834CDC" w:rsidRDefault="00027830" w:rsidP="003058F5">
            <w:pPr>
              <w:pStyle w:val="NormalWeb"/>
              <w:rPr>
                <w:sz w:val="18"/>
                <w:szCs w:val="18"/>
              </w:rPr>
            </w:pPr>
            <w:r w:rsidRPr="00834CDC">
              <w:rPr>
                <w:sz w:val="18"/>
                <w:szCs w:val="18"/>
              </w:rPr>
              <w:t>0.42</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B220F4" w14:textId="77777777" w:rsidR="00027830" w:rsidRPr="00834CDC" w:rsidRDefault="00027830" w:rsidP="003058F5">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A6EF35" w14:textId="77777777" w:rsidR="00027830" w:rsidRPr="00834CDC" w:rsidRDefault="00027830" w:rsidP="003058F5">
            <w:pPr>
              <w:rPr>
                <w:sz w:val="18"/>
                <w:szCs w:val="18"/>
              </w:rPr>
            </w:pPr>
          </w:p>
        </w:tc>
      </w:tr>
      <w:tr w:rsidR="00D54F61" w:rsidRPr="00834CDC" w14:paraId="589F453D" w14:textId="77777777" w:rsidTr="00B6040D">
        <w:trPr>
          <w:divId w:val="1988506822"/>
        </w:trPr>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5F063E" w14:textId="77777777" w:rsidR="00027830" w:rsidRPr="00834CDC" w:rsidRDefault="00027830" w:rsidP="003058F5">
            <w:pPr>
              <w:pStyle w:val="NormalWeb"/>
              <w:rPr>
                <w:sz w:val="18"/>
                <w:szCs w:val="18"/>
              </w:rPr>
            </w:pPr>
            <w:r w:rsidRPr="00834CDC">
              <w:rPr>
                <w:sz w:val="18"/>
                <w:szCs w:val="18"/>
              </w:rPr>
              <w:t>25–49</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7F7E33" w14:textId="77777777" w:rsidR="00027830" w:rsidRPr="00834CDC" w:rsidRDefault="00027830" w:rsidP="00B6040D">
            <w:pPr>
              <w:pStyle w:val="NormalWeb"/>
              <w:jc w:val="left"/>
              <w:rPr>
                <w:sz w:val="18"/>
                <w:szCs w:val="18"/>
              </w:rPr>
            </w:pPr>
            <w:r w:rsidRPr="00834CDC">
              <w:rPr>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191FCD" w14:textId="77777777" w:rsidR="00027830" w:rsidRPr="00834CDC" w:rsidRDefault="00027830" w:rsidP="003058F5">
            <w:pPr>
              <w:pStyle w:val="NormalWeb"/>
              <w:rPr>
                <w:sz w:val="18"/>
                <w:szCs w:val="18"/>
              </w:rPr>
            </w:pPr>
            <w:r w:rsidRPr="00834CDC">
              <w:rPr>
                <w:sz w:val="18"/>
                <w:szCs w:val="18"/>
              </w:rPr>
              <w:t>22</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E5DAEE" w14:textId="77777777" w:rsidR="00027830" w:rsidRPr="00834CDC" w:rsidRDefault="00027830" w:rsidP="003058F5">
            <w:pPr>
              <w:pStyle w:val="NormalWeb"/>
              <w:rPr>
                <w:sz w:val="18"/>
                <w:szCs w:val="18"/>
              </w:rPr>
            </w:pPr>
            <w:r w:rsidRPr="00834CDC">
              <w:rPr>
                <w:sz w:val="18"/>
                <w:szCs w:val="18"/>
              </w:rPr>
              <w:t>2.49</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0CC609" w14:textId="77777777" w:rsidR="00027830" w:rsidRPr="00834CDC" w:rsidRDefault="00027830" w:rsidP="003058F5">
            <w:pPr>
              <w:pStyle w:val="NormalWeb"/>
              <w:rPr>
                <w:sz w:val="18"/>
                <w:szCs w:val="18"/>
              </w:rPr>
            </w:pPr>
            <w:r w:rsidRPr="00834CDC">
              <w:rPr>
                <w:sz w:val="18"/>
                <w:szCs w:val="18"/>
              </w:rPr>
              <w:t>3.1</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161E8F" w14:textId="77777777" w:rsidR="00027830" w:rsidRPr="00834CDC" w:rsidRDefault="00027830" w:rsidP="003058F5">
            <w:pPr>
              <w:pStyle w:val="NormalWeb"/>
              <w:rPr>
                <w:sz w:val="18"/>
                <w:szCs w:val="18"/>
              </w:rPr>
            </w:pPr>
            <w:r w:rsidRPr="00834CDC">
              <w:rPr>
                <w:sz w:val="18"/>
                <w:szCs w:val="18"/>
              </w:rPr>
              <w:t>1.9 – 4.8</w:t>
            </w:r>
          </w:p>
        </w:tc>
      </w:tr>
      <w:tr w:rsidR="00D54F61" w:rsidRPr="00834CDC" w14:paraId="508C60A5" w14:textId="77777777" w:rsidTr="00B6040D">
        <w:trPr>
          <w:cnfStyle w:val="000000010000" w:firstRow="0" w:lastRow="0" w:firstColumn="0" w:lastColumn="0" w:oddVBand="0" w:evenVBand="0" w:oddHBand="0" w:evenHBand="1" w:firstRowFirstColumn="0" w:firstRowLastColumn="0" w:lastRowFirstColumn="0" w:lastRowLastColumn="0"/>
          <w:divId w:val="1988506822"/>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302793" w14:textId="77777777" w:rsidR="00027830" w:rsidRPr="00834CDC" w:rsidRDefault="00027830" w:rsidP="003058F5">
            <w:pPr>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6B1A40" w14:textId="77777777" w:rsidR="00027830" w:rsidRPr="00834CDC" w:rsidRDefault="00027830" w:rsidP="00B6040D">
            <w:pPr>
              <w:pStyle w:val="NormalWeb"/>
              <w:jc w:val="left"/>
              <w:rPr>
                <w:sz w:val="18"/>
                <w:szCs w:val="18"/>
              </w:rPr>
            </w:pPr>
            <w:r w:rsidRPr="00834CDC">
              <w:rPr>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DB002A" w14:textId="77777777" w:rsidR="00027830" w:rsidRPr="00834CDC" w:rsidRDefault="00027830" w:rsidP="003058F5">
            <w:pPr>
              <w:pStyle w:val="NormalWeb"/>
              <w:rPr>
                <w:sz w:val="18"/>
                <w:szCs w:val="18"/>
              </w:rPr>
            </w:pPr>
            <w:r w:rsidRPr="00834CDC">
              <w:rPr>
                <w:sz w:val="18"/>
                <w:szCs w:val="18"/>
              </w:rPr>
              <w:t>237</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A208DA" w14:textId="77777777" w:rsidR="00027830" w:rsidRPr="00834CDC" w:rsidRDefault="00027830" w:rsidP="003058F5">
            <w:pPr>
              <w:pStyle w:val="NormalWeb"/>
              <w:rPr>
                <w:sz w:val="18"/>
                <w:szCs w:val="18"/>
              </w:rPr>
            </w:pPr>
            <w:r w:rsidRPr="00834CDC">
              <w:rPr>
                <w:sz w:val="18"/>
                <w:szCs w:val="18"/>
              </w:rPr>
              <w:t>0.81</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3A5283" w14:textId="77777777" w:rsidR="00027830" w:rsidRPr="00834CDC" w:rsidRDefault="00027830" w:rsidP="003058F5">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7C31B8" w14:textId="77777777" w:rsidR="00027830" w:rsidRPr="00834CDC" w:rsidRDefault="00027830" w:rsidP="003058F5">
            <w:pPr>
              <w:rPr>
                <w:sz w:val="18"/>
                <w:szCs w:val="18"/>
              </w:rPr>
            </w:pPr>
          </w:p>
        </w:tc>
      </w:tr>
      <w:tr w:rsidR="00D54F61" w:rsidRPr="00834CDC" w14:paraId="0CA9E9EF" w14:textId="77777777" w:rsidTr="00B6040D">
        <w:trPr>
          <w:divId w:val="1988506822"/>
        </w:trPr>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647D13" w14:textId="77777777" w:rsidR="00027830" w:rsidRPr="00834CDC" w:rsidRDefault="00027830" w:rsidP="003058F5">
            <w:pPr>
              <w:pStyle w:val="NormalWeb"/>
              <w:rPr>
                <w:sz w:val="18"/>
                <w:szCs w:val="18"/>
              </w:rPr>
            </w:pPr>
            <w:r w:rsidRPr="00834CDC">
              <w:rPr>
                <w:sz w:val="18"/>
                <w:szCs w:val="18"/>
              </w:rPr>
              <w:t>50+</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1F014C" w14:textId="77777777" w:rsidR="00027830" w:rsidRPr="00834CDC" w:rsidRDefault="00027830" w:rsidP="00B6040D">
            <w:pPr>
              <w:pStyle w:val="NormalWeb"/>
              <w:jc w:val="left"/>
              <w:rPr>
                <w:sz w:val="18"/>
                <w:szCs w:val="18"/>
              </w:rPr>
            </w:pPr>
            <w:r w:rsidRPr="00834CDC">
              <w:rPr>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816759" w14:textId="77777777" w:rsidR="00027830" w:rsidRPr="00834CDC" w:rsidRDefault="00027830" w:rsidP="003058F5">
            <w:pPr>
              <w:pStyle w:val="NormalWeb"/>
              <w:rPr>
                <w:sz w:val="18"/>
                <w:szCs w:val="18"/>
              </w:rPr>
            </w:pPr>
            <w:r w:rsidRPr="00834CDC">
              <w:rPr>
                <w:sz w:val="18"/>
                <w:szCs w:val="18"/>
              </w:rPr>
              <w:t>21</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6697A6" w14:textId="77777777" w:rsidR="00027830" w:rsidRPr="00834CDC" w:rsidRDefault="00027830" w:rsidP="003058F5">
            <w:pPr>
              <w:pStyle w:val="NormalWeb"/>
              <w:rPr>
                <w:sz w:val="18"/>
                <w:szCs w:val="18"/>
              </w:rPr>
            </w:pPr>
            <w:r w:rsidRPr="00834CDC">
              <w:rPr>
                <w:sz w:val="18"/>
                <w:szCs w:val="18"/>
              </w:rPr>
              <w:t>4.56</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D49EBD" w14:textId="77777777" w:rsidR="00027830" w:rsidRPr="00834CDC" w:rsidRDefault="00027830" w:rsidP="003058F5">
            <w:pPr>
              <w:pStyle w:val="NormalWeb"/>
              <w:rPr>
                <w:sz w:val="18"/>
                <w:szCs w:val="18"/>
              </w:rPr>
            </w:pPr>
            <w:r w:rsidRPr="00834CDC">
              <w:rPr>
                <w:sz w:val="18"/>
                <w:szCs w:val="18"/>
              </w:rPr>
              <w:t>1.7</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DA6D90" w14:textId="77777777" w:rsidR="00027830" w:rsidRPr="00834CDC" w:rsidRDefault="00027830" w:rsidP="003058F5">
            <w:pPr>
              <w:pStyle w:val="NormalWeb"/>
              <w:rPr>
                <w:sz w:val="18"/>
                <w:szCs w:val="18"/>
              </w:rPr>
            </w:pPr>
            <w:r w:rsidRPr="00834CDC">
              <w:rPr>
                <w:sz w:val="18"/>
                <w:szCs w:val="18"/>
              </w:rPr>
              <w:t>1.1 – 2.7</w:t>
            </w:r>
          </w:p>
        </w:tc>
      </w:tr>
      <w:tr w:rsidR="00D54F61" w:rsidRPr="00834CDC" w14:paraId="5B5733F6" w14:textId="77777777" w:rsidTr="00B6040D">
        <w:trPr>
          <w:cnfStyle w:val="000000010000" w:firstRow="0" w:lastRow="0" w:firstColumn="0" w:lastColumn="0" w:oddVBand="0" w:evenVBand="0" w:oddHBand="0" w:evenHBand="1" w:firstRowFirstColumn="0" w:firstRowLastColumn="0" w:lastRowFirstColumn="0" w:lastRowLastColumn="0"/>
          <w:divId w:val="1988506822"/>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802746" w14:textId="77777777" w:rsidR="00027830" w:rsidRPr="00834CDC" w:rsidRDefault="00027830" w:rsidP="003058F5">
            <w:pPr>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6FA422" w14:textId="77777777" w:rsidR="00027830" w:rsidRPr="00834CDC" w:rsidRDefault="00027830" w:rsidP="00B6040D">
            <w:pPr>
              <w:pStyle w:val="NormalWeb"/>
              <w:jc w:val="left"/>
              <w:rPr>
                <w:sz w:val="18"/>
                <w:szCs w:val="18"/>
              </w:rPr>
            </w:pPr>
            <w:r w:rsidRPr="00834CDC">
              <w:rPr>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F8A85C" w14:textId="77777777" w:rsidR="00027830" w:rsidRPr="00834CDC" w:rsidRDefault="00027830" w:rsidP="003058F5">
            <w:pPr>
              <w:pStyle w:val="NormalWeb"/>
              <w:rPr>
                <w:sz w:val="18"/>
                <w:szCs w:val="18"/>
              </w:rPr>
            </w:pPr>
            <w:r w:rsidRPr="00834CDC">
              <w:rPr>
                <w:sz w:val="18"/>
                <w:szCs w:val="18"/>
              </w:rPr>
              <w:t>747</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5F9C7F" w14:textId="77777777" w:rsidR="00027830" w:rsidRPr="00834CDC" w:rsidRDefault="00027830" w:rsidP="003058F5">
            <w:pPr>
              <w:pStyle w:val="NormalWeb"/>
              <w:rPr>
                <w:sz w:val="18"/>
                <w:szCs w:val="18"/>
              </w:rPr>
            </w:pPr>
            <w:r w:rsidRPr="00834CDC">
              <w:rPr>
                <w:sz w:val="18"/>
                <w:szCs w:val="18"/>
              </w:rPr>
              <w:t>2.64</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03B47D" w14:textId="77777777" w:rsidR="00027830" w:rsidRPr="00834CDC" w:rsidRDefault="00027830" w:rsidP="003058F5">
            <w:pPr>
              <w:rPr>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2FFF04" w14:textId="77777777" w:rsidR="00027830" w:rsidRPr="00834CDC" w:rsidRDefault="00027830" w:rsidP="003058F5">
            <w:pPr>
              <w:rPr>
                <w:sz w:val="18"/>
                <w:szCs w:val="18"/>
              </w:rPr>
            </w:pPr>
          </w:p>
        </w:tc>
      </w:tr>
      <w:tr w:rsidR="00D54F61" w:rsidRPr="00834CDC" w14:paraId="7CBB63D8" w14:textId="77777777" w:rsidTr="00B31A6F">
        <w:trPr>
          <w:divId w:val="1988506822"/>
        </w:trPr>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B7159B5" w14:textId="77777777" w:rsidR="00027830" w:rsidRPr="00834CDC" w:rsidRDefault="00027830" w:rsidP="003058F5">
            <w:pPr>
              <w:pStyle w:val="NormalWeb"/>
              <w:rPr>
                <w:b/>
                <w:bCs/>
                <w:sz w:val="18"/>
                <w:szCs w:val="18"/>
              </w:rPr>
            </w:pPr>
            <w:r w:rsidRPr="00834CDC">
              <w:rPr>
                <w:b/>
                <w:bCs/>
                <w:sz w:val="18"/>
                <w:szCs w:val="18"/>
              </w:rPr>
              <w:t xml:space="preserve">All </w:t>
            </w:r>
            <w:proofErr w:type="spellStart"/>
            <w:r w:rsidRPr="00834CDC">
              <w:rPr>
                <w:b/>
                <w:bCs/>
                <w:sz w:val="18"/>
                <w:szCs w:val="18"/>
              </w:rPr>
              <w:t>ages</w:t>
            </w:r>
            <w:r w:rsidRPr="00834CDC">
              <w:rPr>
                <w:b/>
                <w:bCs/>
                <w:sz w:val="18"/>
                <w:szCs w:val="18"/>
                <w:vertAlign w:val="superscript"/>
              </w:rPr>
              <w:t>d</w:t>
            </w:r>
            <w:proofErr w:type="spellEnd"/>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68B3978" w14:textId="77777777" w:rsidR="00027830" w:rsidRPr="00834CDC" w:rsidRDefault="00027830" w:rsidP="00B6040D">
            <w:pPr>
              <w:pStyle w:val="NormalWeb"/>
              <w:jc w:val="left"/>
              <w:rPr>
                <w:b/>
                <w:bCs/>
                <w:sz w:val="18"/>
                <w:szCs w:val="18"/>
              </w:rPr>
            </w:pPr>
            <w:r w:rsidRPr="00834CDC">
              <w:rPr>
                <w:b/>
                <w:bCs/>
                <w:sz w:val="18"/>
                <w:szCs w:val="18"/>
              </w:rPr>
              <w:t>Aboriginal and Torres Strait Islander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628535D" w14:textId="77777777" w:rsidR="00027830" w:rsidRPr="00834CDC" w:rsidRDefault="00027830" w:rsidP="003058F5">
            <w:pPr>
              <w:pStyle w:val="NormalWeb"/>
              <w:rPr>
                <w:b/>
                <w:bCs/>
                <w:sz w:val="18"/>
                <w:szCs w:val="18"/>
              </w:rPr>
            </w:pPr>
            <w:r w:rsidRPr="00834CDC">
              <w:rPr>
                <w:b/>
                <w:bCs/>
                <w:sz w:val="18"/>
                <w:szCs w:val="18"/>
              </w:rPr>
              <w:t>193</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412D50C" w14:textId="77777777" w:rsidR="00027830" w:rsidRPr="00834CDC" w:rsidRDefault="00027830" w:rsidP="003058F5">
            <w:pPr>
              <w:pStyle w:val="NormalWeb"/>
              <w:rPr>
                <w:b/>
                <w:bCs/>
                <w:sz w:val="18"/>
                <w:szCs w:val="18"/>
              </w:rPr>
            </w:pPr>
            <w:r w:rsidRPr="00834CDC">
              <w:rPr>
                <w:b/>
                <w:bCs/>
                <w:sz w:val="18"/>
                <w:szCs w:val="18"/>
              </w:rPr>
              <w:t>5.35</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1842B64" w14:textId="77777777" w:rsidR="00027830" w:rsidRPr="00834CDC" w:rsidRDefault="00027830" w:rsidP="003058F5">
            <w:pPr>
              <w:pStyle w:val="NormalWeb"/>
              <w:rPr>
                <w:b/>
                <w:bCs/>
                <w:sz w:val="18"/>
                <w:szCs w:val="18"/>
              </w:rPr>
            </w:pPr>
            <w:r w:rsidRPr="00834CDC">
              <w:rPr>
                <w:b/>
                <w:bCs/>
                <w:sz w:val="18"/>
                <w:szCs w:val="18"/>
              </w:rPr>
              <w:t>2.4</w:t>
            </w:r>
          </w:p>
        </w:tc>
        <w:tc>
          <w:tcPr>
            <w:tcW w:w="165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68162E3" w14:textId="77777777" w:rsidR="00027830" w:rsidRPr="00834CDC" w:rsidRDefault="00027830" w:rsidP="003058F5">
            <w:pPr>
              <w:pStyle w:val="NormalWeb"/>
              <w:rPr>
                <w:b/>
                <w:bCs/>
                <w:sz w:val="18"/>
                <w:szCs w:val="18"/>
              </w:rPr>
            </w:pPr>
            <w:r w:rsidRPr="00834CDC">
              <w:rPr>
                <w:b/>
                <w:bCs/>
                <w:sz w:val="18"/>
                <w:szCs w:val="18"/>
              </w:rPr>
              <w:t>2.0 – 2.8</w:t>
            </w:r>
          </w:p>
        </w:tc>
      </w:tr>
      <w:tr w:rsidR="00D54F61" w:rsidRPr="00834CDC" w14:paraId="511FF8B4" w14:textId="77777777" w:rsidTr="00B31A6F">
        <w:trPr>
          <w:cnfStyle w:val="000000010000" w:firstRow="0" w:lastRow="0" w:firstColumn="0" w:lastColumn="0" w:oddVBand="0" w:evenVBand="0" w:oddHBand="0" w:evenHBand="1" w:firstRowFirstColumn="0" w:firstRowLastColumn="0" w:lastRowFirstColumn="0" w:lastRowLastColumn="0"/>
          <w:divId w:val="1988506822"/>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BF25D50" w14:textId="77777777" w:rsidR="00027830" w:rsidRPr="00834CDC" w:rsidRDefault="00027830" w:rsidP="003058F5">
            <w:pPr>
              <w:rPr>
                <w:b/>
                <w:bCs/>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BF2AC0A" w14:textId="77777777" w:rsidR="00027830" w:rsidRPr="00834CDC" w:rsidRDefault="00027830" w:rsidP="00B6040D">
            <w:pPr>
              <w:pStyle w:val="NormalWeb"/>
              <w:jc w:val="left"/>
              <w:rPr>
                <w:b/>
                <w:bCs/>
                <w:sz w:val="18"/>
                <w:szCs w:val="18"/>
              </w:rPr>
            </w:pPr>
            <w:r w:rsidRPr="00834CDC">
              <w:rPr>
                <w:b/>
                <w:bCs/>
                <w:sz w:val="18"/>
                <w:szCs w:val="18"/>
              </w:rPr>
              <w:t>Other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7BEDDA5" w14:textId="77777777" w:rsidR="00027830" w:rsidRPr="00834CDC" w:rsidRDefault="00027830" w:rsidP="003058F5">
            <w:pPr>
              <w:pStyle w:val="NormalWeb"/>
              <w:rPr>
                <w:b/>
                <w:bCs/>
                <w:sz w:val="18"/>
                <w:szCs w:val="18"/>
              </w:rPr>
            </w:pPr>
            <w:r w:rsidRPr="00834CDC">
              <w:rPr>
                <w:b/>
                <w:bCs/>
                <w:sz w:val="18"/>
                <w:szCs w:val="18"/>
              </w:rPr>
              <w:t>1,841</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049A688" w14:textId="77777777" w:rsidR="00027830" w:rsidRPr="00834CDC" w:rsidRDefault="00027830" w:rsidP="003058F5">
            <w:pPr>
              <w:pStyle w:val="NormalWeb"/>
              <w:rPr>
                <w:b/>
                <w:bCs/>
                <w:sz w:val="18"/>
                <w:szCs w:val="18"/>
              </w:rPr>
            </w:pPr>
            <w:r w:rsidRPr="00834CDC">
              <w:rPr>
                <w:b/>
                <w:bCs/>
                <w:sz w:val="18"/>
                <w:szCs w:val="18"/>
              </w:rPr>
              <w:t>2.24</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48693F5" w14:textId="77777777" w:rsidR="00027830" w:rsidRPr="00834CDC" w:rsidRDefault="00027830" w:rsidP="003058F5">
            <w:pPr>
              <w:rPr>
                <w:b/>
                <w:bCs/>
                <w:sz w:val="18"/>
                <w:szCs w:val="18"/>
              </w:rPr>
            </w:pPr>
          </w:p>
        </w:tc>
        <w:tc>
          <w:tcPr>
            <w:tcW w:w="165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9E71511" w14:textId="77777777" w:rsidR="00027830" w:rsidRPr="00834CDC" w:rsidRDefault="00027830" w:rsidP="003058F5">
            <w:pPr>
              <w:rPr>
                <w:b/>
                <w:bCs/>
                <w:sz w:val="18"/>
                <w:szCs w:val="18"/>
              </w:rPr>
            </w:pPr>
          </w:p>
        </w:tc>
      </w:tr>
    </w:tbl>
    <w:p w14:paraId="5294EED3" w14:textId="5F1F60DA" w:rsidR="00027830" w:rsidRPr="00834CDC" w:rsidRDefault="00027830" w:rsidP="008F61B6">
      <w:pPr>
        <w:pStyle w:val="CDIfootnotes"/>
        <w:divId w:val="1988506822"/>
      </w:pPr>
      <w:r w:rsidRPr="00834CDC">
        <w:t>a</w:t>
      </w:r>
      <w:r w:rsidRPr="00834CDC">
        <w:tab/>
      </w:r>
      <w:proofErr w:type="gramStart"/>
      <w:r w:rsidRPr="00834CDC">
        <w:t>Hospital admissions</w:t>
      </w:r>
      <w:proofErr w:type="gramEnd"/>
      <w:r w:rsidRPr="00834CDC">
        <w:t xml:space="preserve"> where the date of admission was between 1 January 2016 and 30 June 2019. 2019 hospitalisation data were annualised.</w:t>
      </w:r>
    </w:p>
    <w:p w14:paraId="369B01E6" w14:textId="77777777" w:rsidR="00027830" w:rsidRPr="00834CDC" w:rsidRDefault="00027830" w:rsidP="008F61B6">
      <w:pPr>
        <w:pStyle w:val="CDIfootnotes"/>
        <w:divId w:val="1988506822"/>
      </w:pPr>
      <w:r w:rsidRPr="00834CDC">
        <w:t>b</w:t>
      </w:r>
      <w:r w:rsidRPr="00834CDC">
        <w:tab/>
        <w:t>Average annual age-specific rate per 100,000 population.</w:t>
      </w:r>
    </w:p>
    <w:p w14:paraId="73A4A7F2" w14:textId="77777777" w:rsidR="00027830" w:rsidRPr="00834CDC" w:rsidRDefault="00027830" w:rsidP="008F61B6">
      <w:pPr>
        <w:pStyle w:val="CDIfootnotes"/>
        <w:divId w:val="1988506822"/>
      </w:pPr>
      <w:r w:rsidRPr="00834CDC">
        <w:t>c</w:t>
      </w:r>
      <w:r w:rsidRPr="00834CDC">
        <w:tab/>
      </w:r>
      <w:proofErr w:type="gramStart"/>
      <w:r w:rsidRPr="00834CDC">
        <w:t>To</w:t>
      </w:r>
      <w:proofErr w:type="gramEnd"/>
      <w:r w:rsidRPr="00834CDC">
        <w:t xml:space="preserve"> comply with the AIHW’s data release condition that hospitalisation counts &lt; 5 be suppressed in published reports, counts between 1 and 4 are reported as a range; other cell counts may be reported as NP (not published) to avoid potential for back calculation of counts &lt; 5.</w:t>
      </w:r>
    </w:p>
    <w:p w14:paraId="50BBD4F2" w14:textId="5E7220AB" w:rsidR="00027830" w:rsidRPr="00834CDC" w:rsidRDefault="00027830" w:rsidP="008F61B6">
      <w:pPr>
        <w:pStyle w:val="CDIfootnotes"/>
        <w:divId w:val="1988506822"/>
      </w:pPr>
      <w:r w:rsidRPr="00834CDC">
        <w:t>d</w:t>
      </w:r>
      <w:r w:rsidRPr="00834CDC">
        <w:tab/>
        <w:t>Rates for all ages combined are age-standardised to the ABS Australian population estimates for 2016.</w:t>
      </w:r>
    </w:p>
    <w:p w14:paraId="774E2794" w14:textId="77777777" w:rsidR="0033445F" w:rsidRPr="00834CDC" w:rsidRDefault="0033445F" w:rsidP="0033445F">
      <w:pPr>
        <w:divId w:val="1988506822"/>
      </w:pPr>
      <w:r w:rsidRPr="00834CDC">
        <w:t xml:space="preserve">Trends in hospitalisation rates for pertussis </w:t>
      </w:r>
      <w:proofErr w:type="gramStart"/>
      <w:r w:rsidRPr="00834CDC">
        <w:t>are presented</w:t>
      </w:r>
      <w:proofErr w:type="gramEnd"/>
      <w:r w:rsidRPr="00834CDC">
        <w:t xml:space="preserve"> in Figure 13 for six states and territories (excluding the Australian Capital Territory and Tasmania) for the period 2010 to 2019. The hospitalisation rate among Aboriginal and Torres Strait Islander people peaked at 17.5 per 100,000 population per year in 2011, then declined to 4.0 per 100,000 per year in 2014, before increasing to 8.5 per 100,000 per year in 2017 and declining again to 4.7 per 100,000 per year in 2019. Hospitalisation rates among other people also peaked in 2011 at 6.8 per 100,000 per year and declined to reach 1.5 per 100,000 per year in 2019. </w:t>
      </w:r>
    </w:p>
    <w:p w14:paraId="0C5150CE" w14:textId="731608A2" w:rsidR="0033445F" w:rsidRPr="00834CDC" w:rsidRDefault="0033445F" w:rsidP="0033445F">
      <w:pPr>
        <w:divId w:val="1988506822"/>
      </w:pPr>
      <w:r w:rsidRPr="00834CDC">
        <w:t xml:space="preserve">There were ten deaths reported in Australia for the period 2016–2019 with pertussis as the underlying or associated cause of death. Of these, between 1–5 </w:t>
      </w:r>
      <w:proofErr w:type="spellStart"/>
      <w:r w:rsidRPr="00834CDC">
        <w:t>deaths</w:t>
      </w:r>
      <w:r w:rsidRPr="00834CDC">
        <w:rPr>
          <w:vertAlign w:val="superscript"/>
        </w:rPr>
        <w:t>iv</w:t>
      </w:r>
      <w:proofErr w:type="spellEnd"/>
      <w:r w:rsidRPr="00834CDC">
        <w:t xml:space="preserve"> </w:t>
      </w:r>
      <w:proofErr w:type="gramStart"/>
      <w:r w:rsidRPr="00834CDC">
        <w:t>were recorded</w:t>
      </w:r>
      <w:proofErr w:type="gramEnd"/>
      <w:r w:rsidRPr="00834CDC">
        <w:t xml:space="preserve"> as being in Aboriginal and Torres Strait Islander</w:t>
      </w:r>
      <w:r w:rsidR="0081478A" w:rsidRPr="00834CDC">
        <w:t> </w:t>
      </w:r>
      <w:r w:rsidRPr="00834CDC">
        <w:t xml:space="preserve">people. </w:t>
      </w:r>
    </w:p>
    <w:p w14:paraId="2F561953" w14:textId="2C77B253" w:rsidR="00F573A9" w:rsidRPr="00834CDC" w:rsidRDefault="00F573A9" w:rsidP="00F573A9">
      <w:pPr>
        <w:pStyle w:val="CDIfootnotes"/>
        <w:pBdr>
          <w:top w:val="single" w:sz="2" w:space="1" w:color="808080" w:themeColor="background1" w:themeShade="80"/>
        </w:pBdr>
        <w:divId w:val="1988506822"/>
      </w:pPr>
      <w:r w:rsidRPr="00834CDC">
        <w:t xml:space="preserve">iv </w:t>
      </w:r>
      <w:r w:rsidRPr="00834CDC">
        <w:tab/>
      </w:r>
      <w:proofErr w:type="gramStart"/>
      <w:r w:rsidRPr="00834CDC">
        <w:t>To</w:t>
      </w:r>
      <w:proofErr w:type="gramEnd"/>
      <w:r w:rsidRPr="00834CDC">
        <w:t xml:space="preserve"> comply with the Australian Coordinating Registry’s data release condition that death counts &lt; 6 be suppressed in published reports, counts between 1 and 5 are reported as a range.</w:t>
      </w:r>
    </w:p>
    <w:p w14:paraId="5F17899B" w14:textId="77777777" w:rsidR="009171E8" w:rsidRPr="00834CDC" w:rsidRDefault="009171E8" w:rsidP="009171E8">
      <w:pPr>
        <w:pStyle w:val="CDIFigures"/>
        <w:divId w:val="1988506822"/>
      </w:pPr>
      <w:r w:rsidRPr="00834CDC">
        <w:rPr>
          <w:rStyle w:val="Strong"/>
          <w:b/>
          <w:bCs w:val="0"/>
        </w:rPr>
        <w:lastRenderedPageBreak/>
        <w:t>Figure 13: Pertussis hospitalisation rates, Australia (selected states and territories</w:t>
      </w:r>
      <w:proofErr w:type="gramStart"/>
      <w:r w:rsidRPr="00834CDC">
        <w:rPr>
          <w:rStyle w:val="Strong"/>
          <w:b/>
          <w:bCs w:val="0"/>
        </w:rPr>
        <w:t>),</w:t>
      </w:r>
      <w:r w:rsidRPr="00834CDC">
        <w:rPr>
          <w:rStyle w:val="Strong"/>
          <w:b/>
          <w:bCs w:val="0"/>
          <w:vertAlign w:val="superscript"/>
        </w:rPr>
        <w:t>a</w:t>
      </w:r>
      <w:proofErr w:type="gramEnd"/>
      <w:r w:rsidRPr="00834CDC">
        <w:rPr>
          <w:rStyle w:val="Strong"/>
          <w:b/>
          <w:bCs w:val="0"/>
        </w:rPr>
        <w:t xml:space="preserve"> 2010–2019,</w:t>
      </w:r>
      <w:r w:rsidRPr="00834CDC">
        <w:rPr>
          <w:rStyle w:val="Strong"/>
          <w:b/>
          <w:bCs w:val="0"/>
          <w:vertAlign w:val="superscript"/>
        </w:rPr>
        <w:t>b</w:t>
      </w:r>
      <w:r w:rsidRPr="00834CDC">
        <w:rPr>
          <w:rStyle w:val="Strong"/>
          <w:b/>
          <w:bCs w:val="0"/>
        </w:rPr>
        <w:t xml:space="preserve"> by Aboriginal and Torres Strait Islander status</w:t>
      </w:r>
    </w:p>
    <w:p w14:paraId="2506F8EB" w14:textId="77777777" w:rsidR="009171E8" w:rsidRPr="00834CDC" w:rsidRDefault="009171E8" w:rsidP="009171E8">
      <w:pPr>
        <w:divId w:val="1988506822"/>
        <w:rPr>
          <w:rFonts w:eastAsia="Times New Roman"/>
        </w:rPr>
      </w:pPr>
      <w:r w:rsidRPr="00834CDC">
        <w:rPr>
          <w:rFonts w:eastAsia="Times New Roman"/>
          <w:noProof/>
        </w:rPr>
        <w:drawing>
          <wp:inline distT="0" distB="0" distL="0" distR="0" wp14:anchorId="178821A5" wp14:editId="5289990A">
            <wp:extent cx="6629400" cy="4354670"/>
            <wp:effectExtent l="0" t="0" r="0" b="8255"/>
            <wp:docPr id="18" name="Picture 18" descr="Line graph showing pertussis hospitalisation rates, in selected jurisdictions (New South Wales, Queensland, South Australia, Western Australia, Northern Territory and Victoria) for the 2010 to 2019 period. Rates among Aboriginal and Torres Strait Islander people peaked at 17.5 per 100,000 population in 2011, then declined in 2014 to 4.0 per 100,000, before increasing to 8.5 per 100,000 in 2017 and declining again to 4.7 per 100,000 in 2019. Rates among other people also peaked in 2011 at 6.8 per 100,000 and declined to reach 1.5 per 100,000 in 201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ne graph showing pertussis hospitalisation rates, in selected jurisdictions (New South Wales, Queensland, South Australia, Western Australia, Northern Territory and Victoria) for the 2010 to 2019 period. Rates among Aboriginal and Torres Strait Islander people peaked at 17.5 per 100,000 population in 2011, then declined in 2014 to 4.0 per 100,000, before increasing to 8.5 per 100,000 in 2017 and declining again to 4.7 per 100,000 in 2019. Rates among other people also peaked in 2011 at 6.8 per 100,000 and declined to reach 1.5 per 100,000 in 2019. &#10;"/>
                    <pic:cNvPicPr>
                      <a:picLocks noChangeAspect="1" noChangeArrowheads="1"/>
                    </pic:cNvPicPr>
                  </pic:nvPicPr>
                  <pic:blipFill>
                    <a:blip r:link="rId24">
                      <a:extLst>
                        <a:ext uri="{28A0092B-C50C-407E-A947-70E740481C1C}">
                          <a14:useLocalDpi xmlns:a14="http://schemas.microsoft.com/office/drawing/2010/main" val="0"/>
                        </a:ext>
                      </a:extLst>
                    </a:blip>
                    <a:stretch>
                      <a:fillRect/>
                    </a:stretch>
                  </pic:blipFill>
                  <pic:spPr bwMode="auto">
                    <a:xfrm>
                      <a:off x="0" y="0"/>
                      <a:ext cx="6636454" cy="4359304"/>
                    </a:xfrm>
                    <a:prstGeom prst="rect">
                      <a:avLst/>
                    </a:prstGeom>
                  </pic:spPr>
                </pic:pic>
              </a:graphicData>
            </a:graphic>
          </wp:inline>
        </w:drawing>
      </w:r>
    </w:p>
    <w:p w14:paraId="46934C51" w14:textId="7B935A8D" w:rsidR="00442EE5" w:rsidRPr="00834CDC" w:rsidRDefault="00442EE5" w:rsidP="00442EE5">
      <w:pPr>
        <w:pStyle w:val="CDIfootnotes"/>
        <w:divId w:val="1988506822"/>
      </w:pPr>
      <w:r w:rsidRPr="00834CDC">
        <w:t>a</w:t>
      </w:r>
      <w:r w:rsidRPr="00834CDC">
        <w:tab/>
        <w:t>States and territories with satisfactory data quality 2010–2019; refer to Appendix A (New South Wales, Queensland, South Australia, Western Australia, Northern Territory, Victoria).</w:t>
      </w:r>
    </w:p>
    <w:p w14:paraId="62879B6D" w14:textId="6EA85285" w:rsidR="000D76DB" w:rsidRPr="00834CDC" w:rsidRDefault="00442EE5" w:rsidP="00751135">
      <w:pPr>
        <w:pStyle w:val="CDIfootnotes"/>
        <w:divId w:val="1988506822"/>
      </w:pPr>
      <w:r w:rsidRPr="00834CDC">
        <w:t>b</w:t>
      </w:r>
      <w:r w:rsidRPr="00834CDC">
        <w:tab/>
        <w:t>Hospital admissions where the date of admission was between 1 January 2010 and 30 June 2019; 2019 hospitalisation data is annual</w:t>
      </w:r>
      <w:r w:rsidRPr="00834CDC">
        <w:softHyphen/>
        <w:t>ised</w:t>
      </w:r>
    </w:p>
    <w:p w14:paraId="2695A204" w14:textId="0D21BE20" w:rsidR="0033445F" w:rsidRPr="00834CDC" w:rsidRDefault="0033445F" w:rsidP="0033445F">
      <w:pPr>
        <w:pStyle w:val="Heading2"/>
        <w:divId w:val="1988506822"/>
      </w:pPr>
      <w:r w:rsidRPr="00834CDC">
        <w:t xml:space="preserve">Discussion </w:t>
      </w:r>
    </w:p>
    <w:p w14:paraId="55752940" w14:textId="77777777" w:rsidR="0033445F" w:rsidRPr="00834CDC" w:rsidRDefault="0033445F" w:rsidP="0033445F">
      <w:pPr>
        <w:divId w:val="1988506822"/>
      </w:pPr>
      <w:r w:rsidRPr="00834CDC">
        <w:t>Pertussis notification rates in infants aged &lt; 1 year were approximately 20% lower in the 2016–2019 period compared to the 2011–2015 period, for both Aboriginal and Torres Strait Islander and other infants, with hospitalisation rates 36% lower in Aboriginal and Torres Strait Islander infants and 60% lower in other infants.</w:t>
      </w:r>
      <w:r w:rsidRPr="00834CDC">
        <w:rPr>
          <w:vertAlign w:val="superscript"/>
        </w:rPr>
        <w:t>1</w:t>
      </w:r>
      <w:r w:rsidRPr="00834CDC">
        <w:t xml:space="preserve"> However, our analysis of rates in infants aged &lt; 6 months, the age group most at risk of severe pertussis, showed a threefold higher notification rate and fourfold higher hospitalisation rate in the 2016–2019 period in Aboriginal and Torres Strait Islander infants than in other infants. To address these high rates, the focus should be on improving timeliness of vaccination, particularly of the first two vaccine doses due at 2 and 4 months of age, and uptake of maternal pertussis vaccination during pregnancy. In 2019, the proportion of Aboriginal and Torres Strait Islander infants receiving their second </w:t>
      </w:r>
      <w:proofErr w:type="spellStart"/>
      <w:r w:rsidRPr="00834CDC">
        <w:t>DTPa</w:t>
      </w:r>
      <w:proofErr w:type="spellEnd"/>
      <w:r w:rsidRPr="00834CDC">
        <w:t xml:space="preserve"> vaccine on time (within 1 month of due date) was 11 percentage points lower than other children (80.9% versus 91.8%, respectively; see vaccination coverage chapter), consistent with previous studies.</w:t>
      </w:r>
      <w:r w:rsidRPr="00834CDC">
        <w:rPr>
          <w:vertAlign w:val="superscript"/>
        </w:rPr>
        <w:t>162–164</w:t>
      </w:r>
      <w:r w:rsidRPr="00834CDC">
        <w:t xml:space="preserve"> Initiatives such as the NSW Aboriginal Immunisation Healthcare Worker program, which has contributed to improved timeliness of vaccination in NSW,</w:t>
      </w:r>
      <w:r w:rsidRPr="00834CDC">
        <w:rPr>
          <w:vertAlign w:val="superscript"/>
        </w:rPr>
        <w:t>164</w:t>
      </w:r>
      <w:r w:rsidRPr="00834CDC">
        <w:t xml:space="preserve"> may help reduce pertussis notification and hospitalisation rates among Aboriginal and Torres Strait Islander infants. </w:t>
      </w:r>
    </w:p>
    <w:p w14:paraId="0ABC6621" w14:textId="77777777" w:rsidR="0033445F" w:rsidRPr="00834CDC" w:rsidRDefault="0033445F" w:rsidP="0033445F">
      <w:pPr>
        <w:divId w:val="1988506822"/>
      </w:pPr>
      <w:r w:rsidRPr="00834CDC">
        <w:t xml:space="preserve">Maternal </w:t>
      </w:r>
      <w:proofErr w:type="spellStart"/>
      <w:r w:rsidRPr="00834CDC">
        <w:t>dTpa</w:t>
      </w:r>
      <w:proofErr w:type="spellEnd"/>
      <w:r w:rsidRPr="00834CDC">
        <w:t xml:space="preserve"> vaccination in the third trimester of pregnancy is also effective at reducing the burden of pertussis in young infants.</w:t>
      </w:r>
      <w:r w:rsidRPr="00834CDC">
        <w:rPr>
          <w:vertAlign w:val="superscript"/>
        </w:rPr>
        <w:t>165–167</w:t>
      </w:r>
      <w:r w:rsidRPr="00834CDC">
        <w:t xml:space="preserve"> Our results, along with other studies,</w:t>
      </w:r>
      <w:r w:rsidRPr="00834CDC">
        <w:rPr>
          <w:vertAlign w:val="superscript"/>
        </w:rPr>
        <w:t>166–168</w:t>
      </w:r>
      <w:r w:rsidRPr="00834CDC">
        <w:t xml:space="preserve"> highlight the importance of maternal vaccination for </w:t>
      </w:r>
      <w:r w:rsidRPr="00834CDC">
        <w:lastRenderedPageBreak/>
        <w:t xml:space="preserve">pregnant Aboriginal and Torres Strait Islander women. State/territory-funded funded pertussis immunisation programs for pregnant women </w:t>
      </w:r>
      <w:proofErr w:type="gramStart"/>
      <w:r w:rsidRPr="00834CDC">
        <w:t>were progressively introduced</w:t>
      </w:r>
      <w:proofErr w:type="gramEnd"/>
      <w:r w:rsidRPr="00834CDC">
        <w:t xml:space="preserve"> from 2014 with inclusion on the NIP in July 2018. Analyses have shown progressive reductions in overall pertussis notification rates in the &lt; 2 months age group in each year from 2015 to 2018, suggesting impact of maternal pertussis immunisation programs.</w:t>
      </w:r>
      <w:r w:rsidRPr="00834CDC">
        <w:rPr>
          <w:vertAlign w:val="superscript"/>
        </w:rPr>
        <w:t>169</w:t>
      </w:r>
      <w:r w:rsidRPr="00834CDC">
        <w:t xml:space="preserve"> The limited data available on maternal </w:t>
      </w:r>
      <w:proofErr w:type="spellStart"/>
      <w:r w:rsidRPr="00834CDC">
        <w:t>dTpa</w:t>
      </w:r>
      <w:proofErr w:type="spellEnd"/>
      <w:r w:rsidRPr="00834CDC">
        <w:t xml:space="preserve"> vaccine uptake suggest it is lower among Aboriginal and Torres Strait Islander than among other women.</w:t>
      </w:r>
      <w:r w:rsidRPr="00834CDC">
        <w:rPr>
          <w:vertAlign w:val="superscript"/>
        </w:rPr>
        <w:t>166,170,171</w:t>
      </w:r>
      <w:r w:rsidRPr="00834CDC">
        <w:t xml:space="preserve"> It will therefore be important to monitor maternal vaccination coverage in Aboriginal and Torres Strait Islander women, and disease rates in Aboriginal and Torres Strait Islander infants, to ensure that the benefits of the program are equitably distributed. </w:t>
      </w:r>
    </w:p>
    <w:p w14:paraId="78A6A659" w14:textId="77777777" w:rsidR="0033445F" w:rsidRPr="00834CDC" w:rsidRDefault="0033445F" w:rsidP="0033445F">
      <w:pPr>
        <w:divId w:val="1988506822"/>
      </w:pPr>
      <w:r w:rsidRPr="00834CDC">
        <w:t>While pertussis hospitalisation rates are much lower in older age groups than in infants, pertussis can lead to serious or prolonged disease in any age group, particularly among adults aged ≥ 65 years.</w:t>
      </w:r>
      <w:r w:rsidRPr="00834CDC">
        <w:rPr>
          <w:vertAlign w:val="superscript"/>
        </w:rPr>
        <w:t>172,173</w:t>
      </w:r>
      <w:r w:rsidRPr="00834CDC">
        <w:t xml:space="preserve"> Maintaining high rates of coverage with pertussis-containing vaccines, according to current Australian guidelines,</w:t>
      </w:r>
      <w:r w:rsidRPr="00834CDC">
        <w:rPr>
          <w:vertAlign w:val="superscript"/>
        </w:rPr>
        <w:t>63</w:t>
      </w:r>
      <w:r w:rsidRPr="00834CDC">
        <w:t xml:space="preserve"> is important both for direct protection and to reduce onward transmission to infants, who most commonly acquire infection from parents, caregivers and household or family contacts.</w:t>
      </w:r>
      <w:r w:rsidRPr="00834CDC">
        <w:rPr>
          <w:vertAlign w:val="superscript"/>
        </w:rPr>
        <w:t>174,175</w:t>
      </w:r>
    </w:p>
    <w:p w14:paraId="2A0FE6D4" w14:textId="77777777" w:rsidR="00751135" w:rsidRPr="00834CDC" w:rsidRDefault="00751135">
      <w:pPr>
        <w:rPr>
          <w:rFonts w:asciiTheme="majorHAnsi" w:eastAsiaTheme="majorEastAsia" w:hAnsiTheme="majorHAnsi" w:cstheme="majorBidi"/>
          <w:b/>
          <w:bCs/>
          <w:sz w:val="32"/>
          <w:szCs w:val="28"/>
        </w:rPr>
      </w:pPr>
      <w:r w:rsidRPr="00834CDC">
        <w:br w:type="page"/>
      </w:r>
    </w:p>
    <w:p w14:paraId="79DCED83" w14:textId="4A729D78" w:rsidR="0033445F" w:rsidRPr="00834CDC" w:rsidRDefault="0033445F" w:rsidP="0033445F">
      <w:pPr>
        <w:pStyle w:val="Heading1"/>
        <w:divId w:val="1988506822"/>
      </w:pPr>
      <w:r w:rsidRPr="00834CDC">
        <w:lastRenderedPageBreak/>
        <w:t xml:space="preserve">11. Pneumococcal disease </w:t>
      </w:r>
    </w:p>
    <w:p w14:paraId="2B90C150" w14:textId="1A1D60BE" w:rsidR="0033445F" w:rsidRPr="00834CDC" w:rsidRDefault="0033445F" w:rsidP="0033445F">
      <w:pPr>
        <w:pStyle w:val="Heading2"/>
        <w:divId w:val="1988506822"/>
      </w:pPr>
      <w:r w:rsidRPr="00834CDC">
        <w:t xml:space="preserve">Relevant vaccine history </w:t>
      </w:r>
    </w:p>
    <w:p w14:paraId="74150B86" w14:textId="6667FDDA" w:rsidR="00653125" w:rsidRPr="00834CDC" w:rsidRDefault="00653125" w:rsidP="00653125">
      <w:pPr>
        <w:divId w:val="1988506822"/>
      </w:pPr>
    </w:p>
    <w:p w14:paraId="3E827CDF" w14:textId="7A384242" w:rsidR="00653125" w:rsidRPr="00834CDC" w:rsidRDefault="00653125" w:rsidP="00653125">
      <w:pPr>
        <w:divId w:val="1988506822"/>
      </w:pPr>
      <w:r w:rsidRPr="00834CDC">
        <w:rPr>
          <w:noProof/>
        </w:rPr>
        <mc:AlternateContent>
          <mc:Choice Requires="wps">
            <w:drawing>
              <wp:inline distT="0" distB="0" distL="0" distR="0" wp14:anchorId="5B52CAB2" wp14:editId="5EBA2ECA">
                <wp:extent cx="6625742" cy="1404620"/>
                <wp:effectExtent l="0" t="0" r="3810" b="190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1404620"/>
                        </a:xfrm>
                        <a:prstGeom prst="rect">
                          <a:avLst/>
                        </a:prstGeom>
                        <a:solidFill>
                          <a:srgbClr val="F7ECDD"/>
                        </a:solidFill>
                        <a:ln w="9525">
                          <a:noFill/>
                          <a:miter lim="800000"/>
                          <a:headEnd/>
                          <a:tailEnd/>
                        </a:ln>
                      </wps:spPr>
                      <wps:txbx>
                        <w:txbxContent>
                          <w:p w14:paraId="6BBEEB99"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1986</w:t>
                            </w:r>
                          </w:p>
                          <w:p w14:paraId="16613064" w14:textId="1A9CCF89" w:rsidR="00653125" w:rsidRPr="00CD2964" w:rsidRDefault="00653125" w:rsidP="00653125">
                            <w:pPr>
                              <w:numPr>
                                <w:ilvl w:val="0"/>
                                <w:numId w:val="32"/>
                              </w:numPr>
                              <w:spacing w:after="0" w:line="240" w:lineRule="auto"/>
                              <w:rPr>
                                <w:rFonts w:eastAsia="Times New Roman"/>
                                <w:sz w:val="18"/>
                                <w:szCs w:val="18"/>
                                <w:lang w:val="en-GB"/>
                              </w:rPr>
                            </w:pPr>
                            <w:r w:rsidRPr="00CD2964">
                              <w:rPr>
                                <w:rFonts w:eastAsia="Times New Roman"/>
                                <w:sz w:val="18"/>
                                <w:szCs w:val="18"/>
                                <w:lang w:val="en-GB"/>
                              </w:rPr>
                              <w:t>23vPPV</w:t>
                            </w:r>
                            <w:r w:rsidR="0047671A">
                              <w:rPr>
                                <w:rFonts w:eastAsia="Times New Roman"/>
                                <w:sz w:val="18"/>
                                <w:szCs w:val="18"/>
                                <w:lang w:val="en-GB"/>
                              </w:rPr>
                              <w:t xml:space="preserve"> </w:t>
                            </w:r>
                            <w:r w:rsidRPr="00CD2964">
                              <w:rPr>
                                <w:rFonts w:eastAsia="Times New Roman"/>
                                <w:sz w:val="18"/>
                                <w:szCs w:val="18"/>
                                <w:vertAlign w:val="superscript"/>
                                <w:lang w:val="en-GB"/>
                              </w:rPr>
                              <w:t>i</w:t>
                            </w:r>
                            <w:r w:rsidRPr="00CD2964">
                              <w:rPr>
                                <w:rFonts w:eastAsia="Times New Roman"/>
                                <w:sz w:val="18"/>
                                <w:szCs w:val="18"/>
                                <w:lang w:val="en-GB"/>
                              </w:rPr>
                              <w:t xml:space="preserve"> funded for children aged over 2 years with increased risk of pneumococcal disease or complications, due to specified underlying conditions, living in north Western Australia and the Northern Territory.</w:t>
                            </w:r>
                          </w:p>
                          <w:p w14:paraId="298A1DB5"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1991–1993</w:t>
                            </w:r>
                          </w:p>
                          <w:p w14:paraId="32A27721" w14:textId="77777777" w:rsidR="00653125" w:rsidRPr="00CD2964" w:rsidRDefault="00653125" w:rsidP="00653125">
                            <w:pPr>
                              <w:numPr>
                                <w:ilvl w:val="0"/>
                                <w:numId w:val="33"/>
                              </w:numPr>
                              <w:spacing w:after="0" w:line="240" w:lineRule="auto"/>
                              <w:rPr>
                                <w:rFonts w:eastAsia="Times New Roman"/>
                                <w:sz w:val="18"/>
                                <w:szCs w:val="18"/>
                                <w:lang w:val="en-GB"/>
                              </w:rPr>
                            </w:pPr>
                            <w:r w:rsidRPr="00CD2964">
                              <w:rPr>
                                <w:rFonts w:eastAsia="Times New Roman"/>
                                <w:sz w:val="18"/>
                                <w:szCs w:val="18"/>
                                <w:lang w:val="en-GB"/>
                              </w:rPr>
                              <w:t>23vPPV funded for all Aboriginal and Torres Strait Islander people aged over 2 years living in north Western Australia.</w:t>
                            </w:r>
                          </w:p>
                          <w:p w14:paraId="1DC106AE"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1995–1996</w:t>
                            </w:r>
                          </w:p>
                          <w:p w14:paraId="112A04F3" w14:textId="77777777" w:rsidR="00653125" w:rsidRPr="00CD2964" w:rsidRDefault="00653125" w:rsidP="00653125">
                            <w:pPr>
                              <w:numPr>
                                <w:ilvl w:val="0"/>
                                <w:numId w:val="34"/>
                              </w:numPr>
                              <w:spacing w:after="0" w:line="240" w:lineRule="auto"/>
                              <w:rPr>
                                <w:rFonts w:eastAsia="Times New Roman"/>
                                <w:sz w:val="18"/>
                                <w:szCs w:val="18"/>
                                <w:lang w:val="en-GB"/>
                              </w:rPr>
                            </w:pPr>
                            <w:r w:rsidRPr="00CD2964">
                              <w:rPr>
                                <w:rFonts w:eastAsia="Times New Roman"/>
                                <w:sz w:val="18"/>
                                <w:szCs w:val="18"/>
                                <w:lang w:val="en-GB"/>
                              </w:rPr>
                              <w:t>23vPPV funded for Aboriginal and Torres Strait Islander people aged ≥ 50 years in the Northern Territory (1995) and Far North Queensland (1996, including people aged 15–49 years with underlying conditions).</w:t>
                            </w:r>
                          </w:p>
                          <w:p w14:paraId="140C998C"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1997</w:t>
                            </w:r>
                          </w:p>
                          <w:p w14:paraId="426B5D56" w14:textId="77777777" w:rsidR="00653125" w:rsidRPr="00CD2964" w:rsidRDefault="00653125" w:rsidP="00653125">
                            <w:pPr>
                              <w:numPr>
                                <w:ilvl w:val="0"/>
                                <w:numId w:val="35"/>
                              </w:numPr>
                              <w:spacing w:after="0" w:line="240" w:lineRule="auto"/>
                              <w:rPr>
                                <w:rFonts w:eastAsia="Times New Roman"/>
                                <w:sz w:val="18"/>
                                <w:szCs w:val="18"/>
                                <w:lang w:val="en-GB"/>
                              </w:rPr>
                            </w:pPr>
                            <w:r w:rsidRPr="00CD2964">
                              <w:rPr>
                                <w:rFonts w:eastAsia="Times New Roman"/>
                                <w:sz w:val="18"/>
                                <w:szCs w:val="18"/>
                                <w:lang w:val="en-GB"/>
                              </w:rPr>
                              <w:t>23vPPV recommended for all Aboriginal and Torres Strait Islander adults aged &gt; 50 years.</w:t>
                            </w:r>
                          </w:p>
                          <w:p w14:paraId="2BE87F0A"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1998</w:t>
                            </w:r>
                          </w:p>
                          <w:p w14:paraId="115E7176" w14:textId="77777777" w:rsidR="00653125" w:rsidRPr="00CD2964" w:rsidRDefault="00653125" w:rsidP="00653125">
                            <w:pPr>
                              <w:numPr>
                                <w:ilvl w:val="0"/>
                                <w:numId w:val="36"/>
                              </w:numPr>
                              <w:spacing w:after="0" w:line="240" w:lineRule="auto"/>
                              <w:rPr>
                                <w:rFonts w:eastAsia="Times New Roman"/>
                                <w:sz w:val="18"/>
                                <w:szCs w:val="18"/>
                                <w:lang w:val="en-GB"/>
                              </w:rPr>
                            </w:pPr>
                            <w:r w:rsidRPr="00CD2964">
                              <w:rPr>
                                <w:rFonts w:eastAsia="Times New Roman"/>
                                <w:sz w:val="18"/>
                                <w:szCs w:val="18"/>
                                <w:lang w:val="en-GB"/>
                              </w:rPr>
                              <w:t>23vPPV funded for Aboriginal and Torres Strait Islander adults aged &gt; 50 years and other adults aged ≥ 65 years in Victoria.</w:t>
                            </w:r>
                          </w:p>
                          <w:p w14:paraId="6F3372A3"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1999</w:t>
                            </w:r>
                          </w:p>
                          <w:p w14:paraId="23C1CEF4" w14:textId="77777777" w:rsidR="00653125" w:rsidRPr="00CD2964" w:rsidRDefault="00653125" w:rsidP="00653125">
                            <w:pPr>
                              <w:numPr>
                                <w:ilvl w:val="0"/>
                                <w:numId w:val="37"/>
                              </w:numPr>
                              <w:spacing w:after="0" w:line="240" w:lineRule="auto"/>
                              <w:rPr>
                                <w:rFonts w:eastAsia="Times New Roman"/>
                                <w:sz w:val="18"/>
                                <w:szCs w:val="18"/>
                                <w:lang w:val="en-GB"/>
                              </w:rPr>
                            </w:pPr>
                            <w:r w:rsidRPr="00CD2964">
                              <w:rPr>
                                <w:rFonts w:eastAsia="Times New Roman"/>
                                <w:sz w:val="18"/>
                                <w:szCs w:val="18"/>
                                <w:lang w:val="en-GB"/>
                              </w:rPr>
                              <w:t>23vPPV funded nationally for all Aboriginal and Torres Strait Islander adults aged ≥ 50 years or aged 15–49 years with underlying conditions.</w:t>
                            </w:r>
                          </w:p>
                          <w:p w14:paraId="5D2D244E"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2000</w:t>
                            </w:r>
                          </w:p>
                          <w:p w14:paraId="27D6B0FC" w14:textId="77777777" w:rsidR="00653125" w:rsidRPr="00CD2964" w:rsidRDefault="00653125" w:rsidP="00653125">
                            <w:pPr>
                              <w:numPr>
                                <w:ilvl w:val="0"/>
                                <w:numId w:val="38"/>
                              </w:numPr>
                              <w:spacing w:after="0" w:line="240" w:lineRule="auto"/>
                              <w:rPr>
                                <w:rFonts w:eastAsia="Times New Roman"/>
                                <w:sz w:val="18"/>
                                <w:szCs w:val="18"/>
                                <w:lang w:val="en-GB"/>
                              </w:rPr>
                            </w:pPr>
                            <w:r w:rsidRPr="00CD2964">
                              <w:rPr>
                                <w:rFonts w:eastAsia="Times New Roman"/>
                                <w:sz w:val="18"/>
                                <w:szCs w:val="18"/>
                                <w:lang w:val="en-GB"/>
                              </w:rPr>
                              <w:t>23vPPV eligibility in the Northern Territory changed to all Aboriginal and Torres Strait Islander people aged ≥ 15 years. 23vPPV eligibility in central Australia changed to all Aboriginal and Torres Strait Islander children aged 2–5 years.</w:t>
                            </w:r>
                          </w:p>
                          <w:p w14:paraId="7250758E"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2001</w:t>
                            </w:r>
                          </w:p>
                          <w:p w14:paraId="13BAC9C4" w14:textId="1CE865F9" w:rsidR="00653125" w:rsidRPr="00CD2964" w:rsidRDefault="00653125" w:rsidP="00653125">
                            <w:pPr>
                              <w:numPr>
                                <w:ilvl w:val="0"/>
                                <w:numId w:val="39"/>
                              </w:numPr>
                              <w:spacing w:after="0" w:line="240" w:lineRule="auto"/>
                              <w:rPr>
                                <w:rFonts w:eastAsia="Times New Roman"/>
                                <w:sz w:val="18"/>
                                <w:szCs w:val="18"/>
                                <w:lang w:val="en-GB"/>
                              </w:rPr>
                            </w:pPr>
                            <w:r w:rsidRPr="00CD2964">
                              <w:rPr>
                                <w:rFonts w:eastAsia="Times New Roman"/>
                                <w:sz w:val="18"/>
                                <w:szCs w:val="18"/>
                                <w:lang w:val="en-GB"/>
                              </w:rPr>
                              <w:t>7vPCV</w:t>
                            </w:r>
                            <w:r w:rsidR="0047671A">
                              <w:rPr>
                                <w:rFonts w:eastAsia="Times New Roman"/>
                                <w:sz w:val="18"/>
                                <w:szCs w:val="18"/>
                                <w:lang w:val="en-GB"/>
                              </w:rPr>
                              <w:t xml:space="preserve"> </w:t>
                            </w:r>
                            <w:r w:rsidRPr="00CD2964">
                              <w:rPr>
                                <w:rFonts w:eastAsia="Times New Roman"/>
                                <w:sz w:val="18"/>
                                <w:szCs w:val="18"/>
                                <w:vertAlign w:val="superscript"/>
                                <w:lang w:val="en-GB"/>
                              </w:rPr>
                              <w:t>ii</w:t>
                            </w:r>
                            <w:r w:rsidRPr="00CD2964">
                              <w:rPr>
                                <w:rFonts w:eastAsia="Times New Roman"/>
                                <w:sz w:val="18"/>
                                <w:szCs w:val="18"/>
                                <w:lang w:val="en-GB"/>
                              </w:rPr>
                              <w:t xml:space="preserve"> funded for all Aboriginal and Torres Strait Islander infants in a 3+0 schedule and children with underlying at risk conditions in a 3+1 schedule. A booster dose of 23vPPV was funded in the Northern Territory, Queensland, South Australia and Western Australia (at age 18/24 months).</w:t>
                            </w:r>
                          </w:p>
                          <w:p w14:paraId="7FDB1D5F"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2005</w:t>
                            </w:r>
                          </w:p>
                          <w:p w14:paraId="1402B60F" w14:textId="77777777" w:rsidR="00653125" w:rsidRPr="00CD2964" w:rsidRDefault="00653125" w:rsidP="00653125">
                            <w:pPr>
                              <w:numPr>
                                <w:ilvl w:val="0"/>
                                <w:numId w:val="40"/>
                              </w:numPr>
                              <w:spacing w:after="0" w:line="240" w:lineRule="auto"/>
                              <w:rPr>
                                <w:rFonts w:eastAsia="Times New Roman"/>
                                <w:sz w:val="18"/>
                                <w:szCs w:val="18"/>
                                <w:lang w:val="en-GB"/>
                              </w:rPr>
                            </w:pPr>
                            <w:r w:rsidRPr="00CD2964">
                              <w:rPr>
                                <w:rFonts w:eastAsia="Times New Roman"/>
                                <w:sz w:val="18"/>
                                <w:szCs w:val="18"/>
                                <w:lang w:val="en-GB"/>
                              </w:rPr>
                              <w:t>7vPCV funded for all other children (in a 3+0 schedule) and 23vPPV funded for all adults aged ≥ 65 years.</w:t>
                            </w:r>
                          </w:p>
                          <w:p w14:paraId="470F0A55"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2009</w:t>
                            </w:r>
                          </w:p>
                          <w:p w14:paraId="270C3127" w14:textId="20BA3944" w:rsidR="00653125" w:rsidRPr="00CD2964" w:rsidRDefault="00653125" w:rsidP="00653125">
                            <w:pPr>
                              <w:numPr>
                                <w:ilvl w:val="0"/>
                                <w:numId w:val="41"/>
                              </w:numPr>
                              <w:spacing w:after="0" w:line="240" w:lineRule="auto"/>
                              <w:rPr>
                                <w:rFonts w:eastAsia="Times New Roman"/>
                                <w:sz w:val="18"/>
                                <w:szCs w:val="18"/>
                                <w:lang w:val="en-GB"/>
                              </w:rPr>
                            </w:pPr>
                            <w:r w:rsidRPr="00CD2964">
                              <w:rPr>
                                <w:rFonts w:eastAsia="Times New Roman"/>
                                <w:sz w:val="18"/>
                                <w:szCs w:val="18"/>
                                <w:lang w:val="en-GB"/>
                              </w:rPr>
                              <w:t>The Northern Territory replaced 7vPCV and 23vPPV in the routine childhood vaccination schedule with 10vPCV</w:t>
                            </w:r>
                            <w:r w:rsidR="00A42ED7">
                              <w:rPr>
                                <w:rFonts w:eastAsia="Times New Roman"/>
                                <w:sz w:val="18"/>
                                <w:szCs w:val="18"/>
                                <w:lang w:val="en-GB"/>
                              </w:rPr>
                              <w:t xml:space="preserve"> </w:t>
                            </w:r>
                            <w:r w:rsidRPr="00CD2964">
                              <w:rPr>
                                <w:rFonts w:eastAsia="Times New Roman"/>
                                <w:sz w:val="18"/>
                                <w:szCs w:val="18"/>
                                <w:vertAlign w:val="superscript"/>
                                <w:lang w:val="en-GB"/>
                              </w:rPr>
                              <w:t>iii</w:t>
                            </w:r>
                            <w:r w:rsidRPr="00CD2964">
                              <w:rPr>
                                <w:rFonts w:eastAsia="Times New Roman"/>
                                <w:sz w:val="18"/>
                                <w:szCs w:val="18"/>
                                <w:lang w:val="en-GB"/>
                              </w:rPr>
                              <w:t xml:space="preserve"> using a 3+1 schedule.</w:t>
                            </w:r>
                          </w:p>
                          <w:p w14:paraId="19C66995"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2011</w:t>
                            </w:r>
                          </w:p>
                          <w:p w14:paraId="6BCD2662" w14:textId="23339DB7" w:rsidR="00653125" w:rsidRPr="00CD2964" w:rsidRDefault="00653125" w:rsidP="00653125">
                            <w:pPr>
                              <w:numPr>
                                <w:ilvl w:val="0"/>
                                <w:numId w:val="42"/>
                              </w:numPr>
                              <w:spacing w:after="0" w:line="240" w:lineRule="auto"/>
                              <w:rPr>
                                <w:rFonts w:eastAsia="Times New Roman"/>
                                <w:sz w:val="18"/>
                                <w:szCs w:val="18"/>
                                <w:lang w:val="en-GB"/>
                              </w:rPr>
                            </w:pPr>
                            <w:r w:rsidRPr="00CD2964">
                              <w:rPr>
                                <w:rFonts w:eastAsia="Times New Roman"/>
                                <w:sz w:val="18"/>
                                <w:szCs w:val="18"/>
                                <w:lang w:val="en-GB"/>
                              </w:rPr>
                              <w:t>13vPCV</w:t>
                            </w:r>
                            <w:r w:rsidR="00A42ED7">
                              <w:rPr>
                                <w:rFonts w:eastAsia="Times New Roman"/>
                                <w:sz w:val="18"/>
                                <w:szCs w:val="18"/>
                                <w:lang w:val="en-GB"/>
                              </w:rPr>
                              <w:t xml:space="preserve"> </w:t>
                            </w:r>
                            <w:r w:rsidRPr="00CD2964">
                              <w:rPr>
                                <w:rFonts w:eastAsia="Times New Roman"/>
                                <w:sz w:val="18"/>
                                <w:szCs w:val="18"/>
                                <w:vertAlign w:val="superscript"/>
                                <w:lang w:val="en-GB"/>
                              </w:rPr>
                              <w:t>iv</w:t>
                            </w:r>
                            <w:r w:rsidRPr="00CD2964">
                              <w:rPr>
                                <w:rFonts w:eastAsia="Times New Roman"/>
                                <w:sz w:val="18"/>
                                <w:szCs w:val="18"/>
                                <w:lang w:val="en-GB"/>
                              </w:rPr>
                              <w:t xml:space="preserve"> replaced all other pneumococcal vaccines for all children aged &lt; 2 years.</w:t>
                            </w:r>
                          </w:p>
                          <w:p w14:paraId="384672B7"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2012</w:t>
                            </w:r>
                          </w:p>
                          <w:p w14:paraId="01ABACBA" w14:textId="77777777" w:rsidR="00653125" w:rsidRPr="00CD2964" w:rsidRDefault="00653125" w:rsidP="00653125">
                            <w:pPr>
                              <w:numPr>
                                <w:ilvl w:val="0"/>
                                <w:numId w:val="43"/>
                              </w:numPr>
                              <w:spacing w:after="0" w:line="240" w:lineRule="auto"/>
                              <w:rPr>
                                <w:rFonts w:eastAsia="Times New Roman"/>
                                <w:sz w:val="18"/>
                                <w:szCs w:val="18"/>
                                <w:lang w:val="en-GB"/>
                              </w:rPr>
                            </w:pPr>
                            <w:r w:rsidRPr="00CD2964">
                              <w:rPr>
                                <w:rFonts w:eastAsia="Times New Roman"/>
                                <w:sz w:val="18"/>
                                <w:szCs w:val="18"/>
                                <w:lang w:val="en-GB"/>
                              </w:rPr>
                              <w:t>A fourth dose (as a booster) of 13vPCV at 12–18 months of age recommended and funded for Aboriginal and Torres Strait Islander children living in the Northern Territory, Queensland, South Australia and Western Australia to replace the 23vPPV booster.</w:t>
                            </w:r>
                          </w:p>
                          <w:p w14:paraId="320E11AB"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2013</w:t>
                            </w:r>
                          </w:p>
                          <w:p w14:paraId="60C8AC81" w14:textId="77777777" w:rsidR="00653125" w:rsidRPr="00CD2964" w:rsidRDefault="00653125" w:rsidP="00653125">
                            <w:pPr>
                              <w:numPr>
                                <w:ilvl w:val="0"/>
                                <w:numId w:val="44"/>
                              </w:numPr>
                              <w:spacing w:after="0" w:line="240" w:lineRule="auto"/>
                              <w:rPr>
                                <w:rFonts w:eastAsia="Times New Roman"/>
                                <w:sz w:val="18"/>
                                <w:szCs w:val="18"/>
                                <w:lang w:val="en-GB"/>
                              </w:rPr>
                            </w:pPr>
                            <w:r w:rsidRPr="00CD2964">
                              <w:rPr>
                                <w:rFonts w:eastAsia="Times New Roman"/>
                                <w:sz w:val="18"/>
                                <w:szCs w:val="18"/>
                                <w:lang w:val="en-GB"/>
                              </w:rPr>
                              <w:t>Advice provided that 1st dose of 13vPCV could be given as early as 6 weeks of age along with other first dose primary course vaccines recommended at the 2 month time point.</w:t>
                            </w:r>
                          </w:p>
                          <w:p w14:paraId="0D8ECA7A" w14:textId="77777777" w:rsidR="00653125" w:rsidRPr="00CD2964" w:rsidRDefault="00653125" w:rsidP="00653125">
                            <w:pPr>
                              <w:numPr>
                                <w:ilvl w:val="0"/>
                                <w:numId w:val="44"/>
                              </w:numPr>
                              <w:spacing w:after="0" w:line="240" w:lineRule="auto"/>
                              <w:rPr>
                                <w:rFonts w:eastAsia="Times New Roman"/>
                                <w:sz w:val="18"/>
                                <w:szCs w:val="18"/>
                                <w:lang w:val="en-GB"/>
                              </w:rPr>
                            </w:pPr>
                            <w:r w:rsidRPr="00CD2964">
                              <w:rPr>
                                <w:rFonts w:eastAsia="Times New Roman"/>
                                <w:sz w:val="18"/>
                                <w:szCs w:val="18"/>
                                <w:lang w:val="en-GB"/>
                              </w:rPr>
                              <w:t>Upper age for which 13vPCV registered for use in children extended to 17 years.</w:t>
                            </w:r>
                          </w:p>
                          <w:p w14:paraId="39FA563B"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2014</w:t>
                            </w:r>
                          </w:p>
                          <w:p w14:paraId="53CAD9D8" w14:textId="77777777" w:rsidR="00653125" w:rsidRPr="00CD2964" w:rsidRDefault="00653125" w:rsidP="00653125">
                            <w:pPr>
                              <w:numPr>
                                <w:ilvl w:val="0"/>
                                <w:numId w:val="45"/>
                              </w:numPr>
                              <w:spacing w:after="0" w:line="240" w:lineRule="auto"/>
                              <w:rPr>
                                <w:rFonts w:eastAsia="Times New Roman"/>
                                <w:sz w:val="18"/>
                                <w:szCs w:val="18"/>
                                <w:lang w:val="en-GB"/>
                              </w:rPr>
                            </w:pPr>
                            <w:r w:rsidRPr="00CD2964">
                              <w:rPr>
                                <w:rFonts w:eastAsia="Times New Roman"/>
                                <w:sz w:val="18"/>
                                <w:szCs w:val="18"/>
                                <w:lang w:val="en-GB"/>
                              </w:rPr>
                              <w:t>Age for which 13vPCV registered for use extended in adults (now registered for use in children from 6 weeks of age and adults).</w:t>
                            </w:r>
                          </w:p>
                          <w:p w14:paraId="28140717"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2018</w:t>
                            </w:r>
                          </w:p>
                          <w:p w14:paraId="662D6CD5" w14:textId="6DCF647A" w:rsidR="00653125" w:rsidRPr="00CD2964" w:rsidRDefault="00653125" w:rsidP="00653125">
                            <w:pPr>
                              <w:numPr>
                                <w:ilvl w:val="0"/>
                                <w:numId w:val="46"/>
                              </w:numPr>
                              <w:spacing w:after="0" w:line="240" w:lineRule="auto"/>
                              <w:rPr>
                                <w:rFonts w:eastAsia="Times New Roman"/>
                                <w:sz w:val="18"/>
                                <w:szCs w:val="18"/>
                                <w:lang w:val="en-GB"/>
                              </w:rPr>
                            </w:pPr>
                            <w:r w:rsidRPr="00CD2964">
                              <w:rPr>
                                <w:rFonts w:eastAsia="Times New Roman"/>
                                <w:sz w:val="18"/>
                                <w:szCs w:val="18"/>
                                <w:lang w:val="en-GB"/>
                              </w:rPr>
                              <w:t>Schedule for routine childhood vaccination with 13vPCV changed from 3+0 at 2, 4 and 6 months of age to 2+1 at 2, 4 and 12 months of age. Schedule remained as 2, 4, 6 and 12 months (3 + 1) for Aboriginal and Torres Strait Islander children living in the Northern Territory, South Australia, Queensland and Western Australia, and children with underlying conditions.</w:t>
                            </w:r>
                          </w:p>
                        </w:txbxContent>
                      </wps:txbx>
                      <wps:bodyPr rot="0" vert="horz" wrap="square" lIns="91440" tIns="45720" rIns="91440" bIns="45720" anchor="t" anchorCtr="0">
                        <a:spAutoFit/>
                      </wps:bodyPr>
                    </wps:wsp>
                  </a:graphicData>
                </a:graphic>
              </wp:inline>
            </w:drawing>
          </mc:Choice>
          <mc:Fallback>
            <w:pict>
              <v:shape w14:anchorId="5B52CAB2" id="_x0000_s1035"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" fillcolor="#f7ecdd" stroked="f">
                <v:textbox style="mso-fit-shape-to-text:t">
                  <w:txbxContent>
                    <w:p w14:paraId="6BBEEB99"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1986</w:t>
                      </w:r>
                    </w:p>
                    <w:p w14:paraId="16613064" w14:textId="1A9CCF89" w:rsidR="00653125" w:rsidRPr="00CD2964" w:rsidRDefault="00653125" w:rsidP="00653125">
                      <w:pPr>
                        <w:numPr>
                          <w:ilvl w:val="0"/>
                          <w:numId w:val="32"/>
                        </w:numPr>
                        <w:spacing w:after="0" w:line="240" w:lineRule="auto"/>
                        <w:rPr>
                          <w:rFonts w:eastAsia="Times New Roman"/>
                          <w:sz w:val="18"/>
                          <w:szCs w:val="18"/>
                          <w:lang w:val="en-GB"/>
                        </w:rPr>
                      </w:pPr>
                      <w:r w:rsidRPr="00CD2964">
                        <w:rPr>
                          <w:rFonts w:eastAsia="Times New Roman"/>
                          <w:sz w:val="18"/>
                          <w:szCs w:val="18"/>
                          <w:lang w:val="en-GB"/>
                        </w:rPr>
                        <w:t>23vPPV</w:t>
                      </w:r>
                      <w:r w:rsidR="0047671A">
                        <w:rPr>
                          <w:rFonts w:eastAsia="Times New Roman"/>
                          <w:sz w:val="18"/>
                          <w:szCs w:val="18"/>
                          <w:lang w:val="en-GB"/>
                        </w:rPr>
                        <w:t xml:space="preserve"> </w:t>
                      </w:r>
                      <w:r w:rsidRPr="00CD2964">
                        <w:rPr>
                          <w:rFonts w:eastAsia="Times New Roman"/>
                          <w:sz w:val="18"/>
                          <w:szCs w:val="18"/>
                          <w:vertAlign w:val="superscript"/>
                          <w:lang w:val="en-GB"/>
                        </w:rPr>
                        <w:t>i</w:t>
                      </w:r>
                      <w:r w:rsidRPr="00CD2964">
                        <w:rPr>
                          <w:rFonts w:eastAsia="Times New Roman"/>
                          <w:sz w:val="18"/>
                          <w:szCs w:val="18"/>
                          <w:lang w:val="en-GB"/>
                        </w:rPr>
                        <w:t xml:space="preserve"> funded for children aged over 2 years with increased risk of pneumococcal disease or complications, due to specified underlying conditions, living in north Western Australia and the Northern Territory.</w:t>
                      </w:r>
                    </w:p>
                    <w:p w14:paraId="298A1DB5"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1991–1993</w:t>
                      </w:r>
                    </w:p>
                    <w:p w14:paraId="32A27721" w14:textId="77777777" w:rsidR="00653125" w:rsidRPr="00CD2964" w:rsidRDefault="00653125" w:rsidP="00653125">
                      <w:pPr>
                        <w:numPr>
                          <w:ilvl w:val="0"/>
                          <w:numId w:val="33"/>
                        </w:numPr>
                        <w:spacing w:after="0" w:line="240" w:lineRule="auto"/>
                        <w:rPr>
                          <w:rFonts w:eastAsia="Times New Roman"/>
                          <w:sz w:val="18"/>
                          <w:szCs w:val="18"/>
                          <w:lang w:val="en-GB"/>
                        </w:rPr>
                      </w:pPr>
                      <w:r w:rsidRPr="00CD2964">
                        <w:rPr>
                          <w:rFonts w:eastAsia="Times New Roman"/>
                          <w:sz w:val="18"/>
                          <w:szCs w:val="18"/>
                          <w:lang w:val="en-GB"/>
                        </w:rPr>
                        <w:t>23vPPV funded for all Aboriginal and Torres Strait Islander people aged over 2 years living in north Western Australia.</w:t>
                      </w:r>
                    </w:p>
                    <w:p w14:paraId="1DC106AE"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1995–1996</w:t>
                      </w:r>
                    </w:p>
                    <w:p w14:paraId="112A04F3" w14:textId="77777777" w:rsidR="00653125" w:rsidRPr="00CD2964" w:rsidRDefault="00653125" w:rsidP="00653125">
                      <w:pPr>
                        <w:numPr>
                          <w:ilvl w:val="0"/>
                          <w:numId w:val="34"/>
                        </w:numPr>
                        <w:spacing w:after="0" w:line="240" w:lineRule="auto"/>
                        <w:rPr>
                          <w:rFonts w:eastAsia="Times New Roman"/>
                          <w:sz w:val="18"/>
                          <w:szCs w:val="18"/>
                          <w:lang w:val="en-GB"/>
                        </w:rPr>
                      </w:pPr>
                      <w:r w:rsidRPr="00CD2964">
                        <w:rPr>
                          <w:rFonts w:eastAsia="Times New Roman"/>
                          <w:sz w:val="18"/>
                          <w:szCs w:val="18"/>
                          <w:lang w:val="en-GB"/>
                        </w:rPr>
                        <w:t>23vPPV funded for Aboriginal and Torres Strait Islander people aged ≥ 50 years in the Northern Territory (1995) and Far North Queensland (1996, including people aged 15–49 years with underlying conditions).</w:t>
                      </w:r>
                    </w:p>
                    <w:p w14:paraId="140C998C"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1997</w:t>
                      </w:r>
                    </w:p>
                    <w:p w14:paraId="426B5D56" w14:textId="77777777" w:rsidR="00653125" w:rsidRPr="00CD2964" w:rsidRDefault="00653125" w:rsidP="00653125">
                      <w:pPr>
                        <w:numPr>
                          <w:ilvl w:val="0"/>
                          <w:numId w:val="35"/>
                        </w:numPr>
                        <w:spacing w:after="0" w:line="240" w:lineRule="auto"/>
                        <w:rPr>
                          <w:rFonts w:eastAsia="Times New Roman"/>
                          <w:sz w:val="18"/>
                          <w:szCs w:val="18"/>
                          <w:lang w:val="en-GB"/>
                        </w:rPr>
                      </w:pPr>
                      <w:r w:rsidRPr="00CD2964">
                        <w:rPr>
                          <w:rFonts w:eastAsia="Times New Roman"/>
                          <w:sz w:val="18"/>
                          <w:szCs w:val="18"/>
                          <w:lang w:val="en-GB"/>
                        </w:rPr>
                        <w:t>23vPPV recommended for all Aboriginal and Torres Strait Islander adults aged &gt; 50 years.</w:t>
                      </w:r>
                    </w:p>
                    <w:p w14:paraId="2BE87F0A"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1998</w:t>
                      </w:r>
                    </w:p>
                    <w:p w14:paraId="115E7176" w14:textId="77777777" w:rsidR="00653125" w:rsidRPr="00CD2964" w:rsidRDefault="00653125" w:rsidP="00653125">
                      <w:pPr>
                        <w:numPr>
                          <w:ilvl w:val="0"/>
                          <w:numId w:val="36"/>
                        </w:numPr>
                        <w:spacing w:after="0" w:line="240" w:lineRule="auto"/>
                        <w:rPr>
                          <w:rFonts w:eastAsia="Times New Roman"/>
                          <w:sz w:val="18"/>
                          <w:szCs w:val="18"/>
                          <w:lang w:val="en-GB"/>
                        </w:rPr>
                      </w:pPr>
                      <w:r w:rsidRPr="00CD2964">
                        <w:rPr>
                          <w:rFonts w:eastAsia="Times New Roman"/>
                          <w:sz w:val="18"/>
                          <w:szCs w:val="18"/>
                          <w:lang w:val="en-GB"/>
                        </w:rPr>
                        <w:t>23vPPV funded for Aboriginal and Torres Strait Islander adults aged &gt; 50 years and other adults aged ≥ 65 years in Victoria.</w:t>
                      </w:r>
                    </w:p>
                    <w:p w14:paraId="6F3372A3"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1999</w:t>
                      </w:r>
                    </w:p>
                    <w:p w14:paraId="23C1CEF4" w14:textId="77777777" w:rsidR="00653125" w:rsidRPr="00CD2964" w:rsidRDefault="00653125" w:rsidP="00653125">
                      <w:pPr>
                        <w:numPr>
                          <w:ilvl w:val="0"/>
                          <w:numId w:val="37"/>
                        </w:numPr>
                        <w:spacing w:after="0" w:line="240" w:lineRule="auto"/>
                        <w:rPr>
                          <w:rFonts w:eastAsia="Times New Roman"/>
                          <w:sz w:val="18"/>
                          <w:szCs w:val="18"/>
                          <w:lang w:val="en-GB"/>
                        </w:rPr>
                      </w:pPr>
                      <w:r w:rsidRPr="00CD2964">
                        <w:rPr>
                          <w:rFonts w:eastAsia="Times New Roman"/>
                          <w:sz w:val="18"/>
                          <w:szCs w:val="18"/>
                          <w:lang w:val="en-GB"/>
                        </w:rPr>
                        <w:t>23vPPV funded nationally for all Aboriginal and Torres Strait Islander adults aged ≥ 50 years or aged 15–49 years with underlying conditions.</w:t>
                      </w:r>
                    </w:p>
                    <w:p w14:paraId="5D2D244E"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2000</w:t>
                      </w:r>
                    </w:p>
                    <w:p w14:paraId="27D6B0FC" w14:textId="77777777" w:rsidR="00653125" w:rsidRPr="00CD2964" w:rsidRDefault="00653125" w:rsidP="00653125">
                      <w:pPr>
                        <w:numPr>
                          <w:ilvl w:val="0"/>
                          <w:numId w:val="38"/>
                        </w:numPr>
                        <w:spacing w:after="0" w:line="240" w:lineRule="auto"/>
                        <w:rPr>
                          <w:rFonts w:eastAsia="Times New Roman"/>
                          <w:sz w:val="18"/>
                          <w:szCs w:val="18"/>
                          <w:lang w:val="en-GB"/>
                        </w:rPr>
                      </w:pPr>
                      <w:r w:rsidRPr="00CD2964">
                        <w:rPr>
                          <w:rFonts w:eastAsia="Times New Roman"/>
                          <w:sz w:val="18"/>
                          <w:szCs w:val="18"/>
                          <w:lang w:val="en-GB"/>
                        </w:rPr>
                        <w:t>23vPPV eligibility in the Northern Territory changed to all Aboriginal and Torres Strait Islander people aged ≥ 15 years. 23vPPV eligibility in central Australia changed to all Aboriginal and Torres Strait Islander children aged 2–5 years.</w:t>
                      </w:r>
                    </w:p>
                    <w:p w14:paraId="7250758E"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2001</w:t>
                      </w:r>
                    </w:p>
                    <w:p w14:paraId="13BAC9C4" w14:textId="1CE865F9" w:rsidR="00653125" w:rsidRPr="00CD2964" w:rsidRDefault="00653125" w:rsidP="00653125">
                      <w:pPr>
                        <w:numPr>
                          <w:ilvl w:val="0"/>
                          <w:numId w:val="39"/>
                        </w:numPr>
                        <w:spacing w:after="0" w:line="240" w:lineRule="auto"/>
                        <w:rPr>
                          <w:rFonts w:eastAsia="Times New Roman"/>
                          <w:sz w:val="18"/>
                          <w:szCs w:val="18"/>
                          <w:lang w:val="en-GB"/>
                        </w:rPr>
                      </w:pPr>
                      <w:r w:rsidRPr="00CD2964">
                        <w:rPr>
                          <w:rFonts w:eastAsia="Times New Roman"/>
                          <w:sz w:val="18"/>
                          <w:szCs w:val="18"/>
                          <w:lang w:val="en-GB"/>
                        </w:rPr>
                        <w:t>7vPCV</w:t>
                      </w:r>
                      <w:r w:rsidR="0047671A">
                        <w:rPr>
                          <w:rFonts w:eastAsia="Times New Roman"/>
                          <w:sz w:val="18"/>
                          <w:szCs w:val="18"/>
                          <w:lang w:val="en-GB"/>
                        </w:rPr>
                        <w:t xml:space="preserve"> </w:t>
                      </w:r>
                      <w:r w:rsidRPr="00CD2964">
                        <w:rPr>
                          <w:rFonts w:eastAsia="Times New Roman"/>
                          <w:sz w:val="18"/>
                          <w:szCs w:val="18"/>
                          <w:vertAlign w:val="superscript"/>
                          <w:lang w:val="en-GB"/>
                        </w:rPr>
                        <w:t>ii</w:t>
                      </w:r>
                      <w:r w:rsidRPr="00CD2964">
                        <w:rPr>
                          <w:rFonts w:eastAsia="Times New Roman"/>
                          <w:sz w:val="18"/>
                          <w:szCs w:val="18"/>
                          <w:lang w:val="en-GB"/>
                        </w:rPr>
                        <w:t xml:space="preserve"> funded for all Aboriginal and Torres Strait Islander infants in a 3+0 schedule and children with underlying at risk conditions in a 3+1 schedule. A booster dose of 23vPPV was funded in the Northern Territory, Queensland, South Australia and Western Australia (at age 18/24 months).</w:t>
                      </w:r>
                    </w:p>
                    <w:p w14:paraId="7FDB1D5F"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2005</w:t>
                      </w:r>
                    </w:p>
                    <w:p w14:paraId="1402B60F" w14:textId="77777777" w:rsidR="00653125" w:rsidRPr="00CD2964" w:rsidRDefault="00653125" w:rsidP="00653125">
                      <w:pPr>
                        <w:numPr>
                          <w:ilvl w:val="0"/>
                          <w:numId w:val="40"/>
                        </w:numPr>
                        <w:spacing w:after="0" w:line="240" w:lineRule="auto"/>
                        <w:rPr>
                          <w:rFonts w:eastAsia="Times New Roman"/>
                          <w:sz w:val="18"/>
                          <w:szCs w:val="18"/>
                          <w:lang w:val="en-GB"/>
                        </w:rPr>
                      </w:pPr>
                      <w:r w:rsidRPr="00CD2964">
                        <w:rPr>
                          <w:rFonts w:eastAsia="Times New Roman"/>
                          <w:sz w:val="18"/>
                          <w:szCs w:val="18"/>
                          <w:lang w:val="en-GB"/>
                        </w:rPr>
                        <w:t>7vPCV funded for all other children (in a 3+0 schedule) and 23vPPV funded for all adults aged ≥ 65 years.</w:t>
                      </w:r>
                    </w:p>
                    <w:p w14:paraId="470F0A55"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2009</w:t>
                      </w:r>
                    </w:p>
                    <w:p w14:paraId="270C3127" w14:textId="20BA3944" w:rsidR="00653125" w:rsidRPr="00CD2964" w:rsidRDefault="00653125" w:rsidP="00653125">
                      <w:pPr>
                        <w:numPr>
                          <w:ilvl w:val="0"/>
                          <w:numId w:val="41"/>
                        </w:numPr>
                        <w:spacing w:after="0" w:line="240" w:lineRule="auto"/>
                        <w:rPr>
                          <w:rFonts w:eastAsia="Times New Roman"/>
                          <w:sz w:val="18"/>
                          <w:szCs w:val="18"/>
                          <w:lang w:val="en-GB"/>
                        </w:rPr>
                      </w:pPr>
                      <w:r w:rsidRPr="00CD2964">
                        <w:rPr>
                          <w:rFonts w:eastAsia="Times New Roman"/>
                          <w:sz w:val="18"/>
                          <w:szCs w:val="18"/>
                          <w:lang w:val="en-GB"/>
                        </w:rPr>
                        <w:t>The Northern Territory replaced 7vPCV and 23vPPV in the routine childhood vaccination schedule with 10vPCV</w:t>
                      </w:r>
                      <w:r w:rsidR="00A42ED7">
                        <w:rPr>
                          <w:rFonts w:eastAsia="Times New Roman"/>
                          <w:sz w:val="18"/>
                          <w:szCs w:val="18"/>
                          <w:lang w:val="en-GB"/>
                        </w:rPr>
                        <w:t xml:space="preserve"> </w:t>
                      </w:r>
                      <w:r w:rsidRPr="00CD2964">
                        <w:rPr>
                          <w:rFonts w:eastAsia="Times New Roman"/>
                          <w:sz w:val="18"/>
                          <w:szCs w:val="18"/>
                          <w:vertAlign w:val="superscript"/>
                          <w:lang w:val="en-GB"/>
                        </w:rPr>
                        <w:t>iii</w:t>
                      </w:r>
                      <w:r w:rsidRPr="00CD2964">
                        <w:rPr>
                          <w:rFonts w:eastAsia="Times New Roman"/>
                          <w:sz w:val="18"/>
                          <w:szCs w:val="18"/>
                          <w:lang w:val="en-GB"/>
                        </w:rPr>
                        <w:t xml:space="preserve"> using a 3+1 schedule.</w:t>
                      </w:r>
                    </w:p>
                    <w:p w14:paraId="19C66995"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2011</w:t>
                      </w:r>
                    </w:p>
                    <w:p w14:paraId="6BCD2662" w14:textId="23339DB7" w:rsidR="00653125" w:rsidRPr="00CD2964" w:rsidRDefault="00653125" w:rsidP="00653125">
                      <w:pPr>
                        <w:numPr>
                          <w:ilvl w:val="0"/>
                          <w:numId w:val="42"/>
                        </w:numPr>
                        <w:spacing w:after="0" w:line="240" w:lineRule="auto"/>
                        <w:rPr>
                          <w:rFonts w:eastAsia="Times New Roman"/>
                          <w:sz w:val="18"/>
                          <w:szCs w:val="18"/>
                          <w:lang w:val="en-GB"/>
                        </w:rPr>
                      </w:pPr>
                      <w:r w:rsidRPr="00CD2964">
                        <w:rPr>
                          <w:rFonts w:eastAsia="Times New Roman"/>
                          <w:sz w:val="18"/>
                          <w:szCs w:val="18"/>
                          <w:lang w:val="en-GB"/>
                        </w:rPr>
                        <w:t>13vPCV</w:t>
                      </w:r>
                      <w:r w:rsidR="00A42ED7">
                        <w:rPr>
                          <w:rFonts w:eastAsia="Times New Roman"/>
                          <w:sz w:val="18"/>
                          <w:szCs w:val="18"/>
                          <w:lang w:val="en-GB"/>
                        </w:rPr>
                        <w:t xml:space="preserve"> </w:t>
                      </w:r>
                      <w:r w:rsidRPr="00CD2964">
                        <w:rPr>
                          <w:rFonts w:eastAsia="Times New Roman"/>
                          <w:sz w:val="18"/>
                          <w:szCs w:val="18"/>
                          <w:vertAlign w:val="superscript"/>
                          <w:lang w:val="en-GB"/>
                        </w:rPr>
                        <w:t>iv</w:t>
                      </w:r>
                      <w:r w:rsidRPr="00CD2964">
                        <w:rPr>
                          <w:rFonts w:eastAsia="Times New Roman"/>
                          <w:sz w:val="18"/>
                          <w:szCs w:val="18"/>
                          <w:lang w:val="en-GB"/>
                        </w:rPr>
                        <w:t xml:space="preserve"> replaced all other pneumococcal vaccines for all children aged &lt; 2 years.</w:t>
                      </w:r>
                    </w:p>
                    <w:p w14:paraId="384672B7"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2012</w:t>
                      </w:r>
                    </w:p>
                    <w:p w14:paraId="01ABACBA" w14:textId="77777777" w:rsidR="00653125" w:rsidRPr="00CD2964" w:rsidRDefault="00653125" w:rsidP="00653125">
                      <w:pPr>
                        <w:numPr>
                          <w:ilvl w:val="0"/>
                          <w:numId w:val="43"/>
                        </w:numPr>
                        <w:spacing w:after="0" w:line="240" w:lineRule="auto"/>
                        <w:rPr>
                          <w:rFonts w:eastAsia="Times New Roman"/>
                          <w:sz w:val="18"/>
                          <w:szCs w:val="18"/>
                          <w:lang w:val="en-GB"/>
                        </w:rPr>
                      </w:pPr>
                      <w:r w:rsidRPr="00CD2964">
                        <w:rPr>
                          <w:rFonts w:eastAsia="Times New Roman"/>
                          <w:sz w:val="18"/>
                          <w:szCs w:val="18"/>
                          <w:lang w:val="en-GB"/>
                        </w:rPr>
                        <w:t>A fourth dose (as a booster) of 13vPCV at 12–18 months of age recommended and funded for Aboriginal and Torres Strait Islander children living in the Northern Territory, Queensland, South Australia and Western Australia to replace the 23vPPV booster.</w:t>
                      </w:r>
                    </w:p>
                    <w:p w14:paraId="320E11AB"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2013</w:t>
                      </w:r>
                    </w:p>
                    <w:p w14:paraId="60C8AC81" w14:textId="77777777" w:rsidR="00653125" w:rsidRPr="00CD2964" w:rsidRDefault="00653125" w:rsidP="00653125">
                      <w:pPr>
                        <w:numPr>
                          <w:ilvl w:val="0"/>
                          <w:numId w:val="44"/>
                        </w:numPr>
                        <w:spacing w:after="0" w:line="240" w:lineRule="auto"/>
                        <w:rPr>
                          <w:rFonts w:eastAsia="Times New Roman"/>
                          <w:sz w:val="18"/>
                          <w:szCs w:val="18"/>
                          <w:lang w:val="en-GB"/>
                        </w:rPr>
                      </w:pPr>
                      <w:r w:rsidRPr="00CD2964">
                        <w:rPr>
                          <w:rFonts w:eastAsia="Times New Roman"/>
                          <w:sz w:val="18"/>
                          <w:szCs w:val="18"/>
                          <w:lang w:val="en-GB"/>
                        </w:rPr>
                        <w:t>Advice provided that 1st dose of 13vPCV could be given as early as 6 weeks of age along with other first dose primary course vaccines recommended at the 2 month time point.</w:t>
                      </w:r>
                    </w:p>
                    <w:p w14:paraId="0D8ECA7A" w14:textId="77777777" w:rsidR="00653125" w:rsidRPr="00CD2964" w:rsidRDefault="00653125" w:rsidP="00653125">
                      <w:pPr>
                        <w:numPr>
                          <w:ilvl w:val="0"/>
                          <w:numId w:val="44"/>
                        </w:numPr>
                        <w:spacing w:after="0" w:line="240" w:lineRule="auto"/>
                        <w:rPr>
                          <w:rFonts w:eastAsia="Times New Roman"/>
                          <w:sz w:val="18"/>
                          <w:szCs w:val="18"/>
                          <w:lang w:val="en-GB"/>
                        </w:rPr>
                      </w:pPr>
                      <w:r w:rsidRPr="00CD2964">
                        <w:rPr>
                          <w:rFonts w:eastAsia="Times New Roman"/>
                          <w:sz w:val="18"/>
                          <w:szCs w:val="18"/>
                          <w:lang w:val="en-GB"/>
                        </w:rPr>
                        <w:t>Upper age for which 13vPCV registered for use in children extended to 17 years.</w:t>
                      </w:r>
                    </w:p>
                    <w:p w14:paraId="39FA563B"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2014</w:t>
                      </w:r>
                    </w:p>
                    <w:p w14:paraId="53CAD9D8" w14:textId="77777777" w:rsidR="00653125" w:rsidRPr="00CD2964" w:rsidRDefault="00653125" w:rsidP="00653125">
                      <w:pPr>
                        <w:numPr>
                          <w:ilvl w:val="0"/>
                          <w:numId w:val="45"/>
                        </w:numPr>
                        <w:spacing w:after="0" w:line="240" w:lineRule="auto"/>
                        <w:rPr>
                          <w:rFonts w:eastAsia="Times New Roman"/>
                          <w:sz w:val="18"/>
                          <w:szCs w:val="18"/>
                          <w:lang w:val="en-GB"/>
                        </w:rPr>
                      </w:pPr>
                      <w:r w:rsidRPr="00CD2964">
                        <w:rPr>
                          <w:rFonts w:eastAsia="Times New Roman"/>
                          <w:sz w:val="18"/>
                          <w:szCs w:val="18"/>
                          <w:lang w:val="en-GB"/>
                        </w:rPr>
                        <w:t>Age for which 13vPCV registered for use extended in adults (now registered for use in children from 6 weeks of age and adults).</w:t>
                      </w:r>
                    </w:p>
                    <w:p w14:paraId="28140717" w14:textId="77777777" w:rsidR="00653125" w:rsidRPr="00CD2964" w:rsidRDefault="00653125" w:rsidP="00653125">
                      <w:pPr>
                        <w:pStyle w:val="NormalWeb"/>
                        <w:spacing w:before="0" w:beforeAutospacing="0" w:after="0" w:afterAutospacing="0" w:line="240" w:lineRule="auto"/>
                        <w:rPr>
                          <w:b/>
                          <w:bCs/>
                          <w:sz w:val="18"/>
                          <w:szCs w:val="18"/>
                          <w:lang w:val="en-GB"/>
                        </w:rPr>
                      </w:pPr>
                      <w:r w:rsidRPr="00CD2964">
                        <w:rPr>
                          <w:b/>
                          <w:bCs/>
                          <w:sz w:val="18"/>
                          <w:szCs w:val="18"/>
                          <w:lang w:val="en-GB"/>
                        </w:rPr>
                        <w:t>2018</w:t>
                      </w:r>
                    </w:p>
                    <w:p w14:paraId="662D6CD5" w14:textId="6DCF647A" w:rsidR="00653125" w:rsidRPr="00CD2964" w:rsidRDefault="00653125" w:rsidP="00653125">
                      <w:pPr>
                        <w:numPr>
                          <w:ilvl w:val="0"/>
                          <w:numId w:val="46"/>
                        </w:numPr>
                        <w:spacing w:after="0" w:line="240" w:lineRule="auto"/>
                        <w:rPr>
                          <w:rFonts w:eastAsia="Times New Roman"/>
                          <w:sz w:val="18"/>
                          <w:szCs w:val="18"/>
                          <w:lang w:val="en-GB"/>
                        </w:rPr>
                      </w:pPr>
                      <w:r w:rsidRPr="00CD2964">
                        <w:rPr>
                          <w:rFonts w:eastAsia="Times New Roman"/>
                          <w:sz w:val="18"/>
                          <w:szCs w:val="18"/>
                          <w:lang w:val="en-GB"/>
                        </w:rPr>
                        <w:t>Schedule for routine childhood vaccination with 13vPCV changed from 3+0 at 2, 4 and 6 months of age to 2+1 at 2, 4 and 12 months of age. Schedule remained as 2, 4, 6 and 12 months (3 + 1) for Aboriginal and Torres Strait Islander children living in the Northern Territory, South Australia, Queensland and Western Australia, and children with underlying conditions.</w:t>
                      </w:r>
                    </w:p>
                  </w:txbxContent>
                </v:textbox>
                <w10:anchorlock/>
              </v:shape>
            </w:pict>
          </mc:Fallback>
        </mc:AlternateContent>
      </w:r>
    </w:p>
    <w:p w14:paraId="5516400D" w14:textId="7A503B64" w:rsidR="00CC1D44" w:rsidRPr="00834CDC" w:rsidRDefault="00CC1D44" w:rsidP="00CC1D44">
      <w:pPr>
        <w:pStyle w:val="CDIfootnotes"/>
      </w:pPr>
      <w:proofErr w:type="spellStart"/>
      <w:r w:rsidRPr="00834CDC">
        <w:t>i</w:t>
      </w:r>
      <w:proofErr w:type="spellEnd"/>
      <w:r w:rsidR="00A85A55" w:rsidRPr="00834CDC">
        <w:tab/>
      </w:r>
      <w:r w:rsidRPr="00834CDC">
        <w:t xml:space="preserve">23vPPV: 23-valent pneumococcal polysaccharide vaccine. </w:t>
      </w:r>
    </w:p>
    <w:p w14:paraId="51A414E1" w14:textId="44A4A74D" w:rsidR="00CC1D44" w:rsidRPr="00834CDC" w:rsidRDefault="00CC1D44" w:rsidP="00CC1D44">
      <w:pPr>
        <w:pStyle w:val="CDIfootnotes"/>
      </w:pPr>
      <w:r w:rsidRPr="00834CDC">
        <w:t>ii</w:t>
      </w:r>
      <w:r w:rsidR="00A85A55" w:rsidRPr="00834CDC">
        <w:tab/>
      </w:r>
      <w:r w:rsidRPr="00834CDC">
        <w:t xml:space="preserve">7vPCV: 7-valent pneumococcal conjugate vaccine. </w:t>
      </w:r>
    </w:p>
    <w:p w14:paraId="1EC1D3A2" w14:textId="7E001762" w:rsidR="00CC1D44" w:rsidRPr="00834CDC" w:rsidRDefault="00CC1D44" w:rsidP="00CC1D44">
      <w:pPr>
        <w:pStyle w:val="CDIfootnotes"/>
      </w:pPr>
      <w:r w:rsidRPr="00834CDC">
        <w:t>iii</w:t>
      </w:r>
      <w:r w:rsidR="00A85A55" w:rsidRPr="00834CDC">
        <w:tab/>
      </w:r>
      <w:r w:rsidRPr="00834CDC">
        <w:t xml:space="preserve">10vPCV: 10-valent pneumococcal conjugate vaccine. </w:t>
      </w:r>
    </w:p>
    <w:p w14:paraId="405D98C6" w14:textId="4A04DD03" w:rsidR="0055047F" w:rsidRPr="00834CDC" w:rsidRDefault="00CC1D44" w:rsidP="00CC1D44">
      <w:pPr>
        <w:pStyle w:val="CDIfootnotes"/>
      </w:pPr>
      <w:r w:rsidRPr="00834CDC">
        <w:t>iv</w:t>
      </w:r>
      <w:r w:rsidR="00A85A55" w:rsidRPr="00834CDC">
        <w:tab/>
      </w:r>
      <w:r w:rsidRPr="00834CDC">
        <w:t>13vPCV: 13-valent pneumococcal conjugate vaccine.</w:t>
      </w:r>
      <w:r w:rsidR="0055047F" w:rsidRPr="00834CDC">
        <w:br w:type="page"/>
      </w:r>
    </w:p>
    <w:p w14:paraId="6B54E450" w14:textId="65AD31D5" w:rsidR="0033445F" w:rsidRPr="00834CDC" w:rsidRDefault="0033445F" w:rsidP="0033445F">
      <w:pPr>
        <w:divId w:val="1988506822"/>
      </w:pPr>
      <w:r w:rsidRPr="00834CDC">
        <w:lastRenderedPageBreak/>
        <w:t xml:space="preserve">Pneumococcal disease </w:t>
      </w:r>
      <w:proofErr w:type="gramStart"/>
      <w:r w:rsidRPr="00834CDC">
        <w:t>is caused</w:t>
      </w:r>
      <w:proofErr w:type="gramEnd"/>
      <w:r w:rsidRPr="00834CDC">
        <w:t xml:space="preserve"> by the bacterium </w:t>
      </w:r>
      <w:r w:rsidRPr="00834CDC">
        <w:rPr>
          <w:rStyle w:val="Emphasis"/>
          <w:b w:val="0"/>
          <w:bCs w:val="0"/>
        </w:rPr>
        <w:t>Streptococcus pneumoniae</w:t>
      </w:r>
      <w:r w:rsidRPr="00834CDC">
        <w:t xml:space="preserve"> (also known as pneumococcus). There are around </w:t>
      </w:r>
      <w:proofErr w:type="gramStart"/>
      <w:r w:rsidRPr="00834CDC">
        <w:t>100</w:t>
      </w:r>
      <w:proofErr w:type="gramEnd"/>
      <w:r w:rsidRPr="00834CDC">
        <w:t xml:space="preserve"> different serotypes of pneumococcus.</w:t>
      </w:r>
      <w:r w:rsidRPr="00834CDC">
        <w:rPr>
          <w:vertAlign w:val="superscript"/>
        </w:rPr>
        <w:t>176</w:t>
      </w:r>
      <w:r w:rsidRPr="00834CDC">
        <w:t xml:space="preserve"> Pneumococci colonise the upper respiratory tract in adults and, more heavily and often, in children. Pneumococci can spread locally into the upper or lower respiratory tract, causing pneumonia, otitis media or sinusitis. Pneumococci can also enter the blood stream and cause invasive disease such as meningitis, bacteraemia and, less commonly, infection of other sites such as joints and pleural or peritoneal fluid.</w:t>
      </w:r>
      <w:r w:rsidRPr="00834CDC">
        <w:rPr>
          <w:vertAlign w:val="superscript"/>
        </w:rPr>
        <w:t>177</w:t>
      </w:r>
      <w:r w:rsidRPr="00834CDC">
        <w:t xml:space="preserve"> Invasive pneumococcal disease (IPD) is diagnosed through the detection of </w:t>
      </w:r>
      <w:r w:rsidRPr="00834CDC">
        <w:rPr>
          <w:rStyle w:val="Emphasis"/>
          <w:b w:val="0"/>
          <w:bCs w:val="0"/>
        </w:rPr>
        <w:t>S. pneumoniae</w:t>
      </w:r>
      <w:r w:rsidRPr="00834CDC">
        <w:t xml:space="preserve"> in the blood, cerebrospinal </w:t>
      </w:r>
      <w:proofErr w:type="gramStart"/>
      <w:r w:rsidRPr="00834CDC">
        <w:t>fluid</w:t>
      </w:r>
      <w:proofErr w:type="gramEnd"/>
      <w:r w:rsidRPr="00834CDC">
        <w:t xml:space="preserve"> or another sterile site.</w:t>
      </w:r>
      <w:r w:rsidRPr="00834CDC">
        <w:rPr>
          <w:vertAlign w:val="superscript"/>
        </w:rPr>
        <w:t>177</w:t>
      </w:r>
      <w:r w:rsidRPr="00834CDC">
        <w:t xml:space="preserve"> </w:t>
      </w:r>
    </w:p>
    <w:p w14:paraId="32C7D17E" w14:textId="77777777" w:rsidR="0033445F" w:rsidRPr="00834CDC" w:rsidRDefault="0033445F" w:rsidP="0033445F">
      <w:pPr>
        <w:pStyle w:val="Heading2"/>
        <w:divId w:val="1988506822"/>
      </w:pPr>
      <w:r w:rsidRPr="00834CDC">
        <w:t xml:space="preserve">Results </w:t>
      </w:r>
    </w:p>
    <w:p w14:paraId="36BC8F23" w14:textId="6AF421F0" w:rsidR="0033445F" w:rsidRPr="00834CDC" w:rsidRDefault="0033445F" w:rsidP="0033445F">
      <w:pPr>
        <w:divId w:val="1988506822"/>
      </w:pPr>
      <w:r w:rsidRPr="00834CDC">
        <w:t xml:space="preserve">IPD notification rates </w:t>
      </w:r>
      <w:proofErr w:type="gramStart"/>
      <w:r w:rsidRPr="00834CDC">
        <w:t>are presented</w:t>
      </w:r>
      <w:proofErr w:type="gramEnd"/>
      <w:r w:rsidRPr="00834CDC">
        <w:t xml:space="preserve"> for all states and territories for the 2016–2019 period in Table 18. There were 7,872 notifications in the reporting period with 916 (11.6%) reported as being in Aboriginal and Torres Strait Islander people. The overall (all ages combined) notification rate among Aboriginal and Torres Strait Islander people, at 37.3 per 100,000 per year, was </w:t>
      </w:r>
      <w:proofErr w:type="gramStart"/>
      <w:r w:rsidRPr="00834CDC">
        <w:t>substantially higher</w:t>
      </w:r>
      <w:proofErr w:type="gramEnd"/>
      <w:r w:rsidRPr="00834CDC">
        <w:t xml:space="preserve"> than the rate among other people at 7.2 per 100,000 per year (RR: 5.2; 95% CI: 4.9–5.5). The highest age-specific notification rates </w:t>
      </w:r>
      <w:proofErr w:type="gramStart"/>
      <w:r w:rsidRPr="00834CDC">
        <w:t>were seen</w:t>
      </w:r>
      <w:proofErr w:type="gramEnd"/>
      <w:r w:rsidRPr="00834CDC">
        <w:t xml:space="preserve"> in Aboriginal and Torres Strait Islander people in the ≥ 50 years (65.5 per 100,000 per year), 0–4 years (32.8 per 100,000 per year) and 25–49 years (32.4 per 100,000 per year) age groups. Rates were significantly higher in Aboriginal and Torres Strait Islander than other people across all age groups.</w:t>
      </w:r>
    </w:p>
    <w:p w14:paraId="146F7F87" w14:textId="77777777" w:rsidR="00800423" w:rsidRPr="00834CDC" w:rsidRDefault="00800423" w:rsidP="00800423">
      <w:pPr>
        <w:pStyle w:val="CDIFigures"/>
        <w:divId w:val="1988506822"/>
      </w:pPr>
      <w:r w:rsidRPr="00834CDC">
        <w:rPr>
          <w:rStyle w:val="Strong"/>
          <w:b/>
          <w:bCs w:val="0"/>
        </w:rPr>
        <w:t>Table 18: Invasive pneumococcal disease notification rates, Australia (all states and territories), 2016–2019, by Aboriginal and Torres Strait Islander status</w:t>
      </w:r>
    </w:p>
    <w:tbl>
      <w:tblPr>
        <w:tblStyle w:val="CDI-StandardTable"/>
        <w:tblW w:w="0" w:type="auto"/>
        <w:tblLook w:val="04A0" w:firstRow="1" w:lastRow="0" w:firstColumn="1" w:lastColumn="0" w:noHBand="0" w:noVBand="1"/>
        <w:tblDescription w:val="Table 18 shows the number and rates per 100,000 population of invasive pneumococcal disease notifications by age and Aboriginal and Torres Strait Islander status, Australia, 2016 to 2019.&#10;"/>
      </w:tblPr>
      <w:tblGrid>
        <w:gridCol w:w="1433"/>
        <w:gridCol w:w="4513"/>
        <w:gridCol w:w="1142"/>
        <w:gridCol w:w="709"/>
        <w:gridCol w:w="992"/>
        <w:gridCol w:w="1654"/>
      </w:tblGrid>
      <w:tr w:rsidR="00800423" w:rsidRPr="00834CDC" w14:paraId="18134EAF" w14:textId="77777777" w:rsidTr="00A37E11">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val="restart"/>
            <w:hideMark/>
          </w:tcPr>
          <w:p w14:paraId="147C1EA2" w14:textId="77777777" w:rsidR="00800423" w:rsidRPr="00834CDC" w:rsidRDefault="00800423" w:rsidP="009306D3">
            <w:pPr>
              <w:pStyle w:val="NormalWeb"/>
              <w:jc w:val="left"/>
              <w:rPr>
                <w:sz w:val="18"/>
                <w:szCs w:val="18"/>
              </w:rPr>
            </w:pPr>
            <w:r w:rsidRPr="00834CDC">
              <w:rPr>
                <w:sz w:val="18"/>
                <w:szCs w:val="18"/>
              </w:rPr>
              <w:t>Age group (years)</w:t>
            </w:r>
          </w:p>
        </w:tc>
        <w:tc>
          <w:tcPr>
            <w:tcW w:w="4513" w:type="dxa"/>
            <w:vMerge w:val="restart"/>
            <w:hideMark/>
          </w:tcPr>
          <w:p w14:paraId="78AFF65A" w14:textId="77777777" w:rsidR="00800423" w:rsidRPr="00834CDC" w:rsidRDefault="00800423" w:rsidP="009306D3">
            <w:pPr>
              <w:pStyle w:val="NormalWeb"/>
              <w:jc w:val="left"/>
              <w:rPr>
                <w:sz w:val="18"/>
                <w:szCs w:val="18"/>
              </w:rPr>
            </w:pPr>
            <w:r w:rsidRPr="00834CDC">
              <w:rPr>
                <w:sz w:val="18"/>
                <w:szCs w:val="18"/>
              </w:rPr>
              <w:t>Aboriginal and Torres Strait Islander status</w:t>
            </w:r>
          </w:p>
        </w:tc>
        <w:tc>
          <w:tcPr>
            <w:tcW w:w="4497" w:type="dxa"/>
            <w:gridSpan w:val="4"/>
            <w:hideMark/>
          </w:tcPr>
          <w:p w14:paraId="118AE22B" w14:textId="5D20976F" w:rsidR="00800423" w:rsidRPr="00834CDC" w:rsidRDefault="00800423" w:rsidP="003058F5">
            <w:pPr>
              <w:pStyle w:val="NormalWeb"/>
              <w:rPr>
                <w:sz w:val="18"/>
                <w:szCs w:val="18"/>
              </w:rPr>
            </w:pPr>
            <w:r w:rsidRPr="00834CDC">
              <w:rPr>
                <w:sz w:val="18"/>
                <w:szCs w:val="18"/>
              </w:rPr>
              <w:t>Notifications</w:t>
            </w:r>
            <w:r w:rsidR="00786A32" w:rsidRPr="00834CDC">
              <w:rPr>
                <w:sz w:val="18"/>
                <w:szCs w:val="18"/>
              </w:rPr>
              <w:t xml:space="preserve"> </w:t>
            </w:r>
            <w:r w:rsidRPr="00834CDC">
              <w:rPr>
                <w:sz w:val="18"/>
                <w:szCs w:val="18"/>
                <w:vertAlign w:val="superscript"/>
              </w:rPr>
              <w:t>a</w:t>
            </w:r>
            <w:r w:rsidRPr="00834CDC">
              <w:rPr>
                <w:sz w:val="18"/>
                <w:szCs w:val="18"/>
              </w:rPr>
              <w:t xml:space="preserve"> (2016–2019)</w:t>
            </w:r>
          </w:p>
        </w:tc>
      </w:tr>
      <w:tr w:rsidR="00A37E11" w:rsidRPr="00834CDC" w14:paraId="4E399176" w14:textId="77777777" w:rsidTr="00A37E11">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tcBorders>
              <w:bottom w:val="single" w:sz="2" w:space="0" w:color="808080" w:themeColor="background1" w:themeShade="80"/>
            </w:tcBorders>
            <w:hideMark/>
          </w:tcPr>
          <w:p w14:paraId="37BE58DB" w14:textId="77777777" w:rsidR="00800423" w:rsidRPr="00834CDC" w:rsidRDefault="00800423" w:rsidP="009306D3">
            <w:pPr>
              <w:jc w:val="left"/>
              <w:rPr>
                <w:sz w:val="18"/>
                <w:szCs w:val="18"/>
              </w:rPr>
            </w:pPr>
          </w:p>
        </w:tc>
        <w:tc>
          <w:tcPr>
            <w:tcW w:w="4513" w:type="dxa"/>
            <w:vMerge/>
            <w:tcBorders>
              <w:bottom w:val="single" w:sz="2" w:space="0" w:color="808080" w:themeColor="background1" w:themeShade="80"/>
            </w:tcBorders>
            <w:hideMark/>
          </w:tcPr>
          <w:p w14:paraId="1C6395C3" w14:textId="77777777" w:rsidR="00800423" w:rsidRPr="00834CDC" w:rsidRDefault="00800423" w:rsidP="009306D3">
            <w:pPr>
              <w:jc w:val="left"/>
              <w:rPr>
                <w:sz w:val="18"/>
                <w:szCs w:val="18"/>
              </w:rPr>
            </w:pPr>
          </w:p>
        </w:tc>
        <w:tc>
          <w:tcPr>
            <w:tcW w:w="1142" w:type="dxa"/>
            <w:tcBorders>
              <w:bottom w:val="single" w:sz="2" w:space="0" w:color="808080" w:themeColor="background1" w:themeShade="80"/>
            </w:tcBorders>
            <w:hideMark/>
          </w:tcPr>
          <w:p w14:paraId="33752944" w14:textId="77777777" w:rsidR="00800423" w:rsidRPr="00834CDC" w:rsidRDefault="00800423" w:rsidP="003058F5">
            <w:pPr>
              <w:pStyle w:val="NormalWeb"/>
              <w:rPr>
                <w:sz w:val="18"/>
                <w:szCs w:val="18"/>
              </w:rPr>
            </w:pPr>
            <w:r w:rsidRPr="00834CDC">
              <w:rPr>
                <w:sz w:val="18"/>
                <w:szCs w:val="18"/>
              </w:rPr>
              <w:t>N</w:t>
            </w:r>
          </w:p>
        </w:tc>
        <w:tc>
          <w:tcPr>
            <w:tcW w:w="709" w:type="dxa"/>
            <w:tcBorders>
              <w:bottom w:val="single" w:sz="2" w:space="0" w:color="808080" w:themeColor="background1" w:themeShade="80"/>
            </w:tcBorders>
            <w:hideMark/>
          </w:tcPr>
          <w:p w14:paraId="30BCDDDC" w14:textId="465E5F7B" w:rsidR="00800423" w:rsidRPr="00834CDC" w:rsidRDefault="00800423" w:rsidP="003058F5">
            <w:pPr>
              <w:pStyle w:val="NormalWeb"/>
              <w:rPr>
                <w:sz w:val="18"/>
                <w:szCs w:val="18"/>
              </w:rPr>
            </w:pPr>
            <w:r w:rsidRPr="00834CDC">
              <w:rPr>
                <w:sz w:val="18"/>
                <w:szCs w:val="18"/>
              </w:rPr>
              <w:t>Rate</w:t>
            </w:r>
            <w:r w:rsidR="00786A32" w:rsidRPr="00834CDC">
              <w:rPr>
                <w:sz w:val="18"/>
                <w:szCs w:val="18"/>
              </w:rPr>
              <w:t xml:space="preserve"> </w:t>
            </w:r>
            <w:r w:rsidRPr="00834CDC">
              <w:rPr>
                <w:sz w:val="18"/>
                <w:szCs w:val="18"/>
                <w:vertAlign w:val="superscript"/>
              </w:rPr>
              <w:t>b</w:t>
            </w:r>
          </w:p>
        </w:tc>
        <w:tc>
          <w:tcPr>
            <w:tcW w:w="992" w:type="dxa"/>
            <w:tcBorders>
              <w:bottom w:val="single" w:sz="2" w:space="0" w:color="808080" w:themeColor="background1" w:themeShade="80"/>
            </w:tcBorders>
            <w:hideMark/>
          </w:tcPr>
          <w:p w14:paraId="589817B0" w14:textId="77777777" w:rsidR="00800423" w:rsidRPr="00834CDC" w:rsidRDefault="00800423" w:rsidP="003058F5">
            <w:pPr>
              <w:pStyle w:val="NormalWeb"/>
              <w:rPr>
                <w:sz w:val="18"/>
                <w:szCs w:val="18"/>
              </w:rPr>
            </w:pPr>
            <w:r w:rsidRPr="00834CDC">
              <w:rPr>
                <w:sz w:val="18"/>
                <w:szCs w:val="18"/>
              </w:rPr>
              <w:t>Rate ratio</w:t>
            </w:r>
          </w:p>
        </w:tc>
        <w:tc>
          <w:tcPr>
            <w:tcW w:w="1654" w:type="dxa"/>
            <w:tcBorders>
              <w:bottom w:val="single" w:sz="2" w:space="0" w:color="808080" w:themeColor="background1" w:themeShade="80"/>
            </w:tcBorders>
            <w:hideMark/>
          </w:tcPr>
          <w:p w14:paraId="5DD1A1D0" w14:textId="77777777" w:rsidR="00800423" w:rsidRPr="00834CDC" w:rsidRDefault="00800423" w:rsidP="003058F5">
            <w:pPr>
              <w:pStyle w:val="NormalWeb"/>
              <w:rPr>
                <w:sz w:val="18"/>
                <w:szCs w:val="18"/>
              </w:rPr>
            </w:pPr>
            <w:proofErr w:type="gramStart"/>
            <w:r w:rsidRPr="00834CDC">
              <w:rPr>
                <w:sz w:val="18"/>
                <w:szCs w:val="18"/>
              </w:rPr>
              <w:t>95%</w:t>
            </w:r>
            <w:proofErr w:type="gramEnd"/>
            <w:r w:rsidRPr="00834CDC">
              <w:rPr>
                <w:sz w:val="18"/>
                <w:szCs w:val="18"/>
              </w:rPr>
              <w:t xml:space="preserve"> CI for rate ratio</w:t>
            </w:r>
          </w:p>
        </w:tc>
      </w:tr>
      <w:tr w:rsidR="00800423" w:rsidRPr="00834CDC" w14:paraId="25B74E45" w14:textId="77777777" w:rsidTr="00A37E11">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8E4119" w14:textId="77777777" w:rsidR="00800423" w:rsidRPr="00834CDC" w:rsidRDefault="00800423" w:rsidP="009306D3">
            <w:pPr>
              <w:pStyle w:val="NormalWeb"/>
              <w:jc w:val="left"/>
              <w:rPr>
                <w:sz w:val="18"/>
                <w:szCs w:val="18"/>
              </w:rPr>
            </w:pPr>
            <w:r w:rsidRPr="00834CDC">
              <w:rPr>
                <w:sz w:val="18"/>
                <w:szCs w:val="18"/>
              </w:rPr>
              <w:t>0–4</w:t>
            </w:r>
          </w:p>
        </w:tc>
        <w:tc>
          <w:tcPr>
            <w:tcW w:w="45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641EC5" w14:textId="77777777" w:rsidR="00800423" w:rsidRPr="00834CDC" w:rsidRDefault="00800423" w:rsidP="009306D3">
            <w:pPr>
              <w:pStyle w:val="NormalWeb"/>
              <w:jc w:val="left"/>
              <w:rPr>
                <w:sz w:val="18"/>
                <w:szCs w:val="18"/>
              </w:rPr>
            </w:pPr>
            <w:r w:rsidRPr="00834CDC">
              <w:rPr>
                <w:sz w:val="18"/>
                <w:szCs w:val="18"/>
              </w:rPr>
              <w:t>Aboriginal and Torres Strait Islander</w:t>
            </w:r>
          </w:p>
        </w:tc>
        <w:tc>
          <w:tcPr>
            <w:tcW w:w="11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FD385F" w14:textId="77777777" w:rsidR="00800423" w:rsidRPr="00834CDC" w:rsidRDefault="00800423" w:rsidP="003058F5">
            <w:pPr>
              <w:pStyle w:val="NormalWeb"/>
              <w:rPr>
                <w:sz w:val="18"/>
                <w:szCs w:val="18"/>
              </w:rPr>
            </w:pPr>
            <w:r w:rsidRPr="00834CDC">
              <w:rPr>
                <w:sz w:val="18"/>
                <w:szCs w:val="18"/>
              </w:rPr>
              <w:t>124</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684EF4" w14:textId="77777777" w:rsidR="00800423" w:rsidRPr="00834CDC" w:rsidRDefault="00800423" w:rsidP="003058F5">
            <w:pPr>
              <w:pStyle w:val="NormalWeb"/>
              <w:rPr>
                <w:sz w:val="18"/>
                <w:szCs w:val="18"/>
              </w:rPr>
            </w:pPr>
            <w:r w:rsidRPr="00834CDC">
              <w:rPr>
                <w:sz w:val="18"/>
                <w:szCs w:val="18"/>
              </w:rPr>
              <w:t>32.84</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A9DA8E" w14:textId="77777777" w:rsidR="00800423" w:rsidRPr="00834CDC" w:rsidRDefault="00800423" w:rsidP="003058F5">
            <w:pPr>
              <w:pStyle w:val="NormalWeb"/>
              <w:rPr>
                <w:sz w:val="18"/>
                <w:szCs w:val="18"/>
              </w:rPr>
            </w:pPr>
            <w:r w:rsidRPr="00834CDC">
              <w:rPr>
                <w:sz w:val="18"/>
                <w:szCs w:val="18"/>
              </w:rPr>
              <w:t>1.9</w:t>
            </w:r>
          </w:p>
        </w:tc>
        <w:tc>
          <w:tcPr>
            <w:tcW w:w="16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32536E" w14:textId="77777777" w:rsidR="00800423" w:rsidRPr="00834CDC" w:rsidRDefault="00800423" w:rsidP="003058F5">
            <w:pPr>
              <w:pStyle w:val="NormalWeb"/>
              <w:rPr>
                <w:sz w:val="18"/>
                <w:szCs w:val="18"/>
              </w:rPr>
            </w:pPr>
            <w:r w:rsidRPr="00834CDC">
              <w:rPr>
                <w:sz w:val="18"/>
                <w:szCs w:val="18"/>
              </w:rPr>
              <w:t>1.5–2.3</w:t>
            </w:r>
          </w:p>
        </w:tc>
      </w:tr>
      <w:tr w:rsidR="00800423" w:rsidRPr="00834CDC" w14:paraId="04AC6204" w14:textId="77777777" w:rsidTr="00A37E1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428676" w14:textId="77777777" w:rsidR="00800423" w:rsidRPr="00834CDC" w:rsidRDefault="00800423" w:rsidP="009306D3">
            <w:pPr>
              <w:jc w:val="left"/>
              <w:rPr>
                <w:sz w:val="18"/>
                <w:szCs w:val="18"/>
              </w:rPr>
            </w:pPr>
          </w:p>
        </w:tc>
        <w:tc>
          <w:tcPr>
            <w:tcW w:w="45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2D131E" w14:textId="77777777" w:rsidR="00800423" w:rsidRPr="00834CDC" w:rsidRDefault="00800423" w:rsidP="009306D3">
            <w:pPr>
              <w:pStyle w:val="NormalWeb"/>
              <w:jc w:val="left"/>
              <w:rPr>
                <w:sz w:val="18"/>
                <w:szCs w:val="18"/>
              </w:rPr>
            </w:pPr>
            <w:r w:rsidRPr="00834CDC">
              <w:rPr>
                <w:sz w:val="18"/>
                <w:szCs w:val="18"/>
              </w:rPr>
              <w:t>Other</w:t>
            </w:r>
          </w:p>
        </w:tc>
        <w:tc>
          <w:tcPr>
            <w:tcW w:w="11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432CDA" w14:textId="77777777" w:rsidR="00800423" w:rsidRPr="00834CDC" w:rsidRDefault="00800423" w:rsidP="003058F5">
            <w:pPr>
              <w:pStyle w:val="NormalWeb"/>
              <w:rPr>
                <w:sz w:val="18"/>
                <w:szCs w:val="18"/>
              </w:rPr>
            </w:pPr>
            <w:r w:rsidRPr="00834CDC">
              <w:rPr>
                <w:sz w:val="18"/>
                <w:szCs w:val="18"/>
              </w:rPr>
              <w:t>1,034</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1CA7ED" w14:textId="77777777" w:rsidR="00800423" w:rsidRPr="00834CDC" w:rsidRDefault="00800423" w:rsidP="003058F5">
            <w:pPr>
              <w:pStyle w:val="NormalWeb"/>
              <w:rPr>
                <w:sz w:val="18"/>
                <w:szCs w:val="18"/>
              </w:rPr>
            </w:pPr>
            <w:r w:rsidRPr="00834CDC">
              <w:rPr>
                <w:sz w:val="18"/>
                <w:szCs w:val="18"/>
              </w:rPr>
              <w:t>17.48</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62E4D2" w14:textId="77777777" w:rsidR="00800423" w:rsidRPr="00834CDC" w:rsidRDefault="00800423" w:rsidP="003058F5">
            <w:pPr>
              <w:rPr>
                <w:sz w:val="18"/>
                <w:szCs w:val="18"/>
              </w:rPr>
            </w:pPr>
          </w:p>
        </w:tc>
        <w:tc>
          <w:tcPr>
            <w:tcW w:w="16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F12F33" w14:textId="77777777" w:rsidR="00800423" w:rsidRPr="00834CDC" w:rsidRDefault="00800423" w:rsidP="003058F5">
            <w:pPr>
              <w:rPr>
                <w:sz w:val="18"/>
                <w:szCs w:val="18"/>
              </w:rPr>
            </w:pPr>
          </w:p>
        </w:tc>
      </w:tr>
      <w:tr w:rsidR="00800423" w:rsidRPr="00834CDC" w14:paraId="6B4134B7" w14:textId="77777777" w:rsidTr="00A37E11">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38E68D" w14:textId="77777777" w:rsidR="00800423" w:rsidRPr="00834CDC" w:rsidRDefault="00800423" w:rsidP="009306D3">
            <w:pPr>
              <w:pStyle w:val="NormalWeb"/>
              <w:jc w:val="left"/>
              <w:rPr>
                <w:sz w:val="18"/>
                <w:szCs w:val="18"/>
              </w:rPr>
            </w:pPr>
            <w:r w:rsidRPr="00834CDC">
              <w:rPr>
                <w:sz w:val="18"/>
                <w:szCs w:val="18"/>
              </w:rPr>
              <w:t>5–14</w:t>
            </w:r>
          </w:p>
        </w:tc>
        <w:tc>
          <w:tcPr>
            <w:tcW w:w="45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F1AAC7" w14:textId="77777777" w:rsidR="00800423" w:rsidRPr="00834CDC" w:rsidRDefault="00800423" w:rsidP="009306D3">
            <w:pPr>
              <w:pStyle w:val="NormalWeb"/>
              <w:jc w:val="left"/>
              <w:rPr>
                <w:sz w:val="18"/>
                <w:szCs w:val="18"/>
              </w:rPr>
            </w:pPr>
            <w:r w:rsidRPr="00834CDC">
              <w:rPr>
                <w:sz w:val="18"/>
                <w:szCs w:val="18"/>
              </w:rPr>
              <w:t>Aboriginal and Torres Strait Islander</w:t>
            </w:r>
          </w:p>
        </w:tc>
        <w:tc>
          <w:tcPr>
            <w:tcW w:w="11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318249" w14:textId="77777777" w:rsidR="00800423" w:rsidRPr="00834CDC" w:rsidRDefault="00800423" w:rsidP="003058F5">
            <w:pPr>
              <w:pStyle w:val="NormalWeb"/>
              <w:rPr>
                <w:sz w:val="18"/>
                <w:szCs w:val="18"/>
              </w:rPr>
            </w:pPr>
            <w:r w:rsidRPr="00834CDC">
              <w:rPr>
                <w:sz w:val="18"/>
                <w:szCs w:val="18"/>
              </w:rPr>
              <w:t>45</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601D3C" w14:textId="77777777" w:rsidR="00800423" w:rsidRPr="00834CDC" w:rsidRDefault="00800423" w:rsidP="003058F5">
            <w:pPr>
              <w:pStyle w:val="NormalWeb"/>
              <w:rPr>
                <w:sz w:val="18"/>
                <w:szCs w:val="18"/>
              </w:rPr>
            </w:pPr>
            <w:r w:rsidRPr="00834CDC">
              <w:rPr>
                <w:sz w:val="18"/>
                <w:szCs w:val="18"/>
              </w:rPr>
              <w:t>6.15</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4E6428" w14:textId="77777777" w:rsidR="00800423" w:rsidRPr="00834CDC" w:rsidRDefault="00800423" w:rsidP="003058F5">
            <w:pPr>
              <w:pStyle w:val="NormalWeb"/>
              <w:rPr>
                <w:sz w:val="18"/>
                <w:szCs w:val="18"/>
              </w:rPr>
            </w:pPr>
            <w:r w:rsidRPr="00834CDC">
              <w:rPr>
                <w:sz w:val="18"/>
                <w:szCs w:val="18"/>
              </w:rPr>
              <w:t>2.3</w:t>
            </w:r>
          </w:p>
        </w:tc>
        <w:tc>
          <w:tcPr>
            <w:tcW w:w="16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6538CE" w14:textId="77777777" w:rsidR="00800423" w:rsidRPr="00834CDC" w:rsidRDefault="00800423" w:rsidP="003058F5">
            <w:pPr>
              <w:pStyle w:val="NormalWeb"/>
              <w:rPr>
                <w:sz w:val="18"/>
                <w:szCs w:val="18"/>
              </w:rPr>
            </w:pPr>
            <w:r w:rsidRPr="00834CDC">
              <w:rPr>
                <w:sz w:val="18"/>
                <w:szCs w:val="18"/>
              </w:rPr>
              <w:t>1.7–3.2</w:t>
            </w:r>
          </w:p>
        </w:tc>
      </w:tr>
      <w:tr w:rsidR="00800423" w:rsidRPr="00834CDC" w14:paraId="16C61985" w14:textId="77777777" w:rsidTr="00A37E1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903050" w14:textId="77777777" w:rsidR="00800423" w:rsidRPr="00834CDC" w:rsidRDefault="00800423" w:rsidP="009306D3">
            <w:pPr>
              <w:jc w:val="left"/>
              <w:rPr>
                <w:sz w:val="18"/>
                <w:szCs w:val="18"/>
              </w:rPr>
            </w:pPr>
          </w:p>
        </w:tc>
        <w:tc>
          <w:tcPr>
            <w:tcW w:w="45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9A5331" w14:textId="77777777" w:rsidR="00800423" w:rsidRPr="00834CDC" w:rsidRDefault="00800423" w:rsidP="009306D3">
            <w:pPr>
              <w:pStyle w:val="NormalWeb"/>
              <w:jc w:val="left"/>
              <w:rPr>
                <w:sz w:val="18"/>
                <w:szCs w:val="18"/>
              </w:rPr>
            </w:pPr>
            <w:r w:rsidRPr="00834CDC">
              <w:rPr>
                <w:sz w:val="18"/>
                <w:szCs w:val="18"/>
              </w:rPr>
              <w:t>Other</w:t>
            </w:r>
          </w:p>
        </w:tc>
        <w:tc>
          <w:tcPr>
            <w:tcW w:w="11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764861" w14:textId="77777777" w:rsidR="00800423" w:rsidRPr="00834CDC" w:rsidRDefault="00800423" w:rsidP="003058F5">
            <w:pPr>
              <w:pStyle w:val="NormalWeb"/>
              <w:rPr>
                <w:sz w:val="18"/>
                <w:szCs w:val="18"/>
              </w:rPr>
            </w:pPr>
            <w:r w:rsidRPr="00834CDC">
              <w:rPr>
                <w:sz w:val="18"/>
                <w:szCs w:val="18"/>
              </w:rPr>
              <w:t>307</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C39950" w14:textId="77777777" w:rsidR="00800423" w:rsidRPr="00834CDC" w:rsidRDefault="00800423" w:rsidP="003058F5">
            <w:pPr>
              <w:pStyle w:val="NormalWeb"/>
              <w:rPr>
                <w:sz w:val="18"/>
                <w:szCs w:val="18"/>
              </w:rPr>
            </w:pPr>
            <w:r w:rsidRPr="00834CDC">
              <w:rPr>
                <w:sz w:val="18"/>
                <w:szCs w:val="18"/>
              </w:rPr>
              <w:t>2.64</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DD775E" w14:textId="77777777" w:rsidR="00800423" w:rsidRPr="00834CDC" w:rsidRDefault="00800423" w:rsidP="003058F5">
            <w:pPr>
              <w:rPr>
                <w:sz w:val="18"/>
                <w:szCs w:val="18"/>
              </w:rPr>
            </w:pPr>
          </w:p>
        </w:tc>
        <w:tc>
          <w:tcPr>
            <w:tcW w:w="16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391ACD" w14:textId="77777777" w:rsidR="00800423" w:rsidRPr="00834CDC" w:rsidRDefault="00800423" w:rsidP="003058F5">
            <w:pPr>
              <w:rPr>
                <w:sz w:val="18"/>
                <w:szCs w:val="18"/>
              </w:rPr>
            </w:pPr>
          </w:p>
        </w:tc>
      </w:tr>
      <w:tr w:rsidR="00800423" w:rsidRPr="00834CDC" w14:paraId="226434FD" w14:textId="77777777" w:rsidTr="00A37E11">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CDBE23" w14:textId="77777777" w:rsidR="00800423" w:rsidRPr="00834CDC" w:rsidRDefault="00800423" w:rsidP="009306D3">
            <w:pPr>
              <w:pStyle w:val="NormalWeb"/>
              <w:jc w:val="left"/>
              <w:rPr>
                <w:sz w:val="18"/>
                <w:szCs w:val="18"/>
              </w:rPr>
            </w:pPr>
            <w:r w:rsidRPr="00834CDC">
              <w:rPr>
                <w:sz w:val="18"/>
                <w:szCs w:val="18"/>
              </w:rPr>
              <w:t>15–24</w:t>
            </w:r>
          </w:p>
        </w:tc>
        <w:tc>
          <w:tcPr>
            <w:tcW w:w="45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040EBF" w14:textId="77777777" w:rsidR="00800423" w:rsidRPr="00834CDC" w:rsidRDefault="00800423" w:rsidP="009306D3">
            <w:pPr>
              <w:pStyle w:val="NormalWeb"/>
              <w:jc w:val="left"/>
              <w:rPr>
                <w:sz w:val="18"/>
                <w:szCs w:val="18"/>
              </w:rPr>
            </w:pPr>
            <w:r w:rsidRPr="00834CDC">
              <w:rPr>
                <w:sz w:val="18"/>
                <w:szCs w:val="18"/>
              </w:rPr>
              <w:t>Aboriginal and Torres Strait Islander</w:t>
            </w:r>
          </w:p>
        </w:tc>
        <w:tc>
          <w:tcPr>
            <w:tcW w:w="11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B67A8B" w14:textId="77777777" w:rsidR="00800423" w:rsidRPr="00834CDC" w:rsidRDefault="00800423" w:rsidP="003058F5">
            <w:pPr>
              <w:pStyle w:val="NormalWeb"/>
              <w:rPr>
                <w:sz w:val="18"/>
                <w:szCs w:val="18"/>
              </w:rPr>
            </w:pPr>
            <w:r w:rsidRPr="00834CDC">
              <w:rPr>
                <w:sz w:val="18"/>
                <w:szCs w:val="18"/>
              </w:rPr>
              <w:t>71</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88196F" w14:textId="77777777" w:rsidR="00800423" w:rsidRPr="00834CDC" w:rsidRDefault="00800423" w:rsidP="003058F5">
            <w:pPr>
              <w:pStyle w:val="NormalWeb"/>
              <w:rPr>
                <w:sz w:val="18"/>
                <w:szCs w:val="18"/>
              </w:rPr>
            </w:pPr>
            <w:r w:rsidRPr="00834CDC">
              <w:rPr>
                <w:sz w:val="18"/>
                <w:szCs w:val="18"/>
              </w:rPr>
              <w:t>11.15</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44A9BE" w14:textId="77777777" w:rsidR="00800423" w:rsidRPr="00834CDC" w:rsidRDefault="00800423" w:rsidP="003058F5">
            <w:pPr>
              <w:pStyle w:val="NormalWeb"/>
              <w:rPr>
                <w:sz w:val="18"/>
                <w:szCs w:val="18"/>
              </w:rPr>
            </w:pPr>
            <w:r w:rsidRPr="00834CDC">
              <w:rPr>
                <w:sz w:val="18"/>
                <w:szCs w:val="18"/>
              </w:rPr>
              <w:t>9.7</w:t>
            </w:r>
          </w:p>
        </w:tc>
        <w:tc>
          <w:tcPr>
            <w:tcW w:w="16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309F82" w14:textId="77777777" w:rsidR="00800423" w:rsidRPr="00834CDC" w:rsidRDefault="00800423" w:rsidP="003058F5">
            <w:pPr>
              <w:pStyle w:val="NormalWeb"/>
              <w:rPr>
                <w:sz w:val="18"/>
                <w:szCs w:val="18"/>
              </w:rPr>
            </w:pPr>
            <w:r w:rsidRPr="00834CDC">
              <w:rPr>
                <w:sz w:val="18"/>
                <w:szCs w:val="18"/>
              </w:rPr>
              <w:t>7.2–13.0</w:t>
            </w:r>
          </w:p>
        </w:tc>
      </w:tr>
      <w:tr w:rsidR="00800423" w:rsidRPr="00834CDC" w14:paraId="0556F97E" w14:textId="77777777" w:rsidTr="00A37E1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51A3ED" w14:textId="77777777" w:rsidR="00800423" w:rsidRPr="00834CDC" w:rsidRDefault="00800423" w:rsidP="009306D3">
            <w:pPr>
              <w:jc w:val="left"/>
              <w:rPr>
                <w:sz w:val="18"/>
                <w:szCs w:val="18"/>
              </w:rPr>
            </w:pPr>
          </w:p>
        </w:tc>
        <w:tc>
          <w:tcPr>
            <w:tcW w:w="45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0AA904" w14:textId="77777777" w:rsidR="00800423" w:rsidRPr="00834CDC" w:rsidRDefault="00800423" w:rsidP="009306D3">
            <w:pPr>
              <w:pStyle w:val="NormalWeb"/>
              <w:jc w:val="left"/>
              <w:rPr>
                <w:sz w:val="18"/>
                <w:szCs w:val="18"/>
              </w:rPr>
            </w:pPr>
            <w:r w:rsidRPr="00834CDC">
              <w:rPr>
                <w:sz w:val="18"/>
                <w:szCs w:val="18"/>
              </w:rPr>
              <w:t>Other</w:t>
            </w:r>
          </w:p>
        </w:tc>
        <w:tc>
          <w:tcPr>
            <w:tcW w:w="11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02EA46" w14:textId="77777777" w:rsidR="00800423" w:rsidRPr="00834CDC" w:rsidRDefault="00800423" w:rsidP="003058F5">
            <w:pPr>
              <w:pStyle w:val="NormalWeb"/>
              <w:rPr>
                <w:sz w:val="18"/>
                <w:szCs w:val="18"/>
              </w:rPr>
            </w:pPr>
            <w:r w:rsidRPr="00834CDC">
              <w:rPr>
                <w:sz w:val="18"/>
                <w:szCs w:val="18"/>
              </w:rPr>
              <w:t>141</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E267E2" w14:textId="77777777" w:rsidR="00800423" w:rsidRPr="00834CDC" w:rsidRDefault="00800423" w:rsidP="003058F5">
            <w:pPr>
              <w:pStyle w:val="NormalWeb"/>
              <w:rPr>
                <w:sz w:val="18"/>
                <w:szCs w:val="18"/>
              </w:rPr>
            </w:pPr>
            <w:r w:rsidRPr="00834CDC">
              <w:rPr>
                <w:sz w:val="18"/>
                <w:szCs w:val="18"/>
              </w:rPr>
              <w:t>1.15</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B80484" w14:textId="77777777" w:rsidR="00800423" w:rsidRPr="00834CDC" w:rsidRDefault="00800423" w:rsidP="003058F5">
            <w:pPr>
              <w:rPr>
                <w:sz w:val="18"/>
                <w:szCs w:val="18"/>
              </w:rPr>
            </w:pPr>
          </w:p>
        </w:tc>
        <w:tc>
          <w:tcPr>
            <w:tcW w:w="16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923DBC" w14:textId="77777777" w:rsidR="00800423" w:rsidRPr="00834CDC" w:rsidRDefault="00800423" w:rsidP="003058F5">
            <w:pPr>
              <w:rPr>
                <w:sz w:val="18"/>
                <w:szCs w:val="18"/>
              </w:rPr>
            </w:pPr>
          </w:p>
        </w:tc>
      </w:tr>
      <w:tr w:rsidR="00800423" w:rsidRPr="00834CDC" w14:paraId="7BC907F6" w14:textId="77777777" w:rsidTr="00A37E11">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ADFFFB" w14:textId="77777777" w:rsidR="00800423" w:rsidRPr="00834CDC" w:rsidRDefault="00800423" w:rsidP="009306D3">
            <w:pPr>
              <w:pStyle w:val="NormalWeb"/>
              <w:jc w:val="left"/>
              <w:rPr>
                <w:sz w:val="18"/>
                <w:szCs w:val="18"/>
              </w:rPr>
            </w:pPr>
            <w:r w:rsidRPr="00834CDC">
              <w:rPr>
                <w:sz w:val="18"/>
                <w:szCs w:val="18"/>
              </w:rPr>
              <w:t>25–49</w:t>
            </w:r>
          </w:p>
        </w:tc>
        <w:tc>
          <w:tcPr>
            <w:tcW w:w="45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424823" w14:textId="77777777" w:rsidR="00800423" w:rsidRPr="00834CDC" w:rsidRDefault="00800423" w:rsidP="009306D3">
            <w:pPr>
              <w:pStyle w:val="NormalWeb"/>
              <w:jc w:val="left"/>
              <w:rPr>
                <w:sz w:val="18"/>
                <w:szCs w:val="18"/>
              </w:rPr>
            </w:pPr>
            <w:r w:rsidRPr="00834CDC">
              <w:rPr>
                <w:sz w:val="18"/>
                <w:szCs w:val="18"/>
              </w:rPr>
              <w:t>Aboriginal and Torres Strait Islander</w:t>
            </w:r>
          </w:p>
        </w:tc>
        <w:tc>
          <w:tcPr>
            <w:tcW w:w="11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D63C5B" w14:textId="77777777" w:rsidR="00800423" w:rsidRPr="00834CDC" w:rsidRDefault="00800423" w:rsidP="003058F5">
            <w:pPr>
              <w:pStyle w:val="NormalWeb"/>
              <w:rPr>
                <w:sz w:val="18"/>
                <w:szCs w:val="18"/>
              </w:rPr>
            </w:pPr>
            <w:r w:rsidRPr="00834CDC">
              <w:rPr>
                <w:sz w:val="18"/>
                <w:szCs w:val="18"/>
              </w:rPr>
              <w:t>328</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D66080" w14:textId="77777777" w:rsidR="00800423" w:rsidRPr="00834CDC" w:rsidRDefault="00800423" w:rsidP="003058F5">
            <w:pPr>
              <w:pStyle w:val="NormalWeb"/>
              <w:rPr>
                <w:sz w:val="18"/>
                <w:szCs w:val="18"/>
              </w:rPr>
            </w:pPr>
            <w:r w:rsidRPr="00834CDC">
              <w:rPr>
                <w:sz w:val="18"/>
                <w:szCs w:val="18"/>
              </w:rPr>
              <w:t>32.38</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40E87E" w14:textId="77777777" w:rsidR="00800423" w:rsidRPr="00834CDC" w:rsidRDefault="00800423" w:rsidP="003058F5">
            <w:pPr>
              <w:pStyle w:val="NormalWeb"/>
              <w:rPr>
                <w:sz w:val="18"/>
                <w:szCs w:val="18"/>
              </w:rPr>
            </w:pPr>
            <w:r w:rsidRPr="00834CDC">
              <w:rPr>
                <w:sz w:val="18"/>
                <w:szCs w:val="18"/>
              </w:rPr>
              <w:t>10.1</w:t>
            </w:r>
          </w:p>
        </w:tc>
        <w:tc>
          <w:tcPr>
            <w:tcW w:w="16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23E306" w14:textId="77777777" w:rsidR="00800423" w:rsidRPr="00834CDC" w:rsidRDefault="00800423" w:rsidP="003058F5">
            <w:pPr>
              <w:pStyle w:val="NormalWeb"/>
              <w:rPr>
                <w:sz w:val="18"/>
                <w:szCs w:val="18"/>
              </w:rPr>
            </w:pPr>
            <w:r w:rsidRPr="00834CDC">
              <w:rPr>
                <w:sz w:val="18"/>
                <w:szCs w:val="18"/>
              </w:rPr>
              <w:t>8.9–11.4</w:t>
            </w:r>
          </w:p>
        </w:tc>
      </w:tr>
      <w:tr w:rsidR="00800423" w:rsidRPr="00834CDC" w14:paraId="01737FE9" w14:textId="77777777" w:rsidTr="00A37E1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435DB4" w14:textId="77777777" w:rsidR="00800423" w:rsidRPr="00834CDC" w:rsidRDefault="00800423" w:rsidP="009306D3">
            <w:pPr>
              <w:jc w:val="left"/>
              <w:rPr>
                <w:sz w:val="18"/>
                <w:szCs w:val="18"/>
              </w:rPr>
            </w:pPr>
          </w:p>
        </w:tc>
        <w:tc>
          <w:tcPr>
            <w:tcW w:w="45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6EBBDA" w14:textId="77777777" w:rsidR="00800423" w:rsidRPr="00834CDC" w:rsidRDefault="00800423" w:rsidP="009306D3">
            <w:pPr>
              <w:pStyle w:val="NormalWeb"/>
              <w:jc w:val="left"/>
              <w:rPr>
                <w:sz w:val="18"/>
                <w:szCs w:val="18"/>
              </w:rPr>
            </w:pPr>
            <w:r w:rsidRPr="00834CDC">
              <w:rPr>
                <w:sz w:val="18"/>
                <w:szCs w:val="18"/>
              </w:rPr>
              <w:t>Other</w:t>
            </w:r>
          </w:p>
        </w:tc>
        <w:tc>
          <w:tcPr>
            <w:tcW w:w="11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295E87" w14:textId="77777777" w:rsidR="00800423" w:rsidRPr="00834CDC" w:rsidRDefault="00800423" w:rsidP="003058F5">
            <w:pPr>
              <w:pStyle w:val="NormalWeb"/>
              <w:rPr>
                <w:sz w:val="18"/>
                <w:szCs w:val="18"/>
              </w:rPr>
            </w:pPr>
            <w:r w:rsidRPr="00834CDC">
              <w:rPr>
                <w:sz w:val="18"/>
                <w:szCs w:val="18"/>
              </w:rPr>
              <w:t>1,078</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1C540E" w14:textId="77777777" w:rsidR="00800423" w:rsidRPr="00834CDC" w:rsidRDefault="00800423" w:rsidP="003058F5">
            <w:pPr>
              <w:pStyle w:val="NormalWeb"/>
              <w:rPr>
                <w:sz w:val="18"/>
                <w:szCs w:val="18"/>
              </w:rPr>
            </w:pPr>
            <w:r w:rsidRPr="00834CDC">
              <w:rPr>
                <w:sz w:val="18"/>
                <w:szCs w:val="18"/>
              </w:rPr>
              <w:t>3.21</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D19665" w14:textId="77777777" w:rsidR="00800423" w:rsidRPr="00834CDC" w:rsidRDefault="00800423" w:rsidP="003058F5">
            <w:pPr>
              <w:rPr>
                <w:sz w:val="18"/>
                <w:szCs w:val="18"/>
              </w:rPr>
            </w:pPr>
          </w:p>
        </w:tc>
        <w:tc>
          <w:tcPr>
            <w:tcW w:w="16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837D87" w14:textId="77777777" w:rsidR="00800423" w:rsidRPr="00834CDC" w:rsidRDefault="00800423" w:rsidP="003058F5">
            <w:pPr>
              <w:rPr>
                <w:sz w:val="18"/>
                <w:szCs w:val="18"/>
              </w:rPr>
            </w:pPr>
          </w:p>
        </w:tc>
      </w:tr>
      <w:tr w:rsidR="00800423" w:rsidRPr="00834CDC" w14:paraId="200A3354" w14:textId="77777777" w:rsidTr="00A37E11">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FEB548" w14:textId="77777777" w:rsidR="00800423" w:rsidRPr="00834CDC" w:rsidRDefault="00800423" w:rsidP="009306D3">
            <w:pPr>
              <w:pStyle w:val="NormalWeb"/>
              <w:jc w:val="left"/>
              <w:rPr>
                <w:sz w:val="18"/>
                <w:szCs w:val="18"/>
              </w:rPr>
            </w:pPr>
            <w:r w:rsidRPr="00834CDC">
              <w:rPr>
                <w:sz w:val="18"/>
                <w:szCs w:val="18"/>
              </w:rPr>
              <w:t>&gt; 50</w:t>
            </w:r>
          </w:p>
        </w:tc>
        <w:tc>
          <w:tcPr>
            <w:tcW w:w="45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7D685F" w14:textId="77777777" w:rsidR="00800423" w:rsidRPr="00834CDC" w:rsidRDefault="00800423" w:rsidP="009306D3">
            <w:pPr>
              <w:pStyle w:val="NormalWeb"/>
              <w:jc w:val="left"/>
              <w:rPr>
                <w:sz w:val="18"/>
                <w:szCs w:val="18"/>
              </w:rPr>
            </w:pPr>
            <w:r w:rsidRPr="00834CDC">
              <w:rPr>
                <w:sz w:val="18"/>
                <w:szCs w:val="18"/>
              </w:rPr>
              <w:t>Aboriginal and Torres Strait Islander</w:t>
            </w:r>
          </w:p>
        </w:tc>
        <w:tc>
          <w:tcPr>
            <w:tcW w:w="11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19C1F4" w14:textId="77777777" w:rsidR="00800423" w:rsidRPr="00834CDC" w:rsidRDefault="00800423" w:rsidP="003058F5">
            <w:pPr>
              <w:pStyle w:val="NormalWeb"/>
              <w:rPr>
                <w:sz w:val="18"/>
                <w:szCs w:val="18"/>
              </w:rPr>
            </w:pPr>
            <w:r w:rsidRPr="00834CDC">
              <w:rPr>
                <w:sz w:val="18"/>
                <w:szCs w:val="18"/>
              </w:rPr>
              <w:t>348</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328561" w14:textId="77777777" w:rsidR="00800423" w:rsidRPr="00834CDC" w:rsidRDefault="00800423" w:rsidP="003058F5">
            <w:pPr>
              <w:pStyle w:val="NormalWeb"/>
              <w:rPr>
                <w:sz w:val="18"/>
                <w:szCs w:val="18"/>
              </w:rPr>
            </w:pPr>
            <w:r w:rsidRPr="00834CDC">
              <w:rPr>
                <w:sz w:val="18"/>
                <w:szCs w:val="18"/>
              </w:rPr>
              <w:t>65.46</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33CEFB" w14:textId="77777777" w:rsidR="00800423" w:rsidRPr="00834CDC" w:rsidRDefault="00800423" w:rsidP="003058F5">
            <w:pPr>
              <w:pStyle w:val="NormalWeb"/>
              <w:rPr>
                <w:sz w:val="18"/>
                <w:szCs w:val="18"/>
              </w:rPr>
            </w:pPr>
            <w:r w:rsidRPr="00834CDC">
              <w:rPr>
                <w:sz w:val="18"/>
                <w:szCs w:val="18"/>
              </w:rPr>
              <w:t>4.8</w:t>
            </w:r>
          </w:p>
        </w:tc>
        <w:tc>
          <w:tcPr>
            <w:tcW w:w="16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982683" w14:textId="77777777" w:rsidR="00800423" w:rsidRPr="00834CDC" w:rsidRDefault="00800423" w:rsidP="003058F5">
            <w:pPr>
              <w:pStyle w:val="NormalWeb"/>
              <w:rPr>
                <w:sz w:val="18"/>
                <w:szCs w:val="18"/>
              </w:rPr>
            </w:pPr>
            <w:r w:rsidRPr="00834CDC">
              <w:rPr>
                <w:sz w:val="18"/>
                <w:szCs w:val="18"/>
              </w:rPr>
              <w:t>4.3–5.4</w:t>
            </w:r>
          </w:p>
        </w:tc>
      </w:tr>
      <w:tr w:rsidR="00800423" w:rsidRPr="00834CDC" w14:paraId="1749105A" w14:textId="77777777" w:rsidTr="00A37E1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5FEFC9" w14:textId="77777777" w:rsidR="00800423" w:rsidRPr="00834CDC" w:rsidRDefault="00800423" w:rsidP="009306D3">
            <w:pPr>
              <w:jc w:val="left"/>
              <w:rPr>
                <w:sz w:val="18"/>
                <w:szCs w:val="18"/>
              </w:rPr>
            </w:pPr>
          </w:p>
        </w:tc>
        <w:tc>
          <w:tcPr>
            <w:tcW w:w="45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7EDCCA" w14:textId="77777777" w:rsidR="00800423" w:rsidRPr="00834CDC" w:rsidRDefault="00800423" w:rsidP="009306D3">
            <w:pPr>
              <w:pStyle w:val="NormalWeb"/>
              <w:jc w:val="left"/>
              <w:rPr>
                <w:sz w:val="18"/>
                <w:szCs w:val="18"/>
              </w:rPr>
            </w:pPr>
            <w:r w:rsidRPr="00834CDC">
              <w:rPr>
                <w:sz w:val="18"/>
                <w:szCs w:val="18"/>
              </w:rPr>
              <w:t>Other</w:t>
            </w:r>
          </w:p>
        </w:tc>
        <w:tc>
          <w:tcPr>
            <w:tcW w:w="11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E92B5E" w14:textId="77777777" w:rsidR="00800423" w:rsidRPr="00834CDC" w:rsidRDefault="00800423" w:rsidP="003058F5">
            <w:pPr>
              <w:pStyle w:val="NormalWeb"/>
              <w:rPr>
                <w:sz w:val="18"/>
                <w:szCs w:val="18"/>
              </w:rPr>
            </w:pPr>
            <w:r w:rsidRPr="00834CDC">
              <w:rPr>
                <w:sz w:val="18"/>
                <w:szCs w:val="18"/>
              </w:rPr>
              <w:t>4,396</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3183E5" w14:textId="77777777" w:rsidR="00800423" w:rsidRPr="00834CDC" w:rsidRDefault="00800423" w:rsidP="003058F5">
            <w:pPr>
              <w:pStyle w:val="NormalWeb"/>
              <w:rPr>
                <w:sz w:val="18"/>
                <w:szCs w:val="18"/>
              </w:rPr>
            </w:pPr>
            <w:r w:rsidRPr="00834CDC">
              <w:rPr>
                <w:sz w:val="18"/>
                <w:szCs w:val="18"/>
              </w:rPr>
              <w:t>13.54</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9DE4B8" w14:textId="77777777" w:rsidR="00800423" w:rsidRPr="00834CDC" w:rsidRDefault="00800423" w:rsidP="003058F5">
            <w:pPr>
              <w:rPr>
                <w:sz w:val="18"/>
                <w:szCs w:val="18"/>
              </w:rPr>
            </w:pPr>
          </w:p>
        </w:tc>
        <w:tc>
          <w:tcPr>
            <w:tcW w:w="16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5C62D9" w14:textId="77777777" w:rsidR="00800423" w:rsidRPr="00834CDC" w:rsidRDefault="00800423" w:rsidP="003058F5">
            <w:pPr>
              <w:rPr>
                <w:sz w:val="18"/>
                <w:szCs w:val="18"/>
              </w:rPr>
            </w:pPr>
          </w:p>
        </w:tc>
      </w:tr>
      <w:tr w:rsidR="00800423" w:rsidRPr="00834CDC" w14:paraId="342D24A5" w14:textId="77777777" w:rsidTr="00327477">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905075D" w14:textId="2D81C993" w:rsidR="00800423" w:rsidRPr="00834CDC" w:rsidRDefault="00800423" w:rsidP="009306D3">
            <w:pPr>
              <w:pStyle w:val="NormalWeb"/>
              <w:jc w:val="left"/>
              <w:rPr>
                <w:b/>
                <w:bCs/>
                <w:sz w:val="18"/>
                <w:szCs w:val="18"/>
              </w:rPr>
            </w:pPr>
            <w:r w:rsidRPr="00834CDC">
              <w:rPr>
                <w:b/>
                <w:bCs/>
                <w:sz w:val="18"/>
                <w:szCs w:val="18"/>
              </w:rPr>
              <w:t>All ages</w:t>
            </w:r>
            <w:r w:rsidR="00786A32" w:rsidRPr="00834CDC">
              <w:rPr>
                <w:b/>
                <w:bCs/>
                <w:sz w:val="18"/>
                <w:szCs w:val="18"/>
              </w:rPr>
              <w:t xml:space="preserve"> </w:t>
            </w:r>
            <w:r w:rsidRPr="00834CDC">
              <w:rPr>
                <w:b/>
                <w:bCs/>
                <w:sz w:val="18"/>
                <w:szCs w:val="18"/>
                <w:vertAlign w:val="superscript"/>
              </w:rPr>
              <w:t>c</w:t>
            </w:r>
          </w:p>
        </w:tc>
        <w:tc>
          <w:tcPr>
            <w:tcW w:w="45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0F85D3F" w14:textId="77777777" w:rsidR="00800423" w:rsidRPr="00834CDC" w:rsidRDefault="00800423" w:rsidP="009306D3">
            <w:pPr>
              <w:pStyle w:val="NormalWeb"/>
              <w:jc w:val="left"/>
              <w:rPr>
                <w:b/>
                <w:bCs/>
                <w:sz w:val="18"/>
                <w:szCs w:val="18"/>
              </w:rPr>
            </w:pPr>
            <w:r w:rsidRPr="00834CDC">
              <w:rPr>
                <w:b/>
                <w:bCs/>
                <w:sz w:val="18"/>
                <w:szCs w:val="18"/>
              </w:rPr>
              <w:t>Aboriginal and Torres Strait Islander</w:t>
            </w:r>
          </w:p>
        </w:tc>
        <w:tc>
          <w:tcPr>
            <w:tcW w:w="11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31DE0EC" w14:textId="77777777" w:rsidR="00800423" w:rsidRPr="00834CDC" w:rsidRDefault="00800423" w:rsidP="003058F5">
            <w:pPr>
              <w:pStyle w:val="NormalWeb"/>
              <w:rPr>
                <w:b/>
                <w:bCs/>
                <w:sz w:val="18"/>
                <w:szCs w:val="18"/>
              </w:rPr>
            </w:pPr>
            <w:r w:rsidRPr="00834CDC">
              <w:rPr>
                <w:b/>
                <w:bCs/>
                <w:sz w:val="18"/>
                <w:szCs w:val="18"/>
              </w:rPr>
              <w:t>916</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C4AAFED" w14:textId="77777777" w:rsidR="00800423" w:rsidRPr="00834CDC" w:rsidRDefault="00800423" w:rsidP="003058F5">
            <w:pPr>
              <w:pStyle w:val="NormalWeb"/>
              <w:rPr>
                <w:b/>
                <w:bCs/>
                <w:sz w:val="18"/>
                <w:szCs w:val="18"/>
              </w:rPr>
            </w:pPr>
            <w:r w:rsidRPr="00834CDC">
              <w:rPr>
                <w:b/>
                <w:bCs/>
                <w:sz w:val="18"/>
                <w:szCs w:val="18"/>
              </w:rPr>
              <w:t>37.32</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84BF583" w14:textId="77777777" w:rsidR="00800423" w:rsidRPr="00834CDC" w:rsidRDefault="00800423" w:rsidP="003058F5">
            <w:pPr>
              <w:pStyle w:val="NormalWeb"/>
              <w:rPr>
                <w:b/>
                <w:bCs/>
                <w:sz w:val="18"/>
                <w:szCs w:val="18"/>
              </w:rPr>
            </w:pPr>
            <w:r w:rsidRPr="00834CDC">
              <w:rPr>
                <w:b/>
                <w:bCs/>
                <w:sz w:val="18"/>
                <w:szCs w:val="18"/>
              </w:rPr>
              <w:t>5.2</w:t>
            </w:r>
          </w:p>
        </w:tc>
        <w:tc>
          <w:tcPr>
            <w:tcW w:w="165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51650F9" w14:textId="77777777" w:rsidR="00800423" w:rsidRPr="00834CDC" w:rsidRDefault="00800423" w:rsidP="003058F5">
            <w:pPr>
              <w:pStyle w:val="NormalWeb"/>
              <w:rPr>
                <w:b/>
                <w:bCs/>
                <w:sz w:val="18"/>
                <w:szCs w:val="18"/>
              </w:rPr>
            </w:pPr>
            <w:r w:rsidRPr="00834CDC">
              <w:rPr>
                <w:b/>
                <w:bCs/>
                <w:sz w:val="18"/>
                <w:szCs w:val="18"/>
              </w:rPr>
              <w:t>4.9–5.5</w:t>
            </w:r>
          </w:p>
        </w:tc>
      </w:tr>
      <w:tr w:rsidR="00800423" w:rsidRPr="00834CDC" w14:paraId="2BF412BC" w14:textId="77777777" w:rsidTr="00327477">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2E38CA8" w14:textId="77777777" w:rsidR="00800423" w:rsidRPr="00834CDC" w:rsidRDefault="00800423" w:rsidP="003058F5">
            <w:pPr>
              <w:rPr>
                <w:b/>
                <w:bCs/>
                <w:sz w:val="18"/>
                <w:szCs w:val="18"/>
              </w:rPr>
            </w:pPr>
          </w:p>
        </w:tc>
        <w:tc>
          <w:tcPr>
            <w:tcW w:w="45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E97E425" w14:textId="77777777" w:rsidR="00800423" w:rsidRPr="00834CDC" w:rsidRDefault="00800423" w:rsidP="009306D3">
            <w:pPr>
              <w:pStyle w:val="NormalWeb"/>
              <w:jc w:val="left"/>
              <w:rPr>
                <w:b/>
                <w:bCs/>
                <w:sz w:val="18"/>
                <w:szCs w:val="18"/>
              </w:rPr>
            </w:pPr>
            <w:r w:rsidRPr="00834CDC">
              <w:rPr>
                <w:b/>
                <w:bCs/>
                <w:sz w:val="18"/>
                <w:szCs w:val="18"/>
              </w:rPr>
              <w:t>Other</w:t>
            </w:r>
          </w:p>
        </w:tc>
        <w:tc>
          <w:tcPr>
            <w:tcW w:w="11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418347D" w14:textId="77777777" w:rsidR="00800423" w:rsidRPr="00834CDC" w:rsidRDefault="00800423" w:rsidP="003058F5">
            <w:pPr>
              <w:pStyle w:val="NormalWeb"/>
              <w:rPr>
                <w:b/>
                <w:bCs/>
                <w:sz w:val="18"/>
                <w:szCs w:val="18"/>
              </w:rPr>
            </w:pPr>
            <w:r w:rsidRPr="00834CDC">
              <w:rPr>
                <w:b/>
                <w:bCs/>
                <w:sz w:val="18"/>
                <w:szCs w:val="18"/>
              </w:rPr>
              <w:t>6,956</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FA2591A" w14:textId="77777777" w:rsidR="00800423" w:rsidRPr="00834CDC" w:rsidRDefault="00800423" w:rsidP="003058F5">
            <w:pPr>
              <w:pStyle w:val="NormalWeb"/>
              <w:rPr>
                <w:b/>
                <w:bCs/>
                <w:sz w:val="18"/>
                <w:szCs w:val="18"/>
              </w:rPr>
            </w:pPr>
            <w:r w:rsidRPr="00834CDC">
              <w:rPr>
                <w:b/>
                <w:bCs/>
                <w:sz w:val="18"/>
                <w:szCs w:val="18"/>
              </w:rPr>
              <w:t>7.21</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2413568" w14:textId="77777777" w:rsidR="00800423" w:rsidRPr="00834CDC" w:rsidRDefault="00800423" w:rsidP="003058F5">
            <w:pPr>
              <w:rPr>
                <w:b/>
                <w:bCs/>
                <w:sz w:val="18"/>
                <w:szCs w:val="18"/>
              </w:rPr>
            </w:pPr>
          </w:p>
        </w:tc>
        <w:tc>
          <w:tcPr>
            <w:tcW w:w="165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AAA8D1A" w14:textId="77777777" w:rsidR="00800423" w:rsidRPr="00834CDC" w:rsidRDefault="00800423" w:rsidP="003058F5">
            <w:pPr>
              <w:rPr>
                <w:b/>
                <w:bCs/>
                <w:sz w:val="18"/>
                <w:szCs w:val="18"/>
              </w:rPr>
            </w:pPr>
          </w:p>
        </w:tc>
      </w:tr>
    </w:tbl>
    <w:p w14:paraId="4D7F8C8A" w14:textId="77777777" w:rsidR="00800423" w:rsidRPr="00834CDC" w:rsidRDefault="00800423" w:rsidP="00800423">
      <w:pPr>
        <w:pStyle w:val="CDIfootnotes"/>
        <w:divId w:val="1988506822"/>
      </w:pPr>
      <w:r w:rsidRPr="00834CDC">
        <w:t>a</w:t>
      </w:r>
      <w:r w:rsidRPr="00834CDC">
        <w:tab/>
        <w:t>Notifications where the date of diagnosis was between 1 January 2016 and 31 December 2019.</w:t>
      </w:r>
    </w:p>
    <w:p w14:paraId="313F6698" w14:textId="77777777" w:rsidR="00800423" w:rsidRPr="00834CDC" w:rsidRDefault="00800423" w:rsidP="00800423">
      <w:pPr>
        <w:pStyle w:val="CDIfootnotes"/>
        <w:divId w:val="1988506822"/>
      </w:pPr>
      <w:r w:rsidRPr="00834CDC">
        <w:t>b</w:t>
      </w:r>
      <w:r w:rsidRPr="00834CDC">
        <w:tab/>
        <w:t>Average annual age-specific rate per 100,000 population.</w:t>
      </w:r>
    </w:p>
    <w:p w14:paraId="32C6EC99" w14:textId="7C71120F" w:rsidR="00800423" w:rsidRPr="00834CDC" w:rsidRDefault="00800423" w:rsidP="00800423">
      <w:pPr>
        <w:pStyle w:val="CDIfootnotes"/>
        <w:divId w:val="1988506822"/>
      </w:pPr>
      <w:r w:rsidRPr="00834CDC">
        <w:t>c</w:t>
      </w:r>
      <w:r w:rsidRPr="00834CDC">
        <w:tab/>
        <w:t>Rates for all ages combined are age-standardised to the Australian Bureau of Statistics Australian population estimates for 2016.</w:t>
      </w:r>
    </w:p>
    <w:p w14:paraId="7ACC0CAD" w14:textId="2EAF0519" w:rsidR="0033445F" w:rsidRPr="00834CDC" w:rsidRDefault="0033445F" w:rsidP="0033445F">
      <w:pPr>
        <w:divId w:val="1988506822"/>
      </w:pPr>
      <w:r w:rsidRPr="00834CDC">
        <w:t xml:space="preserve">Trends in IPD notifications, by age and Aboriginal and Torres Strait Islander status, </w:t>
      </w:r>
      <w:proofErr w:type="gramStart"/>
      <w:r w:rsidRPr="00834CDC">
        <w:t>are presented</w:t>
      </w:r>
      <w:proofErr w:type="gramEnd"/>
      <w:r w:rsidRPr="00834CDC">
        <w:t xml:space="preserve"> for all states and territories for the 2010–2019 period in Figure 14. Rates of IPD notifications among Aboriginal and Torres Strait Islander children aged 0–4 years peaked in 2011 at 56.5 per 100,000 per year, and then remained between 28.7 and 40.3 per 100,000 per year for the following eight years. Among other children aged 0–4 years, rates decreased from 2010 (18.4 per 100,000 per year) to 2012 (11.4 per 100,000 per year) and then increased, reaching 19.5 per 100,000 per year in 2019. The lowest notification rates were in the 5–</w:t>
      </w:r>
      <w:proofErr w:type="gramStart"/>
      <w:r w:rsidRPr="00834CDC">
        <w:t>49 year</w:t>
      </w:r>
      <w:proofErr w:type="gramEnd"/>
      <w:r w:rsidRPr="00834CDC">
        <w:t xml:space="preserve"> age group, for both Aboriginal and Torres Strait Islander and other people. Whilst the IPD notification rate in other people in this age group stayed </w:t>
      </w:r>
      <w:proofErr w:type="gramStart"/>
      <w:r w:rsidRPr="00834CDC">
        <w:t>relatively stable</w:t>
      </w:r>
      <w:proofErr w:type="gramEnd"/>
      <w:r w:rsidRPr="00834CDC">
        <w:t xml:space="preserve"> </w:t>
      </w:r>
      <w:r w:rsidRPr="00834CDC">
        <w:lastRenderedPageBreak/>
        <w:t xml:space="preserve">over the 10-year period at around 3.0 per 100,000 per year, the rate among Aboriginal and Torres Strait Islander people aged 5–49 years peaked in 2011 at 37.4 per 100,000 and ranged between 13.6 and 22.1 per 100,000 per year from 2013 to 2019. IPD notification rates in Aboriginal and Torres Strait Islander adults aged ≥ 50 years decreased from 65.7 per 100,000 per year in 2012 to 47.8 per 100,000 per year in 2014, then progressively increased, reaching 73.3 per 100,000 per year in 2019. By comparison, the rate in other adults aged ≥ 50 years stayed </w:t>
      </w:r>
      <w:proofErr w:type="gramStart"/>
      <w:r w:rsidRPr="00834CDC">
        <w:t>relatively stable</w:t>
      </w:r>
      <w:proofErr w:type="gramEnd"/>
      <w:r w:rsidRPr="00834CDC">
        <w:t xml:space="preserve"> over the 10-year period, ranging between 10.7 and 14.5 per 100,000 per year.</w:t>
      </w:r>
    </w:p>
    <w:p w14:paraId="7ED240B0" w14:textId="77777777" w:rsidR="001A181D" w:rsidRPr="00834CDC" w:rsidRDefault="001A181D" w:rsidP="001A181D">
      <w:pPr>
        <w:pStyle w:val="NormalWeb"/>
        <w:divId w:val="1988506822"/>
      </w:pPr>
      <w:r w:rsidRPr="00834CDC">
        <w:rPr>
          <w:rStyle w:val="Strong"/>
        </w:rPr>
        <w:t>Figure 14: Invasive pneumococcal disease notification rates, Australia (all states and territories), 2010–</w:t>
      </w:r>
      <w:proofErr w:type="gramStart"/>
      <w:r w:rsidRPr="00834CDC">
        <w:rPr>
          <w:rStyle w:val="Strong"/>
        </w:rPr>
        <w:t>2019,</w:t>
      </w:r>
      <w:r w:rsidRPr="00834CDC">
        <w:rPr>
          <w:rStyle w:val="Strong"/>
          <w:vertAlign w:val="superscript"/>
        </w:rPr>
        <w:t>a</w:t>
      </w:r>
      <w:proofErr w:type="gramEnd"/>
      <w:r w:rsidRPr="00834CDC">
        <w:rPr>
          <w:rStyle w:val="Strong"/>
        </w:rPr>
        <w:t xml:space="preserve"> by age and Aboriginal and Torres Strait Islander status</w:t>
      </w:r>
    </w:p>
    <w:p w14:paraId="6308A78E" w14:textId="77777777" w:rsidR="001A181D" w:rsidRPr="00834CDC" w:rsidRDefault="001A181D" w:rsidP="001A181D">
      <w:pPr>
        <w:pStyle w:val="NormalWeb"/>
        <w:divId w:val="1988506822"/>
      </w:pPr>
      <w:r w:rsidRPr="00834CDC">
        <w:rPr>
          <w:noProof/>
        </w:rPr>
        <w:drawing>
          <wp:inline distT="0" distB="0" distL="0" distR="0" wp14:anchorId="49F1900E" wp14:editId="7AE6D37A">
            <wp:extent cx="6506372" cy="4251046"/>
            <wp:effectExtent l="0" t="0" r="8890" b="0"/>
            <wp:docPr id="20" name="Picture 20" descr="Line graph showing invasive pneumococcal disease notification rates, by Aboriginal and Torres Strait Islander status and age group, for the period 2010 to 2019. Rates were highest among Aboriginal and Torres Strait Islander people ages over 50 years for the 10 year period, increasing to a high of 73 per 100,000 population in 2019. Aboriginal and Torres Strait Islander people aged 0-4 years and 4-49 years had the next highest rates, reaching a peak of 72 and 64 per 100,000 in 2011. Notifications in other people remained steady in those aged 5–49 and &gt;50 years, with slight increase for those aged 0–4 between 2012 and 201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e graph showing invasive pneumococcal disease notification rates, by Aboriginal and Torres Strait Islander status and age group, for the period 2010 to 2019. Rates were highest among Aboriginal and Torres Strait Islander people ages over 50 years for the 10 year period, increasing to a high of 73 per 100,000 population in 2019. Aboriginal and Torres Strait Islander people aged 0-4 years and 4-49 years had the next highest rates, reaching a peak of 72 and 64 per 100,000 in 2011. Notifications in other people remained steady in those aged 5–49 and &gt;50 years, with slight increase for those aged 0–4 between 2012 and 2019. &#10;"/>
                    <pic:cNvPicPr>
                      <a:picLocks noChangeAspect="1" noChangeArrowheads="1"/>
                    </pic:cNvPicPr>
                  </pic:nvPicPr>
                  <pic:blipFill>
                    <a:blip r:link="rId25">
                      <a:extLst>
                        <a:ext uri="{28A0092B-C50C-407E-A947-70E740481C1C}">
                          <a14:useLocalDpi xmlns:a14="http://schemas.microsoft.com/office/drawing/2010/main" val="0"/>
                        </a:ext>
                      </a:extLst>
                    </a:blip>
                    <a:stretch>
                      <a:fillRect/>
                    </a:stretch>
                  </pic:blipFill>
                  <pic:spPr bwMode="auto">
                    <a:xfrm>
                      <a:off x="0" y="0"/>
                      <a:ext cx="6510852" cy="4253973"/>
                    </a:xfrm>
                    <a:prstGeom prst="rect">
                      <a:avLst/>
                    </a:prstGeom>
                  </pic:spPr>
                </pic:pic>
              </a:graphicData>
            </a:graphic>
          </wp:inline>
        </w:drawing>
      </w:r>
    </w:p>
    <w:p w14:paraId="0B6362CE" w14:textId="7FA42B89" w:rsidR="001A181D" w:rsidRPr="00834CDC" w:rsidRDefault="001A181D" w:rsidP="001A181D">
      <w:pPr>
        <w:pStyle w:val="CDIfootnotes"/>
        <w:divId w:val="1988506822"/>
      </w:pPr>
      <w:r w:rsidRPr="00834CDC">
        <w:t>a</w:t>
      </w:r>
      <w:r w:rsidRPr="00834CDC">
        <w:tab/>
        <w:t>Notifications where the date of diagnosis was between 1 January 2010 and 31 December 2019.</w:t>
      </w:r>
    </w:p>
    <w:p w14:paraId="010F3652" w14:textId="0B579656" w:rsidR="0033445F" w:rsidRPr="00834CDC" w:rsidRDefault="0033445F" w:rsidP="0033445F">
      <w:pPr>
        <w:divId w:val="1988506822"/>
      </w:pPr>
      <w:r w:rsidRPr="00834CDC">
        <w:t xml:space="preserve">Pneumococcal vaccines </w:t>
      </w:r>
      <w:proofErr w:type="gramStart"/>
      <w:r w:rsidRPr="00834CDC">
        <w:t>contain</w:t>
      </w:r>
      <w:proofErr w:type="gramEnd"/>
      <w:r w:rsidRPr="00834CDC">
        <w:t xml:space="preserve"> a varying number of serotypes (seven in 7-valent pneumococcal conjugate vaccine [7vPCV], an additional six in 13-valent conjugate vaccine [13vPCV] and an additional 11 (without serotype 6A found in 13vPCV) in 23-valent polysaccharide vaccine [23vPPV]). Serotype data were available for 91.9% of IPD notifications (7,231/7,872). IPD notification rates by Aboriginal and Torres Strait Islander status and serotypes covered by vaccines </w:t>
      </w:r>
      <w:proofErr w:type="gramStart"/>
      <w:r w:rsidRPr="00834CDC">
        <w:t>are shown</w:t>
      </w:r>
      <w:proofErr w:type="gramEnd"/>
      <w:r w:rsidRPr="00834CDC">
        <w:t xml:space="preserve"> by age group for two 4-year periods (2012–2015 and 2016–2019) in Figure 15; the distribution of serotypes causing IPD, by Aboriginal and Torres Strait Islander status, is presented in Figure 16 for the 2016–2019</w:t>
      </w:r>
      <w:r w:rsidR="00AB2AEC" w:rsidRPr="00834CDC">
        <w:t> </w:t>
      </w:r>
      <w:r w:rsidRPr="00834CDC">
        <w:t xml:space="preserve">period. </w:t>
      </w:r>
    </w:p>
    <w:p w14:paraId="7E38D9E8" w14:textId="77777777" w:rsidR="00513744" w:rsidRPr="00834CDC" w:rsidRDefault="00513744" w:rsidP="0033445F">
      <w:pPr>
        <w:divId w:val="1988506822"/>
        <w:sectPr w:rsidR="00513744" w:rsidRPr="00834CDC" w:rsidSect="004759FB">
          <w:footnotePr>
            <w:numFmt w:val="lowerRoman"/>
            <w:numStart w:val="3"/>
          </w:footnotePr>
          <w:type w:val="continuous"/>
          <w:pgSz w:w="11906" w:h="16838"/>
          <w:pgMar w:top="720" w:right="720" w:bottom="1134" w:left="720" w:header="709" w:footer="284" w:gutter="0"/>
          <w:cols w:space="708"/>
          <w:titlePg/>
          <w:docGrid w:linePitch="360"/>
        </w:sectPr>
      </w:pPr>
    </w:p>
    <w:p w14:paraId="09CE19CD" w14:textId="1377284A" w:rsidR="00513744" w:rsidRPr="00834CDC" w:rsidRDefault="00513744" w:rsidP="00513744">
      <w:pPr>
        <w:pStyle w:val="NormalWeb"/>
        <w:divId w:val="1988506822"/>
      </w:pPr>
      <w:r w:rsidRPr="00834CDC">
        <w:rPr>
          <w:rStyle w:val="Strong"/>
        </w:rPr>
        <w:lastRenderedPageBreak/>
        <w:t>Figure 15: Invasive pneumococcal disease notification rates for four vaccine serotype groups, Australia (all states and territories), 2012–2015</w:t>
      </w:r>
      <w:r w:rsidR="00D24B47">
        <w:rPr>
          <w:rStyle w:val="Strong"/>
        </w:rPr>
        <w:t xml:space="preserve"> </w:t>
      </w:r>
      <w:proofErr w:type="spellStart"/>
      <w:r w:rsidRPr="00D24B47">
        <w:rPr>
          <w:rStyle w:val="Strong"/>
          <w:vertAlign w:val="superscript"/>
        </w:rPr>
        <w:t>a</w:t>
      </w:r>
      <w:proofErr w:type="spellEnd"/>
      <w:r w:rsidRPr="00834CDC">
        <w:rPr>
          <w:rStyle w:val="Strong"/>
        </w:rPr>
        <w:t xml:space="preserve"> compared with 2016–</w:t>
      </w:r>
      <w:proofErr w:type="gramStart"/>
      <w:r w:rsidRPr="00834CDC">
        <w:rPr>
          <w:rStyle w:val="Strong"/>
        </w:rPr>
        <w:t>2019,</w:t>
      </w:r>
      <w:r w:rsidRPr="00834CDC">
        <w:rPr>
          <w:rStyle w:val="Strong"/>
          <w:vertAlign w:val="superscript"/>
        </w:rPr>
        <w:t>b</w:t>
      </w:r>
      <w:proofErr w:type="gramEnd"/>
      <w:r w:rsidRPr="00834CDC">
        <w:rPr>
          <w:rStyle w:val="Strong"/>
        </w:rPr>
        <w:t xml:space="preserve"> by age and Aboriginal and Torres Strait Islander status</w:t>
      </w:r>
      <w:r w:rsidR="00E97282" w:rsidRPr="00834CDC">
        <w:rPr>
          <w:rStyle w:val="Strong"/>
        </w:rPr>
        <w:t xml:space="preserve"> </w:t>
      </w:r>
      <w:r w:rsidRPr="00834CDC">
        <w:rPr>
          <w:rStyle w:val="Strong"/>
          <w:vertAlign w:val="superscript"/>
        </w:rPr>
        <w:t>c</w:t>
      </w:r>
    </w:p>
    <w:p w14:paraId="42C08478" w14:textId="77777777" w:rsidR="00513744" w:rsidRPr="00834CDC" w:rsidRDefault="00513744" w:rsidP="00B0128B">
      <w:pPr>
        <w:pStyle w:val="NormalWeb"/>
        <w:jc w:val="center"/>
        <w:divId w:val="1988506822"/>
      </w:pPr>
      <w:r w:rsidRPr="00834CDC">
        <w:rPr>
          <w:noProof/>
        </w:rPr>
        <w:drawing>
          <wp:inline distT="0" distB="0" distL="0" distR="0" wp14:anchorId="2AC6E46E" wp14:editId="0A8FFB72">
            <wp:extent cx="8397257" cy="5349251"/>
            <wp:effectExtent l="0" t="0" r="3810" b="3810"/>
            <wp:docPr id="21" name="Picture 21" descr="Bar graph showing invasive pneumococcal disease notification rates for four vaccine serotype groups, comparing 2012-2015 periods with 2016-2019, by age and Aboriginal and Torres Strait Islander status. Notification rates per 100,000 for IPD caused by serotypes in 7vPCV were higher in the 2016-2019 than 2012-2015 period in all three age groups assessed, in both Aboriginal and Torres Strait Islander people and in other people. In the 0–4 years age group, the notification rate of IPD caused by serotypes in 13vPCV but not in 7vPCV was lower in the 2016-2019 than 2012-2015 period in Aboriginal and Torres Strait Islander children, but higher in other children in this age group. In the 5–49 years age group, the notification rate of 13v–non-7v IPD was lower in Aboriginal and Torres Strait Islander people and in other people, and in adults aged &gt;50 years there was little change in either group. Notification rates of IPD caused by serotypes in 23vPPV but not in 13vPCV were similar in the 2016-2019 compared to 2012-2015 period in Aboriginal and Torres Strait Islander and other people aged 0–4 years and 5-49 years but were higher in adults aged &gt;50 yea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r graph showing invasive pneumococcal disease notification rates for four vaccine serotype groups, comparing 2012-2015 periods with 2016-2019, by age and Aboriginal and Torres Strait Islander status. Notification rates per 100,000 for IPD caused by serotypes in 7vPCV were higher in the 2016-2019 than 2012-2015 period in all three age groups assessed, in both Aboriginal and Torres Strait Islander people and in other people. In the 0–4 years age group, the notification rate of IPD caused by serotypes in 13vPCV but not in 7vPCV was lower in the 2016-2019 than 2012-2015 period in Aboriginal and Torres Strait Islander children, but higher in other children in this age group. In the 5–49 years age group, the notification rate of 13v–non-7v IPD was lower in Aboriginal and Torres Strait Islander people and in other people, and in adults aged &gt;50 years there was little change in either group. Notification rates of IPD caused by serotypes in 23vPPV but not in 13vPCV were similar in the 2016-2019 compared to 2012-2015 period in Aboriginal and Torres Strait Islander and other people aged 0–4 years and 5-49 years but were higher in adults aged &gt;50 years.&#10;"/>
                    <pic:cNvPicPr>
                      <a:picLocks noChangeAspect="1" noChangeArrowheads="1"/>
                    </pic:cNvPicPr>
                  </pic:nvPicPr>
                  <pic:blipFill>
                    <a:blip r:link="rId26">
                      <a:extLst>
                        <a:ext uri="{28A0092B-C50C-407E-A947-70E740481C1C}">
                          <a14:useLocalDpi xmlns:a14="http://schemas.microsoft.com/office/drawing/2010/main" val="0"/>
                        </a:ext>
                      </a:extLst>
                    </a:blip>
                    <a:stretch>
                      <a:fillRect/>
                    </a:stretch>
                  </pic:blipFill>
                  <pic:spPr bwMode="auto">
                    <a:xfrm>
                      <a:off x="0" y="0"/>
                      <a:ext cx="8397257" cy="5349251"/>
                    </a:xfrm>
                    <a:prstGeom prst="rect">
                      <a:avLst/>
                    </a:prstGeom>
                  </pic:spPr>
                </pic:pic>
              </a:graphicData>
            </a:graphic>
          </wp:inline>
        </w:drawing>
      </w:r>
    </w:p>
    <w:p w14:paraId="6EA6D5DE" w14:textId="77777777" w:rsidR="00513744" w:rsidRPr="00834CDC" w:rsidRDefault="00513744" w:rsidP="00513744">
      <w:pPr>
        <w:pStyle w:val="CDIfootnotes"/>
        <w:divId w:val="1988506822"/>
      </w:pPr>
      <w:r w:rsidRPr="00834CDC">
        <w:t>a</w:t>
      </w:r>
      <w:r w:rsidRPr="00834CDC">
        <w:tab/>
        <w:t>Notifications where the date of diagnosis was between 1 January 2012 and 31 December 2015.</w:t>
      </w:r>
    </w:p>
    <w:p w14:paraId="1167A388" w14:textId="77777777" w:rsidR="00513744" w:rsidRPr="00834CDC" w:rsidRDefault="00513744" w:rsidP="00513744">
      <w:pPr>
        <w:pStyle w:val="CDIfootnotes"/>
        <w:divId w:val="1988506822"/>
      </w:pPr>
      <w:r w:rsidRPr="00834CDC">
        <w:t>b</w:t>
      </w:r>
      <w:r w:rsidRPr="00834CDC">
        <w:tab/>
        <w:t>Notifications where the date of diagnosis was between 1 January 2016 and 31 December 2019.</w:t>
      </w:r>
    </w:p>
    <w:p w14:paraId="4FF951E0" w14:textId="77777777" w:rsidR="00513744" w:rsidRPr="00834CDC" w:rsidRDefault="00513744" w:rsidP="00513744">
      <w:pPr>
        <w:pStyle w:val="CDIfootnotes"/>
        <w:divId w:val="1988506822"/>
      </w:pPr>
      <w:r w:rsidRPr="00834CDC">
        <w:t>c</w:t>
      </w:r>
      <w:r w:rsidRPr="00834CDC">
        <w:tab/>
        <w:t>Excludes cases with unknown serotype.</w:t>
      </w:r>
    </w:p>
    <w:p w14:paraId="6A98BCD5" w14:textId="6F4302E5" w:rsidR="001657C7" w:rsidRPr="00834CDC" w:rsidRDefault="001657C7" w:rsidP="001657C7">
      <w:pPr>
        <w:pStyle w:val="CDIFigures"/>
      </w:pPr>
      <w:r w:rsidRPr="00834CDC">
        <w:rPr>
          <w:rStyle w:val="Strong"/>
          <w:b/>
          <w:bCs w:val="0"/>
        </w:rPr>
        <w:lastRenderedPageBreak/>
        <w:t>Figure 16: Percentage of IPD attributed to pneumococcal serotypes</w:t>
      </w:r>
      <w:r w:rsidR="00E97282" w:rsidRPr="00834CDC">
        <w:rPr>
          <w:rStyle w:val="Strong"/>
          <w:b/>
          <w:bCs w:val="0"/>
        </w:rPr>
        <w:t xml:space="preserve"> </w:t>
      </w:r>
      <w:r w:rsidRPr="00834CDC">
        <w:rPr>
          <w:rStyle w:val="Strong"/>
          <w:b/>
          <w:bCs w:val="0"/>
          <w:vertAlign w:val="superscript"/>
        </w:rPr>
        <w:t>a</w:t>
      </w:r>
      <w:r w:rsidRPr="00834CDC">
        <w:rPr>
          <w:rStyle w:val="Strong"/>
          <w:b/>
          <w:bCs w:val="0"/>
        </w:rPr>
        <w:t xml:space="preserve"> grouped by vaccine type, Australia (all states and territories), 2016–</w:t>
      </w:r>
      <w:proofErr w:type="gramStart"/>
      <w:r w:rsidRPr="00834CDC">
        <w:rPr>
          <w:rStyle w:val="Strong"/>
          <w:b/>
          <w:bCs w:val="0"/>
        </w:rPr>
        <w:t>2019,</w:t>
      </w:r>
      <w:r w:rsidRPr="00834CDC">
        <w:rPr>
          <w:rStyle w:val="Strong"/>
          <w:b/>
          <w:bCs w:val="0"/>
          <w:vertAlign w:val="superscript"/>
        </w:rPr>
        <w:t>b</w:t>
      </w:r>
      <w:proofErr w:type="gramEnd"/>
      <w:r w:rsidRPr="00834CDC">
        <w:rPr>
          <w:rStyle w:val="Strong"/>
          <w:b/>
          <w:bCs w:val="0"/>
        </w:rPr>
        <w:t xml:space="preserve"> by Aboriginal and Torres Strait Islander status</w:t>
      </w:r>
    </w:p>
    <w:p w14:paraId="4B665433" w14:textId="77777777" w:rsidR="001657C7" w:rsidRPr="00834CDC" w:rsidRDefault="001657C7" w:rsidP="001657C7">
      <w:pPr>
        <w:jc w:val="center"/>
      </w:pPr>
      <w:r w:rsidRPr="00834CDC">
        <w:rPr>
          <w:noProof/>
        </w:rPr>
        <w:drawing>
          <wp:inline distT="0" distB="0" distL="0" distR="0" wp14:anchorId="31D5D75E" wp14:editId="29371FA4">
            <wp:extent cx="7822810" cy="4710989"/>
            <wp:effectExtent l="0" t="0" r="6985" b="0"/>
            <wp:docPr id="22" name="Picture 22" descr="Bar graph showing the percentage of invasive pneumococcal disease attributed to pneumococcal serotypes grouped by vaccine type and Aboriginal and Torres Strait Islander status for the period 2016-2019. The most common serotypes causing IPD in Aboriginal and Torres Strait Islander people were 8 (12.1%), 3 (10.7%), 22F (6.2%) and 4 (6.1%).  The most common serotypes causing IPD in other Australians were 3 (16.3%), 22F (8.4%) and 19F (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r graph showing the percentage of invasive pneumococcal disease attributed to pneumococcal serotypes grouped by vaccine type and Aboriginal and Torres Strait Islander status for the period 2016-2019. The most common serotypes causing IPD in Aboriginal and Torres Strait Islander people were 8 (12.1%), 3 (10.7%), 22F (6.2%) and 4 (6.1%).  The most common serotypes causing IPD in other Australians were 3 (16.3%), 22F (8.4%) and 19F (7.7%).&#10;"/>
                    <pic:cNvPicPr>
                      <a:picLocks noChangeAspect="1" noChangeArrowheads="1"/>
                    </pic:cNvPicPr>
                  </pic:nvPicPr>
                  <pic:blipFill>
                    <a:blip r:link="rId27">
                      <a:extLst>
                        <a:ext uri="{28A0092B-C50C-407E-A947-70E740481C1C}">
                          <a14:useLocalDpi xmlns:a14="http://schemas.microsoft.com/office/drawing/2010/main" val="0"/>
                        </a:ext>
                      </a:extLst>
                    </a:blip>
                    <a:stretch>
                      <a:fillRect/>
                    </a:stretch>
                  </pic:blipFill>
                  <pic:spPr bwMode="auto">
                    <a:xfrm>
                      <a:off x="0" y="0"/>
                      <a:ext cx="7832241" cy="4716669"/>
                    </a:xfrm>
                    <a:prstGeom prst="rect">
                      <a:avLst/>
                    </a:prstGeom>
                  </pic:spPr>
                </pic:pic>
              </a:graphicData>
            </a:graphic>
          </wp:inline>
        </w:drawing>
      </w:r>
    </w:p>
    <w:p w14:paraId="2FB8FE79" w14:textId="77777777" w:rsidR="001657C7" w:rsidRPr="00834CDC" w:rsidRDefault="001657C7" w:rsidP="001657C7">
      <w:pPr>
        <w:pStyle w:val="CDIfootnotes"/>
      </w:pPr>
      <w:proofErr w:type="spellStart"/>
      <w:r w:rsidRPr="00834CDC">
        <w:t>a</w:t>
      </w:r>
      <w:proofErr w:type="spellEnd"/>
      <w:r w:rsidRPr="00834CDC">
        <w:tab/>
        <w:t>Excludes cases with unknown subtype.</w:t>
      </w:r>
    </w:p>
    <w:p w14:paraId="6707288B" w14:textId="77777777" w:rsidR="001657C7" w:rsidRPr="00834CDC" w:rsidRDefault="001657C7" w:rsidP="001657C7">
      <w:pPr>
        <w:pStyle w:val="CDIfootnotes"/>
      </w:pPr>
      <w:r w:rsidRPr="00834CDC">
        <w:t>b</w:t>
      </w:r>
      <w:r w:rsidRPr="00834CDC">
        <w:tab/>
        <w:t>Notifications where the date of diagnosis was between 1 January 2016 and 31 December 2019.</w:t>
      </w:r>
    </w:p>
    <w:p w14:paraId="18AB4C5E" w14:textId="77777777" w:rsidR="001657C7" w:rsidRPr="00834CDC" w:rsidRDefault="001657C7" w:rsidP="001657C7">
      <w:pPr>
        <w:pStyle w:val="CDIfootnotes"/>
      </w:pPr>
      <w:r w:rsidRPr="00834CDC">
        <w:t>c</w:t>
      </w:r>
      <w:r w:rsidRPr="00834CDC">
        <w:tab/>
        <w:t xml:space="preserve">Other non-vaccine serogroups that were &lt; 1% prevalent among both Aboriginal and Torres Strait Islander people and other Australian people </w:t>
      </w:r>
      <w:proofErr w:type="gramStart"/>
      <w:r w:rsidRPr="00834CDC">
        <w:t>are not shown</w:t>
      </w:r>
      <w:proofErr w:type="gramEnd"/>
      <w:r w:rsidRPr="00834CDC">
        <w:t>. The total prevalence of “other” non-vaccine serogroups was 2.5% among Aboriginal and Torres Strait Islander people and 3.3% among other Australian people.</w:t>
      </w:r>
    </w:p>
    <w:p w14:paraId="7E423B2D" w14:textId="77777777" w:rsidR="00513744" w:rsidRPr="00834CDC" w:rsidRDefault="00513744" w:rsidP="0033445F">
      <w:pPr>
        <w:divId w:val="1988506822"/>
        <w:sectPr w:rsidR="00513744" w:rsidRPr="00834CDC" w:rsidSect="00513744">
          <w:footnotePr>
            <w:numFmt w:val="lowerRoman"/>
          </w:footnotePr>
          <w:pgSz w:w="16838" w:h="11906" w:orient="landscape"/>
          <w:pgMar w:top="720" w:right="720" w:bottom="720" w:left="1134" w:header="709" w:footer="284" w:gutter="0"/>
          <w:cols w:space="708"/>
          <w:titlePg/>
          <w:docGrid w:linePitch="360"/>
        </w:sectPr>
      </w:pPr>
    </w:p>
    <w:p w14:paraId="3FA3A9CD" w14:textId="77777777" w:rsidR="0033445F" w:rsidRPr="00834CDC" w:rsidRDefault="0033445F" w:rsidP="0033445F">
      <w:pPr>
        <w:divId w:val="1988506822"/>
      </w:pPr>
      <w:r w:rsidRPr="00834CDC">
        <w:lastRenderedPageBreak/>
        <w:t xml:space="preserve">Notification rates per 100,000 per year for IPD caused by serotypes in 7vPCV were higher in the 2016–2019 period than the 2012–2015 period in all three age groups assessed, in both Aboriginal and Torres Strait Islander people (by 49% in 0–4 years; 94% in 5–49 years; and 22% for ≥ 50 years) and in other people (77% for 0–4 years; 33% for 5–49 years; and 43% for ≥ 50 years). In the 2016–2019 period, serotype </w:t>
      </w:r>
      <w:proofErr w:type="gramStart"/>
      <w:r w:rsidRPr="00834CDC">
        <w:t>4</w:t>
      </w:r>
      <w:proofErr w:type="gramEnd"/>
      <w:r w:rsidRPr="00834CDC">
        <w:t xml:space="preserve"> was the most common 7vPCV serotype causing IPD in Aboriginal and Torres Strait Islander people (6.1% of cases vs 0.7% in other Australians). Serotype 4 caused no IPD notifications among Aboriginal and Torres Strait Islander children aged &lt; 5 years (0% in other children); 10.4% in Aboriginal and Torres Strait Islander people aged 5–49 years (1.0% in other people); and 2.5% in Aboriginal and Torres Strait Islander adults aged ≥ 50 years (0.7% in other adults) (data not shown). Serotype 19F was the next most common 7vPCV serotype causing IPD in Aboriginal and Torres Strait Islander people (3.7% of cases vs 7.8% in other Australians). When analysing serotype prevalence in Aboriginal and Torres Strait Islander people by age group, serotype 19F was the 7vPCV serotype that caused most IPD in Aboriginal and Torres Strait Islander children aged &lt; 5 years (9.5% vs 11.4% in other children) and in Aboriginal and Torres Strait Islander adults aged ≥ 50 years (3.4% vs 6.9%) (data not shown). Serotype 19F prevalence in Aboriginal and Torres Strait Islander children aged &lt; 5 years increased from 1.2% in the 2011–2015 period. </w:t>
      </w:r>
    </w:p>
    <w:p w14:paraId="04B5F84A" w14:textId="77777777" w:rsidR="0033445F" w:rsidRPr="00834CDC" w:rsidRDefault="0033445F" w:rsidP="0033445F">
      <w:pPr>
        <w:divId w:val="1988506822"/>
      </w:pPr>
      <w:r w:rsidRPr="00834CDC">
        <w:t xml:space="preserve">In the 0–4 years age group, the notification rate of IPD caused by serotypes in 13vPCV but not in 7vPCV (13v–non-7v) was 38% lower in the 2016–2019 period than the 2012–2015 period in Aboriginal and Torres Strait Islander children, but 28% higher in other children in this age group. In the 5–49 years age group, the notification rate of 13v–non-7v IPD was 54% lower in Aboriginal and Torres Strait Islander people and 39% lower in other people, and in adults aged &gt; 50 years there was </w:t>
      </w:r>
      <w:proofErr w:type="gramStart"/>
      <w:r w:rsidRPr="00834CDC">
        <w:t>little change</w:t>
      </w:r>
      <w:proofErr w:type="gramEnd"/>
      <w:r w:rsidRPr="00834CDC">
        <w:t xml:space="preserve"> in either group. </w:t>
      </w:r>
    </w:p>
    <w:p w14:paraId="5402F384" w14:textId="77777777" w:rsidR="0033445F" w:rsidRPr="00834CDC" w:rsidRDefault="0033445F" w:rsidP="0033445F">
      <w:pPr>
        <w:divId w:val="1988506822"/>
      </w:pPr>
      <w:r w:rsidRPr="00834CDC">
        <w:t xml:space="preserve">In the 2016–2019 period, serotype </w:t>
      </w:r>
      <w:proofErr w:type="gramStart"/>
      <w:r w:rsidRPr="00834CDC">
        <w:t>3</w:t>
      </w:r>
      <w:proofErr w:type="gramEnd"/>
      <w:r w:rsidRPr="00834CDC">
        <w:t xml:space="preserve"> was the most common 13v-non-7v serotype, causing 10.7% of IPD cases among Aboriginal and Torres Strait Islander people and 16.3% among other Australians. Among Aboriginal and Torres Strait Islander people, serotype </w:t>
      </w:r>
      <w:proofErr w:type="gramStart"/>
      <w:r w:rsidRPr="00834CDC">
        <w:t>3</w:t>
      </w:r>
      <w:proofErr w:type="gramEnd"/>
      <w:r w:rsidRPr="00834CDC">
        <w:t xml:space="preserve"> was the most common 13v-non7v type across the three age groups. The 13v-non-7v serotype 7F was </w:t>
      </w:r>
      <w:proofErr w:type="gramStart"/>
      <w:r w:rsidRPr="00834CDC">
        <w:t>identified</w:t>
      </w:r>
      <w:proofErr w:type="gramEnd"/>
      <w:r w:rsidRPr="00834CDC">
        <w:t xml:space="preserve"> in 6.0% of IPD cases in Aboriginal and Torres Strait Islander people and 1.8% of other Australians. Serotype 7F caused no IPD notifications among Aboriginal and Torres Strait Islander children aged &lt; 5 years (0.1% in other children); 7.1% in Aboriginal and Torres Strait Islander people aged 5–49 years (4.9% in other people); and 6.5% in Aboriginal and Torres Strait Islander adults aged ≥ 50 years (1.1% in other adults) (data not shown). Serotype 19A was more common among IPD cases in other people (6.9%) than among cases in Aboriginal and Torres Strait Islander people (1.3%). </w:t>
      </w:r>
    </w:p>
    <w:p w14:paraId="1044F77B" w14:textId="77777777" w:rsidR="0033445F" w:rsidRPr="00834CDC" w:rsidRDefault="0033445F" w:rsidP="0033445F">
      <w:pPr>
        <w:divId w:val="1988506822"/>
      </w:pPr>
      <w:r w:rsidRPr="00834CDC">
        <w:t xml:space="preserve">Notification rates of IPD caused by serotypes in 23vPPV but not in 13vPCV (23v–non-13v) were similar in the 2016–2019 period compared to the 2012–2015 period in Aboriginal and Torres Strait Islander and other people aged 0–4 years and 5–49 years but were higher in adults aged &gt; 50 years, by 25% and 40%, respectively. In the 2016–2019 period, serotype </w:t>
      </w:r>
      <w:proofErr w:type="gramStart"/>
      <w:r w:rsidRPr="00834CDC">
        <w:t>8</w:t>
      </w:r>
      <w:proofErr w:type="gramEnd"/>
      <w:r w:rsidRPr="00834CDC">
        <w:t xml:space="preserve"> was the most common 23v-non13vPCV type among Aboriginal and Torres Strait Islander people, causing 12.1% of IPD (3.0% in other Australians). The prevalence of serotype 8 among Aboriginal and Torres Strait Islander people was 5.3% in children aged &lt; 5 years (0.5% in other children), 16.6% in those aged 5–49 years (6.3% in other people) and 8.7% among adults aged ≥ 50 years (2.3% in other adults). The prevalence of other 23v-non-13v serotypes 12F and 10A was higher among Aboriginal and Torres Strait Islander people overall (4.5% and 4.1%, respectively) than among other people (1.5% and 1.4%, respectively). Other prevalent serotypes included in 23vPPV but not 13vPCV included 22F (6.2% of IPD in Aboriginal and Torres Strait Islander people and 8.5% in other people), 9N (4.7% and 7.3%, respectively) and 10A (4.1% and 1.4%, respectively). </w:t>
      </w:r>
    </w:p>
    <w:p w14:paraId="40D6EC12" w14:textId="77777777" w:rsidR="0033445F" w:rsidRPr="00834CDC" w:rsidRDefault="0033445F" w:rsidP="0033445F">
      <w:pPr>
        <w:divId w:val="1988506822"/>
      </w:pPr>
      <w:r w:rsidRPr="00834CDC">
        <w:t xml:space="preserve">Notification rates of IPD due to ‘other’ (non-vaccine) serotypes were 34% lower in the 2016–2019 period than in the 2012–2015 period among Aboriginal and Torres Strait Islander people in the 0–4 and 5–49 years age groups, but higher in other people of the same age groups (20% and 9%, respectively). In the &gt; 50 years age group, notification rates of IPD caused by ‘other’ serotypes were 15% higher among Aboriginal and Torres Strait Islander people and 26% higher in other Australians. In the 2016–2019 period, non-vaccine serotypes accounted for 29.1% of notifications among Aboriginal and Torres Strait Islander people; the most common such serotype was 18A (4.6%, compared to 0.1% in other people). </w:t>
      </w:r>
    </w:p>
    <w:p w14:paraId="102B45D5" w14:textId="5F595ADE" w:rsidR="0033445F" w:rsidRPr="00834CDC" w:rsidRDefault="0033445F" w:rsidP="0033445F">
      <w:pPr>
        <w:divId w:val="1988506822"/>
      </w:pPr>
      <w:r w:rsidRPr="00834CDC">
        <w:lastRenderedPageBreak/>
        <w:t xml:space="preserve">Hospitalisation data for IPD are not presented due to limitations in </w:t>
      </w:r>
      <w:proofErr w:type="gramStart"/>
      <w:r w:rsidRPr="00834CDC">
        <w:t>identifying</w:t>
      </w:r>
      <w:proofErr w:type="gramEnd"/>
      <w:r w:rsidRPr="00834CDC">
        <w:t xml:space="preserve"> cases of IPD using discharge diagnosis</w:t>
      </w:r>
      <w:r w:rsidR="001C024C" w:rsidRPr="00834CDC">
        <w:t> </w:t>
      </w:r>
      <w:r w:rsidRPr="00834CDC">
        <w:t xml:space="preserve">codes. </w:t>
      </w:r>
    </w:p>
    <w:p w14:paraId="6722C74E" w14:textId="77777777" w:rsidR="0033445F" w:rsidRPr="00834CDC" w:rsidRDefault="0033445F" w:rsidP="0033445F">
      <w:pPr>
        <w:divId w:val="1988506822"/>
      </w:pPr>
      <w:r w:rsidRPr="00834CDC">
        <w:t xml:space="preserve">There were 218 deaths reported in Australia in the 2016–2019 period with pneumococcal disease recorded as underlying or associated cause of death, of which nine (4.1%) </w:t>
      </w:r>
      <w:proofErr w:type="gramStart"/>
      <w:r w:rsidRPr="00834CDC">
        <w:t>were recorded</w:t>
      </w:r>
      <w:proofErr w:type="gramEnd"/>
      <w:r w:rsidRPr="00834CDC">
        <w:t xml:space="preserve"> as being in Aboriginal and Torres Strait Islander people. </w:t>
      </w:r>
    </w:p>
    <w:p w14:paraId="3C44EDC1" w14:textId="77777777" w:rsidR="0033445F" w:rsidRPr="00834CDC" w:rsidRDefault="0033445F" w:rsidP="0033445F">
      <w:pPr>
        <w:pStyle w:val="Heading2"/>
        <w:divId w:val="1988506822"/>
      </w:pPr>
      <w:r w:rsidRPr="00834CDC">
        <w:t xml:space="preserve">Discussion </w:t>
      </w:r>
    </w:p>
    <w:p w14:paraId="3B61C69A" w14:textId="77777777" w:rsidR="0033445F" w:rsidRPr="00834CDC" w:rsidRDefault="0033445F" w:rsidP="0033445F">
      <w:pPr>
        <w:divId w:val="1988506822"/>
      </w:pPr>
      <w:r w:rsidRPr="00834CDC">
        <w:t>The IPD notification rate among Aboriginal and Torres Strait Islander people was lower in the 2016–2019 period than the 2011–2015 period</w:t>
      </w:r>
      <w:r w:rsidRPr="00834CDC">
        <w:rPr>
          <w:vertAlign w:val="superscript"/>
        </w:rPr>
        <w:t>1</w:t>
      </w:r>
      <w:r w:rsidRPr="00834CDC">
        <w:t xml:space="preserve"> in those aged &lt; 50 years: 23% lower in 0–4 years, 62% in 5–14 years, 16% lower in 15–24 years and 21% in 25–49 years; but was 4% higher in the ≥ 50 years age group. However, rates among Aboriginal and Torres Strait Islander people in the 2016–2019 period remained significantly higher than other Australians across all age groups: fivefold higher overall (all ages combined) and tenfold higher in those aged 15–49 years. </w:t>
      </w:r>
    </w:p>
    <w:p w14:paraId="310CD258" w14:textId="77777777" w:rsidR="0033445F" w:rsidRPr="00834CDC" w:rsidRDefault="0033445F" w:rsidP="0033445F">
      <w:pPr>
        <w:divId w:val="1988506822"/>
      </w:pPr>
      <w:r w:rsidRPr="00834CDC">
        <w:t xml:space="preserve">The current reporting period (2016–2019) reflects IPD incidence after 5 years of 13vPCV use in children in Australia with high coverage (see vaccination coverage chapter). From 2012 onwards, Aboriginal and Torres Strait Islander children in the Northern Territory, South Australia, Western </w:t>
      </w:r>
      <w:proofErr w:type="gramStart"/>
      <w:r w:rsidRPr="00834CDC">
        <w:t>Australia</w:t>
      </w:r>
      <w:proofErr w:type="gramEnd"/>
      <w:r w:rsidRPr="00834CDC">
        <w:t xml:space="preserve"> and Queensland have been offered an additional dose (booster) of 13vPCV above the 3 doses funded for all other children. The coverage of this fourth dose varied across those states between 53.1% (Queensland) and 92.6% (the Northern Territory) in 2019 (see Chapter 15: vaccination coverage). Of note the proportion of IPD due to 13v-non-7v serotypes was </w:t>
      </w:r>
      <w:proofErr w:type="gramStart"/>
      <w:r w:rsidRPr="00834CDC">
        <w:t>substantially lower</w:t>
      </w:r>
      <w:proofErr w:type="gramEnd"/>
      <w:r w:rsidRPr="00834CDC">
        <w:t xml:space="preserve"> in Aboriginal and Torres Strait Islander people aged &lt; 50 years in the 2016–2019 period than the 2012–2015 period. This </w:t>
      </w:r>
      <w:proofErr w:type="gramStart"/>
      <w:r w:rsidRPr="00834CDC">
        <w:t>likely reflects</w:t>
      </w:r>
      <w:proofErr w:type="gramEnd"/>
      <w:r w:rsidRPr="00834CDC">
        <w:t xml:space="preserve"> vaccine impacts, in particular resolution of the 2010–2013 outbreak of IPD due to serotype 1 (a 13v-non-7v serotype) in Aboriginal and Torres Strait people in central and northern Australia,</w:t>
      </w:r>
      <w:r w:rsidRPr="00834CDC">
        <w:rPr>
          <w:vertAlign w:val="superscript"/>
        </w:rPr>
        <w:t>178</w:t>
      </w:r>
      <w:r w:rsidRPr="00834CDC">
        <w:t xml:space="preserve"> with no cases of serotype 1 in Aboriginal and Torres Strait Islander people of any age in the 2016–2019 period. </w:t>
      </w:r>
    </w:p>
    <w:p w14:paraId="53EE4FFC" w14:textId="77777777" w:rsidR="0033445F" w:rsidRPr="00834CDC" w:rsidRDefault="0033445F" w:rsidP="0033445F">
      <w:pPr>
        <w:divId w:val="1988506822"/>
      </w:pPr>
      <w:r w:rsidRPr="00834CDC">
        <w:t>Since the introduction of 7vPCV, and subsequently that of 13vPCV in 2011, into the childhood vaccination program, there has been a decline in 7vPCV type IPD in all age groups.</w:t>
      </w:r>
      <w:r w:rsidRPr="00834CDC">
        <w:rPr>
          <w:vertAlign w:val="superscript"/>
        </w:rPr>
        <w:t>179–182</w:t>
      </w:r>
      <w:r w:rsidRPr="00834CDC">
        <w:t xml:space="preserve"> However, the rates of IPD caused by 7vPCV serotypes in this reporting period increased in children, primarily due to an increase in serotype 19F. Lower effectiveness of 13vPCV than of 7vPCV against serotype 19F is evident in increasing breakthrough cases due to this serotype seen since 2013 in children from the second year of life.</w:t>
      </w:r>
      <w:r w:rsidRPr="00834CDC">
        <w:rPr>
          <w:vertAlign w:val="superscript"/>
        </w:rPr>
        <w:t>183</w:t>
      </w:r>
      <w:r w:rsidRPr="00834CDC">
        <w:t xml:space="preserve"> It is anticipated that the change in the standard NIP schedule from 3+0 (3 primary doses with no booster) to 2+1 (2 primary doses with a booster) from mid-2018 will improve protection. </w:t>
      </w:r>
    </w:p>
    <w:p w14:paraId="787F6477" w14:textId="77777777" w:rsidR="0033445F" w:rsidRPr="00834CDC" w:rsidRDefault="0033445F" w:rsidP="0033445F">
      <w:pPr>
        <w:divId w:val="1988506822"/>
      </w:pPr>
      <w:r w:rsidRPr="00834CDC">
        <w:t>The persistent tenfold higher incidence of IPD in Aboriginal and Torres Strait Islander adults aged 25–49 years than among other adults aged 25–49 years, and fivefold higher incidence in adults aged ≥ 50 years, is likely contributed to by the high prevalence of underlying medical conditions among Aboriginal and Torres Strait Islander adults.</w:t>
      </w:r>
      <w:r w:rsidRPr="00834CDC">
        <w:rPr>
          <w:vertAlign w:val="superscript"/>
        </w:rPr>
        <w:t>184</w:t>
      </w:r>
      <w:r w:rsidRPr="00834CDC">
        <w:t xml:space="preserve"> The expansion in 2020 of NIP funding for 13vPCV and 23vPPV vaccination for anyone with underlying risk factors, and to all Aboriginal and Torres Strait Islander adults from 50 years of age,</w:t>
      </w:r>
      <w:r w:rsidRPr="00834CDC">
        <w:rPr>
          <w:vertAlign w:val="superscript"/>
        </w:rPr>
        <w:t>125</w:t>
      </w:r>
      <w:r w:rsidRPr="00834CDC">
        <w:t xml:space="preserve"> should help reduce IPD rates. However, little data on uptake is available and </w:t>
      </w:r>
      <w:proofErr w:type="gramStart"/>
      <w:r w:rsidRPr="00834CDC">
        <w:t>previous</w:t>
      </w:r>
      <w:proofErr w:type="gramEnd"/>
      <w:r w:rsidRPr="00834CDC">
        <w:t xml:space="preserve"> data suggests it may be suboptimal. The Australian Technical Advisory Group on Immunisation has </w:t>
      </w:r>
      <w:proofErr w:type="gramStart"/>
      <w:r w:rsidRPr="00834CDC">
        <w:t>identified</w:t>
      </w:r>
      <w:proofErr w:type="gramEnd"/>
      <w:r w:rsidRPr="00834CDC">
        <w:t xml:space="preserve"> pneumococcal vaccination for Aboriginal and Torres Strait Islander adults aged &lt; 50 years as an area of priority to develop policies to enable equitable access to NIP-funded vaccines and reliable systems to capture vaccination uptake.</w:t>
      </w:r>
      <w:r w:rsidRPr="00834CDC">
        <w:rPr>
          <w:vertAlign w:val="superscript"/>
        </w:rPr>
        <w:t>185</w:t>
      </w:r>
      <w:r w:rsidRPr="00834CDC">
        <w:t xml:space="preserve"> </w:t>
      </w:r>
    </w:p>
    <w:p w14:paraId="4A3E14FA" w14:textId="77777777" w:rsidR="0033445F" w:rsidRPr="00834CDC" w:rsidRDefault="0033445F" w:rsidP="0033445F">
      <w:pPr>
        <w:divId w:val="1988506822"/>
      </w:pPr>
      <w:r w:rsidRPr="00834CDC">
        <w:t>Serotypes covered by pneumococcal vaccines continue to cause IPD in both Aboriginal and Torres Strait Islander people and other Australians. The most common serotype causing IPD in the 2016–2019 period was serotype 3, a 13v-non-7v serotype. Previous Australian studies showed little change in serotype 3 IPD incidence in children following introduction of 13vPCV onto the NIP,</w:t>
      </w:r>
      <w:r w:rsidRPr="00834CDC">
        <w:rPr>
          <w:vertAlign w:val="superscript"/>
        </w:rPr>
        <w:t>179,186</w:t>
      </w:r>
      <w:r w:rsidRPr="00834CDC">
        <w:t xml:space="preserve"> unlike in the USA and UK where decreases were observed.</w:t>
      </w:r>
      <w:r w:rsidRPr="00834CDC">
        <w:rPr>
          <w:vertAlign w:val="superscript"/>
        </w:rPr>
        <w:t>187–189</w:t>
      </w:r>
      <w:r w:rsidRPr="00834CDC">
        <w:t xml:space="preserve"> The effectiveness of current vaccines included in the National Immunisation Program in Australia against serotype 3 </w:t>
      </w:r>
      <w:r w:rsidRPr="00834CDC">
        <w:lastRenderedPageBreak/>
        <w:t>have been shown to be suboptimal, with an observed increase in empyema hospitalisations and the increase of pneumococcal serotype 3 in empyema.</w:t>
      </w:r>
      <w:r w:rsidRPr="00834CDC">
        <w:rPr>
          <w:vertAlign w:val="superscript"/>
        </w:rPr>
        <w:t>189,190</w:t>
      </w:r>
      <w:r w:rsidRPr="00834CDC">
        <w:t xml:space="preserve"> Trials of 13vPCV suggest relative lower immunogenicity against serotype 3 to be an inherent property of the vaccine.</w:t>
      </w:r>
      <w:r w:rsidRPr="00834CDC">
        <w:rPr>
          <w:vertAlign w:val="superscript"/>
        </w:rPr>
        <w:t>191,192</w:t>
      </w:r>
      <w:r w:rsidRPr="00834CDC">
        <w:t xml:space="preserve"> </w:t>
      </w:r>
    </w:p>
    <w:p w14:paraId="4AB79C74" w14:textId="77777777" w:rsidR="0033445F" w:rsidRPr="00834CDC" w:rsidRDefault="0033445F" w:rsidP="0033445F">
      <w:pPr>
        <w:divId w:val="1988506822"/>
      </w:pPr>
      <w:r w:rsidRPr="00834CDC">
        <w:t xml:space="preserve">Two higher valency PCVs, 15vPCV and 20vPCV, have </w:t>
      </w:r>
      <w:proofErr w:type="gramStart"/>
      <w:r w:rsidRPr="00834CDC">
        <w:t>been developed</w:t>
      </w:r>
      <w:proofErr w:type="gramEnd"/>
      <w:r w:rsidRPr="00834CDC">
        <w:t>.</w:t>
      </w:r>
      <w:r w:rsidRPr="00834CDC">
        <w:rPr>
          <w:vertAlign w:val="superscript"/>
        </w:rPr>
        <w:t>193,194</w:t>
      </w:r>
      <w:r w:rsidRPr="00834CDC">
        <w:t xml:space="preserve"> In 2021, the Therapeutic Goods Administration registered 15vPCV for use in adults aged ≥ 18 years. Availability of these newer vaccines would enable better matching to prevalent serotypes, as some of the </w:t>
      </w:r>
      <w:proofErr w:type="gramStart"/>
      <w:r w:rsidRPr="00834CDC">
        <w:t>additional</w:t>
      </w:r>
      <w:proofErr w:type="gramEnd"/>
      <w:r w:rsidRPr="00834CDC">
        <w:t xml:space="preserve"> serotypes included, such as 8, 12F and 22F, are responsible for a substantial proportion of IPD in Aboriginal and Torres Strait Islander people. Continued surveillance is important to detect any changes in serotype distribution. </w:t>
      </w:r>
    </w:p>
    <w:p w14:paraId="00F9DB9F" w14:textId="77777777" w:rsidR="0033445F" w:rsidRPr="00834CDC" w:rsidRDefault="0033445F" w:rsidP="0033445F">
      <w:pPr>
        <w:divId w:val="1988506822"/>
      </w:pPr>
      <w:r w:rsidRPr="00834CDC">
        <w:t xml:space="preserve">Despite two decades of PCV use, IPD incidence </w:t>
      </w:r>
      <w:proofErr w:type="gramStart"/>
      <w:r w:rsidRPr="00834CDC">
        <w:t>remains</w:t>
      </w:r>
      <w:proofErr w:type="gramEnd"/>
      <w:r w:rsidRPr="00834CDC">
        <w:t xml:space="preserve"> significantly higher across all age groups among Aboriginal and Torres Strait Islander people. Pneumococcal carriage density in Aboriginal and Torres Strait Islander children </w:t>
      </w:r>
      <w:proofErr w:type="gramStart"/>
      <w:r w:rsidRPr="00834CDC">
        <w:t>remains</w:t>
      </w:r>
      <w:proofErr w:type="gramEnd"/>
      <w:r w:rsidRPr="00834CDC">
        <w:t xml:space="preserve"> high, with wide serotype diversity,</w:t>
      </w:r>
      <w:r w:rsidRPr="00834CDC">
        <w:rPr>
          <w:vertAlign w:val="superscript"/>
        </w:rPr>
        <w:t>195</w:t>
      </w:r>
      <w:r w:rsidRPr="00834CDC">
        <w:t xml:space="preserve"> which—along with social and environmental factors such as overcrowding and tobacco smoke exposure, secondary to a long history of colonisation, dispossession and disadvantage</w:t>
      </w:r>
      <w:r w:rsidRPr="00834CDC">
        <w:rPr>
          <w:vertAlign w:val="superscript"/>
        </w:rPr>
        <w:t>135,136</w:t>
      </w:r>
      <w:r w:rsidRPr="00834CDC">
        <w:t>—promotes transmission. While improving vaccine coverage and timeliness will maximise the impact of vaccines in Aboriginal and Torres Strait Islander people, addressing the social and environmental determinants of health will also be key to optimising prevention of pneumococcal disease.</w:t>
      </w:r>
    </w:p>
    <w:p w14:paraId="74A2D919" w14:textId="77777777" w:rsidR="00231A91" w:rsidRPr="00834CDC" w:rsidRDefault="00231A91">
      <w:pPr>
        <w:rPr>
          <w:rFonts w:asciiTheme="majorHAnsi" w:eastAsiaTheme="majorEastAsia" w:hAnsiTheme="majorHAnsi" w:cstheme="majorBidi"/>
          <w:b/>
          <w:bCs/>
          <w:sz w:val="32"/>
          <w:szCs w:val="28"/>
        </w:rPr>
      </w:pPr>
      <w:r w:rsidRPr="00834CDC">
        <w:br w:type="page"/>
      </w:r>
    </w:p>
    <w:p w14:paraId="0232BFFE" w14:textId="18D31394" w:rsidR="0033445F" w:rsidRPr="00834CDC" w:rsidRDefault="0033445F" w:rsidP="0033445F">
      <w:pPr>
        <w:pStyle w:val="Heading1"/>
        <w:divId w:val="1988506822"/>
      </w:pPr>
      <w:r w:rsidRPr="00834CDC">
        <w:lastRenderedPageBreak/>
        <w:t xml:space="preserve">12. Rotavirus </w:t>
      </w:r>
    </w:p>
    <w:p w14:paraId="6FFC358B" w14:textId="13117550" w:rsidR="0033445F" w:rsidRPr="00834CDC" w:rsidRDefault="0033445F" w:rsidP="0033445F">
      <w:pPr>
        <w:pStyle w:val="Heading2"/>
        <w:divId w:val="1988506822"/>
      </w:pPr>
      <w:r w:rsidRPr="00834CDC">
        <w:t xml:space="preserve">Relevant vaccine history </w:t>
      </w:r>
    </w:p>
    <w:p w14:paraId="1FCE3177" w14:textId="77777777" w:rsidR="00231A91" w:rsidRPr="00834CDC" w:rsidRDefault="00231A91" w:rsidP="00231A91">
      <w:pPr>
        <w:divId w:val="1988506822"/>
      </w:pPr>
    </w:p>
    <w:p w14:paraId="1F9E9D08" w14:textId="5CD54389" w:rsidR="00231A91" w:rsidRPr="00834CDC" w:rsidRDefault="00231A91" w:rsidP="00231A91">
      <w:pPr>
        <w:divId w:val="1988506822"/>
      </w:pPr>
      <w:r w:rsidRPr="00834CDC">
        <w:rPr>
          <w:noProof/>
        </w:rPr>
        <mc:AlternateContent>
          <mc:Choice Requires="wps">
            <w:drawing>
              <wp:inline distT="0" distB="0" distL="0" distR="0" wp14:anchorId="7C8CD959" wp14:editId="2BD4D3ED">
                <wp:extent cx="6625742" cy="1404620"/>
                <wp:effectExtent l="0" t="0" r="3810" b="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1404620"/>
                        </a:xfrm>
                        <a:prstGeom prst="rect">
                          <a:avLst/>
                        </a:prstGeom>
                        <a:solidFill>
                          <a:srgbClr val="F7ECDD"/>
                        </a:solidFill>
                        <a:ln w="9525">
                          <a:noFill/>
                          <a:miter lim="800000"/>
                          <a:headEnd/>
                          <a:tailEnd/>
                        </a:ln>
                      </wps:spPr>
                      <wps:txbx>
                        <w:txbxContent>
                          <w:p w14:paraId="0015DF5D" w14:textId="77777777" w:rsidR="00231A91" w:rsidRPr="00231A91" w:rsidRDefault="00231A91" w:rsidP="0051462F">
                            <w:pPr>
                              <w:spacing w:after="0" w:line="240" w:lineRule="auto"/>
                              <w:rPr>
                                <w:b/>
                                <w:bCs/>
                                <w:lang w:val="en-GB"/>
                              </w:rPr>
                            </w:pPr>
                            <w:r w:rsidRPr="00231A91">
                              <w:rPr>
                                <w:b/>
                                <w:bCs/>
                                <w:lang w:val="en-GB"/>
                              </w:rPr>
                              <w:t>2006</w:t>
                            </w:r>
                          </w:p>
                          <w:p w14:paraId="6226A80F" w14:textId="77777777" w:rsidR="00231A91" w:rsidRPr="00231A91" w:rsidRDefault="00231A91" w:rsidP="00E32857">
                            <w:pPr>
                              <w:pStyle w:val="ListParagraph"/>
                              <w:numPr>
                                <w:ilvl w:val="0"/>
                                <w:numId w:val="47"/>
                              </w:numPr>
                              <w:spacing w:after="0"/>
                              <w:rPr>
                                <w:rFonts w:eastAsia="Times New Roman"/>
                                <w:lang w:val="en-GB"/>
                              </w:rPr>
                            </w:pPr>
                            <w:r w:rsidRPr="00231A91">
                              <w:rPr>
                                <w:rFonts w:eastAsia="Times New Roman"/>
                                <w:lang w:val="en-US"/>
                              </w:rPr>
                              <w:t>Vaccination recommended and funded for Northern Territory infants using monovalent rotavirus vaccine (Rotarix®) in a two-dose schedule (2 and 4 months of age)</w:t>
                            </w:r>
                          </w:p>
                          <w:p w14:paraId="000A26EA" w14:textId="77777777" w:rsidR="00231A91" w:rsidRPr="00231A91" w:rsidRDefault="00231A91" w:rsidP="00E32857">
                            <w:pPr>
                              <w:pStyle w:val="ListParagraph"/>
                              <w:numPr>
                                <w:ilvl w:val="0"/>
                                <w:numId w:val="47"/>
                              </w:numPr>
                              <w:spacing w:after="0"/>
                              <w:rPr>
                                <w:rFonts w:eastAsia="Times New Roman"/>
                                <w:lang w:val="en-GB"/>
                              </w:rPr>
                            </w:pPr>
                            <w:r w:rsidRPr="00231A91">
                              <w:rPr>
                                <w:rFonts w:eastAsia="Times New Roman"/>
                                <w:lang w:val="en-US"/>
                              </w:rPr>
                              <w:t>Vaccination recommended for all Australian infants, using either monovalent rotavirus vaccine, Rotarix® (two doses) or pentavalent rotavirus vaccine, RotaTeq®</w:t>
                            </w:r>
                            <w:r w:rsidRPr="00231A91">
                              <w:rPr>
                                <w:rFonts w:eastAsia="Times New Roman" w:hint="cs"/>
                                <w:lang w:val="en-GB"/>
                              </w:rPr>
                              <w:t xml:space="preserve"> (</w:t>
                            </w:r>
                            <w:r w:rsidRPr="00231A91">
                              <w:rPr>
                                <w:rFonts w:eastAsia="Times New Roman"/>
                                <w:lang w:val="en-US"/>
                              </w:rPr>
                              <w:t>three doses)</w:t>
                            </w:r>
                          </w:p>
                          <w:p w14:paraId="2083897F" w14:textId="77777777" w:rsidR="00231A91" w:rsidRPr="00231A91" w:rsidRDefault="00231A91" w:rsidP="0051462F">
                            <w:pPr>
                              <w:spacing w:after="0" w:line="240" w:lineRule="auto"/>
                              <w:rPr>
                                <w:b/>
                                <w:bCs/>
                                <w:lang w:val="en-GB"/>
                              </w:rPr>
                            </w:pPr>
                            <w:r w:rsidRPr="00231A91">
                              <w:rPr>
                                <w:b/>
                                <w:bCs/>
                                <w:lang w:val="en-GB"/>
                              </w:rPr>
                              <w:t>2007</w:t>
                            </w:r>
                          </w:p>
                          <w:p w14:paraId="713E803D" w14:textId="77777777" w:rsidR="00231A91" w:rsidRPr="00231A91" w:rsidRDefault="00231A91" w:rsidP="00E32857">
                            <w:pPr>
                              <w:pStyle w:val="ListParagraph"/>
                              <w:numPr>
                                <w:ilvl w:val="0"/>
                                <w:numId w:val="48"/>
                              </w:numPr>
                              <w:spacing w:after="0"/>
                              <w:rPr>
                                <w:rFonts w:eastAsia="Times New Roman"/>
                                <w:lang w:val="en-GB"/>
                              </w:rPr>
                            </w:pPr>
                            <w:r w:rsidRPr="00231A91">
                              <w:rPr>
                                <w:rFonts w:eastAsia="Times New Roman"/>
                                <w:lang w:val="en-GB"/>
                              </w:rPr>
                              <w:t>National funded immunisation program commenced mid-year. NSW, NT, ACT, WA and Tas using two-dose schedule of monovalent rotavirus vaccine, Rotarix</w:t>
                            </w:r>
                            <w:r w:rsidRPr="00231A91">
                              <w:rPr>
                                <w:rFonts w:eastAsia="Times New Roman"/>
                                <w:lang w:val="en-US"/>
                              </w:rPr>
                              <w:t>®</w:t>
                            </w:r>
                            <w:r w:rsidRPr="00231A91">
                              <w:rPr>
                                <w:rFonts w:eastAsia="Times New Roman"/>
                                <w:lang w:val="en-GB"/>
                              </w:rPr>
                              <w:t xml:space="preserve"> (2 and 4 months of age). Vic, SA and Qld using three-dose schedule of pentavalent rotavirus vaccine, RotaTeq® (2,4 and 6 months of age)</w:t>
                            </w:r>
                          </w:p>
                          <w:p w14:paraId="05CA86FF" w14:textId="77777777" w:rsidR="00231A91" w:rsidRPr="00231A91" w:rsidRDefault="00231A91" w:rsidP="0051462F">
                            <w:pPr>
                              <w:spacing w:after="0" w:line="240" w:lineRule="auto"/>
                              <w:rPr>
                                <w:b/>
                                <w:bCs/>
                                <w:lang w:val="en-GB"/>
                              </w:rPr>
                            </w:pPr>
                            <w:r w:rsidRPr="00231A91">
                              <w:rPr>
                                <w:b/>
                                <w:bCs/>
                                <w:lang w:val="en-GB"/>
                              </w:rPr>
                              <w:t>2009</w:t>
                            </w:r>
                          </w:p>
                          <w:p w14:paraId="45A9883A" w14:textId="77777777" w:rsidR="00231A91" w:rsidRPr="00231A91" w:rsidRDefault="00231A91" w:rsidP="00E32857">
                            <w:pPr>
                              <w:pStyle w:val="ListParagraph"/>
                              <w:numPr>
                                <w:ilvl w:val="0"/>
                                <w:numId w:val="48"/>
                              </w:numPr>
                              <w:spacing w:after="0"/>
                              <w:rPr>
                                <w:rFonts w:eastAsia="Times New Roman"/>
                                <w:lang w:val="en-GB"/>
                              </w:rPr>
                            </w:pPr>
                            <w:r w:rsidRPr="00231A91">
                              <w:rPr>
                                <w:rFonts w:eastAsia="Times New Roman"/>
                                <w:lang w:val="en-GB"/>
                              </w:rPr>
                              <w:t>WA changed from using three-dose schedule of monovalent vaccine to using a three-dose schedule using pentavalent rotavirus vaccine (RotaTeq®)</w:t>
                            </w:r>
                          </w:p>
                          <w:p w14:paraId="13DBFDA1" w14:textId="77777777" w:rsidR="00231A91" w:rsidRPr="00231A91" w:rsidRDefault="00231A91" w:rsidP="0051462F">
                            <w:pPr>
                              <w:spacing w:after="0" w:line="240" w:lineRule="auto"/>
                              <w:rPr>
                                <w:b/>
                                <w:bCs/>
                                <w:lang w:val="en-GB"/>
                              </w:rPr>
                            </w:pPr>
                            <w:r w:rsidRPr="00231A91">
                              <w:rPr>
                                <w:b/>
                                <w:bCs/>
                                <w:lang w:val="en-GB"/>
                              </w:rPr>
                              <w:t>2013</w:t>
                            </w:r>
                          </w:p>
                          <w:p w14:paraId="799DB3D2" w14:textId="77777777" w:rsidR="00231A91" w:rsidRPr="00231A91" w:rsidRDefault="00231A91" w:rsidP="00E32857">
                            <w:pPr>
                              <w:pStyle w:val="ListParagraph"/>
                              <w:numPr>
                                <w:ilvl w:val="0"/>
                                <w:numId w:val="48"/>
                              </w:numPr>
                              <w:spacing w:after="0"/>
                              <w:rPr>
                                <w:rFonts w:eastAsia="Times New Roman"/>
                                <w:lang w:val="en-GB"/>
                              </w:rPr>
                            </w:pPr>
                            <w:r w:rsidRPr="00231A91">
                              <w:rPr>
                                <w:rFonts w:eastAsia="Times New Roman"/>
                                <w:lang w:val="en-GB"/>
                              </w:rPr>
                              <w:t>Updated advice that first dose of rotavirus vaccine can be administered as early as 6 weeks of age</w:t>
                            </w:r>
                          </w:p>
                          <w:p w14:paraId="3208712E" w14:textId="77777777" w:rsidR="00231A91" w:rsidRPr="00231A91" w:rsidRDefault="00231A91" w:rsidP="0051462F">
                            <w:pPr>
                              <w:spacing w:after="0" w:line="240" w:lineRule="auto"/>
                              <w:rPr>
                                <w:b/>
                                <w:bCs/>
                                <w:lang w:val="en-GB"/>
                              </w:rPr>
                            </w:pPr>
                            <w:r w:rsidRPr="00231A91">
                              <w:rPr>
                                <w:b/>
                                <w:bCs/>
                                <w:lang w:val="en-GB"/>
                              </w:rPr>
                              <w:t>2017</w:t>
                            </w:r>
                          </w:p>
                          <w:p w14:paraId="4A1B434D" w14:textId="1130269A" w:rsidR="00231A91" w:rsidRPr="00231A91" w:rsidRDefault="00231A91" w:rsidP="00E32857">
                            <w:pPr>
                              <w:pStyle w:val="ListParagraph"/>
                              <w:numPr>
                                <w:ilvl w:val="0"/>
                                <w:numId w:val="48"/>
                              </w:numPr>
                              <w:spacing w:after="0"/>
                              <w:rPr>
                                <w:rFonts w:eastAsia="Times New Roman"/>
                                <w:lang w:val="en-GB"/>
                              </w:rPr>
                            </w:pPr>
                            <w:r w:rsidRPr="00231A91">
                              <w:rPr>
                                <w:rFonts w:eastAsia="Times New Roman"/>
                                <w:lang w:val="en-GB"/>
                              </w:rPr>
                              <w:t>Qld, SA, Vic and WA changed from using a three-dose schedule using pentavalent rotavirus vaccine (RotaTeq®) to two-dose schedule monovalent rotavirus vaccine (Rotarix®). All states now using the same two-dose monovalent rotavirus vaccine schedule</w:t>
                            </w:r>
                          </w:p>
                        </w:txbxContent>
                      </wps:txbx>
                      <wps:bodyPr rot="0" vert="horz" wrap="square" lIns="91440" tIns="45720" rIns="91440" bIns="45720" anchor="t" anchorCtr="0">
                        <a:spAutoFit/>
                      </wps:bodyPr>
                    </wps:wsp>
                  </a:graphicData>
                </a:graphic>
              </wp:inline>
            </w:drawing>
          </mc:Choice>
          <mc:Fallback>
            <w:pict>
              <v:shape w14:anchorId="7C8CD959" id="_x0000_s1036"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" fillcolor="#f7ecdd" stroked="f">
                <v:textbox style="mso-fit-shape-to-text:t">
                  <w:txbxContent>
                    <w:p w14:paraId="0015DF5D" w14:textId="77777777" w:rsidR="00231A91" w:rsidRPr="00231A91" w:rsidRDefault="00231A91" w:rsidP="0051462F">
                      <w:pPr>
                        <w:spacing w:after="0" w:line="240" w:lineRule="auto"/>
                        <w:rPr>
                          <w:b/>
                          <w:bCs/>
                          <w:lang w:val="en-GB"/>
                        </w:rPr>
                      </w:pPr>
                      <w:r w:rsidRPr="00231A91">
                        <w:rPr>
                          <w:b/>
                          <w:bCs/>
                          <w:lang w:val="en-GB"/>
                        </w:rPr>
                        <w:t>2006</w:t>
                      </w:r>
                    </w:p>
                    <w:p w14:paraId="6226A80F" w14:textId="77777777" w:rsidR="00231A91" w:rsidRPr="00231A91" w:rsidRDefault="00231A91" w:rsidP="00E32857">
                      <w:pPr>
                        <w:pStyle w:val="ListParagraph"/>
                        <w:numPr>
                          <w:ilvl w:val="0"/>
                          <w:numId w:val="47"/>
                        </w:numPr>
                        <w:spacing w:after="0"/>
                        <w:rPr>
                          <w:rFonts w:eastAsia="Times New Roman"/>
                          <w:lang w:val="en-GB"/>
                        </w:rPr>
                      </w:pPr>
                      <w:r w:rsidRPr="00231A91">
                        <w:rPr>
                          <w:rFonts w:eastAsia="Times New Roman"/>
                          <w:lang w:val="en-US"/>
                        </w:rPr>
                        <w:t>Vaccination recommended and funded for Northern Territory infants using monovalent rotavirus vaccine (Rotarix®) in a two-dose schedule (2 and 4 months of age)</w:t>
                      </w:r>
                    </w:p>
                    <w:p w14:paraId="000A26EA" w14:textId="77777777" w:rsidR="00231A91" w:rsidRPr="00231A91" w:rsidRDefault="00231A91" w:rsidP="00E32857">
                      <w:pPr>
                        <w:pStyle w:val="ListParagraph"/>
                        <w:numPr>
                          <w:ilvl w:val="0"/>
                          <w:numId w:val="47"/>
                        </w:numPr>
                        <w:spacing w:after="0"/>
                        <w:rPr>
                          <w:rFonts w:eastAsia="Times New Roman"/>
                          <w:lang w:val="en-GB"/>
                        </w:rPr>
                      </w:pPr>
                      <w:r w:rsidRPr="00231A91">
                        <w:rPr>
                          <w:rFonts w:eastAsia="Times New Roman"/>
                          <w:lang w:val="en-US"/>
                        </w:rPr>
                        <w:t>Vaccination recommended for all Australian infants, using either monovalent rotavirus vaccine, Rotarix® (two doses) or pentavalent rotavirus vaccine, RotaTeq®</w:t>
                      </w:r>
                      <w:r w:rsidRPr="00231A91">
                        <w:rPr>
                          <w:rFonts w:eastAsia="Times New Roman" w:hint="cs"/>
                          <w:lang w:val="en-GB"/>
                        </w:rPr>
                        <w:t xml:space="preserve"> (</w:t>
                      </w:r>
                      <w:r w:rsidRPr="00231A91">
                        <w:rPr>
                          <w:rFonts w:eastAsia="Times New Roman"/>
                          <w:lang w:val="en-US"/>
                        </w:rPr>
                        <w:t>three doses)</w:t>
                      </w:r>
                    </w:p>
                    <w:p w14:paraId="2083897F" w14:textId="77777777" w:rsidR="00231A91" w:rsidRPr="00231A91" w:rsidRDefault="00231A91" w:rsidP="0051462F">
                      <w:pPr>
                        <w:spacing w:after="0" w:line="240" w:lineRule="auto"/>
                        <w:rPr>
                          <w:b/>
                          <w:bCs/>
                          <w:lang w:val="en-GB"/>
                        </w:rPr>
                      </w:pPr>
                      <w:r w:rsidRPr="00231A91">
                        <w:rPr>
                          <w:b/>
                          <w:bCs/>
                          <w:lang w:val="en-GB"/>
                        </w:rPr>
                        <w:t>2007</w:t>
                      </w:r>
                    </w:p>
                    <w:p w14:paraId="713E803D" w14:textId="77777777" w:rsidR="00231A91" w:rsidRPr="00231A91" w:rsidRDefault="00231A91" w:rsidP="00E32857">
                      <w:pPr>
                        <w:pStyle w:val="ListParagraph"/>
                        <w:numPr>
                          <w:ilvl w:val="0"/>
                          <w:numId w:val="48"/>
                        </w:numPr>
                        <w:spacing w:after="0"/>
                        <w:rPr>
                          <w:rFonts w:eastAsia="Times New Roman"/>
                          <w:lang w:val="en-GB"/>
                        </w:rPr>
                      </w:pPr>
                      <w:r w:rsidRPr="00231A91">
                        <w:rPr>
                          <w:rFonts w:eastAsia="Times New Roman"/>
                          <w:lang w:val="en-GB"/>
                        </w:rPr>
                        <w:t>National funded immunisation program commenced mid-year. NSW, NT, ACT, WA and Tas using two-dose schedule of monovalent rotavirus vaccine, Rotarix</w:t>
                      </w:r>
                      <w:r w:rsidRPr="00231A91">
                        <w:rPr>
                          <w:rFonts w:eastAsia="Times New Roman"/>
                          <w:lang w:val="en-US"/>
                        </w:rPr>
                        <w:t>®</w:t>
                      </w:r>
                      <w:r w:rsidRPr="00231A91">
                        <w:rPr>
                          <w:rFonts w:eastAsia="Times New Roman"/>
                          <w:lang w:val="en-GB"/>
                        </w:rPr>
                        <w:t xml:space="preserve"> (2 and 4 months of age). Vic, SA and Qld using three-dose schedule of pentavalent rotavirus vaccine, RotaTeq® (2,4 and 6 months of age)</w:t>
                      </w:r>
                    </w:p>
                    <w:p w14:paraId="05CA86FF" w14:textId="77777777" w:rsidR="00231A91" w:rsidRPr="00231A91" w:rsidRDefault="00231A91" w:rsidP="0051462F">
                      <w:pPr>
                        <w:spacing w:after="0" w:line="240" w:lineRule="auto"/>
                        <w:rPr>
                          <w:b/>
                          <w:bCs/>
                          <w:lang w:val="en-GB"/>
                        </w:rPr>
                      </w:pPr>
                      <w:r w:rsidRPr="00231A91">
                        <w:rPr>
                          <w:b/>
                          <w:bCs/>
                          <w:lang w:val="en-GB"/>
                        </w:rPr>
                        <w:t>2009</w:t>
                      </w:r>
                    </w:p>
                    <w:p w14:paraId="45A9883A" w14:textId="77777777" w:rsidR="00231A91" w:rsidRPr="00231A91" w:rsidRDefault="00231A91" w:rsidP="00E32857">
                      <w:pPr>
                        <w:pStyle w:val="ListParagraph"/>
                        <w:numPr>
                          <w:ilvl w:val="0"/>
                          <w:numId w:val="48"/>
                        </w:numPr>
                        <w:spacing w:after="0"/>
                        <w:rPr>
                          <w:rFonts w:eastAsia="Times New Roman"/>
                          <w:lang w:val="en-GB"/>
                        </w:rPr>
                      </w:pPr>
                      <w:r w:rsidRPr="00231A91">
                        <w:rPr>
                          <w:rFonts w:eastAsia="Times New Roman"/>
                          <w:lang w:val="en-GB"/>
                        </w:rPr>
                        <w:t>WA changed from using three-dose schedule of monovalent vaccine to using a three-dose schedule using pentavalent rotavirus vaccine (RotaTeq®)</w:t>
                      </w:r>
                    </w:p>
                    <w:p w14:paraId="13DBFDA1" w14:textId="77777777" w:rsidR="00231A91" w:rsidRPr="00231A91" w:rsidRDefault="00231A91" w:rsidP="0051462F">
                      <w:pPr>
                        <w:spacing w:after="0" w:line="240" w:lineRule="auto"/>
                        <w:rPr>
                          <w:b/>
                          <w:bCs/>
                          <w:lang w:val="en-GB"/>
                        </w:rPr>
                      </w:pPr>
                      <w:r w:rsidRPr="00231A91">
                        <w:rPr>
                          <w:b/>
                          <w:bCs/>
                          <w:lang w:val="en-GB"/>
                        </w:rPr>
                        <w:t>2013</w:t>
                      </w:r>
                    </w:p>
                    <w:p w14:paraId="799DB3D2" w14:textId="77777777" w:rsidR="00231A91" w:rsidRPr="00231A91" w:rsidRDefault="00231A91" w:rsidP="00E32857">
                      <w:pPr>
                        <w:pStyle w:val="ListParagraph"/>
                        <w:numPr>
                          <w:ilvl w:val="0"/>
                          <w:numId w:val="48"/>
                        </w:numPr>
                        <w:spacing w:after="0"/>
                        <w:rPr>
                          <w:rFonts w:eastAsia="Times New Roman"/>
                          <w:lang w:val="en-GB"/>
                        </w:rPr>
                      </w:pPr>
                      <w:r w:rsidRPr="00231A91">
                        <w:rPr>
                          <w:rFonts w:eastAsia="Times New Roman"/>
                          <w:lang w:val="en-GB"/>
                        </w:rPr>
                        <w:t>Updated advice that first dose of rotavirus vaccine can be administered as early as 6 weeks of age</w:t>
                      </w:r>
                    </w:p>
                    <w:p w14:paraId="3208712E" w14:textId="77777777" w:rsidR="00231A91" w:rsidRPr="00231A91" w:rsidRDefault="00231A91" w:rsidP="0051462F">
                      <w:pPr>
                        <w:spacing w:after="0" w:line="240" w:lineRule="auto"/>
                        <w:rPr>
                          <w:b/>
                          <w:bCs/>
                          <w:lang w:val="en-GB"/>
                        </w:rPr>
                      </w:pPr>
                      <w:r w:rsidRPr="00231A91">
                        <w:rPr>
                          <w:b/>
                          <w:bCs/>
                          <w:lang w:val="en-GB"/>
                        </w:rPr>
                        <w:t>2017</w:t>
                      </w:r>
                    </w:p>
                    <w:p w14:paraId="4A1B434D" w14:textId="1130269A" w:rsidR="00231A91" w:rsidRPr="00231A91" w:rsidRDefault="00231A91" w:rsidP="00E32857">
                      <w:pPr>
                        <w:pStyle w:val="ListParagraph"/>
                        <w:numPr>
                          <w:ilvl w:val="0"/>
                          <w:numId w:val="48"/>
                        </w:numPr>
                        <w:spacing w:after="0"/>
                        <w:rPr>
                          <w:rFonts w:eastAsia="Times New Roman"/>
                          <w:lang w:val="en-GB"/>
                        </w:rPr>
                      </w:pPr>
                      <w:r w:rsidRPr="00231A91">
                        <w:rPr>
                          <w:rFonts w:eastAsia="Times New Roman"/>
                          <w:lang w:val="en-GB"/>
                        </w:rPr>
                        <w:t>Qld, SA, Vic and WA changed from using a three-dose schedule using pentavalent rotavirus vaccine (RotaTeq®) to two-dose schedule monovalent rotavirus vaccine (Rotarix®). All states now using the same two-dose monovalent rotavirus vaccine schedule</w:t>
                      </w:r>
                    </w:p>
                  </w:txbxContent>
                </v:textbox>
                <w10:anchorlock/>
              </v:shape>
            </w:pict>
          </mc:Fallback>
        </mc:AlternateContent>
      </w:r>
    </w:p>
    <w:p w14:paraId="399F1BE2" w14:textId="77777777" w:rsidR="0033445F" w:rsidRPr="00834CDC" w:rsidRDefault="0033445F" w:rsidP="0033445F">
      <w:pPr>
        <w:divId w:val="1988506822"/>
      </w:pPr>
      <w:r w:rsidRPr="00834CDC">
        <w:t>Rotavirus is the most common cause of viral gastroenteritis in children worldwide.</w:t>
      </w:r>
      <w:r w:rsidRPr="00834CDC">
        <w:rPr>
          <w:vertAlign w:val="superscript"/>
        </w:rPr>
        <w:t xml:space="preserve">196 </w:t>
      </w:r>
      <w:r w:rsidRPr="00834CDC">
        <w:t xml:space="preserve">Infection can be asymptomatic or symptomatic, with presentation ranging from to mild diarrhoea to severe gastroenteritis. The severity of infection is primarily dependent on age and </w:t>
      </w:r>
      <w:proofErr w:type="gramStart"/>
      <w:r w:rsidRPr="00834CDC">
        <w:t>previous</w:t>
      </w:r>
      <w:proofErr w:type="gramEnd"/>
      <w:r w:rsidRPr="00834CDC">
        <w:t xml:space="preserve"> exposure to rotavirus, with infections more likely to be severe in first infections in children aged 3–24 months.</w:t>
      </w:r>
      <w:r w:rsidRPr="00834CDC">
        <w:rPr>
          <w:vertAlign w:val="superscript"/>
        </w:rPr>
        <w:t>197</w:t>
      </w:r>
      <w:r w:rsidRPr="00834CDC">
        <w:t xml:space="preserve"> </w:t>
      </w:r>
    </w:p>
    <w:p w14:paraId="27FD8226" w14:textId="77777777" w:rsidR="0033445F" w:rsidRPr="00834CDC" w:rsidRDefault="0033445F" w:rsidP="0033445F">
      <w:pPr>
        <w:pStyle w:val="Heading2"/>
        <w:divId w:val="1988506822"/>
      </w:pPr>
      <w:r w:rsidRPr="00834CDC">
        <w:t xml:space="preserve">Results </w:t>
      </w:r>
    </w:p>
    <w:p w14:paraId="4376A580" w14:textId="77777777" w:rsidR="0033445F" w:rsidRPr="00834CDC" w:rsidRDefault="0033445F" w:rsidP="0033445F">
      <w:pPr>
        <w:divId w:val="1988506822"/>
      </w:pPr>
      <w:r w:rsidRPr="00834CDC">
        <w:t xml:space="preserve">As rotavirus became nationally notifiable from 1 July 2018, notification data </w:t>
      </w:r>
      <w:proofErr w:type="gramStart"/>
      <w:r w:rsidRPr="00834CDC">
        <w:t>are included</w:t>
      </w:r>
      <w:proofErr w:type="gramEnd"/>
      <w:r w:rsidRPr="00834CDC">
        <w:t xml:space="preserve"> in this report for the first time. A total of 7,911 rotavirus notifications </w:t>
      </w:r>
      <w:proofErr w:type="gramStart"/>
      <w:r w:rsidRPr="00834CDC">
        <w:t>were recorded</w:t>
      </w:r>
      <w:proofErr w:type="gramEnd"/>
      <w:r w:rsidRPr="00834CDC">
        <w:t xml:space="preserve"> for all age groups combined between 1 July 2018 and 31 December 2019 across all states and territories. Aboriginal and Torres Strait Islander status </w:t>
      </w:r>
      <w:proofErr w:type="gramStart"/>
      <w:r w:rsidRPr="00834CDC">
        <w:t>was reported</w:t>
      </w:r>
      <w:proofErr w:type="gramEnd"/>
      <w:r w:rsidRPr="00834CDC">
        <w:t xml:space="preserve"> for 5,513 cases (69.7%), with a large variation across jurisdictions (for more detail see Chapter 1). When restricting analyses to notifications with a reported Aboriginal and Torres Strait Islander status (</w:t>
      </w:r>
      <w:proofErr w:type="gramStart"/>
      <w:r w:rsidRPr="00834CDC">
        <w:t>i.e.</w:t>
      </w:r>
      <w:proofErr w:type="gramEnd"/>
      <w:r w:rsidRPr="00834CDC">
        <w:t xml:space="preserve"> omitting those with an unknown status), 499 rotavirus notifications (9.1%) were among Aboriginal and Torres Strait Islander people. </w:t>
      </w:r>
    </w:p>
    <w:p w14:paraId="39B7F418" w14:textId="50D94FFC" w:rsidR="0090525E" w:rsidRPr="00834CDC" w:rsidRDefault="0033445F" w:rsidP="0033445F">
      <w:pPr>
        <w:divId w:val="1988506822"/>
      </w:pPr>
      <w:r w:rsidRPr="00834CDC">
        <w:t xml:space="preserve">Notification data are presented in Table 19 for children aged &lt; 5 years in states and territories (Australian Capital Territory, Northern Territory, Queensland, South Australia, </w:t>
      </w:r>
      <w:proofErr w:type="gramStart"/>
      <w:r w:rsidRPr="00834CDC">
        <w:t>Tasmania</w:t>
      </w:r>
      <w:proofErr w:type="gramEnd"/>
      <w:r w:rsidRPr="00834CDC">
        <w:t xml:space="preserve"> and Western Australia) which had adequate completeness (≥ 70%) for Aboriginal and Torres Strait Islander status in this age group for the period 1 July 2018 to 31 December 2019. A total of 2,444 notifications </w:t>
      </w:r>
      <w:proofErr w:type="gramStart"/>
      <w:r w:rsidRPr="00834CDC">
        <w:t>were recorded</w:t>
      </w:r>
      <w:proofErr w:type="gramEnd"/>
      <w:r w:rsidRPr="00834CDC">
        <w:t xml:space="preserve"> in the six states and territories for the 18-month period, of which 342 (14.0%) were recorded as being in Aboriginal or Torres Strait Islander children. The highest age-specific notification rate of rotavirus among both Aboriginal and Torres Strait Islander and other children was in the &lt; 6 months age group (1,476.0 per 100,000 per year and 954.4 per 100,000 per year). The rotavirus notification rate was significantly higher among Aboriginal and Torres Strait Islander children than among other children in all age groups, particularly in the 6 months to 1 year age group (RR: 3.0; 95% CI: 2.1–4.1). The overall rate ratio in children aged &lt; 5 years was 1.8 (95% CI: 1.6–2.0). </w:t>
      </w:r>
    </w:p>
    <w:p w14:paraId="1B279B26" w14:textId="77777777" w:rsidR="001C20B9" w:rsidRPr="00834CDC" w:rsidRDefault="001C20B9" w:rsidP="001C20B9">
      <w:pPr>
        <w:pStyle w:val="CDIFigures"/>
      </w:pPr>
      <w:r w:rsidRPr="00834CDC">
        <w:rPr>
          <w:rStyle w:val="Strong"/>
          <w:b/>
          <w:bCs w:val="0"/>
        </w:rPr>
        <w:lastRenderedPageBreak/>
        <w:t>Table 19: Rotavirus notifications, Australia (selected states and territories</w:t>
      </w:r>
      <w:proofErr w:type="gramStart"/>
      <w:r w:rsidRPr="00834CDC">
        <w:rPr>
          <w:rStyle w:val="Strong"/>
          <w:b/>
          <w:bCs w:val="0"/>
        </w:rPr>
        <w:t>),</w:t>
      </w:r>
      <w:r w:rsidRPr="00834CDC">
        <w:rPr>
          <w:rStyle w:val="Strong"/>
          <w:b/>
          <w:bCs w:val="0"/>
          <w:vertAlign w:val="superscript"/>
        </w:rPr>
        <w:t>a</w:t>
      </w:r>
      <w:proofErr w:type="gramEnd"/>
      <w:r w:rsidRPr="00834CDC">
        <w:rPr>
          <w:rStyle w:val="Strong"/>
          <w:b/>
          <w:bCs w:val="0"/>
        </w:rPr>
        <w:t xml:space="preserve"> 1 July 2018 to 31 December 2019,</w:t>
      </w:r>
      <w:r w:rsidRPr="00834CDC">
        <w:rPr>
          <w:rStyle w:val="Strong"/>
          <w:b/>
          <w:bCs w:val="0"/>
          <w:vertAlign w:val="superscript"/>
        </w:rPr>
        <w:t>b</w:t>
      </w:r>
      <w:r w:rsidRPr="00834CDC">
        <w:rPr>
          <w:rStyle w:val="Strong"/>
          <w:b/>
          <w:bCs w:val="0"/>
        </w:rPr>
        <w:t xml:space="preserve"> for selected age groups by Aboriginal and Torres Strait Islander status</w:t>
      </w:r>
    </w:p>
    <w:tbl>
      <w:tblPr>
        <w:tblStyle w:val="CDI-StandardTable"/>
        <w:tblW w:w="0" w:type="auto"/>
        <w:tblLook w:val="04A0" w:firstRow="1" w:lastRow="0" w:firstColumn="1" w:lastColumn="0" w:noHBand="0" w:noVBand="1"/>
        <w:tblDescription w:val="Table 19 shows the number and rates per 100,000 population of rotavirus notifications by age (under 5 years of age) and Aboriginal and Torres Strait Islander status for selected jurisdictions (Australian Capital Territory, Northern Territory, Queensland, South Australia, Tasmania and Western Australia), from 1 July 2018 to 31 December 2019. &#10;"/>
      </w:tblPr>
      <w:tblGrid>
        <w:gridCol w:w="1843"/>
        <w:gridCol w:w="3969"/>
        <w:gridCol w:w="851"/>
        <w:gridCol w:w="992"/>
        <w:gridCol w:w="992"/>
        <w:gridCol w:w="1814"/>
      </w:tblGrid>
      <w:tr w:rsidR="001C20B9" w:rsidRPr="00834CDC" w14:paraId="3F87DD81" w14:textId="77777777" w:rsidTr="001C20B9">
        <w:trPr>
          <w:cnfStyle w:val="100000000000" w:firstRow="1" w:lastRow="0" w:firstColumn="0" w:lastColumn="0" w:oddVBand="0" w:evenVBand="0" w:oddHBand="0" w:evenHBand="0" w:firstRowFirstColumn="0" w:firstRowLastColumn="0" w:lastRowFirstColumn="0" w:lastRowLastColumn="0"/>
          <w:tblHeader/>
        </w:trPr>
        <w:tc>
          <w:tcPr>
            <w:tcW w:w="1843" w:type="dxa"/>
            <w:vMerge w:val="restart"/>
            <w:hideMark/>
          </w:tcPr>
          <w:p w14:paraId="6442B22D" w14:textId="78D2EDA5" w:rsidR="001C20B9" w:rsidRPr="00834CDC" w:rsidRDefault="001C20B9" w:rsidP="001C20B9">
            <w:pPr>
              <w:pStyle w:val="NormalWeb"/>
              <w:jc w:val="left"/>
              <w:rPr>
                <w:sz w:val="18"/>
                <w:szCs w:val="18"/>
              </w:rPr>
            </w:pPr>
            <w:r w:rsidRPr="00834CDC">
              <w:rPr>
                <w:sz w:val="18"/>
                <w:szCs w:val="18"/>
              </w:rPr>
              <w:t>Age group</w:t>
            </w:r>
            <w:r w:rsidR="00E97282" w:rsidRPr="00834CDC">
              <w:rPr>
                <w:sz w:val="18"/>
                <w:szCs w:val="18"/>
              </w:rPr>
              <w:t xml:space="preserve"> </w:t>
            </w:r>
            <w:r w:rsidRPr="00834CDC">
              <w:rPr>
                <w:sz w:val="18"/>
                <w:szCs w:val="18"/>
                <w:vertAlign w:val="superscript"/>
              </w:rPr>
              <w:t xml:space="preserve">c </w:t>
            </w:r>
            <w:r w:rsidRPr="00834CDC">
              <w:rPr>
                <w:sz w:val="18"/>
                <w:szCs w:val="18"/>
              </w:rPr>
              <w:t>(years)</w:t>
            </w:r>
          </w:p>
        </w:tc>
        <w:tc>
          <w:tcPr>
            <w:tcW w:w="3969" w:type="dxa"/>
            <w:vMerge w:val="restart"/>
            <w:hideMark/>
          </w:tcPr>
          <w:p w14:paraId="6DBA44CF" w14:textId="77777777" w:rsidR="001C20B9" w:rsidRPr="00834CDC" w:rsidRDefault="001C20B9" w:rsidP="001C20B9">
            <w:pPr>
              <w:pStyle w:val="NormalWeb"/>
              <w:jc w:val="left"/>
              <w:rPr>
                <w:sz w:val="18"/>
                <w:szCs w:val="18"/>
              </w:rPr>
            </w:pPr>
            <w:r w:rsidRPr="00834CDC">
              <w:rPr>
                <w:sz w:val="18"/>
                <w:szCs w:val="18"/>
              </w:rPr>
              <w:t>Aboriginal and Torres Strait Islander Status</w:t>
            </w:r>
          </w:p>
        </w:tc>
        <w:tc>
          <w:tcPr>
            <w:tcW w:w="4649" w:type="dxa"/>
            <w:gridSpan w:val="4"/>
            <w:hideMark/>
          </w:tcPr>
          <w:p w14:paraId="65606ECF" w14:textId="519989C1" w:rsidR="001C20B9" w:rsidRPr="00834CDC" w:rsidRDefault="001C20B9" w:rsidP="001C20B9">
            <w:pPr>
              <w:pStyle w:val="NormalWeb"/>
              <w:rPr>
                <w:sz w:val="18"/>
                <w:szCs w:val="18"/>
              </w:rPr>
            </w:pPr>
            <w:r w:rsidRPr="00834CDC">
              <w:rPr>
                <w:sz w:val="18"/>
                <w:szCs w:val="18"/>
              </w:rPr>
              <w:t>Notifications (1 July 2018 to 31 December 2019)</w:t>
            </w:r>
          </w:p>
        </w:tc>
      </w:tr>
      <w:tr w:rsidR="001C20B9" w:rsidRPr="00834CDC" w14:paraId="3BBE118A" w14:textId="77777777" w:rsidTr="001C20B9">
        <w:trPr>
          <w:cnfStyle w:val="100000000000" w:firstRow="1" w:lastRow="0" w:firstColumn="0" w:lastColumn="0" w:oddVBand="0" w:evenVBand="0" w:oddHBand="0" w:evenHBand="0" w:firstRowFirstColumn="0" w:firstRowLastColumn="0" w:lastRowFirstColumn="0" w:lastRowLastColumn="0"/>
          <w:tblHeader/>
        </w:trPr>
        <w:tc>
          <w:tcPr>
            <w:tcW w:w="1843" w:type="dxa"/>
            <w:vMerge/>
            <w:tcBorders>
              <w:bottom w:val="single" w:sz="2" w:space="0" w:color="808080" w:themeColor="background1" w:themeShade="80"/>
            </w:tcBorders>
            <w:hideMark/>
          </w:tcPr>
          <w:p w14:paraId="5A4983B1" w14:textId="77777777" w:rsidR="001C20B9" w:rsidRPr="00834CDC" w:rsidRDefault="001C20B9" w:rsidP="001C20B9">
            <w:pPr>
              <w:jc w:val="left"/>
              <w:rPr>
                <w:sz w:val="18"/>
                <w:szCs w:val="18"/>
              </w:rPr>
            </w:pPr>
          </w:p>
        </w:tc>
        <w:tc>
          <w:tcPr>
            <w:tcW w:w="3969" w:type="dxa"/>
            <w:vMerge/>
            <w:tcBorders>
              <w:bottom w:val="single" w:sz="2" w:space="0" w:color="808080" w:themeColor="background1" w:themeShade="80"/>
            </w:tcBorders>
            <w:hideMark/>
          </w:tcPr>
          <w:p w14:paraId="514DF15F" w14:textId="77777777" w:rsidR="001C20B9" w:rsidRPr="00834CDC" w:rsidRDefault="001C20B9" w:rsidP="001C20B9">
            <w:pPr>
              <w:jc w:val="left"/>
              <w:rPr>
                <w:sz w:val="18"/>
                <w:szCs w:val="18"/>
              </w:rPr>
            </w:pPr>
          </w:p>
        </w:tc>
        <w:tc>
          <w:tcPr>
            <w:tcW w:w="851" w:type="dxa"/>
            <w:tcBorders>
              <w:bottom w:val="single" w:sz="2" w:space="0" w:color="808080" w:themeColor="background1" w:themeShade="80"/>
            </w:tcBorders>
            <w:hideMark/>
          </w:tcPr>
          <w:p w14:paraId="36319BB5" w14:textId="77777777" w:rsidR="001C20B9" w:rsidRPr="00834CDC" w:rsidRDefault="001C20B9" w:rsidP="003058F5">
            <w:pPr>
              <w:pStyle w:val="NormalWeb"/>
              <w:rPr>
                <w:sz w:val="18"/>
                <w:szCs w:val="18"/>
              </w:rPr>
            </w:pPr>
            <w:r w:rsidRPr="00834CDC">
              <w:rPr>
                <w:sz w:val="18"/>
                <w:szCs w:val="18"/>
              </w:rPr>
              <w:t>N</w:t>
            </w:r>
          </w:p>
        </w:tc>
        <w:tc>
          <w:tcPr>
            <w:tcW w:w="992" w:type="dxa"/>
            <w:tcBorders>
              <w:bottom w:val="single" w:sz="2" w:space="0" w:color="808080" w:themeColor="background1" w:themeShade="80"/>
            </w:tcBorders>
            <w:hideMark/>
          </w:tcPr>
          <w:p w14:paraId="282F528F" w14:textId="33CED2C7" w:rsidR="001C20B9" w:rsidRPr="00834CDC" w:rsidRDefault="001C20B9" w:rsidP="003058F5">
            <w:pPr>
              <w:pStyle w:val="NormalWeb"/>
              <w:rPr>
                <w:sz w:val="18"/>
                <w:szCs w:val="18"/>
              </w:rPr>
            </w:pPr>
            <w:r w:rsidRPr="00834CDC">
              <w:rPr>
                <w:sz w:val="18"/>
                <w:szCs w:val="18"/>
              </w:rPr>
              <w:t>Rate</w:t>
            </w:r>
            <w:r w:rsidR="008669B3" w:rsidRPr="00834CDC">
              <w:rPr>
                <w:sz w:val="18"/>
                <w:szCs w:val="18"/>
              </w:rPr>
              <w:t xml:space="preserve"> </w:t>
            </w:r>
            <w:r w:rsidRPr="00834CDC">
              <w:rPr>
                <w:sz w:val="18"/>
                <w:szCs w:val="18"/>
                <w:vertAlign w:val="superscript"/>
              </w:rPr>
              <w:t>d</w:t>
            </w:r>
          </w:p>
        </w:tc>
        <w:tc>
          <w:tcPr>
            <w:tcW w:w="992" w:type="dxa"/>
            <w:tcBorders>
              <w:bottom w:val="single" w:sz="2" w:space="0" w:color="808080" w:themeColor="background1" w:themeShade="80"/>
            </w:tcBorders>
            <w:hideMark/>
          </w:tcPr>
          <w:p w14:paraId="3A7F0FB1" w14:textId="77777777" w:rsidR="001C20B9" w:rsidRPr="00834CDC" w:rsidRDefault="001C20B9" w:rsidP="003058F5">
            <w:pPr>
              <w:pStyle w:val="NormalWeb"/>
              <w:rPr>
                <w:sz w:val="18"/>
                <w:szCs w:val="18"/>
              </w:rPr>
            </w:pPr>
            <w:r w:rsidRPr="00834CDC">
              <w:rPr>
                <w:sz w:val="18"/>
                <w:szCs w:val="18"/>
              </w:rPr>
              <w:t>Rate ratio</w:t>
            </w:r>
          </w:p>
        </w:tc>
        <w:tc>
          <w:tcPr>
            <w:tcW w:w="1814" w:type="dxa"/>
            <w:tcBorders>
              <w:bottom w:val="single" w:sz="2" w:space="0" w:color="808080" w:themeColor="background1" w:themeShade="80"/>
            </w:tcBorders>
            <w:hideMark/>
          </w:tcPr>
          <w:p w14:paraId="3789C7AD" w14:textId="77777777" w:rsidR="001C20B9" w:rsidRPr="00834CDC" w:rsidRDefault="001C20B9" w:rsidP="003058F5">
            <w:pPr>
              <w:pStyle w:val="NormalWeb"/>
              <w:rPr>
                <w:sz w:val="18"/>
                <w:szCs w:val="18"/>
              </w:rPr>
            </w:pPr>
            <w:proofErr w:type="gramStart"/>
            <w:r w:rsidRPr="00834CDC">
              <w:rPr>
                <w:sz w:val="18"/>
                <w:szCs w:val="18"/>
              </w:rPr>
              <w:t>95%</w:t>
            </w:r>
            <w:proofErr w:type="gramEnd"/>
            <w:r w:rsidRPr="00834CDC">
              <w:rPr>
                <w:sz w:val="18"/>
                <w:szCs w:val="18"/>
              </w:rPr>
              <w:t xml:space="preserve"> CI for rate ratio</w:t>
            </w:r>
          </w:p>
        </w:tc>
      </w:tr>
      <w:tr w:rsidR="001C20B9" w:rsidRPr="00834CDC" w14:paraId="59DD96FF" w14:textId="77777777" w:rsidTr="001C20B9">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B39EDF" w14:textId="77777777" w:rsidR="001C20B9" w:rsidRPr="00834CDC" w:rsidRDefault="001C20B9" w:rsidP="001C20B9">
            <w:pPr>
              <w:pStyle w:val="NormalWeb"/>
              <w:jc w:val="left"/>
              <w:rPr>
                <w:sz w:val="18"/>
                <w:szCs w:val="18"/>
              </w:rPr>
            </w:pPr>
            <w:r w:rsidRPr="00834CDC">
              <w:rPr>
                <w:sz w:val="18"/>
                <w:szCs w:val="18"/>
              </w:rPr>
              <w:t>0 –&lt; 1</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E28C47" w14:textId="77777777" w:rsidR="001C20B9" w:rsidRPr="00834CDC" w:rsidRDefault="001C20B9" w:rsidP="001C20B9">
            <w:pPr>
              <w:pStyle w:val="NormalWeb"/>
              <w:jc w:val="left"/>
              <w:rPr>
                <w:sz w:val="18"/>
                <w:szCs w:val="18"/>
              </w:rPr>
            </w:pPr>
            <w:r w:rsidRPr="00834CDC">
              <w:rPr>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2C73A2" w14:textId="77777777" w:rsidR="001C20B9" w:rsidRPr="00834CDC" w:rsidRDefault="001C20B9" w:rsidP="003058F5">
            <w:pPr>
              <w:pStyle w:val="NormalWeb"/>
              <w:rPr>
                <w:sz w:val="18"/>
                <w:szCs w:val="18"/>
              </w:rPr>
            </w:pPr>
            <w:r w:rsidRPr="00834CDC">
              <w:rPr>
                <w:sz w:val="18"/>
                <w:szCs w:val="18"/>
              </w:rPr>
              <w:t>175</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5CE0A5" w14:textId="77777777" w:rsidR="001C20B9" w:rsidRPr="00834CDC" w:rsidRDefault="001C20B9" w:rsidP="003058F5">
            <w:pPr>
              <w:pStyle w:val="NormalWeb"/>
              <w:rPr>
                <w:sz w:val="18"/>
                <w:szCs w:val="18"/>
              </w:rPr>
            </w:pPr>
            <w:r w:rsidRPr="00834CDC">
              <w:rPr>
                <w:sz w:val="18"/>
                <w:szCs w:val="18"/>
              </w:rPr>
              <w:t>1,033.2</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230F21" w14:textId="77777777" w:rsidR="001C20B9" w:rsidRPr="00834CDC" w:rsidRDefault="001C20B9" w:rsidP="003058F5">
            <w:pPr>
              <w:pStyle w:val="NormalWeb"/>
              <w:rPr>
                <w:sz w:val="18"/>
                <w:szCs w:val="18"/>
              </w:rPr>
            </w:pPr>
            <w:r w:rsidRPr="00834CDC">
              <w:rPr>
                <w:sz w:val="18"/>
                <w:szCs w:val="18"/>
              </w:rPr>
              <w:t>1.8</w:t>
            </w:r>
          </w:p>
        </w:tc>
        <w:tc>
          <w:tcPr>
            <w:tcW w:w="181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08421F" w14:textId="77777777" w:rsidR="001C20B9" w:rsidRPr="00834CDC" w:rsidRDefault="001C20B9" w:rsidP="003058F5">
            <w:pPr>
              <w:pStyle w:val="NormalWeb"/>
              <w:rPr>
                <w:sz w:val="18"/>
                <w:szCs w:val="18"/>
              </w:rPr>
            </w:pPr>
            <w:r w:rsidRPr="00834CDC">
              <w:rPr>
                <w:sz w:val="18"/>
                <w:szCs w:val="18"/>
              </w:rPr>
              <w:t>1.5–2.1</w:t>
            </w:r>
          </w:p>
        </w:tc>
      </w:tr>
      <w:tr w:rsidR="001C20B9" w:rsidRPr="00834CDC" w14:paraId="45E8A6DB" w14:textId="77777777" w:rsidTr="001C20B9">
        <w:trPr>
          <w:cnfStyle w:val="000000010000" w:firstRow="0" w:lastRow="0" w:firstColumn="0" w:lastColumn="0" w:oddVBand="0" w:evenVBand="0" w:oddHBand="0" w:evenHBand="1" w:firstRowFirstColumn="0" w:firstRowLastColumn="0" w:lastRowFirstColumn="0" w:lastRowLastColumn="0"/>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F69885" w14:textId="77777777" w:rsidR="001C20B9" w:rsidRPr="00834CDC" w:rsidRDefault="001C20B9" w:rsidP="001C20B9">
            <w:pPr>
              <w:jc w:val="left"/>
              <w:rPr>
                <w:sz w:val="18"/>
                <w:szCs w:val="18"/>
              </w:rPr>
            </w:pP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45DEAA" w14:textId="77777777" w:rsidR="001C20B9" w:rsidRPr="00834CDC" w:rsidRDefault="001C20B9" w:rsidP="001C20B9">
            <w:pPr>
              <w:pStyle w:val="NormalWeb"/>
              <w:jc w:val="left"/>
              <w:rPr>
                <w:sz w:val="18"/>
                <w:szCs w:val="18"/>
              </w:rPr>
            </w:pPr>
            <w:r w:rsidRPr="00834CDC">
              <w:rPr>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7BEA03" w14:textId="77777777" w:rsidR="001C20B9" w:rsidRPr="00834CDC" w:rsidRDefault="001C20B9" w:rsidP="003058F5">
            <w:pPr>
              <w:pStyle w:val="NormalWeb"/>
              <w:rPr>
                <w:sz w:val="18"/>
                <w:szCs w:val="18"/>
              </w:rPr>
            </w:pPr>
            <w:r w:rsidRPr="00834CDC">
              <w:rPr>
                <w:sz w:val="18"/>
                <w:szCs w:val="18"/>
              </w:rPr>
              <w:t>1,006</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CD4F28" w14:textId="77777777" w:rsidR="001C20B9" w:rsidRPr="00834CDC" w:rsidRDefault="001C20B9" w:rsidP="003058F5">
            <w:pPr>
              <w:pStyle w:val="NormalWeb"/>
              <w:rPr>
                <w:sz w:val="18"/>
                <w:szCs w:val="18"/>
              </w:rPr>
            </w:pPr>
            <w:r w:rsidRPr="00834CDC">
              <w:rPr>
                <w:sz w:val="18"/>
                <w:szCs w:val="18"/>
              </w:rPr>
              <w:t>577.0</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6271BE" w14:textId="77777777" w:rsidR="001C20B9" w:rsidRPr="00834CDC" w:rsidRDefault="001C20B9" w:rsidP="003058F5">
            <w:pPr>
              <w:rPr>
                <w:sz w:val="18"/>
                <w:szCs w:val="18"/>
              </w:rPr>
            </w:pPr>
          </w:p>
        </w:tc>
        <w:tc>
          <w:tcPr>
            <w:tcW w:w="181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B27969" w14:textId="77777777" w:rsidR="001C20B9" w:rsidRPr="00834CDC" w:rsidRDefault="001C20B9" w:rsidP="003058F5">
            <w:pPr>
              <w:rPr>
                <w:sz w:val="18"/>
                <w:szCs w:val="18"/>
              </w:rPr>
            </w:pPr>
          </w:p>
        </w:tc>
      </w:tr>
      <w:tr w:rsidR="001C20B9" w:rsidRPr="00834CDC" w14:paraId="45AE9F79" w14:textId="77777777" w:rsidTr="001C20B9">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56071D" w14:textId="77777777" w:rsidR="001C20B9" w:rsidRPr="00834CDC" w:rsidRDefault="001C20B9" w:rsidP="001C20B9">
            <w:pPr>
              <w:pStyle w:val="NormalWeb"/>
              <w:jc w:val="right"/>
              <w:rPr>
                <w:sz w:val="18"/>
                <w:szCs w:val="18"/>
              </w:rPr>
            </w:pPr>
            <w:r w:rsidRPr="00834CDC">
              <w:rPr>
                <w:sz w:val="18"/>
                <w:szCs w:val="18"/>
              </w:rPr>
              <w:t>0 –&lt; 6 months</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5B980F" w14:textId="77777777" w:rsidR="001C20B9" w:rsidRPr="00834CDC" w:rsidRDefault="001C20B9" w:rsidP="001C20B9">
            <w:pPr>
              <w:pStyle w:val="NormalWeb"/>
              <w:jc w:val="left"/>
              <w:rPr>
                <w:sz w:val="18"/>
                <w:szCs w:val="18"/>
              </w:rPr>
            </w:pPr>
            <w:r w:rsidRPr="00834CDC">
              <w:rPr>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E55DF4" w14:textId="77777777" w:rsidR="001C20B9" w:rsidRPr="00834CDC" w:rsidRDefault="001C20B9" w:rsidP="003058F5">
            <w:pPr>
              <w:pStyle w:val="NormalWeb"/>
              <w:rPr>
                <w:sz w:val="18"/>
                <w:szCs w:val="18"/>
              </w:rPr>
            </w:pPr>
            <w:r w:rsidRPr="00834CDC">
              <w:rPr>
                <w:sz w:val="18"/>
                <w:szCs w:val="18"/>
              </w:rPr>
              <w:t>125</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521FB2" w14:textId="77777777" w:rsidR="001C20B9" w:rsidRPr="00834CDC" w:rsidRDefault="001C20B9" w:rsidP="003058F5">
            <w:pPr>
              <w:pStyle w:val="NormalWeb"/>
              <w:rPr>
                <w:sz w:val="18"/>
                <w:szCs w:val="18"/>
              </w:rPr>
            </w:pPr>
            <w:r w:rsidRPr="00834CDC">
              <w:rPr>
                <w:sz w:val="18"/>
                <w:szCs w:val="18"/>
              </w:rPr>
              <w:t>1,476.0</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96E980" w14:textId="77777777" w:rsidR="001C20B9" w:rsidRPr="00834CDC" w:rsidRDefault="001C20B9" w:rsidP="003058F5">
            <w:pPr>
              <w:pStyle w:val="NormalWeb"/>
              <w:rPr>
                <w:sz w:val="18"/>
                <w:szCs w:val="18"/>
              </w:rPr>
            </w:pPr>
            <w:r w:rsidRPr="00834CDC">
              <w:rPr>
                <w:sz w:val="18"/>
                <w:szCs w:val="18"/>
              </w:rPr>
              <w:t>1.6</w:t>
            </w:r>
          </w:p>
        </w:tc>
        <w:tc>
          <w:tcPr>
            <w:tcW w:w="181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889450" w14:textId="77777777" w:rsidR="001C20B9" w:rsidRPr="00834CDC" w:rsidRDefault="001C20B9" w:rsidP="003058F5">
            <w:pPr>
              <w:pStyle w:val="NormalWeb"/>
              <w:rPr>
                <w:sz w:val="18"/>
                <w:szCs w:val="18"/>
              </w:rPr>
            </w:pPr>
            <w:r w:rsidRPr="00834CDC">
              <w:rPr>
                <w:sz w:val="18"/>
                <w:szCs w:val="18"/>
              </w:rPr>
              <w:t>1.3–1.9</w:t>
            </w:r>
          </w:p>
        </w:tc>
      </w:tr>
      <w:tr w:rsidR="001C20B9" w:rsidRPr="00834CDC" w14:paraId="484C5FAA" w14:textId="77777777" w:rsidTr="001C20B9">
        <w:trPr>
          <w:cnfStyle w:val="000000010000" w:firstRow="0" w:lastRow="0" w:firstColumn="0" w:lastColumn="0" w:oddVBand="0" w:evenVBand="0" w:oddHBand="0" w:evenHBand="1" w:firstRowFirstColumn="0" w:firstRowLastColumn="0" w:lastRowFirstColumn="0" w:lastRowLastColumn="0"/>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28B9B3" w14:textId="77777777" w:rsidR="001C20B9" w:rsidRPr="00834CDC" w:rsidRDefault="001C20B9" w:rsidP="001C20B9">
            <w:pPr>
              <w:jc w:val="left"/>
              <w:rPr>
                <w:sz w:val="18"/>
                <w:szCs w:val="18"/>
              </w:rPr>
            </w:pP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68F293" w14:textId="77777777" w:rsidR="001C20B9" w:rsidRPr="00834CDC" w:rsidRDefault="001C20B9" w:rsidP="001C20B9">
            <w:pPr>
              <w:pStyle w:val="NormalWeb"/>
              <w:jc w:val="left"/>
              <w:rPr>
                <w:sz w:val="18"/>
                <w:szCs w:val="18"/>
              </w:rPr>
            </w:pPr>
            <w:r w:rsidRPr="00834CDC">
              <w:rPr>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2ED67B" w14:textId="77777777" w:rsidR="001C20B9" w:rsidRPr="00834CDC" w:rsidRDefault="001C20B9" w:rsidP="003058F5">
            <w:pPr>
              <w:pStyle w:val="NormalWeb"/>
              <w:rPr>
                <w:sz w:val="18"/>
                <w:szCs w:val="18"/>
              </w:rPr>
            </w:pPr>
            <w:r w:rsidRPr="00834CDC">
              <w:rPr>
                <w:sz w:val="18"/>
                <w:szCs w:val="18"/>
              </w:rPr>
              <w:t>832</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E707CC" w14:textId="77777777" w:rsidR="001C20B9" w:rsidRPr="00834CDC" w:rsidRDefault="001C20B9" w:rsidP="003058F5">
            <w:pPr>
              <w:pStyle w:val="NormalWeb"/>
              <w:rPr>
                <w:sz w:val="18"/>
                <w:szCs w:val="18"/>
              </w:rPr>
            </w:pPr>
            <w:r w:rsidRPr="00834CDC">
              <w:rPr>
                <w:sz w:val="18"/>
                <w:szCs w:val="18"/>
              </w:rPr>
              <w:t>954.4</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22F227" w14:textId="77777777" w:rsidR="001C20B9" w:rsidRPr="00834CDC" w:rsidRDefault="001C20B9" w:rsidP="003058F5">
            <w:pPr>
              <w:rPr>
                <w:sz w:val="18"/>
                <w:szCs w:val="18"/>
              </w:rPr>
            </w:pPr>
          </w:p>
        </w:tc>
        <w:tc>
          <w:tcPr>
            <w:tcW w:w="181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B0A23A" w14:textId="77777777" w:rsidR="001C20B9" w:rsidRPr="00834CDC" w:rsidRDefault="001C20B9" w:rsidP="003058F5">
            <w:pPr>
              <w:rPr>
                <w:sz w:val="18"/>
                <w:szCs w:val="18"/>
              </w:rPr>
            </w:pPr>
          </w:p>
        </w:tc>
      </w:tr>
      <w:tr w:rsidR="001C20B9" w:rsidRPr="00834CDC" w14:paraId="1A8F12E8" w14:textId="77777777" w:rsidTr="001C20B9">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FED95F" w14:textId="77777777" w:rsidR="001C20B9" w:rsidRPr="00834CDC" w:rsidRDefault="001C20B9" w:rsidP="001C20B9">
            <w:pPr>
              <w:pStyle w:val="NormalWeb"/>
              <w:jc w:val="right"/>
              <w:rPr>
                <w:sz w:val="18"/>
                <w:szCs w:val="18"/>
              </w:rPr>
            </w:pPr>
            <w:r w:rsidRPr="00834CDC">
              <w:rPr>
                <w:sz w:val="18"/>
                <w:szCs w:val="18"/>
              </w:rPr>
              <w:t>6 months –&lt; 1 year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E5D878" w14:textId="77777777" w:rsidR="001C20B9" w:rsidRPr="00834CDC" w:rsidRDefault="001C20B9" w:rsidP="001C20B9">
            <w:pPr>
              <w:pStyle w:val="NormalWeb"/>
              <w:jc w:val="left"/>
              <w:rPr>
                <w:sz w:val="18"/>
                <w:szCs w:val="18"/>
              </w:rPr>
            </w:pPr>
            <w:r w:rsidRPr="00834CDC">
              <w:rPr>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AE4DF6" w14:textId="77777777" w:rsidR="001C20B9" w:rsidRPr="00834CDC" w:rsidRDefault="001C20B9" w:rsidP="003058F5">
            <w:pPr>
              <w:pStyle w:val="NormalWeb"/>
              <w:rPr>
                <w:sz w:val="18"/>
                <w:szCs w:val="18"/>
              </w:rPr>
            </w:pPr>
            <w:r w:rsidRPr="00834CDC">
              <w:rPr>
                <w:sz w:val="18"/>
                <w:szCs w:val="18"/>
              </w:rPr>
              <w:t>51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F18C16" w14:textId="77777777" w:rsidR="001C20B9" w:rsidRPr="00834CDC" w:rsidRDefault="001C20B9" w:rsidP="003058F5">
            <w:pPr>
              <w:pStyle w:val="NormalWeb"/>
              <w:rPr>
                <w:sz w:val="18"/>
                <w:szCs w:val="18"/>
              </w:rPr>
            </w:pPr>
            <w:r w:rsidRPr="00834CDC">
              <w:rPr>
                <w:sz w:val="18"/>
                <w:szCs w:val="18"/>
              </w:rPr>
              <w:t>602.2</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983142" w14:textId="77777777" w:rsidR="001C20B9" w:rsidRPr="00834CDC" w:rsidRDefault="001C20B9" w:rsidP="003058F5">
            <w:pPr>
              <w:pStyle w:val="NormalWeb"/>
              <w:rPr>
                <w:sz w:val="18"/>
                <w:szCs w:val="18"/>
              </w:rPr>
            </w:pPr>
            <w:r w:rsidRPr="00834CDC">
              <w:rPr>
                <w:sz w:val="18"/>
                <w:szCs w:val="18"/>
              </w:rPr>
              <w:t>3.0</w:t>
            </w:r>
          </w:p>
        </w:tc>
        <w:tc>
          <w:tcPr>
            <w:tcW w:w="181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A6A830" w14:textId="77777777" w:rsidR="001C20B9" w:rsidRPr="00834CDC" w:rsidRDefault="001C20B9" w:rsidP="003058F5">
            <w:pPr>
              <w:pStyle w:val="NormalWeb"/>
              <w:rPr>
                <w:sz w:val="18"/>
                <w:szCs w:val="18"/>
              </w:rPr>
            </w:pPr>
            <w:r w:rsidRPr="00834CDC">
              <w:rPr>
                <w:sz w:val="18"/>
                <w:szCs w:val="18"/>
              </w:rPr>
              <w:t>2.1–4.1</w:t>
            </w:r>
          </w:p>
        </w:tc>
      </w:tr>
      <w:tr w:rsidR="001C20B9" w:rsidRPr="00834CDC" w14:paraId="3D235A8F" w14:textId="77777777" w:rsidTr="001C20B9">
        <w:trPr>
          <w:cnfStyle w:val="000000010000" w:firstRow="0" w:lastRow="0" w:firstColumn="0" w:lastColumn="0" w:oddVBand="0" w:evenVBand="0" w:oddHBand="0" w:evenHBand="1" w:firstRowFirstColumn="0" w:firstRowLastColumn="0" w:lastRowFirstColumn="0" w:lastRowLastColumn="0"/>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D4FD1C" w14:textId="77777777" w:rsidR="001C20B9" w:rsidRPr="00834CDC" w:rsidRDefault="001C20B9" w:rsidP="001C20B9">
            <w:pPr>
              <w:jc w:val="left"/>
              <w:rPr>
                <w:sz w:val="18"/>
                <w:szCs w:val="18"/>
              </w:rPr>
            </w:pP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FF092A" w14:textId="77777777" w:rsidR="001C20B9" w:rsidRPr="00834CDC" w:rsidRDefault="001C20B9" w:rsidP="001C20B9">
            <w:pPr>
              <w:pStyle w:val="NormalWeb"/>
              <w:jc w:val="left"/>
              <w:rPr>
                <w:sz w:val="18"/>
                <w:szCs w:val="18"/>
              </w:rPr>
            </w:pPr>
            <w:r w:rsidRPr="00834CDC">
              <w:rPr>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0F82F9" w14:textId="77777777" w:rsidR="001C20B9" w:rsidRPr="00834CDC" w:rsidRDefault="001C20B9" w:rsidP="003058F5">
            <w:pPr>
              <w:pStyle w:val="NormalWeb"/>
              <w:rPr>
                <w:sz w:val="18"/>
                <w:szCs w:val="18"/>
              </w:rPr>
            </w:pPr>
            <w:r w:rsidRPr="00834CDC">
              <w:rPr>
                <w:sz w:val="18"/>
                <w:szCs w:val="18"/>
              </w:rPr>
              <w:t>177</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2067E4" w14:textId="77777777" w:rsidR="001C20B9" w:rsidRPr="00834CDC" w:rsidRDefault="001C20B9" w:rsidP="003058F5">
            <w:pPr>
              <w:pStyle w:val="NormalWeb"/>
              <w:rPr>
                <w:sz w:val="18"/>
                <w:szCs w:val="18"/>
              </w:rPr>
            </w:pPr>
            <w:r w:rsidRPr="00834CDC">
              <w:rPr>
                <w:sz w:val="18"/>
                <w:szCs w:val="18"/>
              </w:rPr>
              <w:t>203.0</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3E8313" w14:textId="77777777" w:rsidR="001C20B9" w:rsidRPr="00834CDC" w:rsidRDefault="001C20B9" w:rsidP="003058F5">
            <w:pPr>
              <w:rPr>
                <w:sz w:val="18"/>
                <w:szCs w:val="18"/>
              </w:rPr>
            </w:pPr>
          </w:p>
        </w:tc>
        <w:tc>
          <w:tcPr>
            <w:tcW w:w="181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374373" w14:textId="77777777" w:rsidR="001C20B9" w:rsidRPr="00834CDC" w:rsidRDefault="001C20B9" w:rsidP="003058F5">
            <w:pPr>
              <w:rPr>
                <w:sz w:val="18"/>
                <w:szCs w:val="18"/>
              </w:rPr>
            </w:pPr>
          </w:p>
        </w:tc>
      </w:tr>
      <w:tr w:rsidR="001C20B9" w:rsidRPr="00834CDC" w14:paraId="3F9B0DE6" w14:textId="77777777" w:rsidTr="001C20B9">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55FA3E" w14:textId="77777777" w:rsidR="001C20B9" w:rsidRPr="00834CDC" w:rsidRDefault="001C20B9" w:rsidP="001C20B9">
            <w:pPr>
              <w:pStyle w:val="NormalWeb"/>
              <w:jc w:val="left"/>
              <w:rPr>
                <w:sz w:val="18"/>
                <w:szCs w:val="18"/>
              </w:rPr>
            </w:pPr>
            <w:r w:rsidRPr="00834CDC">
              <w:rPr>
                <w:sz w:val="18"/>
                <w:szCs w:val="18"/>
              </w:rPr>
              <w:t>1–4</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6DCB47" w14:textId="77777777" w:rsidR="001C20B9" w:rsidRPr="00834CDC" w:rsidRDefault="001C20B9" w:rsidP="001C20B9">
            <w:pPr>
              <w:pStyle w:val="NormalWeb"/>
              <w:jc w:val="left"/>
              <w:rPr>
                <w:sz w:val="18"/>
                <w:szCs w:val="18"/>
              </w:rPr>
            </w:pPr>
            <w:r w:rsidRPr="00834CDC">
              <w:rPr>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1C49D3" w14:textId="77777777" w:rsidR="001C20B9" w:rsidRPr="00834CDC" w:rsidRDefault="001C20B9" w:rsidP="003058F5">
            <w:pPr>
              <w:pStyle w:val="NormalWeb"/>
              <w:rPr>
                <w:sz w:val="18"/>
                <w:szCs w:val="18"/>
              </w:rPr>
            </w:pPr>
            <w:r w:rsidRPr="00834CDC">
              <w:rPr>
                <w:sz w:val="18"/>
                <w:szCs w:val="18"/>
              </w:rPr>
              <w:t>167</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48CDC3" w14:textId="77777777" w:rsidR="001C20B9" w:rsidRPr="00834CDC" w:rsidRDefault="001C20B9" w:rsidP="003058F5">
            <w:pPr>
              <w:pStyle w:val="NormalWeb"/>
              <w:rPr>
                <w:sz w:val="18"/>
                <w:szCs w:val="18"/>
              </w:rPr>
            </w:pPr>
            <w:r w:rsidRPr="00834CDC">
              <w:rPr>
                <w:sz w:val="18"/>
                <w:szCs w:val="18"/>
              </w:rPr>
              <w:t>253.3</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0A8ED3" w14:textId="77777777" w:rsidR="001C20B9" w:rsidRPr="00834CDC" w:rsidRDefault="001C20B9" w:rsidP="003058F5">
            <w:pPr>
              <w:pStyle w:val="NormalWeb"/>
              <w:rPr>
                <w:sz w:val="18"/>
                <w:szCs w:val="18"/>
              </w:rPr>
            </w:pPr>
            <w:r w:rsidRPr="00834CDC">
              <w:rPr>
                <w:sz w:val="18"/>
                <w:szCs w:val="18"/>
              </w:rPr>
              <w:t>1.7</w:t>
            </w:r>
          </w:p>
        </w:tc>
        <w:tc>
          <w:tcPr>
            <w:tcW w:w="181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161E73" w14:textId="77777777" w:rsidR="001C20B9" w:rsidRPr="00834CDC" w:rsidRDefault="001C20B9" w:rsidP="003058F5">
            <w:pPr>
              <w:pStyle w:val="NormalWeb"/>
              <w:rPr>
                <w:sz w:val="18"/>
                <w:szCs w:val="18"/>
              </w:rPr>
            </w:pPr>
            <w:r w:rsidRPr="00834CDC">
              <w:rPr>
                <w:sz w:val="18"/>
                <w:szCs w:val="18"/>
              </w:rPr>
              <w:t>1.4–2.0</w:t>
            </w:r>
          </w:p>
        </w:tc>
      </w:tr>
      <w:tr w:rsidR="001C20B9" w:rsidRPr="00834CDC" w14:paraId="0D3D649B" w14:textId="77777777" w:rsidTr="001C20B9">
        <w:trPr>
          <w:cnfStyle w:val="000000010000" w:firstRow="0" w:lastRow="0" w:firstColumn="0" w:lastColumn="0" w:oddVBand="0" w:evenVBand="0" w:oddHBand="0" w:evenHBand="1" w:firstRowFirstColumn="0" w:firstRowLastColumn="0" w:lastRowFirstColumn="0" w:lastRowLastColumn="0"/>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710E84" w14:textId="77777777" w:rsidR="001C20B9" w:rsidRPr="00834CDC" w:rsidRDefault="001C20B9" w:rsidP="001C20B9">
            <w:pPr>
              <w:jc w:val="left"/>
              <w:rPr>
                <w:sz w:val="18"/>
                <w:szCs w:val="18"/>
              </w:rPr>
            </w:pP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46AF41" w14:textId="77777777" w:rsidR="001C20B9" w:rsidRPr="00834CDC" w:rsidRDefault="001C20B9" w:rsidP="001C20B9">
            <w:pPr>
              <w:pStyle w:val="NormalWeb"/>
              <w:jc w:val="left"/>
              <w:rPr>
                <w:sz w:val="18"/>
                <w:szCs w:val="18"/>
              </w:rPr>
            </w:pPr>
            <w:r w:rsidRPr="00834CDC">
              <w:rPr>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BE072A" w14:textId="77777777" w:rsidR="001C20B9" w:rsidRPr="00834CDC" w:rsidRDefault="001C20B9" w:rsidP="003058F5">
            <w:pPr>
              <w:pStyle w:val="NormalWeb"/>
              <w:rPr>
                <w:sz w:val="18"/>
                <w:szCs w:val="18"/>
              </w:rPr>
            </w:pPr>
            <w:r w:rsidRPr="00834CDC">
              <w:rPr>
                <w:sz w:val="18"/>
                <w:szCs w:val="18"/>
              </w:rPr>
              <w:t>1,096</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2592B9" w14:textId="77777777" w:rsidR="001C20B9" w:rsidRPr="00834CDC" w:rsidRDefault="001C20B9" w:rsidP="003058F5">
            <w:pPr>
              <w:pStyle w:val="NormalWeb"/>
              <w:rPr>
                <w:sz w:val="18"/>
                <w:szCs w:val="18"/>
              </w:rPr>
            </w:pPr>
            <w:r w:rsidRPr="00834CDC">
              <w:rPr>
                <w:sz w:val="18"/>
                <w:szCs w:val="18"/>
              </w:rPr>
              <w:t>148.2</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7AB373" w14:textId="77777777" w:rsidR="001C20B9" w:rsidRPr="00834CDC" w:rsidRDefault="001C20B9" w:rsidP="003058F5">
            <w:pPr>
              <w:rPr>
                <w:sz w:val="18"/>
                <w:szCs w:val="18"/>
              </w:rPr>
            </w:pPr>
          </w:p>
        </w:tc>
        <w:tc>
          <w:tcPr>
            <w:tcW w:w="181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43205D" w14:textId="77777777" w:rsidR="001C20B9" w:rsidRPr="00834CDC" w:rsidRDefault="001C20B9" w:rsidP="003058F5">
            <w:pPr>
              <w:rPr>
                <w:sz w:val="18"/>
                <w:szCs w:val="18"/>
              </w:rPr>
            </w:pPr>
          </w:p>
        </w:tc>
      </w:tr>
      <w:tr w:rsidR="001C20B9" w:rsidRPr="00834CDC" w14:paraId="2E7AD58E" w14:textId="77777777" w:rsidTr="001C20B9">
        <w:tc>
          <w:tcPr>
            <w:tcW w:w="184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7495977" w14:textId="77777777" w:rsidR="001C20B9" w:rsidRPr="00834CDC" w:rsidRDefault="001C20B9" w:rsidP="001C20B9">
            <w:pPr>
              <w:pStyle w:val="NormalWeb"/>
              <w:jc w:val="left"/>
              <w:rPr>
                <w:b/>
                <w:bCs/>
                <w:sz w:val="18"/>
                <w:szCs w:val="18"/>
              </w:rPr>
            </w:pPr>
            <w:r w:rsidRPr="00834CDC">
              <w:rPr>
                <w:b/>
                <w:bCs/>
                <w:sz w:val="18"/>
                <w:szCs w:val="18"/>
              </w:rPr>
              <w:t>0–4 (total)</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3F9E4D4" w14:textId="77777777" w:rsidR="001C20B9" w:rsidRPr="00834CDC" w:rsidRDefault="001C20B9" w:rsidP="001C20B9">
            <w:pPr>
              <w:pStyle w:val="NormalWeb"/>
              <w:jc w:val="left"/>
              <w:rPr>
                <w:b/>
                <w:bCs/>
                <w:sz w:val="18"/>
                <w:szCs w:val="18"/>
              </w:rPr>
            </w:pPr>
            <w:r w:rsidRPr="00834CDC">
              <w:rPr>
                <w:b/>
                <w:bCs/>
                <w:sz w:val="18"/>
                <w:szCs w:val="18"/>
              </w:rPr>
              <w:t>Aboriginal and Torres Strait Islander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4CC4E24" w14:textId="77777777" w:rsidR="001C20B9" w:rsidRPr="00834CDC" w:rsidRDefault="001C20B9" w:rsidP="003058F5">
            <w:pPr>
              <w:pStyle w:val="NormalWeb"/>
              <w:rPr>
                <w:b/>
                <w:bCs/>
                <w:sz w:val="18"/>
                <w:szCs w:val="18"/>
              </w:rPr>
            </w:pPr>
            <w:r w:rsidRPr="00834CDC">
              <w:rPr>
                <w:b/>
                <w:bCs/>
                <w:sz w:val="18"/>
                <w:szCs w:val="18"/>
              </w:rPr>
              <w:t>342</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CDE8C99" w14:textId="77777777" w:rsidR="001C20B9" w:rsidRPr="00834CDC" w:rsidRDefault="001C20B9" w:rsidP="003058F5">
            <w:pPr>
              <w:pStyle w:val="NormalWeb"/>
              <w:rPr>
                <w:b/>
                <w:bCs/>
                <w:sz w:val="18"/>
                <w:szCs w:val="18"/>
              </w:rPr>
            </w:pPr>
            <w:r w:rsidRPr="00834CDC">
              <w:rPr>
                <w:b/>
                <w:bCs/>
                <w:sz w:val="18"/>
                <w:szCs w:val="18"/>
              </w:rPr>
              <w:t>412.8</w:t>
            </w:r>
          </w:p>
        </w:tc>
        <w:tc>
          <w:tcPr>
            <w:tcW w:w="99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0C4BB66" w14:textId="77777777" w:rsidR="001C20B9" w:rsidRPr="00834CDC" w:rsidRDefault="001C20B9" w:rsidP="003058F5">
            <w:pPr>
              <w:pStyle w:val="NormalWeb"/>
              <w:rPr>
                <w:b/>
                <w:bCs/>
                <w:sz w:val="18"/>
                <w:szCs w:val="18"/>
              </w:rPr>
            </w:pPr>
            <w:r w:rsidRPr="00834CDC">
              <w:rPr>
                <w:b/>
                <w:bCs/>
                <w:sz w:val="18"/>
                <w:szCs w:val="18"/>
              </w:rPr>
              <w:t>1.8</w:t>
            </w:r>
          </w:p>
        </w:tc>
        <w:tc>
          <w:tcPr>
            <w:tcW w:w="181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6560E9A" w14:textId="77777777" w:rsidR="001C20B9" w:rsidRPr="00834CDC" w:rsidRDefault="001C20B9" w:rsidP="003058F5">
            <w:pPr>
              <w:pStyle w:val="NormalWeb"/>
              <w:rPr>
                <w:b/>
                <w:bCs/>
                <w:sz w:val="18"/>
                <w:szCs w:val="18"/>
              </w:rPr>
            </w:pPr>
            <w:r w:rsidRPr="00834CDC">
              <w:rPr>
                <w:b/>
                <w:bCs/>
                <w:sz w:val="18"/>
                <w:szCs w:val="18"/>
              </w:rPr>
              <w:t>1.6–2.0</w:t>
            </w:r>
          </w:p>
        </w:tc>
      </w:tr>
      <w:tr w:rsidR="001C20B9" w:rsidRPr="00834CDC" w14:paraId="2977921F" w14:textId="77777777" w:rsidTr="001C20B9">
        <w:trPr>
          <w:cnfStyle w:val="000000010000" w:firstRow="0" w:lastRow="0" w:firstColumn="0" w:lastColumn="0" w:oddVBand="0" w:evenVBand="0" w:oddHBand="0" w:evenHBand="1" w:firstRowFirstColumn="0" w:firstRowLastColumn="0" w:lastRowFirstColumn="0" w:lastRowLastColumn="0"/>
        </w:trPr>
        <w:tc>
          <w:tcPr>
            <w:tcW w:w="184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95F777C" w14:textId="77777777" w:rsidR="001C20B9" w:rsidRPr="00834CDC" w:rsidRDefault="001C20B9" w:rsidP="001C20B9">
            <w:pPr>
              <w:jc w:val="left"/>
              <w:rPr>
                <w:b/>
                <w:bCs/>
                <w:sz w:val="18"/>
                <w:szCs w:val="18"/>
              </w:rPr>
            </w:pP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E77B427" w14:textId="77777777" w:rsidR="001C20B9" w:rsidRPr="00834CDC" w:rsidRDefault="001C20B9" w:rsidP="001C20B9">
            <w:pPr>
              <w:pStyle w:val="NormalWeb"/>
              <w:jc w:val="left"/>
              <w:rPr>
                <w:b/>
                <w:bCs/>
                <w:sz w:val="18"/>
                <w:szCs w:val="18"/>
              </w:rPr>
            </w:pPr>
            <w:r w:rsidRPr="00834CDC">
              <w:rPr>
                <w:b/>
                <w:bCs/>
                <w:sz w:val="18"/>
                <w:szCs w:val="18"/>
              </w:rPr>
              <w:t>Other</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147096B" w14:textId="77777777" w:rsidR="001C20B9" w:rsidRPr="00834CDC" w:rsidRDefault="001C20B9" w:rsidP="003058F5">
            <w:pPr>
              <w:pStyle w:val="NormalWeb"/>
              <w:rPr>
                <w:b/>
                <w:bCs/>
                <w:sz w:val="18"/>
                <w:szCs w:val="18"/>
              </w:rPr>
            </w:pPr>
            <w:r w:rsidRPr="00834CDC">
              <w:rPr>
                <w:b/>
                <w:bCs/>
                <w:sz w:val="18"/>
                <w:szCs w:val="18"/>
              </w:rPr>
              <w:t>2,102</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D413220" w14:textId="77777777" w:rsidR="001C20B9" w:rsidRPr="00834CDC" w:rsidRDefault="001C20B9" w:rsidP="003058F5">
            <w:pPr>
              <w:pStyle w:val="NormalWeb"/>
              <w:rPr>
                <w:b/>
                <w:bCs/>
                <w:sz w:val="18"/>
                <w:szCs w:val="18"/>
              </w:rPr>
            </w:pPr>
            <w:r w:rsidRPr="00834CDC">
              <w:rPr>
                <w:b/>
                <w:bCs/>
                <w:sz w:val="18"/>
                <w:szCs w:val="18"/>
              </w:rPr>
              <w:t>230.0</w:t>
            </w:r>
          </w:p>
        </w:tc>
        <w:tc>
          <w:tcPr>
            <w:tcW w:w="99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92CD0F6" w14:textId="77777777" w:rsidR="001C20B9" w:rsidRPr="00834CDC" w:rsidRDefault="001C20B9" w:rsidP="003058F5">
            <w:pPr>
              <w:rPr>
                <w:b/>
                <w:bCs/>
                <w:sz w:val="18"/>
                <w:szCs w:val="18"/>
              </w:rPr>
            </w:pPr>
          </w:p>
        </w:tc>
        <w:tc>
          <w:tcPr>
            <w:tcW w:w="181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7595751" w14:textId="77777777" w:rsidR="001C20B9" w:rsidRPr="00834CDC" w:rsidRDefault="001C20B9" w:rsidP="003058F5">
            <w:pPr>
              <w:rPr>
                <w:b/>
                <w:bCs/>
                <w:sz w:val="18"/>
                <w:szCs w:val="18"/>
              </w:rPr>
            </w:pPr>
          </w:p>
        </w:tc>
      </w:tr>
    </w:tbl>
    <w:p w14:paraId="6B2D84FA" w14:textId="77777777" w:rsidR="001C20B9" w:rsidRPr="00834CDC" w:rsidRDefault="001C20B9" w:rsidP="001C20B9">
      <w:pPr>
        <w:pStyle w:val="CDIfootnotes"/>
      </w:pPr>
      <w:proofErr w:type="gramStart"/>
      <w:r w:rsidRPr="00834CDC">
        <w:t>a</w:t>
      </w:r>
      <w:proofErr w:type="gramEnd"/>
      <w:r w:rsidRPr="00834CDC">
        <w:tab/>
        <w:t>Australian Capital Territory, Northern Territory, Queensland, South Australia, Tasmania and Western Australia.</w:t>
      </w:r>
    </w:p>
    <w:p w14:paraId="4C53633B" w14:textId="77777777" w:rsidR="001C20B9" w:rsidRPr="00834CDC" w:rsidRDefault="001C20B9" w:rsidP="001C20B9">
      <w:pPr>
        <w:pStyle w:val="CDIfootnotes"/>
      </w:pPr>
      <w:r w:rsidRPr="00834CDC">
        <w:t>b</w:t>
      </w:r>
      <w:r w:rsidRPr="00834CDC">
        <w:tab/>
        <w:t>Notifications where the date of diagnosis was between 1 July 2018 and 31 December 2019. 2018 notification data was annualised.</w:t>
      </w:r>
    </w:p>
    <w:p w14:paraId="3612A461" w14:textId="77777777" w:rsidR="001C20B9" w:rsidRPr="00834CDC" w:rsidRDefault="001C20B9" w:rsidP="001C20B9">
      <w:pPr>
        <w:pStyle w:val="CDIfootnotes"/>
      </w:pPr>
      <w:r w:rsidRPr="00834CDC">
        <w:t>c</w:t>
      </w:r>
      <w:r w:rsidRPr="00834CDC">
        <w:tab/>
        <w:t xml:space="preserve">Data fields used to determine the age of children in the 0 –&lt; </w:t>
      </w:r>
      <w:proofErr w:type="gramStart"/>
      <w:r w:rsidRPr="00834CDC">
        <w:t>6 month</w:t>
      </w:r>
      <w:proofErr w:type="gramEnd"/>
      <w:r w:rsidRPr="00834CDC">
        <w:t xml:space="preserve"> age group and the 6 months –&lt; 1 year age group was ‘age in weeks.’ Data fields used to determine the age of children in the &lt; 1, 1–4 and 0–4 years age groups </w:t>
      </w:r>
      <w:proofErr w:type="gramStart"/>
      <w:r w:rsidRPr="00834CDC">
        <w:t>was</w:t>
      </w:r>
      <w:proofErr w:type="gramEnd"/>
      <w:r w:rsidRPr="00834CDC">
        <w:t xml:space="preserve"> ‘age in years.’</w:t>
      </w:r>
    </w:p>
    <w:p w14:paraId="0438DDD5" w14:textId="77777777" w:rsidR="001C20B9" w:rsidRPr="00834CDC" w:rsidRDefault="001C20B9" w:rsidP="001C20B9">
      <w:pPr>
        <w:pStyle w:val="CDIfootnotes"/>
      </w:pPr>
      <w:r w:rsidRPr="00834CDC">
        <w:t>d</w:t>
      </w:r>
      <w:r w:rsidRPr="00834CDC">
        <w:tab/>
        <w:t>Average annual age-specific rate per 100,000 population.</w:t>
      </w:r>
    </w:p>
    <w:p w14:paraId="611C1954" w14:textId="2B48BF2C" w:rsidR="00443B13" w:rsidRPr="00834CDC" w:rsidRDefault="0033445F" w:rsidP="0033445F">
      <w:pPr>
        <w:divId w:val="1988506822"/>
      </w:pPr>
      <w:r w:rsidRPr="00834CDC">
        <w:t xml:space="preserve">Data on hospital admissions with rotavirus as one of the coded diagnoses </w:t>
      </w:r>
      <w:proofErr w:type="gramStart"/>
      <w:r w:rsidRPr="00834CDC">
        <w:t>are presented</w:t>
      </w:r>
      <w:proofErr w:type="gramEnd"/>
      <w:r w:rsidRPr="00834CDC">
        <w:t xml:space="preserve"> for all states and territories for the 2016–2019 period in Table 20. Of the total 4,145 hospitalisations coded as rotavirus in all ages, 518 (12.4%) </w:t>
      </w:r>
      <w:proofErr w:type="gramStart"/>
      <w:r w:rsidRPr="00834CDC">
        <w:t>were recorded</w:t>
      </w:r>
      <w:proofErr w:type="gramEnd"/>
      <w:r w:rsidRPr="00834CDC">
        <w:t xml:space="preserve"> as being in Aboriginal or Torres Strait Islander people. The highest hospitalisation rates were in Aboriginal and Torres Strait Islander infants aged 0 –&lt; 6 months (457.6 per 100,000 per year compared to 133.2 per 100,000 per year in other infants; RR: 3.4; 95% CI: 2.9–4.1) and 6 months –&lt; 1 year (257.2 per 100,000 per year compared to 32.0 per 100,000 per year in other infants; RR: 8.1; 95% CI: 6.1–10.5). Rates were significantly higher for Aboriginal and Torres Strait Islander people than for other people in all age groups except those aged 5–24 years, with the all-age Aboriginal and Torres Strait Islander versus other hospitalisation rate ratio 2.8 (95% CI: 2.5–3.1). </w:t>
      </w:r>
    </w:p>
    <w:p w14:paraId="20DABF79" w14:textId="77777777" w:rsidR="00443B13" w:rsidRPr="00834CDC" w:rsidRDefault="00443B13">
      <w:r w:rsidRPr="00834CDC">
        <w:br w:type="page"/>
      </w:r>
    </w:p>
    <w:p w14:paraId="02F03930" w14:textId="77777777" w:rsidR="00443B13" w:rsidRPr="00834CDC" w:rsidRDefault="00443B13" w:rsidP="00443B13">
      <w:pPr>
        <w:pStyle w:val="CDIFigures"/>
        <w:divId w:val="1988506822"/>
      </w:pPr>
      <w:r w:rsidRPr="00834CDC">
        <w:rPr>
          <w:rStyle w:val="Strong"/>
          <w:b/>
          <w:bCs w:val="0"/>
        </w:rPr>
        <w:lastRenderedPageBreak/>
        <w:t>Table 20: Rotavirus hospitalisations, Australia (all jurisdictions), 2016–2019, by age and Aboriginal and Torres Strait Islander status</w:t>
      </w:r>
    </w:p>
    <w:tbl>
      <w:tblPr>
        <w:tblStyle w:val="CDI-StandardTable"/>
        <w:tblW w:w="0" w:type="auto"/>
        <w:tblCellMar>
          <w:top w:w="28" w:type="dxa"/>
          <w:bottom w:w="28" w:type="dxa"/>
        </w:tblCellMar>
        <w:tblLook w:val="04A0" w:firstRow="1" w:lastRow="0" w:firstColumn="1" w:lastColumn="0" w:noHBand="0" w:noVBand="1"/>
        <w:tblDescription w:val="Table 20 shows the number and rates per 100,000 population of rotavirus hospitalisations by age and Aboriginal and Torres Strait Islander status, Australia, 2016 to 2019.&#10;"/>
      </w:tblPr>
      <w:tblGrid>
        <w:gridCol w:w="2410"/>
        <w:gridCol w:w="3544"/>
        <w:gridCol w:w="992"/>
        <w:gridCol w:w="706"/>
        <w:gridCol w:w="982"/>
        <w:gridCol w:w="1803"/>
      </w:tblGrid>
      <w:tr w:rsidR="00443B13" w:rsidRPr="00834CDC" w14:paraId="1C135144" w14:textId="77777777" w:rsidTr="004E44A3">
        <w:trPr>
          <w:cnfStyle w:val="100000000000" w:firstRow="1" w:lastRow="0" w:firstColumn="0" w:lastColumn="0" w:oddVBand="0" w:evenVBand="0" w:oddHBand="0" w:evenHBand="0" w:firstRowFirstColumn="0" w:firstRowLastColumn="0" w:lastRowFirstColumn="0" w:lastRowLastColumn="0"/>
          <w:divId w:val="1988506822"/>
          <w:tblHeader/>
        </w:trPr>
        <w:tc>
          <w:tcPr>
            <w:tcW w:w="2410" w:type="dxa"/>
            <w:vMerge w:val="restart"/>
            <w:hideMark/>
          </w:tcPr>
          <w:p w14:paraId="12ABF1F0" w14:textId="3AB54DC9" w:rsidR="00443B13" w:rsidRPr="00834CDC" w:rsidRDefault="00443B13" w:rsidP="00443B13">
            <w:pPr>
              <w:pStyle w:val="NormalWeb"/>
              <w:jc w:val="left"/>
              <w:rPr>
                <w:sz w:val="18"/>
                <w:szCs w:val="18"/>
              </w:rPr>
            </w:pPr>
            <w:r w:rsidRPr="00834CDC">
              <w:rPr>
                <w:sz w:val="18"/>
                <w:szCs w:val="18"/>
              </w:rPr>
              <w:t>Age group (years)</w:t>
            </w:r>
          </w:p>
        </w:tc>
        <w:tc>
          <w:tcPr>
            <w:tcW w:w="3544" w:type="dxa"/>
            <w:vMerge w:val="restart"/>
            <w:hideMark/>
          </w:tcPr>
          <w:p w14:paraId="696D46CC" w14:textId="77777777" w:rsidR="00443B13" w:rsidRPr="00834CDC" w:rsidRDefault="00443B13" w:rsidP="00443B13">
            <w:pPr>
              <w:pStyle w:val="NormalWeb"/>
              <w:jc w:val="left"/>
              <w:rPr>
                <w:sz w:val="18"/>
                <w:szCs w:val="18"/>
              </w:rPr>
            </w:pPr>
            <w:r w:rsidRPr="00834CDC">
              <w:rPr>
                <w:sz w:val="18"/>
                <w:szCs w:val="18"/>
              </w:rPr>
              <w:t>Aboriginal and Torres Strait Islander status</w:t>
            </w:r>
          </w:p>
        </w:tc>
        <w:tc>
          <w:tcPr>
            <w:tcW w:w="4483" w:type="dxa"/>
            <w:gridSpan w:val="4"/>
            <w:hideMark/>
          </w:tcPr>
          <w:p w14:paraId="2041EC4F" w14:textId="264D6221" w:rsidR="00443B13" w:rsidRPr="00834CDC" w:rsidRDefault="00443B13" w:rsidP="003058F5">
            <w:pPr>
              <w:pStyle w:val="NormalWeb"/>
              <w:rPr>
                <w:sz w:val="18"/>
                <w:szCs w:val="18"/>
              </w:rPr>
            </w:pPr>
            <w:r w:rsidRPr="00834CDC">
              <w:rPr>
                <w:sz w:val="18"/>
                <w:szCs w:val="18"/>
              </w:rPr>
              <w:t>Hospitalisations</w:t>
            </w:r>
            <w:r w:rsidR="00B975E2" w:rsidRPr="00834CDC">
              <w:rPr>
                <w:sz w:val="18"/>
                <w:szCs w:val="18"/>
              </w:rPr>
              <w:t xml:space="preserve"> </w:t>
            </w:r>
            <w:r w:rsidRPr="00834CDC">
              <w:rPr>
                <w:sz w:val="18"/>
                <w:szCs w:val="18"/>
                <w:vertAlign w:val="superscript"/>
              </w:rPr>
              <w:t>a</w:t>
            </w:r>
            <w:r w:rsidRPr="00834CDC">
              <w:rPr>
                <w:sz w:val="18"/>
                <w:szCs w:val="18"/>
              </w:rPr>
              <w:t xml:space="preserve"> (2016–2019)</w:t>
            </w:r>
          </w:p>
        </w:tc>
      </w:tr>
      <w:tr w:rsidR="00443B13" w:rsidRPr="00834CDC" w14:paraId="4ABCCACB" w14:textId="77777777" w:rsidTr="004E44A3">
        <w:trPr>
          <w:cnfStyle w:val="100000000000" w:firstRow="1" w:lastRow="0" w:firstColumn="0" w:lastColumn="0" w:oddVBand="0" w:evenVBand="0" w:oddHBand="0" w:evenHBand="0" w:firstRowFirstColumn="0" w:firstRowLastColumn="0" w:lastRowFirstColumn="0" w:lastRowLastColumn="0"/>
          <w:divId w:val="1988506822"/>
          <w:tblHeader/>
        </w:trPr>
        <w:tc>
          <w:tcPr>
            <w:tcW w:w="2410" w:type="dxa"/>
            <w:vMerge/>
            <w:tcBorders>
              <w:bottom w:val="single" w:sz="2" w:space="0" w:color="808080" w:themeColor="background1" w:themeShade="80"/>
            </w:tcBorders>
            <w:hideMark/>
          </w:tcPr>
          <w:p w14:paraId="2C216AE1" w14:textId="77777777" w:rsidR="00443B13" w:rsidRPr="00834CDC" w:rsidRDefault="00443B13" w:rsidP="00443B13">
            <w:pPr>
              <w:jc w:val="left"/>
              <w:rPr>
                <w:sz w:val="18"/>
                <w:szCs w:val="18"/>
              </w:rPr>
            </w:pPr>
          </w:p>
        </w:tc>
        <w:tc>
          <w:tcPr>
            <w:tcW w:w="3544" w:type="dxa"/>
            <w:vMerge/>
            <w:tcBorders>
              <w:bottom w:val="single" w:sz="2" w:space="0" w:color="808080" w:themeColor="background1" w:themeShade="80"/>
            </w:tcBorders>
            <w:hideMark/>
          </w:tcPr>
          <w:p w14:paraId="190E1707" w14:textId="77777777" w:rsidR="00443B13" w:rsidRPr="00834CDC" w:rsidRDefault="00443B13" w:rsidP="00443B13">
            <w:pPr>
              <w:jc w:val="left"/>
              <w:rPr>
                <w:sz w:val="18"/>
                <w:szCs w:val="18"/>
              </w:rPr>
            </w:pPr>
          </w:p>
        </w:tc>
        <w:tc>
          <w:tcPr>
            <w:tcW w:w="992" w:type="dxa"/>
            <w:tcBorders>
              <w:bottom w:val="single" w:sz="2" w:space="0" w:color="808080" w:themeColor="background1" w:themeShade="80"/>
            </w:tcBorders>
            <w:hideMark/>
          </w:tcPr>
          <w:p w14:paraId="4C96207D" w14:textId="77777777" w:rsidR="00443B13" w:rsidRPr="00834CDC" w:rsidRDefault="00443B13" w:rsidP="003058F5">
            <w:pPr>
              <w:pStyle w:val="NormalWeb"/>
              <w:rPr>
                <w:sz w:val="18"/>
                <w:szCs w:val="18"/>
              </w:rPr>
            </w:pPr>
            <w:r w:rsidRPr="00834CDC">
              <w:rPr>
                <w:sz w:val="18"/>
                <w:szCs w:val="18"/>
              </w:rPr>
              <w:t>n</w:t>
            </w:r>
          </w:p>
        </w:tc>
        <w:tc>
          <w:tcPr>
            <w:tcW w:w="706" w:type="dxa"/>
            <w:tcBorders>
              <w:bottom w:val="single" w:sz="2" w:space="0" w:color="808080" w:themeColor="background1" w:themeShade="80"/>
            </w:tcBorders>
            <w:hideMark/>
          </w:tcPr>
          <w:p w14:paraId="3669370C" w14:textId="01BA40AB" w:rsidR="00443B13" w:rsidRPr="00834CDC" w:rsidRDefault="00443B13" w:rsidP="003058F5">
            <w:pPr>
              <w:pStyle w:val="NormalWeb"/>
              <w:rPr>
                <w:sz w:val="18"/>
                <w:szCs w:val="18"/>
              </w:rPr>
            </w:pPr>
            <w:r w:rsidRPr="00834CDC">
              <w:rPr>
                <w:sz w:val="18"/>
                <w:szCs w:val="18"/>
              </w:rPr>
              <w:t>Rate</w:t>
            </w:r>
            <w:r w:rsidR="00B975E2" w:rsidRPr="00834CDC">
              <w:rPr>
                <w:sz w:val="18"/>
                <w:szCs w:val="18"/>
              </w:rPr>
              <w:t xml:space="preserve"> </w:t>
            </w:r>
            <w:r w:rsidRPr="00834CDC">
              <w:rPr>
                <w:sz w:val="18"/>
                <w:szCs w:val="18"/>
                <w:vertAlign w:val="superscript"/>
              </w:rPr>
              <w:t>b</w:t>
            </w:r>
          </w:p>
        </w:tc>
        <w:tc>
          <w:tcPr>
            <w:tcW w:w="982" w:type="dxa"/>
            <w:tcBorders>
              <w:bottom w:val="single" w:sz="2" w:space="0" w:color="808080" w:themeColor="background1" w:themeShade="80"/>
            </w:tcBorders>
            <w:hideMark/>
          </w:tcPr>
          <w:p w14:paraId="7D71A6D1" w14:textId="77777777" w:rsidR="00443B13" w:rsidRPr="00834CDC" w:rsidRDefault="00443B13" w:rsidP="003058F5">
            <w:pPr>
              <w:pStyle w:val="NormalWeb"/>
              <w:rPr>
                <w:sz w:val="18"/>
                <w:szCs w:val="18"/>
              </w:rPr>
            </w:pPr>
            <w:r w:rsidRPr="00834CDC">
              <w:rPr>
                <w:sz w:val="18"/>
                <w:szCs w:val="18"/>
              </w:rPr>
              <w:t>Rate ratio</w:t>
            </w:r>
          </w:p>
        </w:tc>
        <w:tc>
          <w:tcPr>
            <w:tcW w:w="1803" w:type="dxa"/>
            <w:tcBorders>
              <w:bottom w:val="single" w:sz="2" w:space="0" w:color="808080" w:themeColor="background1" w:themeShade="80"/>
            </w:tcBorders>
            <w:hideMark/>
          </w:tcPr>
          <w:p w14:paraId="0C198981" w14:textId="77777777" w:rsidR="00443B13" w:rsidRPr="00834CDC" w:rsidRDefault="00443B13" w:rsidP="003058F5">
            <w:pPr>
              <w:pStyle w:val="NormalWeb"/>
              <w:rPr>
                <w:sz w:val="18"/>
                <w:szCs w:val="18"/>
              </w:rPr>
            </w:pPr>
            <w:proofErr w:type="gramStart"/>
            <w:r w:rsidRPr="00834CDC">
              <w:rPr>
                <w:sz w:val="18"/>
                <w:szCs w:val="18"/>
              </w:rPr>
              <w:t>95%</w:t>
            </w:r>
            <w:proofErr w:type="gramEnd"/>
            <w:r w:rsidRPr="00834CDC">
              <w:rPr>
                <w:sz w:val="18"/>
                <w:szCs w:val="18"/>
              </w:rPr>
              <w:t xml:space="preserve"> CI for rate ratio</w:t>
            </w:r>
          </w:p>
        </w:tc>
      </w:tr>
      <w:tr w:rsidR="00443B13" w:rsidRPr="00834CDC" w14:paraId="6135E728" w14:textId="77777777" w:rsidTr="004E44A3">
        <w:trPr>
          <w:divId w:val="1988506822"/>
        </w:trPr>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BC98AD" w14:textId="77777777" w:rsidR="00443B13" w:rsidRPr="00834CDC" w:rsidRDefault="00443B13" w:rsidP="00443B13">
            <w:pPr>
              <w:pStyle w:val="NormalWeb"/>
              <w:jc w:val="left"/>
              <w:rPr>
                <w:sz w:val="18"/>
                <w:szCs w:val="18"/>
              </w:rPr>
            </w:pPr>
            <w:r w:rsidRPr="00834CDC">
              <w:rPr>
                <w:sz w:val="18"/>
                <w:szCs w:val="18"/>
              </w:rPr>
              <w:t>0–4</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39F0E7" w14:textId="77777777" w:rsidR="00443B13" w:rsidRPr="00834CDC" w:rsidRDefault="00443B13" w:rsidP="00443B13">
            <w:pPr>
              <w:pStyle w:val="NormalWeb"/>
              <w:jc w:val="left"/>
              <w:rPr>
                <w:sz w:val="18"/>
                <w:szCs w:val="18"/>
              </w:rPr>
            </w:pPr>
            <w:r w:rsidRPr="00834CDC">
              <w:rPr>
                <w:sz w:val="18"/>
                <w:szCs w:val="18"/>
              </w:rPr>
              <w:t>Aboriginal and Torres Strait Islander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DB8F68" w14:textId="77777777" w:rsidR="00443B13" w:rsidRPr="00834CDC" w:rsidRDefault="00443B13" w:rsidP="003058F5">
            <w:pPr>
              <w:pStyle w:val="NormalWeb"/>
              <w:rPr>
                <w:sz w:val="18"/>
                <w:szCs w:val="18"/>
              </w:rPr>
            </w:pPr>
            <w:r w:rsidRPr="00834CDC">
              <w:rPr>
                <w:sz w:val="18"/>
                <w:szCs w:val="18"/>
              </w:rPr>
              <w:t>438</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19592E" w14:textId="77777777" w:rsidR="00443B13" w:rsidRPr="00834CDC" w:rsidRDefault="00443B13" w:rsidP="003058F5">
            <w:pPr>
              <w:pStyle w:val="NormalWeb"/>
              <w:rPr>
                <w:sz w:val="18"/>
                <w:szCs w:val="18"/>
              </w:rPr>
            </w:pPr>
            <w:r w:rsidRPr="00834CDC">
              <w:rPr>
                <w:sz w:val="18"/>
                <w:szCs w:val="18"/>
              </w:rPr>
              <w:t>132.81</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7F0FBB" w14:textId="77777777" w:rsidR="00443B13" w:rsidRPr="00834CDC" w:rsidRDefault="00443B13" w:rsidP="003058F5">
            <w:pPr>
              <w:pStyle w:val="NormalWeb"/>
              <w:rPr>
                <w:sz w:val="18"/>
                <w:szCs w:val="18"/>
              </w:rPr>
            </w:pPr>
            <w:r w:rsidRPr="00834CDC">
              <w:rPr>
                <w:sz w:val="18"/>
                <w:szCs w:val="18"/>
              </w:rPr>
              <w:t>4.3</w:t>
            </w:r>
          </w:p>
        </w:tc>
        <w:tc>
          <w:tcPr>
            <w:tcW w:w="180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8B407E" w14:textId="77777777" w:rsidR="00443B13" w:rsidRPr="00834CDC" w:rsidRDefault="00443B13" w:rsidP="003058F5">
            <w:pPr>
              <w:pStyle w:val="NormalWeb"/>
              <w:rPr>
                <w:sz w:val="18"/>
                <w:szCs w:val="18"/>
              </w:rPr>
            </w:pPr>
            <w:r w:rsidRPr="00834CDC">
              <w:rPr>
                <w:sz w:val="18"/>
                <w:szCs w:val="18"/>
              </w:rPr>
              <w:t>3.8–4.8</w:t>
            </w:r>
          </w:p>
        </w:tc>
      </w:tr>
      <w:tr w:rsidR="00443B13" w:rsidRPr="00834CDC" w14:paraId="63CBDC47"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F1CB03" w14:textId="77777777" w:rsidR="00443B13" w:rsidRPr="00834CDC" w:rsidRDefault="00443B13" w:rsidP="00443B13">
            <w:pPr>
              <w:jc w:val="left"/>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0617FE" w14:textId="77777777" w:rsidR="00443B13" w:rsidRPr="00834CDC" w:rsidRDefault="00443B13" w:rsidP="00443B13">
            <w:pPr>
              <w:pStyle w:val="NormalWeb"/>
              <w:jc w:val="left"/>
              <w:rPr>
                <w:sz w:val="18"/>
                <w:szCs w:val="18"/>
              </w:rPr>
            </w:pPr>
            <w:r w:rsidRPr="00834CDC">
              <w:rPr>
                <w:sz w:val="18"/>
                <w:szCs w:val="18"/>
              </w:rPr>
              <w:t>Other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D34650" w14:textId="77777777" w:rsidR="00443B13" w:rsidRPr="00834CDC" w:rsidRDefault="00443B13" w:rsidP="003058F5">
            <w:pPr>
              <w:pStyle w:val="NormalWeb"/>
              <w:rPr>
                <w:sz w:val="18"/>
                <w:szCs w:val="18"/>
              </w:rPr>
            </w:pPr>
            <w:r w:rsidRPr="00834CDC">
              <w:rPr>
                <w:sz w:val="18"/>
                <w:szCs w:val="18"/>
              </w:rPr>
              <w:t>1,603</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3D3924" w14:textId="77777777" w:rsidR="00443B13" w:rsidRPr="00834CDC" w:rsidRDefault="00443B13" w:rsidP="003058F5">
            <w:pPr>
              <w:pStyle w:val="NormalWeb"/>
              <w:rPr>
                <w:sz w:val="18"/>
                <w:szCs w:val="18"/>
              </w:rPr>
            </w:pPr>
            <w:r w:rsidRPr="00834CDC">
              <w:rPr>
                <w:sz w:val="18"/>
                <w:szCs w:val="18"/>
              </w:rPr>
              <w:t>30.95</w:t>
            </w:r>
          </w:p>
        </w:tc>
        <w:tc>
          <w:tcPr>
            <w:tcW w:w="98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C5D7E5" w14:textId="77777777" w:rsidR="00443B13" w:rsidRPr="00834CDC" w:rsidRDefault="00443B13" w:rsidP="003058F5">
            <w:pPr>
              <w:rPr>
                <w:sz w:val="18"/>
                <w:szCs w:val="18"/>
              </w:rPr>
            </w:pPr>
          </w:p>
        </w:tc>
        <w:tc>
          <w:tcPr>
            <w:tcW w:w="180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F8406A" w14:textId="77777777" w:rsidR="00443B13" w:rsidRPr="00834CDC" w:rsidRDefault="00443B13" w:rsidP="003058F5">
            <w:pPr>
              <w:rPr>
                <w:sz w:val="18"/>
                <w:szCs w:val="18"/>
              </w:rPr>
            </w:pPr>
          </w:p>
        </w:tc>
      </w:tr>
      <w:tr w:rsidR="00443B13" w:rsidRPr="00834CDC" w14:paraId="6BD63C9E" w14:textId="77777777" w:rsidTr="004E44A3">
        <w:trPr>
          <w:divId w:val="1988506822"/>
        </w:trPr>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CE6B5C" w14:textId="77777777" w:rsidR="00443B13" w:rsidRPr="00834CDC" w:rsidRDefault="00443B13" w:rsidP="00443B13">
            <w:pPr>
              <w:pStyle w:val="NormalWeb"/>
              <w:jc w:val="right"/>
              <w:rPr>
                <w:sz w:val="18"/>
                <w:szCs w:val="18"/>
              </w:rPr>
            </w:pPr>
            <w:r w:rsidRPr="00834CDC">
              <w:rPr>
                <w:sz w:val="18"/>
                <w:szCs w:val="18"/>
              </w:rPr>
              <w:t>0 –&lt; 6 months</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F95A8C" w14:textId="77777777" w:rsidR="00443B13" w:rsidRPr="00834CDC" w:rsidRDefault="00443B13" w:rsidP="00443B13">
            <w:pPr>
              <w:pStyle w:val="NormalWeb"/>
              <w:jc w:val="left"/>
              <w:rPr>
                <w:sz w:val="18"/>
                <w:szCs w:val="18"/>
              </w:rPr>
            </w:pPr>
            <w:r w:rsidRPr="00834CDC">
              <w:rPr>
                <w:sz w:val="18"/>
                <w:szCs w:val="18"/>
              </w:rPr>
              <w:t>Aboriginal and Torres Strait Islander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139A8E" w14:textId="77777777" w:rsidR="00443B13" w:rsidRPr="00834CDC" w:rsidRDefault="00443B13" w:rsidP="003058F5">
            <w:pPr>
              <w:pStyle w:val="NormalWeb"/>
              <w:rPr>
                <w:sz w:val="18"/>
                <w:szCs w:val="18"/>
              </w:rPr>
            </w:pPr>
            <w:r w:rsidRPr="00834CDC">
              <w:rPr>
                <w:sz w:val="18"/>
                <w:szCs w:val="18"/>
              </w:rPr>
              <w:t>153</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1D106E" w14:textId="77777777" w:rsidR="00443B13" w:rsidRPr="00834CDC" w:rsidRDefault="00443B13" w:rsidP="003058F5">
            <w:pPr>
              <w:pStyle w:val="NormalWeb"/>
              <w:rPr>
                <w:sz w:val="18"/>
                <w:szCs w:val="18"/>
              </w:rPr>
            </w:pPr>
            <w:r w:rsidRPr="00834CDC">
              <w:rPr>
                <w:sz w:val="18"/>
                <w:szCs w:val="18"/>
              </w:rPr>
              <w:t>457.59</w:t>
            </w:r>
          </w:p>
        </w:tc>
        <w:tc>
          <w:tcPr>
            <w:tcW w:w="98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0C1372" w14:textId="77777777" w:rsidR="00443B13" w:rsidRPr="00834CDC" w:rsidRDefault="00443B13" w:rsidP="003058F5">
            <w:pPr>
              <w:pStyle w:val="NormalWeb"/>
              <w:rPr>
                <w:sz w:val="18"/>
                <w:szCs w:val="18"/>
              </w:rPr>
            </w:pPr>
            <w:r w:rsidRPr="00834CDC">
              <w:rPr>
                <w:sz w:val="18"/>
                <w:szCs w:val="18"/>
              </w:rPr>
              <w:t>3.4</w:t>
            </w:r>
          </w:p>
        </w:tc>
        <w:tc>
          <w:tcPr>
            <w:tcW w:w="180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52BAD4" w14:textId="77777777" w:rsidR="00443B13" w:rsidRPr="00834CDC" w:rsidRDefault="00443B13" w:rsidP="003058F5">
            <w:pPr>
              <w:pStyle w:val="NormalWeb"/>
              <w:rPr>
                <w:sz w:val="18"/>
                <w:szCs w:val="18"/>
              </w:rPr>
            </w:pPr>
            <w:r w:rsidRPr="00834CDC">
              <w:rPr>
                <w:sz w:val="18"/>
                <w:szCs w:val="18"/>
              </w:rPr>
              <w:t>2.9–4.1</w:t>
            </w:r>
          </w:p>
        </w:tc>
      </w:tr>
      <w:tr w:rsidR="00443B13" w:rsidRPr="00834CDC" w14:paraId="23B1B49D"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E05EEE" w14:textId="77777777" w:rsidR="00443B13" w:rsidRPr="00834CDC" w:rsidRDefault="00443B13" w:rsidP="00443B13">
            <w:pPr>
              <w:jc w:val="left"/>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A688BB" w14:textId="77777777" w:rsidR="00443B13" w:rsidRPr="00834CDC" w:rsidRDefault="00443B13" w:rsidP="00443B13">
            <w:pPr>
              <w:pStyle w:val="NormalWeb"/>
              <w:jc w:val="left"/>
              <w:rPr>
                <w:sz w:val="18"/>
                <w:szCs w:val="18"/>
              </w:rPr>
            </w:pPr>
            <w:r w:rsidRPr="00834CDC">
              <w:rPr>
                <w:sz w:val="18"/>
                <w:szCs w:val="18"/>
              </w:rPr>
              <w:t>Other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D85795" w14:textId="77777777" w:rsidR="00443B13" w:rsidRPr="00834CDC" w:rsidRDefault="00443B13" w:rsidP="003058F5">
            <w:pPr>
              <w:pStyle w:val="NormalWeb"/>
              <w:rPr>
                <w:sz w:val="18"/>
                <w:szCs w:val="18"/>
              </w:rPr>
            </w:pPr>
            <w:r w:rsidRPr="00834CDC">
              <w:rPr>
                <w:sz w:val="18"/>
                <w:szCs w:val="18"/>
              </w:rPr>
              <w:t>675</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A4CD76" w14:textId="77777777" w:rsidR="00443B13" w:rsidRPr="00834CDC" w:rsidRDefault="00443B13" w:rsidP="003058F5">
            <w:pPr>
              <w:pStyle w:val="NormalWeb"/>
              <w:rPr>
                <w:sz w:val="18"/>
                <w:szCs w:val="18"/>
              </w:rPr>
            </w:pPr>
            <w:r w:rsidRPr="00834CDC">
              <w:rPr>
                <w:sz w:val="18"/>
                <w:szCs w:val="18"/>
              </w:rPr>
              <w:t>133.20</w:t>
            </w:r>
          </w:p>
        </w:tc>
        <w:tc>
          <w:tcPr>
            <w:tcW w:w="98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6B1C02" w14:textId="77777777" w:rsidR="00443B13" w:rsidRPr="00834CDC" w:rsidRDefault="00443B13" w:rsidP="003058F5">
            <w:pPr>
              <w:rPr>
                <w:sz w:val="18"/>
                <w:szCs w:val="18"/>
              </w:rPr>
            </w:pPr>
          </w:p>
        </w:tc>
        <w:tc>
          <w:tcPr>
            <w:tcW w:w="180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1E4109" w14:textId="77777777" w:rsidR="00443B13" w:rsidRPr="00834CDC" w:rsidRDefault="00443B13" w:rsidP="003058F5">
            <w:pPr>
              <w:rPr>
                <w:sz w:val="18"/>
                <w:szCs w:val="18"/>
              </w:rPr>
            </w:pPr>
          </w:p>
        </w:tc>
      </w:tr>
      <w:tr w:rsidR="00443B13" w:rsidRPr="00834CDC" w14:paraId="6F39D9B2" w14:textId="77777777" w:rsidTr="004E44A3">
        <w:trPr>
          <w:divId w:val="1988506822"/>
        </w:trPr>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6AA34E" w14:textId="77777777" w:rsidR="00443B13" w:rsidRPr="00834CDC" w:rsidRDefault="00443B13" w:rsidP="00443B13">
            <w:pPr>
              <w:pStyle w:val="NormalWeb"/>
              <w:jc w:val="right"/>
              <w:rPr>
                <w:sz w:val="18"/>
                <w:szCs w:val="18"/>
              </w:rPr>
            </w:pPr>
            <w:r w:rsidRPr="00834CDC">
              <w:rPr>
                <w:sz w:val="18"/>
                <w:szCs w:val="18"/>
              </w:rPr>
              <w:t>6 months –&lt; 1 year</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07DF5F" w14:textId="77777777" w:rsidR="00443B13" w:rsidRPr="00834CDC" w:rsidRDefault="00443B13" w:rsidP="00443B13">
            <w:pPr>
              <w:pStyle w:val="NormalWeb"/>
              <w:jc w:val="left"/>
              <w:rPr>
                <w:sz w:val="18"/>
                <w:szCs w:val="18"/>
              </w:rPr>
            </w:pPr>
            <w:r w:rsidRPr="00834CDC">
              <w:rPr>
                <w:sz w:val="18"/>
                <w:szCs w:val="18"/>
              </w:rPr>
              <w:t>Aboriginal and Torres Strait Islander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11190E" w14:textId="77777777" w:rsidR="00443B13" w:rsidRPr="00834CDC" w:rsidRDefault="00443B13" w:rsidP="003058F5">
            <w:pPr>
              <w:pStyle w:val="NormalWeb"/>
              <w:rPr>
                <w:sz w:val="18"/>
                <w:szCs w:val="18"/>
              </w:rPr>
            </w:pPr>
            <w:r w:rsidRPr="00834CDC">
              <w:rPr>
                <w:sz w:val="18"/>
                <w:szCs w:val="18"/>
              </w:rPr>
              <w:t>86</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FAE3E3" w14:textId="77777777" w:rsidR="00443B13" w:rsidRPr="00834CDC" w:rsidRDefault="00443B13" w:rsidP="003058F5">
            <w:pPr>
              <w:pStyle w:val="NormalWeb"/>
              <w:rPr>
                <w:sz w:val="18"/>
                <w:szCs w:val="18"/>
              </w:rPr>
            </w:pPr>
            <w:r w:rsidRPr="00834CDC">
              <w:rPr>
                <w:sz w:val="18"/>
                <w:szCs w:val="18"/>
              </w:rPr>
              <w:t>257.21</w:t>
            </w:r>
          </w:p>
        </w:tc>
        <w:tc>
          <w:tcPr>
            <w:tcW w:w="98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053EFA" w14:textId="77777777" w:rsidR="00443B13" w:rsidRPr="00834CDC" w:rsidRDefault="00443B13" w:rsidP="003058F5">
            <w:pPr>
              <w:pStyle w:val="NormalWeb"/>
              <w:rPr>
                <w:sz w:val="18"/>
                <w:szCs w:val="18"/>
              </w:rPr>
            </w:pPr>
            <w:r w:rsidRPr="00834CDC">
              <w:rPr>
                <w:sz w:val="18"/>
                <w:szCs w:val="18"/>
              </w:rPr>
              <w:t>8.1</w:t>
            </w:r>
          </w:p>
        </w:tc>
        <w:tc>
          <w:tcPr>
            <w:tcW w:w="180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4DC98D" w14:textId="77777777" w:rsidR="00443B13" w:rsidRPr="00834CDC" w:rsidRDefault="00443B13" w:rsidP="003058F5">
            <w:pPr>
              <w:pStyle w:val="NormalWeb"/>
              <w:rPr>
                <w:sz w:val="18"/>
                <w:szCs w:val="18"/>
              </w:rPr>
            </w:pPr>
            <w:r w:rsidRPr="00834CDC">
              <w:rPr>
                <w:sz w:val="18"/>
                <w:szCs w:val="18"/>
              </w:rPr>
              <w:t>6.1–10.5</w:t>
            </w:r>
          </w:p>
        </w:tc>
      </w:tr>
      <w:tr w:rsidR="00443B13" w:rsidRPr="00834CDC" w14:paraId="6929CBE6"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6179B4" w14:textId="77777777" w:rsidR="00443B13" w:rsidRPr="00834CDC" w:rsidRDefault="00443B13" w:rsidP="00443B13">
            <w:pPr>
              <w:jc w:val="left"/>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86A191" w14:textId="77777777" w:rsidR="00443B13" w:rsidRPr="00834CDC" w:rsidRDefault="00443B13" w:rsidP="00443B13">
            <w:pPr>
              <w:pStyle w:val="NormalWeb"/>
              <w:jc w:val="left"/>
              <w:rPr>
                <w:sz w:val="18"/>
                <w:szCs w:val="18"/>
              </w:rPr>
            </w:pPr>
            <w:r w:rsidRPr="00834CDC">
              <w:rPr>
                <w:sz w:val="18"/>
                <w:szCs w:val="18"/>
              </w:rPr>
              <w:t>Other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F113D7" w14:textId="77777777" w:rsidR="00443B13" w:rsidRPr="00834CDC" w:rsidRDefault="00443B13" w:rsidP="003058F5">
            <w:pPr>
              <w:pStyle w:val="NormalWeb"/>
              <w:rPr>
                <w:sz w:val="18"/>
                <w:szCs w:val="18"/>
              </w:rPr>
            </w:pPr>
            <w:r w:rsidRPr="00834CDC">
              <w:rPr>
                <w:sz w:val="18"/>
                <w:szCs w:val="18"/>
              </w:rPr>
              <w:t>162</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92E29D" w14:textId="77777777" w:rsidR="00443B13" w:rsidRPr="00834CDC" w:rsidRDefault="00443B13" w:rsidP="003058F5">
            <w:pPr>
              <w:pStyle w:val="NormalWeb"/>
              <w:rPr>
                <w:sz w:val="18"/>
                <w:szCs w:val="18"/>
              </w:rPr>
            </w:pPr>
            <w:r w:rsidRPr="00834CDC">
              <w:rPr>
                <w:sz w:val="18"/>
                <w:szCs w:val="18"/>
              </w:rPr>
              <w:t>31.97</w:t>
            </w:r>
          </w:p>
        </w:tc>
        <w:tc>
          <w:tcPr>
            <w:tcW w:w="98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0C9420" w14:textId="77777777" w:rsidR="00443B13" w:rsidRPr="00834CDC" w:rsidRDefault="00443B13" w:rsidP="003058F5">
            <w:pPr>
              <w:rPr>
                <w:sz w:val="18"/>
                <w:szCs w:val="18"/>
              </w:rPr>
            </w:pPr>
          </w:p>
        </w:tc>
        <w:tc>
          <w:tcPr>
            <w:tcW w:w="180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9B6977" w14:textId="77777777" w:rsidR="00443B13" w:rsidRPr="00834CDC" w:rsidRDefault="00443B13" w:rsidP="003058F5">
            <w:pPr>
              <w:rPr>
                <w:sz w:val="18"/>
                <w:szCs w:val="18"/>
              </w:rPr>
            </w:pPr>
          </w:p>
        </w:tc>
      </w:tr>
      <w:tr w:rsidR="00443B13" w:rsidRPr="00834CDC" w14:paraId="58238043" w14:textId="77777777" w:rsidTr="004E44A3">
        <w:trPr>
          <w:divId w:val="1988506822"/>
        </w:trPr>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803650" w14:textId="77777777" w:rsidR="00443B13" w:rsidRPr="00834CDC" w:rsidRDefault="00443B13" w:rsidP="002E0288">
            <w:pPr>
              <w:pStyle w:val="NormalWeb"/>
              <w:jc w:val="right"/>
              <w:rPr>
                <w:sz w:val="18"/>
                <w:szCs w:val="18"/>
              </w:rPr>
            </w:pPr>
            <w:r w:rsidRPr="00834CDC">
              <w:rPr>
                <w:sz w:val="18"/>
                <w:szCs w:val="18"/>
              </w:rPr>
              <w:t>1–4</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B042EC" w14:textId="77777777" w:rsidR="00443B13" w:rsidRPr="00834CDC" w:rsidRDefault="00443B13" w:rsidP="00443B13">
            <w:pPr>
              <w:pStyle w:val="NormalWeb"/>
              <w:jc w:val="left"/>
              <w:rPr>
                <w:sz w:val="18"/>
                <w:szCs w:val="18"/>
              </w:rPr>
            </w:pPr>
            <w:r w:rsidRPr="00834CDC">
              <w:rPr>
                <w:sz w:val="18"/>
                <w:szCs w:val="18"/>
              </w:rPr>
              <w:t>Aboriginal and Torres Strait Islander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0449DA" w14:textId="77777777" w:rsidR="00443B13" w:rsidRPr="00834CDC" w:rsidRDefault="00443B13" w:rsidP="003058F5">
            <w:pPr>
              <w:pStyle w:val="NormalWeb"/>
              <w:rPr>
                <w:sz w:val="18"/>
                <w:szCs w:val="18"/>
              </w:rPr>
            </w:pPr>
            <w:r w:rsidRPr="00834CDC">
              <w:rPr>
                <w:sz w:val="18"/>
                <w:szCs w:val="18"/>
              </w:rPr>
              <w:t>198</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91FC2C" w14:textId="77777777" w:rsidR="00443B13" w:rsidRPr="00834CDC" w:rsidRDefault="00443B13" w:rsidP="003058F5">
            <w:pPr>
              <w:pStyle w:val="NormalWeb"/>
              <w:rPr>
                <w:sz w:val="18"/>
                <w:szCs w:val="18"/>
              </w:rPr>
            </w:pPr>
            <w:r w:rsidRPr="00834CDC">
              <w:rPr>
                <w:sz w:val="18"/>
                <w:szCs w:val="18"/>
              </w:rPr>
              <w:t>75.30</w:t>
            </w:r>
          </w:p>
        </w:tc>
        <w:tc>
          <w:tcPr>
            <w:tcW w:w="98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8404DE" w14:textId="77777777" w:rsidR="00443B13" w:rsidRPr="00834CDC" w:rsidRDefault="00443B13" w:rsidP="003058F5">
            <w:pPr>
              <w:pStyle w:val="NormalWeb"/>
              <w:rPr>
                <w:sz w:val="18"/>
                <w:szCs w:val="18"/>
              </w:rPr>
            </w:pPr>
            <w:r w:rsidRPr="00834CDC">
              <w:rPr>
                <w:sz w:val="18"/>
                <w:szCs w:val="18"/>
              </w:rPr>
              <w:t>4.1</w:t>
            </w:r>
          </w:p>
        </w:tc>
        <w:tc>
          <w:tcPr>
            <w:tcW w:w="180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BB8D2C" w14:textId="77777777" w:rsidR="00443B13" w:rsidRPr="00834CDC" w:rsidRDefault="00443B13" w:rsidP="003058F5">
            <w:pPr>
              <w:pStyle w:val="NormalWeb"/>
              <w:rPr>
                <w:sz w:val="18"/>
                <w:szCs w:val="18"/>
              </w:rPr>
            </w:pPr>
            <w:r w:rsidRPr="00834CDC">
              <w:rPr>
                <w:sz w:val="18"/>
                <w:szCs w:val="18"/>
              </w:rPr>
              <w:t>3.5–4.8</w:t>
            </w:r>
          </w:p>
        </w:tc>
      </w:tr>
      <w:tr w:rsidR="00443B13" w:rsidRPr="00834CDC" w14:paraId="404CA164"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FC7BC8" w14:textId="77777777" w:rsidR="00443B13" w:rsidRPr="00834CDC" w:rsidRDefault="00443B13" w:rsidP="00443B13">
            <w:pPr>
              <w:jc w:val="left"/>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2581A5" w14:textId="77777777" w:rsidR="00443B13" w:rsidRPr="00834CDC" w:rsidRDefault="00443B13" w:rsidP="00443B13">
            <w:pPr>
              <w:pStyle w:val="NormalWeb"/>
              <w:jc w:val="left"/>
              <w:rPr>
                <w:sz w:val="18"/>
                <w:szCs w:val="18"/>
              </w:rPr>
            </w:pPr>
            <w:r w:rsidRPr="00834CDC">
              <w:rPr>
                <w:sz w:val="18"/>
                <w:szCs w:val="18"/>
              </w:rPr>
              <w:t>Other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EB768D" w14:textId="77777777" w:rsidR="00443B13" w:rsidRPr="00834CDC" w:rsidRDefault="00443B13" w:rsidP="003058F5">
            <w:pPr>
              <w:pStyle w:val="NormalWeb"/>
              <w:rPr>
                <w:sz w:val="18"/>
                <w:szCs w:val="18"/>
              </w:rPr>
            </w:pPr>
            <w:r w:rsidRPr="00834CDC">
              <w:rPr>
                <w:sz w:val="18"/>
                <w:szCs w:val="18"/>
              </w:rPr>
              <w:t>766</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2FD05F" w14:textId="77777777" w:rsidR="00443B13" w:rsidRPr="00834CDC" w:rsidRDefault="00443B13" w:rsidP="003058F5">
            <w:pPr>
              <w:pStyle w:val="NormalWeb"/>
              <w:rPr>
                <w:sz w:val="18"/>
                <w:szCs w:val="18"/>
              </w:rPr>
            </w:pPr>
            <w:r w:rsidRPr="00834CDC">
              <w:rPr>
                <w:sz w:val="18"/>
                <w:szCs w:val="18"/>
              </w:rPr>
              <w:t>18.39</w:t>
            </w:r>
          </w:p>
        </w:tc>
        <w:tc>
          <w:tcPr>
            <w:tcW w:w="98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599B7D" w14:textId="77777777" w:rsidR="00443B13" w:rsidRPr="00834CDC" w:rsidRDefault="00443B13" w:rsidP="003058F5">
            <w:pPr>
              <w:rPr>
                <w:sz w:val="18"/>
                <w:szCs w:val="18"/>
              </w:rPr>
            </w:pPr>
          </w:p>
        </w:tc>
        <w:tc>
          <w:tcPr>
            <w:tcW w:w="180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AECF1F" w14:textId="77777777" w:rsidR="00443B13" w:rsidRPr="00834CDC" w:rsidRDefault="00443B13" w:rsidP="003058F5">
            <w:pPr>
              <w:rPr>
                <w:sz w:val="18"/>
                <w:szCs w:val="18"/>
              </w:rPr>
            </w:pPr>
          </w:p>
        </w:tc>
      </w:tr>
      <w:tr w:rsidR="00443B13" w:rsidRPr="00834CDC" w14:paraId="1F8C0D8F" w14:textId="77777777" w:rsidTr="004E44A3">
        <w:trPr>
          <w:divId w:val="1988506822"/>
        </w:trPr>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D85DF5" w14:textId="77777777" w:rsidR="00443B13" w:rsidRPr="00834CDC" w:rsidRDefault="00443B13" w:rsidP="00443B13">
            <w:pPr>
              <w:pStyle w:val="NormalWeb"/>
              <w:jc w:val="left"/>
              <w:rPr>
                <w:sz w:val="18"/>
                <w:szCs w:val="18"/>
              </w:rPr>
            </w:pPr>
            <w:r w:rsidRPr="00834CDC">
              <w:rPr>
                <w:sz w:val="18"/>
                <w:szCs w:val="18"/>
              </w:rPr>
              <w:t>5–14</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9957AC" w14:textId="77777777" w:rsidR="00443B13" w:rsidRPr="00834CDC" w:rsidRDefault="00443B13" w:rsidP="00443B13">
            <w:pPr>
              <w:pStyle w:val="NormalWeb"/>
              <w:jc w:val="left"/>
              <w:rPr>
                <w:sz w:val="18"/>
                <w:szCs w:val="18"/>
              </w:rPr>
            </w:pPr>
            <w:r w:rsidRPr="00834CDC">
              <w:rPr>
                <w:sz w:val="18"/>
                <w:szCs w:val="18"/>
              </w:rPr>
              <w:t>Aboriginal and Torres Strait Islander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C528E5" w14:textId="77777777" w:rsidR="00443B13" w:rsidRPr="00834CDC" w:rsidRDefault="00443B13" w:rsidP="003058F5">
            <w:pPr>
              <w:pStyle w:val="NormalWeb"/>
              <w:rPr>
                <w:sz w:val="18"/>
                <w:szCs w:val="18"/>
              </w:rPr>
            </w:pPr>
            <w:r w:rsidRPr="00834CDC">
              <w:rPr>
                <w:sz w:val="18"/>
                <w:szCs w:val="18"/>
              </w:rPr>
              <w:t>26</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BE90A3" w14:textId="77777777" w:rsidR="00443B13" w:rsidRPr="00834CDC" w:rsidRDefault="00443B13" w:rsidP="003058F5">
            <w:pPr>
              <w:pStyle w:val="NormalWeb"/>
              <w:rPr>
                <w:sz w:val="18"/>
                <w:szCs w:val="18"/>
              </w:rPr>
            </w:pPr>
            <w:r w:rsidRPr="00834CDC">
              <w:rPr>
                <w:sz w:val="18"/>
                <w:szCs w:val="18"/>
              </w:rPr>
              <w:t>4.07</w:t>
            </w:r>
          </w:p>
        </w:tc>
        <w:tc>
          <w:tcPr>
            <w:tcW w:w="98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BFA6F0" w14:textId="77777777" w:rsidR="00443B13" w:rsidRPr="00834CDC" w:rsidRDefault="00443B13" w:rsidP="003058F5">
            <w:pPr>
              <w:pStyle w:val="NormalWeb"/>
              <w:rPr>
                <w:sz w:val="18"/>
                <w:szCs w:val="18"/>
              </w:rPr>
            </w:pPr>
            <w:r w:rsidRPr="00834CDC">
              <w:rPr>
                <w:sz w:val="18"/>
                <w:szCs w:val="18"/>
              </w:rPr>
              <w:t>1.1</w:t>
            </w:r>
          </w:p>
        </w:tc>
        <w:tc>
          <w:tcPr>
            <w:tcW w:w="180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742A6A" w14:textId="77777777" w:rsidR="00443B13" w:rsidRPr="00834CDC" w:rsidRDefault="00443B13" w:rsidP="003058F5">
            <w:pPr>
              <w:pStyle w:val="NormalWeb"/>
              <w:rPr>
                <w:sz w:val="18"/>
                <w:szCs w:val="18"/>
              </w:rPr>
            </w:pPr>
            <w:r w:rsidRPr="00834CDC">
              <w:rPr>
                <w:sz w:val="18"/>
                <w:szCs w:val="18"/>
              </w:rPr>
              <w:t>0.7–1.6</w:t>
            </w:r>
          </w:p>
        </w:tc>
      </w:tr>
      <w:tr w:rsidR="00443B13" w:rsidRPr="00834CDC" w14:paraId="16D7A119"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F0F3C0" w14:textId="77777777" w:rsidR="00443B13" w:rsidRPr="00834CDC" w:rsidRDefault="00443B13" w:rsidP="00443B13">
            <w:pPr>
              <w:jc w:val="left"/>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C3ED8E" w14:textId="77777777" w:rsidR="00443B13" w:rsidRPr="00834CDC" w:rsidRDefault="00443B13" w:rsidP="00443B13">
            <w:pPr>
              <w:pStyle w:val="NormalWeb"/>
              <w:jc w:val="left"/>
              <w:rPr>
                <w:sz w:val="18"/>
                <w:szCs w:val="18"/>
              </w:rPr>
            </w:pPr>
            <w:r w:rsidRPr="00834CDC">
              <w:rPr>
                <w:sz w:val="18"/>
                <w:szCs w:val="18"/>
              </w:rPr>
              <w:t>Other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7D5480" w14:textId="77777777" w:rsidR="00443B13" w:rsidRPr="00834CDC" w:rsidRDefault="00443B13" w:rsidP="003058F5">
            <w:pPr>
              <w:pStyle w:val="NormalWeb"/>
              <w:rPr>
                <w:sz w:val="18"/>
                <w:szCs w:val="18"/>
              </w:rPr>
            </w:pPr>
            <w:r w:rsidRPr="00834CDC">
              <w:rPr>
                <w:sz w:val="18"/>
                <w:szCs w:val="18"/>
              </w:rPr>
              <w:t>381</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1F8C44" w14:textId="77777777" w:rsidR="00443B13" w:rsidRPr="00834CDC" w:rsidRDefault="00443B13" w:rsidP="003058F5">
            <w:pPr>
              <w:pStyle w:val="NormalWeb"/>
              <w:rPr>
                <w:sz w:val="18"/>
                <w:szCs w:val="18"/>
              </w:rPr>
            </w:pPr>
            <w:r w:rsidRPr="00834CDC">
              <w:rPr>
                <w:sz w:val="18"/>
                <w:szCs w:val="18"/>
              </w:rPr>
              <w:t>3.76</w:t>
            </w:r>
          </w:p>
        </w:tc>
        <w:tc>
          <w:tcPr>
            <w:tcW w:w="98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54D768" w14:textId="77777777" w:rsidR="00443B13" w:rsidRPr="00834CDC" w:rsidRDefault="00443B13" w:rsidP="003058F5">
            <w:pPr>
              <w:rPr>
                <w:sz w:val="18"/>
                <w:szCs w:val="18"/>
              </w:rPr>
            </w:pPr>
          </w:p>
        </w:tc>
        <w:tc>
          <w:tcPr>
            <w:tcW w:w="180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D88E4B" w14:textId="77777777" w:rsidR="00443B13" w:rsidRPr="00834CDC" w:rsidRDefault="00443B13" w:rsidP="003058F5">
            <w:pPr>
              <w:rPr>
                <w:sz w:val="18"/>
                <w:szCs w:val="18"/>
              </w:rPr>
            </w:pPr>
          </w:p>
        </w:tc>
      </w:tr>
      <w:tr w:rsidR="00443B13" w:rsidRPr="00834CDC" w14:paraId="6F3F1683" w14:textId="77777777" w:rsidTr="004E44A3">
        <w:trPr>
          <w:divId w:val="1988506822"/>
        </w:trPr>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4C0B5B" w14:textId="77777777" w:rsidR="00443B13" w:rsidRPr="00834CDC" w:rsidRDefault="00443B13" w:rsidP="00443B13">
            <w:pPr>
              <w:pStyle w:val="NormalWeb"/>
              <w:jc w:val="left"/>
              <w:rPr>
                <w:sz w:val="18"/>
                <w:szCs w:val="18"/>
              </w:rPr>
            </w:pPr>
            <w:r w:rsidRPr="00834CDC">
              <w:rPr>
                <w:sz w:val="18"/>
                <w:szCs w:val="18"/>
              </w:rPr>
              <w:t>15–24</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5C82A5" w14:textId="77777777" w:rsidR="00443B13" w:rsidRPr="00834CDC" w:rsidRDefault="00443B13" w:rsidP="00443B13">
            <w:pPr>
              <w:pStyle w:val="NormalWeb"/>
              <w:jc w:val="left"/>
              <w:rPr>
                <w:sz w:val="18"/>
                <w:szCs w:val="18"/>
              </w:rPr>
            </w:pPr>
            <w:r w:rsidRPr="00834CDC">
              <w:rPr>
                <w:sz w:val="18"/>
                <w:szCs w:val="18"/>
              </w:rPr>
              <w:t>Aboriginal and Torres Strait Islander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0CAC96" w14:textId="5D515787" w:rsidR="00443B13" w:rsidRPr="00834CDC" w:rsidRDefault="00443B13" w:rsidP="003058F5">
            <w:pPr>
              <w:pStyle w:val="NormalWeb"/>
              <w:rPr>
                <w:sz w:val="18"/>
                <w:szCs w:val="18"/>
              </w:rPr>
            </w:pPr>
            <w:r w:rsidRPr="00834CDC">
              <w:rPr>
                <w:sz w:val="18"/>
                <w:szCs w:val="18"/>
              </w:rPr>
              <w:t>1-4</w:t>
            </w:r>
            <w:r w:rsidR="00D24B47">
              <w:rPr>
                <w:sz w:val="18"/>
                <w:szCs w:val="18"/>
              </w:rPr>
              <w:t xml:space="preserve"> </w:t>
            </w:r>
            <w:r w:rsidRPr="00D24B47">
              <w:rPr>
                <w:sz w:val="18"/>
                <w:szCs w:val="18"/>
                <w:vertAlign w:val="superscript"/>
              </w:rPr>
              <w:t>c</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45DC9F" w14:textId="77777777" w:rsidR="00443B13" w:rsidRPr="00834CDC" w:rsidRDefault="00443B13" w:rsidP="003058F5">
            <w:pPr>
              <w:pStyle w:val="NormalWeb"/>
              <w:rPr>
                <w:sz w:val="18"/>
                <w:szCs w:val="18"/>
              </w:rPr>
            </w:pPr>
            <w:r w:rsidRPr="00834CDC">
              <w:rPr>
                <w:sz w:val="18"/>
                <w:szCs w:val="18"/>
              </w:rPr>
              <w:t>0.54</w:t>
            </w:r>
          </w:p>
        </w:tc>
        <w:tc>
          <w:tcPr>
            <w:tcW w:w="98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2D8957" w14:textId="77777777" w:rsidR="00443B13" w:rsidRPr="00834CDC" w:rsidRDefault="00443B13" w:rsidP="003058F5">
            <w:pPr>
              <w:pStyle w:val="NormalWeb"/>
              <w:rPr>
                <w:sz w:val="18"/>
                <w:szCs w:val="18"/>
              </w:rPr>
            </w:pPr>
            <w:r w:rsidRPr="00834CDC">
              <w:rPr>
                <w:sz w:val="18"/>
                <w:szCs w:val="18"/>
              </w:rPr>
              <w:t>0.5</w:t>
            </w:r>
          </w:p>
        </w:tc>
        <w:tc>
          <w:tcPr>
            <w:tcW w:w="180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FAB6AF" w14:textId="77777777" w:rsidR="00443B13" w:rsidRPr="00834CDC" w:rsidRDefault="00443B13" w:rsidP="003058F5">
            <w:pPr>
              <w:pStyle w:val="NormalWeb"/>
              <w:rPr>
                <w:sz w:val="18"/>
                <w:szCs w:val="18"/>
              </w:rPr>
            </w:pPr>
            <w:r w:rsidRPr="00834CDC">
              <w:rPr>
                <w:sz w:val="18"/>
                <w:szCs w:val="18"/>
              </w:rPr>
              <w:t>0.1–1.4</w:t>
            </w:r>
          </w:p>
        </w:tc>
      </w:tr>
      <w:tr w:rsidR="00443B13" w:rsidRPr="00834CDC" w14:paraId="1D101E82"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4F8F9B" w14:textId="77777777" w:rsidR="00443B13" w:rsidRPr="00834CDC" w:rsidRDefault="00443B13" w:rsidP="00443B13">
            <w:pPr>
              <w:jc w:val="left"/>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451C6E" w14:textId="77777777" w:rsidR="00443B13" w:rsidRPr="00834CDC" w:rsidRDefault="00443B13" w:rsidP="00443B13">
            <w:pPr>
              <w:pStyle w:val="NormalWeb"/>
              <w:jc w:val="left"/>
              <w:rPr>
                <w:sz w:val="18"/>
                <w:szCs w:val="18"/>
              </w:rPr>
            </w:pPr>
            <w:r w:rsidRPr="00834CDC">
              <w:rPr>
                <w:sz w:val="18"/>
                <w:szCs w:val="18"/>
              </w:rPr>
              <w:t>Other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6069BF" w14:textId="77777777" w:rsidR="00443B13" w:rsidRPr="00834CDC" w:rsidRDefault="00443B13" w:rsidP="003058F5">
            <w:pPr>
              <w:pStyle w:val="NormalWeb"/>
              <w:rPr>
                <w:sz w:val="18"/>
                <w:szCs w:val="18"/>
              </w:rPr>
            </w:pPr>
            <w:r w:rsidRPr="00834CDC">
              <w:rPr>
                <w:sz w:val="18"/>
                <w:szCs w:val="18"/>
              </w:rPr>
              <w:t>122</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C5B0A8" w14:textId="77777777" w:rsidR="00443B13" w:rsidRPr="00834CDC" w:rsidRDefault="00443B13" w:rsidP="003058F5">
            <w:pPr>
              <w:pStyle w:val="NormalWeb"/>
              <w:rPr>
                <w:sz w:val="18"/>
                <w:szCs w:val="18"/>
              </w:rPr>
            </w:pPr>
            <w:r w:rsidRPr="00834CDC">
              <w:rPr>
                <w:sz w:val="18"/>
                <w:szCs w:val="18"/>
              </w:rPr>
              <w:t>1.14</w:t>
            </w:r>
          </w:p>
        </w:tc>
        <w:tc>
          <w:tcPr>
            <w:tcW w:w="98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170901" w14:textId="77777777" w:rsidR="00443B13" w:rsidRPr="00834CDC" w:rsidRDefault="00443B13" w:rsidP="003058F5">
            <w:pPr>
              <w:rPr>
                <w:sz w:val="18"/>
                <w:szCs w:val="18"/>
              </w:rPr>
            </w:pPr>
          </w:p>
        </w:tc>
        <w:tc>
          <w:tcPr>
            <w:tcW w:w="180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C13B62" w14:textId="77777777" w:rsidR="00443B13" w:rsidRPr="00834CDC" w:rsidRDefault="00443B13" w:rsidP="003058F5">
            <w:pPr>
              <w:rPr>
                <w:sz w:val="18"/>
                <w:szCs w:val="18"/>
              </w:rPr>
            </w:pPr>
          </w:p>
        </w:tc>
      </w:tr>
      <w:tr w:rsidR="00443B13" w:rsidRPr="00834CDC" w14:paraId="699A52C4" w14:textId="77777777" w:rsidTr="004E44A3">
        <w:trPr>
          <w:divId w:val="1988506822"/>
        </w:trPr>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6F171A" w14:textId="77777777" w:rsidR="00443B13" w:rsidRPr="00834CDC" w:rsidRDefault="00443B13" w:rsidP="00443B13">
            <w:pPr>
              <w:pStyle w:val="NormalWeb"/>
              <w:jc w:val="left"/>
              <w:rPr>
                <w:sz w:val="18"/>
                <w:szCs w:val="18"/>
              </w:rPr>
            </w:pPr>
            <w:r w:rsidRPr="00834CDC">
              <w:rPr>
                <w:sz w:val="18"/>
                <w:szCs w:val="18"/>
              </w:rPr>
              <w:t>25–49</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D60AEC" w14:textId="77777777" w:rsidR="00443B13" w:rsidRPr="00834CDC" w:rsidRDefault="00443B13" w:rsidP="00443B13">
            <w:pPr>
              <w:pStyle w:val="NormalWeb"/>
              <w:jc w:val="left"/>
              <w:rPr>
                <w:sz w:val="18"/>
                <w:szCs w:val="18"/>
              </w:rPr>
            </w:pPr>
            <w:r w:rsidRPr="00834CDC">
              <w:rPr>
                <w:sz w:val="18"/>
                <w:szCs w:val="18"/>
              </w:rPr>
              <w:t>Aboriginal and Torres Strait Islander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6DEEB3" w14:textId="1497BC2C" w:rsidR="00443B13" w:rsidRPr="00834CDC" w:rsidRDefault="00443B13" w:rsidP="003058F5">
            <w:pPr>
              <w:pStyle w:val="NormalWeb"/>
              <w:rPr>
                <w:sz w:val="18"/>
                <w:szCs w:val="18"/>
              </w:rPr>
            </w:pPr>
            <w:r w:rsidRPr="00834CDC">
              <w:rPr>
                <w:sz w:val="18"/>
                <w:szCs w:val="18"/>
              </w:rPr>
              <w:t>NP</w:t>
            </w:r>
            <w:r w:rsidR="00D24B47">
              <w:rPr>
                <w:sz w:val="18"/>
                <w:szCs w:val="18"/>
              </w:rPr>
              <w:t xml:space="preserve"> </w:t>
            </w:r>
            <w:r w:rsidRPr="00834CDC">
              <w:rPr>
                <w:sz w:val="18"/>
                <w:szCs w:val="18"/>
                <w:vertAlign w:val="superscript"/>
              </w:rPr>
              <w:t>c</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6B499B" w14:textId="77777777" w:rsidR="00443B13" w:rsidRPr="00834CDC" w:rsidRDefault="00443B13" w:rsidP="003058F5">
            <w:pPr>
              <w:pStyle w:val="NormalWeb"/>
              <w:rPr>
                <w:sz w:val="18"/>
                <w:szCs w:val="18"/>
              </w:rPr>
            </w:pPr>
            <w:r w:rsidRPr="00834CDC">
              <w:rPr>
                <w:sz w:val="18"/>
                <w:szCs w:val="18"/>
              </w:rPr>
              <w:t>2.04</w:t>
            </w:r>
          </w:p>
        </w:tc>
        <w:tc>
          <w:tcPr>
            <w:tcW w:w="98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F38D76" w14:textId="77777777" w:rsidR="00443B13" w:rsidRPr="00834CDC" w:rsidRDefault="00443B13" w:rsidP="003058F5">
            <w:pPr>
              <w:pStyle w:val="NormalWeb"/>
              <w:rPr>
                <w:sz w:val="18"/>
                <w:szCs w:val="18"/>
              </w:rPr>
            </w:pPr>
            <w:r w:rsidRPr="00834CDC">
              <w:rPr>
                <w:sz w:val="18"/>
                <w:szCs w:val="18"/>
              </w:rPr>
              <w:t>1.8</w:t>
            </w:r>
          </w:p>
        </w:tc>
        <w:tc>
          <w:tcPr>
            <w:tcW w:w="180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086ACA7" w14:textId="77777777" w:rsidR="00443B13" w:rsidRPr="00834CDC" w:rsidRDefault="00443B13" w:rsidP="003058F5">
            <w:pPr>
              <w:pStyle w:val="NormalWeb"/>
              <w:rPr>
                <w:sz w:val="18"/>
                <w:szCs w:val="18"/>
              </w:rPr>
            </w:pPr>
            <w:r w:rsidRPr="00834CDC">
              <w:rPr>
                <w:sz w:val="18"/>
                <w:szCs w:val="18"/>
              </w:rPr>
              <w:t>1.0–2.8</w:t>
            </w:r>
          </w:p>
        </w:tc>
      </w:tr>
      <w:tr w:rsidR="00443B13" w:rsidRPr="00834CDC" w14:paraId="1B301212"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6609B6" w14:textId="77777777" w:rsidR="00443B13" w:rsidRPr="00834CDC" w:rsidRDefault="00443B13" w:rsidP="00443B13">
            <w:pPr>
              <w:jc w:val="left"/>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8F6328" w14:textId="77777777" w:rsidR="00443B13" w:rsidRPr="00834CDC" w:rsidRDefault="00443B13" w:rsidP="00443B13">
            <w:pPr>
              <w:pStyle w:val="NormalWeb"/>
              <w:jc w:val="left"/>
              <w:rPr>
                <w:sz w:val="18"/>
                <w:szCs w:val="18"/>
              </w:rPr>
            </w:pPr>
            <w:r w:rsidRPr="00834CDC">
              <w:rPr>
                <w:sz w:val="18"/>
                <w:szCs w:val="18"/>
              </w:rPr>
              <w:t>Other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DBDFC8" w14:textId="77777777" w:rsidR="00443B13" w:rsidRPr="00834CDC" w:rsidRDefault="00443B13" w:rsidP="003058F5">
            <w:pPr>
              <w:pStyle w:val="NormalWeb"/>
              <w:rPr>
                <w:sz w:val="18"/>
                <w:szCs w:val="18"/>
              </w:rPr>
            </w:pPr>
            <w:r w:rsidRPr="00834CDC">
              <w:rPr>
                <w:sz w:val="18"/>
                <w:szCs w:val="18"/>
              </w:rPr>
              <w:t>337</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24C4DD" w14:textId="77777777" w:rsidR="00443B13" w:rsidRPr="00834CDC" w:rsidRDefault="00443B13" w:rsidP="003058F5">
            <w:pPr>
              <w:pStyle w:val="NormalWeb"/>
              <w:rPr>
                <w:sz w:val="18"/>
                <w:szCs w:val="18"/>
              </w:rPr>
            </w:pPr>
            <w:r w:rsidRPr="00834CDC">
              <w:rPr>
                <w:sz w:val="18"/>
                <w:szCs w:val="18"/>
              </w:rPr>
              <w:t>1.15</w:t>
            </w:r>
          </w:p>
        </w:tc>
        <w:tc>
          <w:tcPr>
            <w:tcW w:w="98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A11785" w14:textId="77777777" w:rsidR="00443B13" w:rsidRPr="00834CDC" w:rsidRDefault="00443B13" w:rsidP="003058F5">
            <w:pPr>
              <w:rPr>
                <w:sz w:val="18"/>
                <w:szCs w:val="18"/>
              </w:rPr>
            </w:pPr>
          </w:p>
        </w:tc>
        <w:tc>
          <w:tcPr>
            <w:tcW w:w="180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101CDD" w14:textId="77777777" w:rsidR="00443B13" w:rsidRPr="00834CDC" w:rsidRDefault="00443B13" w:rsidP="003058F5">
            <w:pPr>
              <w:rPr>
                <w:sz w:val="18"/>
                <w:szCs w:val="18"/>
              </w:rPr>
            </w:pPr>
          </w:p>
        </w:tc>
      </w:tr>
      <w:tr w:rsidR="00443B13" w:rsidRPr="00834CDC" w14:paraId="799389C3" w14:textId="77777777" w:rsidTr="004E44A3">
        <w:trPr>
          <w:divId w:val="1988506822"/>
        </w:trPr>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31F077" w14:textId="77777777" w:rsidR="00443B13" w:rsidRPr="00834CDC" w:rsidRDefault="00443B13" w:rsidP="00443B13">
            <w:pPr>
              <w:pStyle w:val="NormalWeb"/>
              <w:jc w:val="left"/>
              <w:rPr>
                <w:sz w:val="18"/>
                <w:szCs w:val="18"/>
              </w:rPr>
            </w:pPr>
            <w:r w:rsidRPr="00834CDC">
              <w:rPr>
                <w:sz w:val="18"/>
                <w:szCs w:val="18"/>
              </w:rPr>
              <w:t>50+</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E2DA58" w14:textId="77777777" w:rsidR="00443B13" w:rsidRPr="00834CDC" w:rsidRDefault="00443B13" w:rsidP="00443B13">
            <w:pPr>
              <w:pStyle w:val="NormalWeb"/>
              <w:jc w:val="left"/>
              <w:rPr>
                <w:sz w:val="18"/>
                <w:szCs w:val="18"/>
              </w:rPr>
            </w:pPr>
            <w:r w:rsidRPr="00834CDC">
              <w:rPr>
                <w:sz w:val="18"/>
                <w:szCs w:val="18"/>
              </w:rPr>
              <w:t>Aboriginal and Torres Strait Islander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DF6F5C" w14:textId="77777777" w:rsidR="00443B13" w:rsidRPr="00834CDC" w:rsidRDefault="00443B13" w:rsidP="003058F5">
            <w:pPr>
              <w:pStyle w:val="NormalWeb"/>
              <w:rPr>
                <w:sz w:val="18"/>
                <w:szCs w:val="18"/>
              </w:rPr>
            </w:pPr>
            <w:r w:rsidRPr="00834CDC">
              <w:rPr>
                <w:sz w:val="18"/>
                <w:szCs w:val="18"/>
              </w:rPr>
              <w:t>33</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BFECF9" w14:textId="77777777" w:rsidR="00443B13" w:rsidRPr="00834CDC" w:rsidRDefault="00443B13" w:rsidP="003058F5">
            <w:pPr>
              <w:pStyle w:val="NormalWeb"/>
              <w:rPr>
                <w:sz w:val="18"/>
                <w:szCs w:val="18"/>
              </w:rPr>
            </w:pPr>
            <w:r w:rsidRPr="00834CDC">
              <w:rPr>
                <w:sz w:val="18"/>
                <w:szCs w:val="18"/>
              </w:rPr>
              <w:t>7.16</w:t>
            </w:r>
          </w:p>
        </w:tc>
        <w:tc>
          <w:tcPr>
            <w:tcW w:w="98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F2CA0C" w14:textId="77777777" w:rsidR="00443B13" w:rsidRPr="00834CDC" w:rsidRDefault="00443B13" w:rsidP="003058F5">
            <w:pPr>
              <w:pStyle w:val="NormalWeb"/>
              <w:rPr>
                <w:sz w:val="18"/>
                <w:szCs w:val="18"/>
              </w:rPr>
            </w:pPr>
            <w:r w:rsidRPr="00834CDC">
              <w:rPr>
                <w:sz w:val="18"/>
                <w:szCs w:val="18"/>
              </w:rPr>
              <w:t>1.7</w:t>
            </w:r>
          </w:p>
        </w:tc>
        <w:tc>
          <w:tcPr>
            <w:tcW w:w="180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3E1409" w14:textId="77777777" w:rsidR="00443B13" w:rsidRPr="00834CDC" w:rsidRDefault="00443B13" w:rsidP="003058F5">
            <w:pPr>
              <w:pStyle w:val="NormalWeb"/>
              <w:rPr>
                <w:sz w:val="18"/>
                <w:szCs w:val="18"/>
              </w:rPr>
            </w:pPr>
            <w:r w:rsidRPr="00834CDC">
              <w:rPr>
                <w:sz w:val="18"/>
                <w:szCs w:val="18"/>
              </w:rPr>
              <w:t>1.2–2.4</w:t>
            </w:r>
          </w:p>
        </w:tc>
      </w:tr>
      <w:tr w:rsidR="00443B13" w:rsidRPr="00834CDC" w14:paraId="29700B77"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18FEA5" w14:textId="77777777" w:rsidR="00443B13" w:rsidRPr="00834CDC" w:rsidRDefault="00443B13" w:rsidP="00443B13">
            <w:pPr>
              <w:jc w:val="left"/>
              <w:rPr>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EDBCB5" w14:textId="77777777" w:rsidR="00443B13" w:rsidRPr="00834CDC" w:rsidRDefault="00443B13" w:rsidP="00443B13">
            <w:pPr>
              <w:pStyle w:val="NormalWeb"/>
              <w:jc w:val="left"/>
              <w:rPr>
                <w:sz w:val="18"/>
                <w:szCs w:val="18"/>
              </w:rPr>
            </w:pPr>
            <w:r w:rsidRPr="00834CDC">
              <w:rPr>
                <w:sz w:val="18"/>
                <w:szCs w:val="18"/>
              </w:rPr>
              <w:t>Other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6D5182" w14:textId="77777777" w:rsidR="00443B13" w:rsidRPr="00834CDC" w:rsidRDefault="00443B13" w:rsidP="003058F5">
            <w:pPr>
              <w:pStyle w:val="NormalWeb"/>
              <w:rPr>
                <w:sz w:val="18"/>
                <w:szCs w:val="18"/>
              </w:rPr>
            </w:pPr>
            <w:r w:rsidRPr="00834CDC">
              <w:rPr>
                <w:sz w:val="18"/>
                <w:szCs w:val="18"/>
              </w:rPr>
              <w:t>1,184</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DCB554" w14:textId="77777777" w:rsidR="00443B13" w:rsidRPr="00834CDC" w:rsidRDefault="00443B13" w:rsidP="003058F5">
            <w:pPr>
              <w:pStyle w:val="NormalWeb"/>
              <w:rPr>
                <w:sz w:val="18"/>
                <w:szCs w:val="18"/>
              </w:rPr>
            </w:pPr>
            <w:r w:rsidRPr="00834CDC">
              <w:rPr>
                <w:sz w:val="18"/>
                <w:szCs w:val="18"/>
              </w:rPr>
              <w:t>4.19</w:t>
            </w:r>
          </w:p>
        </w:tc>
        <w:tc>
          <w:tcPr>
            <w:tcW w:w="98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252DD5" w14:textId="77777777" w:rsidR="00443B13" w:rsidRPr="00834CDC" w:rsidRDefault="00443B13" w:rsidP="003058F5">
            <w:pPr>
              <w:rPr>
                <w:sz w:val="18"/>
                <w:szCs w:val="18"/>
              </w:rPr>
            </w:pPr>
          </w:p>
        </w:tc>
        <w:tc>
          <w:tcPr>
            <w:tcW w:w="180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5C27CF" w14:textId="77777777" w:rsidR="00443B13" w:rsidRPr="00834CDC" w:rsidRDefault="00443B13" w:rsidP="003058F5">
            <w:pPr>
              <w:rPr>
                <w:sz w:val="18"/>
                <w:szCs w:val="18"/>
              </w:rPr>
            </w:pPr>
          </w:p>
        </w:tc>
      </w:tr>
      <w:tr w:rsidR="00443B13" w:rsidRPr="00834CDC" w14:paraId="07B03BF9" w14:textId="77777777" w:rsidTr="004E44A3">
        <w:trPr>
          <w:divId w:val="1988506822"/>
        </w:trPr>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A7490D9" w14:textId="614F87D5" w:rsidR="00443B13" w:rsidRPr="00834CDC" w:rsidRDefault="00443B13" w:rsidP="00443B13">
            <w:pPr>
              <w:pStyle w:val="NormalWeb"/>
              <w:jc w:val="left"/>
              <w:rPr>
                <w:b/>
                <w:bCs/>
                <w:sz w:val="18"/>
                <w:szCs w:val="18"/>
              </w:rPr>
            </w:pPr>
            <w:r w:rsidRPr="00834CDC">
              <w:rPr>
                <w:b/>
                <w:bCs/>
                <w:sz w:val="18"/>
                <w:szCs w:val="18"/>
              </w:rPr>
              <w:t>All ages</w:t>
            </w:r>
            <w:r w:rsidR="00B975E2" w:rsidRPr="00834CDC">
              <w:rPr>
                <w:b/>
                <w:bCs/>
                <w:sz w:val="18"/>
                <w:szCs w:val="18"/>
              </w:rPr>
              <w:t xml:space="preserve"> </w:t>
            </w:r>
            <w:r w:rsidRPr="00834CDC">
              <w:rPr>
                <w:b/>
                <w:bCs/>
                <w:sz w:val="18"/>
                <w:szCs w:val="18"/>
                <w:vertAlign w:val="superscript"/>
              </w:rPr>
              <w:t>d</w:t>
            </w: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4E5ACA5" w14:textId="77777777" w:rsidR="00443B13" w:rsidRPr="00834CDC" w:rsidRDefault="00443B13" w:rsidP="00443B13">
            <w:pPr>
              <w:pStyle w:val="NormalWeb"/>
              <w:jc w:val="left"/>
              <w:rPr>
                <w:b/>
                <w:bCs/>
                <w:sz w:val="18"/>
                <w:szCs w:val="18"/>
              </w:rPr>
            </w:pPr>
            <w:r w:rsidRPr="00834CDC">
              <w:rPr>
                <w:b/>
                <w:bCs/>
                <w:sz w:val="18"/>
                <w:szCs w:val="18"/>
              </w:rPr>
              <w:t>Aboriginal and Torres Strait Islander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A1D31A6" w14:textId="77777777" w:rsidR="00443B13" w:rsidRPr="00834CDC" w:rsidRDefault="00443B13" w:rsidP="003058F5">
            <w:pPr>
              <w:pStyle w:val="NormalWeb"/>
              <w:rPr>
                <w:b/>
                <w:bCs/>
                <w:sz w:val="18"/>
                <w:szCs w:val="18"/>
              </w:rPr>
            </w:pPr>
            <w:r w:rsidRPr="00834CDC">
              <w:rPr>
                <w:b/>
                <w:bCs/>
                <w:sz w:val="18"/>
                <w:szCs w:val="18"/>
              </w:rPr>
              <w:t>518</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D0682F3" w14:textId="77777777" w:rsidR="00443B13" w:rsidRPr="00834CDC" w:rsidRDefault="00443B13" w:rsidP="003058F5">
            <w:pPr>
              <w:pStyle w:val="NormalWeb"/>
              <w:rPr>
                <w:b/>
                <w:bCs/>
                <w:sz w:val="18"/>
                <w:szCs w:val="18"/>
              </w:rPr>
            </w:pPr>
            <w:r w:rsidRPr="00834CDC">
              <w:rPr>
                <w:b/>
                <w:bCs/>
                <w:sz w:val="18"/>
                <w:szCs w:val="18"/>
              </w:rPr>
              <w:t>12.30</w:t>
            </w:r>
          </w:p>
        </w:tc>
        <w:tc>
          <w:tcPr>
            <w:tcW w:w="98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DDA6F5B" w14:textId="77777777" w:rsidR="00443B13" w:rsidRPr="00834CDC" w:rsidRDefault="00443B13" w:rsidP="003058F5">
            <w:pPr>
              <w:pStyle w:val="NormalWeb"/>
              <w:rPr>
                <w:b/>
                <w:bCs/>
                <w:sz w:val="18"/>
                <w:szCs w:val="18"/>
              </w:rPr>
            </w:pPr>
            <w:r w:rsidRPr="00834CDC">
              <w:rPr>
                <w:b/>
                <w:bCs/>
                <w:sz w:val="18"/>
                <w:szCs w:val="18"/>
              </w:rPr>
              <w:t>2.8</w:t>
            </w:r>
          </w:p>
        </w:tc>
        <w:tc>
          <w:tcPr>
            <w:tcW w:w="180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FEED00B" w14:textId="77777777" w:rsidR="00443B13" w:rsidRPr="00834CDC" w:rsidRDefault="00443B13" w:rsidP="003058F5">
            <w:pPr>
              <w:pStyle w:val="NormalWeb"/>
              <w:rPr>
                <w:b/>
                <w:bCs/>
                <w:sz w:val="18"/>
                <w:szCs w:val="18"/>
              </w:rPr>
            </w:pPr>
            <w:r w:rsidRPr="00834CDC">
              <w:rPr>
                <w:b/>
                <w:bCs/>
                <w:sz w:val="18"/>
                <w:szCs w:val="18"/>
              </w:rPr>
              <w:t>2.5–3.1</w:t>
            </w:r>
          </w:p>
        </w:tc>
      </w:tr>
      <w:tr w:rsidR="00443B13" w:rsidRPr="00834CDC" w14:paraId="34583F9D"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EF96A3F" w14:textId="77777777" w:rsidR="00443B13" w:rsidRPr="00834CDC" w:rsidRDefault="00443B13" w:rsidP="00443B13">
            <w:pPr>
              <w:jc w:val="left"/>
              <w:rPr>
                <w:b/>
                <w:bCs/>
                <w:sz w:val="18"/>
                <w:szCs w:val="1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16D9B80" w14:textId="77777777" w:rsidR="00443B13" w:rsidRPr="00834CDC" w:rsidRDefault="00443B13" w:rsidP="00443B13">
            <w:pPr>
              <w:pStyle w:val="NormalWeb"/>
              <w:jc w:val="left"/>
              <w:rPr>
                <w:b/>
                <w:bCs/>
                <w:sz w:val="18"/>
                <w:szCs w:val="18"/>
              </w:rPr>
            </w:pPr>
            <w:r w:rsidRPr="00834CDC">
              <w:rPr>
                <w:b/>
                <w:bCs/>
                <w:sz w:val="18"/>
                <w:szCs w:val="18"/>
              </w:rPr>
              <w:t>Other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4F34236" w14:textId="77777777" w:rsidR="00443B13" w:rsidRPr="00834CDC" w:rsidRDefault="00443B13" w:rsidP="003058F5">
            <w:pPr>
              <w:pStyle w:val="NormalWeb"/>
              <w:rPr>
                <w:b/>
                <w:bCs/>
                <w:sz w:val="18"/>
                <w:szCs w:val="18"/>
              </w:rPr>
            </w:pPr>
            <w:r w:rsidRPr="00834CDC">
              <w:rPr>
                <w:b/>
                <w:bCs/>
                <w:sz w:val="18"/>
                <w:szCs w:val="18"/>
              </w:rPr>
              <w:t>3,627</w:t>
            </w:r>
          </w:p>
        </w:tc>
        <w:tc>
          <w:tcPr>
            <w:tcW w:w="7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33FDABF" w14:textId="77777777" w:rsidR="00443B13" w:rsidRPr="00834CDC" w:rsidRDefault="00443B13" w:rsidP="003058F5">
            <w:pPr>
              <w:pStyle w:val="NormalWeb"/>
              <w:rPr>
                <w:b/>
                <w:bCs/>
                <w:sz w:val="18"/>
                <w:szCs w:val="18"/>
              </w:rPr>
            </w:pPr>
            <w:r w:rsidRPr="00834CDC">
              <w:rPr>
                <w:b/>
                <w:bCs/>
                <w:sz w:val="18"/>
                <w:szCs w:val="18"/>
              </w:rPr>
              <w:t>4.42</w:t>
            </w:r>
          </w:p>
        </w:tc>
        <w:tc>
          <w:tcPr>
            <w:tcW w:w="98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3B7B603" w14:textId="77777777" w:rsidR="00443B13" w:rsidRPr="00834CDC" w:rsidRDefault="00443B13" w:rsidP="003058F5">
            <w:pPr>
              <w:rPr>
                <w:b/>
                <w:bCs/>
                <w:sz w:val="18"/>
                <w:szCs w:val="18"/>
              </w:rPr>
            </w:pPr>
          </w:p>
        </w:tc>
        <w:tc>
          <w:tcPr>
            <w:tcW w:w="180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9CE8F31" w14:textId="77777777" w:rsidR="00443B13" w:rsidRPr="00834CDC" w:rsidRDefault="00443B13" w:rsidP="003058F5">
            <w:pPr>
              <w:rPr>
                <w:b/>
                <w:bCs/>
                <w:sz w:val="18"/>
                <w:szCs w:val="18"/>
              </w:rPr>
            </w:pPr>
          </w:p>
        </w:tc>
      </w:tr>
    </w:tbl>
    <w:p w14:paraId="388D4AB2" w14:textId="77777777" w:rsidR="00443B13" w:rsidRPr="00834CDC" w:rsidRDefault="00443B13" w:rsidP="00443B13">
      <w:pPr>
        <w:pStyle w:val="CDIfootnotes"/>
        <w:divId w:val="1988506822"/>
      </w:pPr>
      <w:r w:rsidRPr="00834CDC">
        <w:t>a</w:t>
      </w:r>
      <w:r w:rsidRPr="00834CDC">
        <w:tab/>
      </w:r>
      <w:proofErr w:type="gramStart"/>
      <w:r w:rsidRPr="00834CDC">
        <w:t>Hospital admissions</w:t>
      </w:r>
      <w:proofErr w:type="gramEnd"/>
      <w:r w:rsidRPr="00834CDC">
        <w:t xml:space="preserve"> where the date of admission was between 1 January 2016 and 30 June 2019. 2019 hospitalisation data was annualised.</w:t>
      </w:r>
    </w:p>
    <w:p w14:paraId="1F774E48" w14:textId="77777777" w:rsidR="00443B13" w:rsidRPr="00834CDC" w:rsidRDefault="00443B13" w:rsidP="00443B13">
      <w:pPr>
        <w:pStyle w:val="CDIfootnotes"/>
        <w:divId w:val="1988506822"/>
      </w:pPr>
      <w:r w:rsidRPr="00834CDC">
        <w:t>b</w:t>
      </w:r>
      <w:r w:rsidRPr="00834CDC">
        <w:tab/>
        <w:t>Average annual age-specific rate per 100,000 population.</w:t>
      </w:r>
    </w:p>
    <w:p w14:paraId="3F02DBCD" w14:textId="77777777" w:rsidR="00443B13" w:rsidRPr="00834CDC" w:rsidRDefault="00443B13" w:rsidP="00443B13">
      <w:pPr>
        <w:pStyle w:val="CDIfootnotes"/>
        <w:divId w:val="1988506822"/>
      </w:pPr>
      <w:r w:rsidRPr="00834CDC">
        <w:t>c</w:t>
      </w:r>
      <w:r w:rsidRPr="00834CDC">
        <w:tab/>
      </w:r>
      <w:proofErr w:type="gramStart"/>
      <w:r w:rsidRPr="00834CDC">
        <w:t>To</w:t>
      </w:r>
      <w:proofErr w:type="gramEnd"/>
      <w:r w:rsidRPr="00834CDC">
        <w:t xml:space="preserve"> comply with the AIHW’s data release condition that hospitalisation counts &lt; 5 be suppressed in published reports, counts between 1 and 4 are reported as a range; other cell counts may be reported as NP (not published) to avoid potential for back calculation of counts &lt; 5.</w:t>
      </w:r>
    </w:p>
    <w:p w14:paraId="6BB7116D" w14:textId="77777777" w:rsidR="00443B13" w:rsidRPr="00834CDC" w:rsidRDefault="00443B13" w:rsidP="00443B13">
      <w:pPr>
        <w:pStyle w:val="CDIfootnotes"/>
        <w:divId w:val="1988506822"/>
      </w:pPr>
      <w:r w:rsidRPr="00834CDC">
        <w:t>d</w:t>
      </w:r>
      <w:r w:rsidRPr="00834CDC">
        <w:tab/>
        <w:t>Rates for all ages combined are age-standardised to the ABS Australian population estimates for 2016.</w:t>
      </w:r>
    </w:p>
    <w:p w14:paraId="302C370D" w14:textId="77777777" w:rsidR="0033445F" w:rsidRPr="00834CDC" w:rsidRDefault="0033445F" w:rsidP="0033445F">
      <w:pPr>
        <w:divId w:val="1988506822"/>
      </w:pPr>
    </w:p>
    <w:p w14:paraId="0E0498D7" w14:textId="77777777" w:rsidR="0033445F" w:rsidRPr="00834CDC" w:rsidRDefault="0033445F" w:rsidP="0033445F">
      <w:pPr>
        <w:divId w:val="1988506822"/>
      </w:pPr>
      <w:r w:rsidRPr="00834CDC">
        <w:t xml:space="preserve">Trends in hospitalisation rates for rotavirus </w:t>
      </w:r>
      <w:proofErr w:type="gramStart"/>
      <w:r w:rsidRPr="00834CDC">
        <w:t>are presented</w:t>
      </w:r>
      <w:proofErr w:type="gramEnd"/>
      <w:r w:rsidRPr="00834CDC">
        <w:t xml:space="preserve"> for six states and territories (excluding Tasmania and the Australian Capital Territory) for the 2010–2019 period in Figure 17. Hospitalisation rates among Aboriginal and Torres Strait Islander children in all age groups followed a marked downward trend, reaching their lowest levels in 2019 despite a 2017 peak. </w:t>
      </w:r>
    </w:p>
    <w:p w14:paraId="6168241B" w14:textId="44D0811F" w:rsidR="0033445F" w:rsidRPr="00834CDC" w:rsidRDefault="0033445F" w:rsidP="0033445F">
      <w:pPr>
        <w:divId w:val="1988506822"/>
      </w:pPr>
      <w:r w:rsidRPr="00834CDC">
        <w:t xml:space="preserve">There </w:t>
      </w:r>
      <w:proofErr w:type="gramStart"/>
      <w:r w:rsidRPr="00834CDC">
        <w:t>were</w:t>
      </w:r>
      <w:proofErr w:type="gramEnd"/>
      <w:r w:rsidRPr="00834CDC">
        <w:t xml:space="preserve"> a total of seven recorded deaths in Australia for the 2016–2019 period where rotavirus was reported as underlying or associated cause of death, of which 1–5</w:t>
      </w:r>
      <w:r w:rsidR="00E7286B" w:rsidRPr="00834CDC">
        <w:rPr>
          <w:vertAlign w:val="superscript"/>
        </w:rPr>
        <w:t>i</w:t>
      </w:r>
      <w:r w:rsidRPr="00834CDC">
        <w:t xml:space="preserve"> were recorded as being in Aboriginal or Torres Strait Islander</w:t>
      </w:r>
      <w:r w:rsidR="00D9597F" w:rsidRPr="00834CDC">
        <w:t> </w:t>
      </w:r>
      <w:r w:rsidRPr="00834CDC">
        <w:t xml:space="preserve">people. </w:t>
      </w:r>
    </w:p>
    <w:p w14:paraId="2E01F88E" w14:textId="0F0973EC" w:rsidR="00E7286B" w:rsidRDefault="00E7286B" w:rsidP="00E7286B">
      <w:pPr>
        <w:pStyle w:val="Pa6"/>
        <w:spacing w:after="240"/>
        <w:jc w:val="both"/>
        <w:divId w:val="1988506822"/>
        <w:rPr>
          <w:rFonts w:cs="Myriad Variable Concept"/>
          <w:color w:val="000000"/>
        </w:rPr>
      </w:pPr>
    </w:p>
    <w:p w14:paraId="78B0CEC4" w14:textId="31F93196" w:rsidR="004E44A3" w:rsidRDefault="004E44A3" w:rsidP="004E44A3">
      <w:pPr>
        <w:divId w:val="1988506822"/>
      </w:pPr>
    </w:p>
    <w:p w14:paraId="3E488C4A" w14:textId="77777777" w:rsidR="004E44A3" w:rsidRPr="004E44A3" w:rsidRDefault="004E44A3" w:rsidP="004E44A3">
      <w:pPr>
        <w:divId w:val="1988506822"/>
      </w:pPr>
    </w:p>
    <w:p w14:paraId="0DF667B8" w14:textId="6AB59A4A" w:rsidR="00E7286B" w:rsidRPr="00834CDC" w:rsidRDefault="00E7286B" w:rsidP="00E7286B">
      <w:pPr>
        <w:pStyle w:val="CDIfootnotes"/>
        <w:pBdr>
          <w:top w:val="single" w:sz="2" w:space="1" w:color="808080" w:themeColor="background1" w:themeShade="80"/>
        </w:pBdr>
        <w:divId w:val="1988506822"/>
      </w:pPr>
      <w:proofErr w:type="spellStart"/>
      <w:r w:rsidRPr="00834CDC">
        <w:t>i</w:t>
      </w:r>
      <w:proofErr w:type="spellEnd"/>
      <w:r w:rsidRPr="00834CDC">
        <w:tab/>
      </w:r>
      <w:proofErr w:type="gramStart"/>
      <w:r w:rsidRPr="00834CDC">
        <w:t>To</w:t>
      </w:r>
      <w:proofErr w:type="gramEnd"/>
      <w:r w:rsidRPr="00834CDC">
        <w:t xml:space="preserve"> comply with the Australian Coordinating Registry’s data release condition that death rates &lt;6 be suppressed in published reports, counts between 1 and 5 are reported as a range.</w:t>
      </w:r>
    </w:p>
    <w:p w14:paraId="238DB946" w14:textId="77777777" w:rsidR="004E44A3" w:rsidRDefault="004E44A3">
      <w:pPr>
        <w:rPr>
          <w:rStyle w:val="Strong"/>
        </w:rPr>
      </w:pPr>
      <w:r>
        <w:rPr>
          <w:rStyle w:val="Strong"/>
        </w:rPr>
        <w:br w:type="page"/>
      </w:r>
    </w:p>
    <w:p w14:paraId="5D39062E" w14:textId="16645E98" w:rsidR="009F6561" w:rsidRPr="00834CDC" w:rsidRDefault="009F6561" w:rsidP="009F6561">
      <w:pPr>
        <w:pStyle w:val="NormalWeb"/>
        <w:divId w:val="1988506822"/>
      </w:pPr>
      <w:r w:rsidRPr="00834CDC">
        <w:rPr>
          <w:rStyle w:val="Strong"/>
        </w:rPr>
        <w:lastRenderedPageBreak/>
        <w:t>Figure 17: Rotavirus hospitalisation rates, Australia (selected jurisdictions</w:t>
      </w:r>
      <w:proofErr w:type="gramStart"/>
      <w:r w:rsidRPr="00834CDC">
        <w:rPr>
          <w:rStyle w:val="Strong"/>
        </w:rPr>
        <w:t>),</w:t>
      </w:r>
      <w:r w:rsidRPr="00834CDC">
        <w:rPr>
          <w:rStyle w:val="Strong"/>
          <w:vertAlign w:val="superscript"/>
        </w:rPr>
        <w:t>a</w:t>
      </w:r>
      <w:proofErr w:type="gramEnd"/>
      <w:r w:rsidRPr="00834CDC">
        <w:rPr>
          <w:rStyle w:val="Strong"/>
        </w:rPr>
        <w:t xml:space="preserve"> 2010–2019,</w:t>
      </w:r>
      <w:r w:rsidRPr="00D24B47">
        <w:rPr>
          <w:rStyle w:val="Strong"/>
          <w:vertAlign w:val="superscript"/>
        </w:rPr>
        <w:t>b</w:t>
      </w:r>
      <w:r w:rsidRPr="00834CDC">
        <w:rPr>
          <w:rStyle w:val="Strong"/>
        </w:rPr>
        <w:t xml:space="preserve"> for selected age groups by Aboriginal and Torres Strait Islander status</w:t>
      </w:r>
    </w:p>
    <w:p w14:paraId="6FAF04E6" w14:textId="77777777" w:rsidR="009F6561" w:rsidRPr="00834CDC" w:rsidRDefault="009F6561" w:rsidP="009F6561">
      <w:pPr>
        <w:pStyle w:val="NormalWeb"/>
        <w:divId w:val="1988506822"/>
      </w:pPr>
      <w:r w:rsidRPr="00834CDC">
        <w:rPr>
          <w:noProof/>
        </w:rPr>
        <w:drawing>
          <wp:inline distT="0" distB="0" distL="0" distR="0" wp14:anchorId="17E7FDA1" wp14:editId="5D26A87E">
            <wp:extent cx="6625742" cy="4291524"/>
            <wp:effectExtent l="0" t="0" r="3810" b="0"/>
            <wp:docPr id="24" name="Picture 24" descr="Line graph showing rotavirus hospitalisation rates in children aged less than 5 years in selected jurisdictions (Northern Territory, Queensland, New South Wales, Victoria, South Australia and Western Australia) for the period 2010 to 2019. Rates decreased considerably in Aboriginal and Torres Strait Islander children aged &lt;6 months, 6-&lt;12 months and 1–4 years reaching the lowest rates in 2019 despite a peak in 20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ine graph showing rotavirus hospitalisation rates in children aged less than 5 years in selected jurisdictions (Northern Territory, Queensland, New South Wales, Victoria, South Australia and Western Australia) for the period 2010 to 2019. Rates decreased considerably in Aboriginal and Torres Strait Islander children aged &lt;6 months, 6-&lt;12 months and 1–4 years reaching the lowest rates in 2019 despite a peak in 2017.&#10;"/>
                    <pic:cNvPicPr>
                      <a:picLocks noChangeAspect="1" noChangeArrowheads="1"/>
                    </pic:cNvPicPr>
                  </pic:nvPicPr>
                  <pic:blipFill>
                    <a:blip r:link="rId28">
                      <a:extLst>
                        <a:ext uri="{28A0092B-C50C-407E-A947-70E740481C1C}">
                          <a14:useLocalDpi xmlns:a14="http://schemas.microsoft.com/office/drawing/2010/main" val="0"/>
                        </a:ext>
                      </a:extLst>
                    </a:blip>
                    <a:stretch>
                      <a:fillRect/>
                    </a:stretch>
                  </pic:blipFill>
                  <pic:spPr bwMode="auto">
                    <a:xfrm>
                      <a:off x="0" y="0"/>
                      <a:ext cx="6634248" cy="4297033"/>
                    </a:xfrm>
                    <a:prstGeom prst="rect">
                      <a:avLst/>
                    </a:prstGeom>
                  </pic:spPr>
                </pic:pic>
              </a:graphicData>
            </a:graphic>
          </wp:inline>
        </w:drawing>
      </w:r>
    </w:p>
    <w:p w14:paraId="285BE4DE" w14:textId="77777777" w:rsidR="009F6561" w:rsidRPr="00834CDC" w:rsidRDefault="009F6561" w:rsidP="009F6561">
      <w:pPr>
        <w:pStyle w:val="CDIfootnotes"/>
        <w:divId w:val="1988506822"/>
      </w:pPr>
      <w:r w:rsidRPr="00834CDC">
        <w:t>a</w:t>
      </w:r>
      <w:r w:rsidRPr="00834CDC">
        <w:tab/>
        <w:t xml:space="preserve">Jurisdictions with satisfactory hospitalisation data quality over the whole </w:t>
      </w:r>
      <w:proofErr w:type="gramStart"/>
      <w:r w:rsidRPr="00834CDC">
        <w:t>time period</w:t>
      </w:r>
      <w:proofErr w:type="gramEnd"/>
      <w:r w:rsidRPr="00834CDC">
        <w:t>; refer to Appendix A (Northern Territory, Queensland, New South Wales, Victoria, South Australia and Western Australia).</w:t>
      </w:r>
    </w:p>
    <w:p w14:paraId="6867CF1F" w14:textId="77777777" w:rsidR="009F6561" w:rsidRPr="00834CDC" w:rsidRDefault="009F6561" w:rsidP="009F6561">
      <w:pPr>
        <w:pStyle w:val="CDIfootnotes"/>
        <w:divId w:val="1988506822"/>
      </w:pPr>
      <w:r w:rsidRPr="00834CDC">
        <w:t>b</w:t>
      </w:r>
      <w:r w:rsidRPr="00834CDC">
        <w:tab/>
        <w:t>Hospital admissions where the date of admission was between 1 January 2010 and 31 December 2019.</w:t>
      </w:r>
    </w:p>
    <w:p w14:paraId="411EFF68" w14:textId="77777777" w:rsidR="009F6561" w:rsidRPr="00834CDC" w:rsidRDefault="009F6561" w:rsidP="0033445F">
      <w:pPr>
        <w:pStyle w:val="Heading2"/>
        <w:divId w:val="1988506822"/>
      </w:pPr>
    </w:p>
    <w:p w14:paraId="733DFBE5" w14:textId="4CE67B8F" w:rsidR="0033445F" w:rsidRPr="00834CDC" w:rsidRDefault="0033445F" w:rsidP="0033445F">
      <w:pPr>
        <w:pStyle w:val="Heading2"/>
        <w:divId w:val="1988506822"/>
      </w:pPr>
      <w:r w:rsidRPr="00834CDC">
        <w:t xml:space="preserve">Discussion </w:t>
      </w:r>
    </w:p>
    <w:p w14:paraId="2BF56319" w14:textId="77777777" w:rsidR="0033445F" w:rsidRPr="00834CDC" w:rsidRDefault="0033445F" w:rsidP="0033445F">
      <w:pPr>
        <w:divId w:val="1988506822"/>
      </w:pPr>
      <w:r w:rsidRPr="00834CDC">
        <w:t>Rotavirus hospitalisation rates in Aboriginal and Torres Strait Islander infants have decreased by approximately 80% since the introduction of the national rotavirus immunisation program in 2007.</w:t>
      </w:r>
      <w:r w:rsidRPr="00834CDC">
        <w:rPr>
          <w:vertAlign w:val="superscript"/>
        </w:rPr>
        <w:t>1</w:t>
      </w:r>
      <w:r w:rsidRPr="00834CDC">
        <w:t xml:space="preserve"> However, despite this substantial decline, hospitalisation rates in the 2016–2019 period remained highest in Aboriginal and Torres Strait Islander infants aged 0 –&lt; 6 months (and threefold higher than in other infants) followed by those aged 6 months to &lt; 1 year (eightfold higher than in other infants) and 1–4 years (fourfold higher than in other children). While rates in older children and adults are much lower, the rates for people in the ≥ 50 years age group may obscure higher rates documented previously in adults aged ≥ 80 years.</w:t>
      </w:r>
      <w:r w:rsidRPr="00834CDC">
        <w:rPr>
          <w:vertAlign w:val="superscript"/>
        </w:rPr>
        <w:t>198</w:t>
      </w:r>
      <w:r w:rsidRPr="00834CDC">
        <w:t xml:space="preserve"> </w:t>
      </w:r>
    </w:p>
    <w:p w14:paraId="7FE786ED" w14:textId="77777777" w:rsidR="0033445F" w:rsidRPr="00834CDC" w:rsidRDefault="0033445F" w:rsidP="0033445F">
      <w:pPr>
        <w:divId w:val="1988506822"/>
      </w:pPr>
      <w:r w:rsidRPr="00834CDC">
        <w:t>The spike in hospitalisation rates seen in our data in 2017, particularly in Aboriginal and Torres Strait Islander infants, reflects multiple outbreaks in several states and territories that year due to rotavirus strains including G2P[4] and equine-like G3P[8] and G8P[8].</w:t>
      </w:r>
      <w:r w:rsidRPr="00834CDC">
        <w:rPr>
          <w:vertAlign w:val="superscript"/>
        </w:rPr>
        <w:t>199–202</w:t>
      </w:r>
      <w:r w:rsidRPr="00834CDC">
        <w:t xml:space="preserve"> The effectiveness of Rotarix, the vaccine currently used in all states and territories in Australia (a monovalent human G1P[8] vaccine) and </w:t>
      </w:r>
      <w:proofErr w:type="spellStart"/>
      <w:r w:rsidRPr="00834CDC">
        <w:t>RotaTeq</w:t>
      </w:r>
      <w:proofErr w:type="spellEnd"/>
      <w:r w:rsidRPr="00834CDC">
        <w:t xml:space="preserve">, the vaccine used in some states and territories up to 2017 (a pentavalent human-bovine </w:t>
      </w:r>
      <w:proofErr w:type="spellStart"/>
      <w:r w:rsidRPr="00834CDC">
        <w:t>reassortant</w:t>
      </w:r>
      <w:proofErr w:type="spellEnd"/>
      <w:r w:rsidRPr="00834CDC">
        <w:t xml:space="preserve"> vaccine with G1, G2, G3, G4 and P[8] genotypes), against specific genotypes remains unclear. </w:t>
      </w:r>
    </w:p>
    <w:p w14:paraId="703031EC" w14:textId="77777777" w:rsidR="0033445F" w:rsidRPr="00834CDC" w:rsidRDefault="0033445F" w:rsidP="0033445F">
      <w:pPr>
        <w:divId w:val="1988506822"/>
      </w:pPr>
      <w:r w:rsidRPr="00834CDC">
        <w:lastRenderedPageBreak/>
        <w:t xml:space="preserve">Rotavirus notification data </w:t>
      </w:r>
      <w:proofErr w:type="gramStart"/>
      <w:r w:rsidRPr="00834CDC">
        <w:t>are presented</w:t>
      </w:r>
      <w:proofErr w:type="gramEnd"/>
      <w:r w:rsidRPr="00834CDC">
        <w:t xml:space="preserve"> in this report for the first time, after becoming nationally notifiable from 1 July 2018, with data available for the 18-month period from July 2018 to December 2019. Rotavirus notification rates were highest in infants aged 0 –&lt; 6 months, with the rate in Aboriginal and Torres Strait Islander infants 1.6-fold higher than other infants; followed by infants aged 6 months to &lt; 1 year, with the rate in Aboriginal and Torres Strait Islander infants threefold higher than other infants. However, a substantial proportion of notifications in infants aged 0 –&lt; 6 months </w:t>
      </w:r>
      <w:proofErr w:type="gramStart"/>
      <w:r w:rsidRPr="00834CDC">
        <w:t>likely represent</w:t>
      </w:r>
      <w:proofErr w:type="gramEnd"/>
      <w:r w:rsidRPr="00834CDC">
        <w:t xml:space="preserve"> vaccine virus shedding,</w:t>
      </w:r>
      <w:r w:rsidRPr="00834CDC">
        <w:rPr>
          <w:vertAlign w:val="superscript"/>
        </w:rPr>
        <w:t>200</w:t>
      </w:r>
      <w:r w:rsidRPr="00834CDC">
        <w:t xml:space="preserve"> as current assays do not differentiate between wild type rotavirus and vaccine virus,</w:t>
      </w:r>
      <w:r w:rsidRPr="00834CDC">
        <w:rPr>
          <w:vertAlign w:val="superscript"/>
        </w:rPr>
        <w:t>199,203</w:t>
      </w:r>
      <w:r w:rsidRPr="00834CDC">
        <w:t xml:space="preserve"> with vaccine virus detectable in stool samples up to 4 weeks after rotavirus vaccination.</w:t>
      </w:r>
      <w:r w:rsidRPr="00834CDC">
        <w:rPr>
          <w:vertAlign w:val="superscript"/>
        </w:rPr>
        <w:t>203,204</w:t>
      </w:r>
      <w:r w:rsidRPr="00834CDC">
        <w:t xml:space="preserve"> </w:t>
      </w:r>
    </w:p>
    <w:p w14:paraId="03F82672" w14:textId="77777777" w:rsidR="0033445F" w:rsidRPr="00834CDC" w:rsidRDefault="0033445F" w:rsidP="0033445F">
      <w:pPr>
        <w:divId w:val="1988506822"/>
      </w:pPr>
      <w:r w:rsidRPr="00834CDC">
        <w:t>Diarrhoeal disease morbidity among Aboriginal and Torres Strait Islander children follows patterns similar to those seen in less developed, resource-poor settings internationally.</w:t>
      </w:r>
      <w:r w:rsidRPr="00834CDC">
        <w:rPr>
          <w:vertAlign w:val="superscript"/>
        </w:rPr>
        <w:t>200</w:t>
      </w:r>
      <w:r w:rsidRPr="00834CDC">
        <w:t xml:space="preserve"> Vaccines are less effective in such populations, which are already at higher risk of diarrheal disease.</w:t>
      </w:r>
      <w:r w:rsidRPr="00834CDC">
        <w:rPr>
          <w:vertAlign w:val="superscript"/>
        </w:rPr>
        <w:t>205</w:t>
      </w:r>
      <w:r w:rsidRPr="00834CDC">
        <w:t xml:space="preserve"> Additionally, social, political, historical and environmental determinants of health have been identified as significant risk factors increasing hospitalisation due to gastroenteritis. These factors include preterm birth, lower socioeconomic </w:t>
      </w:r>
      <w:proofErr w:type="gramStart"/>
      <w:r w:rsidRPr="00834CDC">
        <w:t>status</w:t>
      </w:r>
      <w:proofErr w:type="gramEnd"/>
      <w:r w:rsidRPr="00834CDC">
        <w:t xml:space="preserve"> and barriers to accessing early medical intervention.</w:t>
      </w:r>
      <w:r w:rsidRPr="00834CDC">
        <w:rPr>
          <w:vertAlign w:val="superscript"/>
        </w:rPr>
        <w:t>202,206–208</w:t>
      </w:r>
      <w:r w:rsidRPr="00834CDC">
        <w:t xml:space="preserve"> </w:t>
      </w:r>
    </w:p>
    <w:p w14:paraId="61E792B1" w14:textId="77777777" w:rsidR="0033445F" w:rsidRPr="00834CDC" w:rsidRDefault="0033445F" w:rsidP="0033445F">
      <w:pPr>
        <w:divId w:val="1988506822"/>
      </w:pPr>
      <w:r w:rsidRPr="00834CDC">
        <w:t>The strict upper age cut-offs for rotavirus vaccination have limited the opportunity to improve coverage amongst Aboriginal infants, in whom timeliness of vaccination has been a persisting issue.</w:t>
      </w:r>
      <w:r w:rsidRPr="00834CDC">
        <w:rPr>
          <w:vertAlign w:val="superscript"/>
        </w:rPr>
        <w:t>209,210</w:t>
      </w:r>
      <w:r w:rsidRPr="00834CDC">
        <w:t xml:space="preserve"> However, the switch from the three-dose </w:t>
      </w:r>
      <w:proofErr w:type="spellStart"/>
      <w:r w:rsidRPr="00834CDC">
        <w:t>RotaTeq</w:t>
      </w:r>
      <w:proofErr w:type="spellEnd"/>
      <w:r w:rsidRPr="00834CDC">
        <w:t xml:space="preserve"> to two-dose Rotarix vaccine in 2017 (for those states and territories that had previously been using </w:t>
      </w:r>
      <w:proofErr w:type="spellStart"/>
      <w:r w:rsidRPr="00834CDC">
        <w:t>RotaTeq</w:t>
      </w:r>
      <w:proofErr w:type="spellEnd"/>
      <w:r w:rsidRPr="00834CDC">
        <w:t xml:space="preserve">) has led to an increase in course completion, with rotavirus vaccine coverage in Aboriginal and Torres Strait Islander children increasing from 78.3% in 2016 (versus 87.5% for all children) to 87.3% in 2019 (91.9% for all children; see vaccination coverage chapter). Despite the increased vaccine coverage and decreased hospitalisation rate, ongoing efforts </w:t>
      </w:r>
      <w:proofErr w:type="gramStart"/>
      <w:r w:rsidRPr="00834CDC">
        <w:t>are needed</w:t>
      </w:r>
      <w:proofErr w:type="gramEnd"/>
      <w:r w:rsidRPr="00834CDC">
        <w:t xml:space="preserve"> to protect Aboriginal and Torres Strait Islander children, particularly infants, who are still at a disproportionate risk of hospitalisation and severe diarrheal disease. Relaxed upper age limits have been suggested as an option to increase vaccine coverage among Aboriginal and Torres Strait Islander children, although overall risk-benefit profile of this potential change would need to be evaluated before implementing.</w:t>
      </w:r>
      <w:r w:rsidRPr="00834CDC">
        <w:rPr>
          <w:vertAlign w:val="superscript"/>
        </w:rPr>
        <w:t>211,212</w:t>
      </w:r>
      <w:r w:rsidRPr="00834CDC">
        <w:t xml:space="preserve"> A third dose of Rotarix has been shown to increase the immune response in Aboriginal and Torres Strait Islander children; if this translates into improved protection against disease it could provide an effective strategy.</w:t>
      </w:r>
      <w:r w:rsidRPr="00834CDC">
        <w:rPr>
          <w:vertAlign w:val="superscript"/>
        </w:rPr>
        <w:t>213</w:t>
      </w:r>
      <w:r w:rsidRPr="00834CDC">
        <w:t xml:space="preserve"> Future strategies also need to take into account the role of the social determinants of health and the political and historical contexts of Aboriginal and Torres Strait Islander children and communities, and risk of novel emerging strains.</w:t>
      </w:r>
    </w:p>
    <w:p w14:paraId="51C445DA" w14:textId="77777777" w:rsidR="00AA14C6" w:rsidRPr="00834CDC" w:rsidRDefault="00AA14C6">
      <w:pPr>
        <w:rPr>
          <w:rFonts w:asciiTheme="majorHAnsi" w:eastAsiaTheme="majorEastAsia" w:hAnsiTheme="majorHAnsi" w:cstheme="majorBidi"/>
          <w:b/>
          <w:bCs/>
          <w:sz w:val="32"/>
          <w:szCs w:val="28"/>
        </w:rPr>
      </w:pPr>
      <w:r w:rsidRPr="00834CDC">
        <w:br w:type="page"/>
      </w:r>
    </w:p>
    <w:p w14:paraId="17C53004" w14:textId="486826AB" w:rsidR="0033445F" w:rsidRPr="00834CDC" w:rsidRDefault="0033445F" w:rsidP="0033445F">
      <w:pPr>
        <w:pStyle w:val="Heading1"/>
        <w:divId w:val="1988506822"/>
      </w:pPr>
      <w:r w:rsidRPr="00834CDC">
        <w:lastRenderedPageBreak/>
        <w:t xml:space="preserve">13. Varicella-zoster virus infection </w:t>
      </w:r>
    </w:p>
    <w:p w14:paraId="5EA04483" w14:textId="05A1CD03" w:rsidR="00E32857" w:rsidRPr="00834CDC" w:rsidRDefault="00E32857" w:rsidP="00E32857">
      <w:pPr>
        <w:pStyle w:val="Heading2"/>
        <w:divId w:val="1988506822"/>
      </w:pPr>
      <w:r w:rsidRPr="00834CDC">
        <w:t xml:space="preserve">Relevant vaccine history </w:t>
      </w:r>
    </w:p>
    <w:p w14:paraId="74F1B98B" w14:textId="6C123A49" w:rsidR="00E32857" w:rsidRPr="00834CDC" w:rsidRDefault="00E32857" w:rsidP="0033445F">
      <w:pPr>
        <w:pStyle w:val="Heading2"/>
        <w:divId w:val="1988506822"/>
      </w:pPr>
      <w:r w:rsidRPr="00834CDC">
        <w:rPr>
          <w:noProof/>
        </w:rPr>
        <mc:AlternateContent>
          <mc:Choice Requires="wps">
            <w:drawing>
              <wp:inline distT="0" distB="0" distL="0" distR="0" wp14:anchorId="1252E2F5" wp14:editId="5CD03502">
                <wp:extent cx="6625742" cy="1404620"/>
                <wp:effectExtent l="0" t="0" r="381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1404620"/>
                        </a:xfrm>
                        <a:prstGeom prst="rect">
                          <a:avLst/>
                        </a:prstGeom>
                        <a:solidFill>
                          <a:srgbClr val="F7ECDD"/>
                        </a:solidFill>
                        <a:ln w="9525">
                          <a:noFill/>
                          <a:miter lim="800000"/>
                          <a:headEnd/>
                          <a:tailEnd/>
                        </a:ln>
                      </wps:spPr>
                      <wps:txbx>
                        <w:txbxContent>
                          <w:p w14:paraId="752424DA" w14:textId="7929C169" w:rsidR="003C10B2" w:rsidRPr="003C10B2" w:rsidRDefault="003C10B2" w:rsidP="003C10B2">
                            <w:pPr>
                              <w:pStyle w:val="NormalWeb"/>
                              <w:rPr>
                                <w:b/>
                                <w:bCs/>
                                <w:lang w:val="en-GB"/>
                              </w:rPr>
                            </w:pPr>
                            <w:r w:rsidRPr="003C10B2">
                              <w:rPr>
                                <w:b/>
                                <w:bCs/>
                                <w:lang w:val="en-GB"/>
                              </w:rPr>
                              <w:t>Varicella vaccine</w:t>
                            </w:r>
                          </w:p>
                          <w:p w14:paraId="3AAB942F" w14:textId="49DE6DB9" w:rsidR="00E32857" w:rsidRPr="00E32857" w:rsidRDefault="00E32857" w:rsidP="00E32857">
                            <w:pPr>
                              <w:pStyle w:val="NormalWeb"/>
                              <w:spacing w:before="0" w:beforeAutospacing="0" w:after="0" w:afterAutospacing="0" w:line="240" w:lineRule="auto"/>
                              <w:rPr>
                                <w:b/>
                                <w:bCs/>
                                <w:lang w:val="en-GB"/>
                              </w:rPr>
                            </w:pPr>
                            <w:r w:rsidRPr="00E32857">
                              <w:rPr>
                                <w:b/>
                                <w:bCs/>
                                <w:lang w:val="en-GB"/>
                              </w:rPr>
                              <w:t>2003</w:t>
                            </w:r>
                          </w:p>
                          <w:p w14:paraId="6360A444" w14:textId="77777777" w:rsidR="00E32857" w:rsidRDefault="00E32857" w:rsidP="00E32857">
                            <w:pPr>
                              <w:numPr>
                                <w:ilvl w:val="0"/>
                                <w:numId w:val="49"/>
                              </w:numPr>
                              <w:spacing w:after="0" w:line="240" w:lineRule="auto"/>
                              <w:rPr>
                                <w:rFonts w:eastAsia="Times New Roman"/>
                                <w:lang w:val="en-GB"/>
                              </w:rPr>
                            </w:pPr>
                            <w:r>
                              <w:rPr>
                                <w:rFonts w:eastAsia="Times New Roman"/>
                                <w:lang w:val="en-GB"/>
                              </w:rPr>
                              <w:t>Varicella vaccine recommended for all children aged 18 months and a catch-up program at 10–13 years without prior history of infection</w:t>
                            </w:r>
                          </w:p>
                          <w:p w14:paraId="0D8AB2B4" w14:textId="77777777" w:rsidR="00E32857" w:rsidRPr="00E32857" w:rsidRDefault="00E32857" w:rsidP="00E32857">
                            <w:pPr>
                              <w:pStyle w:val="NormalWeb"/>
                              <w:spacing w:before="0" w:beforeAutospacing="0" w:after="0" w:afterAutospacing="0" w:line="240" w:lineRule="auto"/>
                              <w:rPr>
                                <w:b/>
                                <w:bCs/>
                                <w:lang w:val="en-GB"/>
                              </w:rPr>
                            </w:pPr>
                            <w:r w:rsidRPr="00E32857">
                              <w:rPr>
                                <w:b/>
                                <w:bCs/>
                                <w:lang w:val="en-GB"/>
                              </w:rPr>
                              <w:t>2005</w:t>
                            </w:r>
                          </w:p>
                          <w:p w14:paraId="1CF64962" w14:textId="77777777" w:rsidR="00E32857" w:rsidRDefault="00E32857" w:rsidP="00E32857">
                            <w:pPr>
                              <w:numPr>
                                <w:ilvl w:val="0"/>
                                <w:numId w:val="50"/>
                              </w:numPr>
                              <w:spacing w:after="0" w:line="240" w:lineRule="auto"/>
                              <w:rPr>
                                <w:rFonts w:eastAsia="Times New Roman"/>
                                <w:lang w:val="en-GB"/>
                              </w:rPr>
                            </w:pPr>
                            <w:r>
                              <w:rPr>
                                <w:rFonts w:eastAsia="Times New Roman"/>
                                <w:lang w:val="en-GB"/>
                              </w:rPr>
                              <w:t>Varicella vaccination funded nationally, at 18 months and a catch-up program at 10–13 years of age, for children without prior history of infection</w:t>
                            </w:r>
                          </w:p>
                          <w:p w14:paraId="2F69EB9A" w14:textId="77777777" w:rsidR="00E32857" w:rsidRPr="00E32857" w:rsidRDefault="00E32857" w:rsidP="00E32857">
                            <w:pPr>
                              <w:pStyle w:val="NormalWeb"/>
                              <w:spacing w:before="0" w:beforeAutospacing="0" w:after="0" w:afterAutospacing="0" w:line="240" w:lineRule="auto"/>
                              <w:rPr>
                                <w:b/>
                                <w:bCs/>
                                <w:lang w:val="en-GB"/>
                              </w:rPr>
                            </w:pPr>
                            <w:r w:rsidRPr="00E32857">
                              <w:rPr>
                                <w:b/>
                                <w:bCs/>
                                <w:lang w:val="en-GB"/>
                              </w:rPr>
                              <w:t>2006</w:t>
                            </w:r>
                          </w:p>
                          <w:p w14:paraId="0D8032DD" w14:textId="77777777" w:rsidR="00E32857" w:rsidRDefault="00E32857" w:rsidP="00E32857">
                            <w:pPr>
                              <w:numPr>
                                <w:ilvl w:val="0"/>
                                <w:numId w:val="51"/>
                              </w:numPr>
                              <w:spacing w:after="0" w:line="240" w:lineRule="auto"/>
                              <w:rPr>
                                <w:rFonts w:eastAsia="Times New Roman"/>
                                <w:lang w:val="en-GB"/>
                              </w:rPr>
                            </w:pPr>
                            <w:r>
                              <w:rPr>
                                <w:rFonts w:eastAsia="Times New Roman"/>
                                <w:lang w:val="en-GB"/>
                              </w:rPr>
                              <w:t>All jurisdictions commenced school-based catch-up varicella vaccination for one cohort each year of adolescents aged 10–13 years without prior history of infection</w:t>
                            </w:r>
                          </w:p>
                          <w:p w14:paraId="0A2BF971" w14:textId="77777777" w:rsidR="00E32857" w:rsidRPr="00E32857" w:rsidRDefault="00E32857" w:rsidP="00E32857">
                            <w:pPr>
                              <w:pStyle w:val="NormalWeb"/>
                              <w:spacing w:before="0" w:beforeAutospacing="0" w:after="0" w:afterAutospacing="0" w:line="240" w:lineRule="auto"/>
                              <w:rPr>
                                <w:b/>
                                <w:bCs/>
                                <w:lang w:val="en-GB"/>
                              </w:rPr>
                            </w:pPr>
                            <w:r w:rsidRPr="00E32857">
                              <w:rPr>
                                <w:b/>
                                <w:bCs/>
                                <w:lang w:val="en-GB"/>
                              </w:rPr>
                              <w:t>2013</w:t>
                            </w:r>
                          </w:p>
                          <w:p w14:paraId="540D1D85" w14:textId="77777777" w:rsidR="00E32857" w:rsidRDefault="00E32857" w:rsidP="00E32857">
                            <w:pPr>
                              <w:numPr>
                                <w:ilvl w:val="0"/>
                                <w:numId w:val="52"/>
                              </w:numPr>
                              <w:spacing w:after="0" w:line="240" w:lineRule="auto"/>
                              <w:rPr>
                                <w:rFonts w:eastAsia="Times New Roman"/>
                                <w:lang w:val="en-GB"/>
                              </w:rPr>
                            </w:pPr>
                            <w:r>
                              <w:rPr>
                                <w:rFonts w:eastAsia="Times New Roman"/>
                                <w:lang w:val="en-GB"/>
                              </w:rPr>
                              <w:t>MMRV vaccine recommended and included under the NIP for the single dose of varicella vaccine scheduled at 18 months of age</w:t>
                            </w:r>
                          </w:p>
                          <w:p w14:paraId="16325D5F" w14:textId="77777777" w:rsidR="00E32857" w:rsidRPr="00E32857" w:rsidRDefault="00E32857" w:rsidP="00E32857">
                            <w:pPr>
                              <w:pStyle w:val="NormalWeb"/>
                              <w:spacing w:before="0" w:beforeAutospacing="0" w:after="0" w:afterAutospacing="0" w:line="240" w:lineRule="auto"/>
                              <w:rPr>
                                <w:b/>
                                <w:bCs/>
                                <w:lang w:val="en-GB"/>
                              </w:rPr>
                            </w:pPr>
                            <w:r w:rsidRPr="00E32857">
                              <w:rPr>
                                <w:b/>
                                <w:bCs/>
                                <w:lang w:val="en-GB"/>
                              </w:rPr>
                              <w:t>2017</w:t>
                            </w:r>
                          </w:p>
                          <w:p w14:paraId="412D09DC" w14:textId="0DD9F6AF" w:rsidR="00E32857" w:rsidRPr="00E32857" w:rsidRDefault="00E32857" w:rsidP="00E32857">
                            <w:pPr>
                              <w:numPr>
                                <w:ilvl w:val="0"/>
                                <w:numId w:val="53"/>
                              </w:numPr>
                              <w:spacing w:after="0" w:line="240" w:lineRule="auto"/>
                              <w:rPr>
                                <w:rFonts w:eastAsia="Times New Roman"/>
                                <w:lang w:val="en-GB"/>
                              </w:rPr>
                            </w:pPr>
                            <w:r>
                              <w:rPr>
                                <w:rFonts w:eastAsia="Times New Roman"/>
                                <w:lang w:val="en-GB"/>
                              </w:rPr>
                              <w:t>Funded adolescent school-based catch-up vaccination program ceased</w:t>
                            </w:r>
                          </w:p>
                        </w:txbxContent>
                      </wps:txbx>
                      <wps:bodyPr rot="0" vert="horz" wrap="square" lIns="91440" tIns="45720" rIns="91440" bIns="45720" anchor="t" anchorCtr="0">
                        <a:spAutoFit/>
                      </wps:bodyPr>
                    </wps:wsp>
                  </a:graphicData>
                </a:graphic>
              </wp:inline>
            </w:drawing>
          </mc:Choice>
          <mc:Fallback>
            <w:pict>
              <v:shape w14:anchorId="1252E2F5" id="_x0000_s1037"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" fillcolor="#f7ecdd" stroked="f">
                <v:textbox style="mso-fit-shape-to-text:t">
                  <w:txbxContent>
                    <w:p w14:paraId="752424DA" w14:textId="7929C169" w:rsidR="003C10B2" w:rsidRPr="003C10B2" w:rsidRDefault="003C10B2" w:rsidP="003C10B2">
                      <w:pPr>
                        <w:pStyle w:val="NormalWeb"/>
                        <w:rPr>
                          <w:b/>
                          <w:bCs/>
                          <w:lang w:val="en-GB"/>
                        </w:rPr>
                      </w:pPr>
                      <w:r w:rsidRPr="003C10B2">
                        <w:rPr>
                          <w:b/>
                          <w:bCs/>
                          <w:lang w:val="en-GB"/>
                        </w:rPr>
                        <w:t>Varicella vaccine</w:t>
                      </w:r>
                    </w:p>
                    <w:p w14:paraId="3AAB942F" w14:textId="49DE6DB9" w:rsidR="00E32857" w:rsidRPr="00E32857" w:rsidRDefault="00E32857" w:rsidP="00E32857">
                      <w:pPr>
                        <w:pStyle w:val="NormalWeb"/>
                        <w:spacing w:before="0" w:beforeAutospacing="0" w:after="0" w:afterAutospacing="0" w:line="240" w:lineRule="auto"/>
                        <w:rPr>
                          <w:b/>
                          <w:bCs/>
                          <w:lang w:val="en-GB"/>
                        </w:rPr>
                      </w:pPr>
                      <w:r w:rsidRPr="00E32857">
                        <w:rPr>
                          <w:b/>
                          <w:bCs/>
                          <w:lang w:val="en-GB"/>
                        </w:rPr>
                        <w:t>2003</w:t>
                      </w:r>
                    </w:p>
                    <w:p w14:paraId="6360A444" w14:textId="77777777" w:rsidR="00E32857" w:rsidRDefault="00E32857" w:rsidP="00E32857">
                      <w:pPr>
                        <w:numPr>
                          <w:ilvl w:val="0"/>
                          <w:numId w:val="49"/>
                        </w:numPr>
                        <w:spacing w:after="0" w:line="240" w:lineRule="auto"/>
                        <w:rPr>
                          <w:rFonts w:eastAsia="Times New Roman"/>
                          <w:lang w:val="en-GB"/>
                        </w:rPr>
                      </w:pPr>
                      <w:r>
                        <w:rPr>
                          <w:rFonts w:eastAsia="Times New Roman"/>
                          <w:lang w:val="en-GB"/>
                        </w:rPr>
                        <w:t>Varicella vaccine recommended for all children aged 18 months and a catch-up program at 10–13 years without prior history of infection</w:t>
                      </w:r>
                    </w:p>
                    <w:p w14:paraId="0D8AB2B4" w14:textId="77777777" w:rsidR="00E32857" w:rsidRPr="00E32857" w:rsidRDefault="00E32857" w:rsidP="00E32857">
                      <w:pPr>
                        <w:pStyle w:val="NormalWeb"/>
                        <w:spacing w:before="0" w:beforeAutospacing="0" w:after="0" w:afterAutospacing="0" w:line="240" w:lineRule="auto"/>
                        <w:rPr>
                          <w:b/>
                          <w:bCs/>
                          <w:lang w:val="en-GB"/>
                        </w:rPr>
                      </w:pPr>
                      <w:r w:rsidRPr="00E32857">
                        <w:rPr>
                          <w:b/>
                          <w:bCs/>
                          <w:lang w:val="en-GB"/>
                        </w:rPr>
                        <w:t>2005</w:t>
                      </w:r>
                    </w:p>
                    <w:p w14:paraId="1CF64962" w14:textId="77777777" w:rsidR="00E32857" w:rsidRDefault="00E32857" w:rsidP="00E32857">
                      <w:pPr>
                        <w:numPr>
                          <w:ilvl w:val="0"/>
                          <w:numId w:val="50"/>
                        </w:numPr>
                        <w:spacing w:after="0" w:line="240" w:lineRule="auto"/>
                        <w:rPr>
                          <w:rFonts w:eastAsia="Times New Roman"/>
                          <w:lang w:val="en-GB"/>
                        </w:rPr>
                      </w:pPr>
                      <w:r>
                        <w:rPr>
                          <w:rFonts w:eastAsia="Times New Roman"/>
                          <w:lang w:val="en-GB"/>
                        </w:rPr>
                        <w:t>Varicella vaccination funded nationally, at 18 months and a catch-up program at 10–13 years of age, for children without prior history of infection</w:t>
                      </w:r>
                    </w:p>
                    <w:p w14:paraId="2F69EB9A" w14:textId="77777777" w:rsidR="00E32857" w:rsidRPr="00E32857" w:rsidRDefault="00E32857" w:rsidP="00E32857">
                      <w:pPr>
                        <w:pStyle w:val="NormalWeb"/>
                        <w:spacing w:before="0" w:beforeAutospacing="0" w:after="0" w:afterAutospacing="0" w:line="240" w:lineRule="auto"/>
                        <w:rPr>
                          <w:b/>
                          <w:bCs/>
                          <w:lang w:val="en-GB"/>
                        </w:rPr>
                      </w:pPr>
                      <w:r w:rsidRPr="00E32857">
                        <w:rPr>
                          <w:b/>
                          <w:bCs/>
                          <w:lang w:val="en-GB"/>
                        </w:rPr>
                        <w:t>2006</w:t>
                      </w:r>
                    </w:p>
                    <w:p w14:paraId="0D8032DD" w14:textId="77777777" w:rsidR="00E32857" w:rsidRDefault="00E32857" w:rsidP="00E32857">
                      <w:pPr>
                        <w:numPr>
                          <w:ilvl w:val="0"/>
                          <w:numId w:val="51"/>
                        </w:numPr>
                        <w:spacing w:after="0" w:line="240" w:lineRule="auto"/>
                        <w:rPr>
                          <w:rFonts w:eastAsia="Times New Roman"/>
                          <w:lang w:val="en-GB"/>
                        </w:rPr>
                      </w:pPr>
                      <w:r>
                        <w:rPr>
                          <w:rFonts w:eastAsia="Times New Roman"/>
                          <w:lang w:val="en-GB"/>
                        </w:rPr>
                        <w:t>All jurisdictions commenced school-based catch-up varicella vaccination for one cohort each year of adolescents aged 10–13 years without prior history of infection</w:t>
                      </w:r>
                    </w:p>
                    <w:p w14:paraId="0A2BF971" w14:textId="77777777" w:rsidR="00E32857" w:rsidRPr="00E32857" w:rsidRDefault="00E32857" w:rsidP="00E32857">
                      <w:pPr>
                        <w:pStyle w:val="NormalWeb"/>
                        <w:spacing w:before="0" w:beforeAutospacing="0" w:after="0" w:afterAutospacing="0" w:line="240" w:lineRule="auto"/>
                        <w:rPr>
                          <w:b/>
                          <w:bCs/>
                          <w:lang w:val="en-GB"/>
                        </w:rPr>
                      </w:pPr>
                      <w:r w:rsidRPr="00E32857">
                        <w:rPr>
                          <w:b/>
                          <w:bCs/>
                          <w:lang w:val="en-GB"/>
                        </w:rPr>
                        <w:t>2013</w:t>
                      </w:r>
                    </w:p>
                    <w:p w14:paraId="540D1D85" w14:textId="77777777" w:rsidR="00E32857" w:rsidRDefault="00E32857" w:rsidP="00E32857">
                      <w:pPr>
                        <w:numPr>
                          <w:ilvl w:val="0"/>
                          <w:numId w:val="52"/>
                        </w:numPr>
                        <w:spacing w:after="0" w:line="240" w:lineRule="auto"/>
                        <w:rPr>
                          <w:rFonts w:eastAsia="Times New Roman"/>
                          <w:lang w:val="en-GB"/>
                        </w:rPr>
                      </w:pPr>
                      <w:r>
                        <w:rPr>
                          <w:rFonts w:eastAsia="Times New Roman"/>
                          <w:lang w:val="en-GB"/>
                        </w:rPr>
                        <w:t>MMRV vaccine recommended and included under the NIP for the single dose of varicella vaccine scheduled at 18 months of age</w:t>
                      </w:r>
                    </w:p>
                    <w:p w14:paraId="16325D5F" w14:textId="77777777" w:rsidR="00E32857" w:rsidRPr="00E32857" w:rsidRDefault="00E32857" w:rsidP="00E32857">
                      <w:pPr>
                        <w:pStyle w:val="NormalWeb"/>
                        <w:spacing w:before="0" w:beforeAutospacing="0" w:after="0" w:afterAutospacing="0" w:line="240" w:lineRule="auto"/>
                        <w:rPr>
                          <w:b/>
                          <w:bCs/>
                          <w:lang w:val="en-GB"/>
                        </w:rPr>
                      </w:pPr>
                      <w:r w:rsidRPr="00E32857">
                        <w:rPr>
                          <w:b/>
                          <w:bCs/>
                          <w:lang w:val="en-GB"/>
                        </w:rPr>
                        <w:t>2017</w:t>
                      </w:r>
                    </w:p>
                    <w:p w14:paraId="412D09DC" w14:textId="0DD9F6AF" w:rsidR="00E32857" w:rsidRPr="00E32857" w:rsidRDefault="00E32857" w:rsidP="00E32857">
                      <w:pPr>
                        <w:numPr>
                          <w:ilvl w:val="0"/>
                          <w:numId w:val="53"/>
                        </w:numPr>
                        <w:spacing w:after="0" w:line="240" w:lineRule="auto"/>
                        <w:rPr>
                          <w:rFonts w:eastAsia="Times New Roman"/>
                          <w:lang w:val="en-GB"/>
                        </w:rPr>
                      </w:pPr>
                      <w:r>
                        <w:rPr>
                          <w:rFonts w:eastAsia="Times New Roman"/>
                          <w:lang w:val="en-GB"/>
                        </w:rPr>
                        <w:t>Funded adolescent school-based catch-up vaccination program ceased</w:t>
                      </w:r>
                    </w:p>
                  </w:txbxContent>
                </v:textbox>
                <w10:anchorlock/>
              </v:shape>
            </w:pict>
          </mc:Fallback>
        </mc:AlternateContent>
      </w:r>
    </w:p>
    <w:p w14:paraId="324935DF" w14:textId="43DF458C" w:rsidR="00CD0039" w:rsidRPr="00834CDC" w:rsidRDefault="00CD0039" w:rsidP="0033445F">
      <w:pPr>
        <w:divId w:val="1988506822"/>
      </w:pPr>
    </w:p>
    <w:p w14:paraId="521A0332" w14:textId="4AF96B42" w:rsidR="00975A92" w:rsidRPr="00834CDC" w:rsidRDefault="00D73F70" w:rsidP="00975A92">
      <w:pPr>
        <w:pStyle w:val="Heading2"/>
        <w:divId w:val="1988506822"/>
      </w:pPr>
      <w:r w:rsidRPr="00834CDC">
        <w:t xml:space="preserve">Relevant vaccine history </w:t>
      </w:r>
    </w:p>
    <w:p w14:paraId="328F7DAE" w14:textId="420706AD" w:rsidR="00D73F70" w:rsidRPr="00834CDC" w:rsidRDefault="00D73F70" w:rsidP="0033445F">
      <w:pPr>
        <w:divId w:val="1988506822"/>
      </w:pPr>
      <w:r w:rsidRPr="00834CDC">
        <w:rPr>
          <w:noProof/>
        </w:rPr>
        <mc:AlternateContent>
          <mc:Choice Requires="wps">
            <w:drawing>
              <wp:inline distT="0" distB="0" distL="0" distR="0" wp14:anchorId="2297F823" wp14:editId="3B170FA9">
                <wp:extent cx="6625742" cy="1404620"/>
                <wp:effectExtent l="0" t="0" r="3810" b="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1404620"/>
                        </a:xfrm>
                        <a:prstGeom prst="rect">
                          <a:avLst/>
                        </a:prstGeom>
                        <a:solidFill>
                          <a:srgbClr val="F7ECDD"/>
                        </a:solidFill>
                        <a:ln w="9525">
                          <a:noFill/>
                          <a:miter lim="800000"/>
                          <a:headEnd/>
                          <a:tailEnd/>
                        </a:ln>
                      </wps:spPr>
                      <wps:txbx>
                        <w:txbxContent>
                          <w:p w14:paraId="0C209FBB" w14:textId="12B32056" w:rsidR="00D73F70" w:rsidRDefault="00D24B47" w:rsidP="00D73F70">
                            <w:pPr>
                              <w:pStyle w:val="NormalWeb"/>
                              <w:spacing w:before="0" w:beforeAutospacing="0" w:after="0" w:afterAutospacing="0" w:line="240" w:lineRule="auto"/>
                              <w:rPr>
                                <w:b/>
                                <w:bCs/>
                                <w:lang w:val="en-GB"/>
                              </w:rPr>
                            </w:pPr>
                            <w:r>
                              <w:rPr>
                                <w:b/>
                                <w:bCs/>
                                <w:lang w:val="en-GB"/>
                              </w:rPr>
                              <w:t>Zoster</w:t>
                            </w:r>
                            <w:r w:rsidR="00D73F70" w:rsidRPr="003C10B2">
                              <w:rPr>
                                <w:b/>
                                <w:bCs/>
                                <w:lang w:val="en-GB"/>
                              </w:rPr>
                              <w:t xml:space="preserve"> vaccine</w:t>
                            </w:r>
                          </w:p>
                          <w:p w14:paraId="7E976EF4" w14:textId="77777777" w:rsidR="00D73F70" w:rsidRPr="00D73F70" w:rsidRDefault="00D73F70" w:rsidP="00D73F70">
                            <w:pPr>
                              <w:pStyle w:val="NormalWeb"/>
                              <w:spacing w:before="0" w:beforeAutospacing="0" w:after="0" w:afterAutospacing="0" w:line="240" w:lineRule="auto"/>
                              <w:rPr>
                                <w:b/>
                                <w:bCs/>
                                <w:lang w:val="en-GB"/>
                              </w:rPr>
                            </w:pPr>
                            <w:r w:rsidRPr="00D73F70">
                              <w:rPr>
                                <w:b/>
                                <w:bCs/>
                                <w:lang w:val="en-GB"/>
                              </w:rPr>
                              <w:t>2006</w:t>
                            </w:r>
                          </w:p>
                          <w:p w14:paraId="128878E9" w14:textId="77777777" w:rsidR="00D73F70" w:rsidRDefault="00D73F70" w:rsidP="00D73F70">
                            <w:pPr>
                              <w:numPr>
                                <w:ilvl w:val="0"/>
                                <w:numId w:val="54"/>
                              </w:numPr>
                              <w:spacing w:after="0" w:line="240" w:lineRule="auto"/>
                              <w:rPr>
                                <w:rFonts w:eastAsia="Times New Roman"/>
                                <w:lang w:val="en-GB"/>
                              </w:rPr>
                            </w:pPr>
                            <w:r>
                              <w:rPr>
                                <w:rFonts w:eastAsia="Times New Roman"/>
                                <w:lang w:val="en-GB"/>
                              </w:rPr>
                              <w:t>First live zoster vaccine (frozen formulation) registered for use in individuals aged ≥ 60 years (but not marketed in Australia)</w:t>
                            </w:r>
                          </w:p>
                          <w:p w14:paraId="18933646" w14:textId="77777777" w:rsidR="00D73F70" w:rsidRPr="00D73F70" w:rsidRDefault="00D73F70" w:rsidP="00D73F70">
                            <w:pPr>
                              <w:pStyle w:val="NormalWeb"/>
                              <w:spacing w:before="0" w:beforeAutospacing="0" w:after="0" w:afterAutospacing="0" w:line="240" w:lineRule="auto"/>
                              <w:rPr>
                                <w:b/>
                                <w:bCs/>
                                <w:lang w:val="en-GB"/>
                              </w:rPr>
                            </w:pPr>
                            <w:r w:rsidRPr="00D73F70">
                              <w:rPr>
                                <w:b/>
                                <w:bCs/>
                                <w:lang w:val="en-GB"/>
                              </w:rPr>
                              <w:t>2007</w:t>
                            </w:r>
                          </w:p>
                          <w:p w14:paraId="6295D4AC" w14:textId="77777777" w:rsidR="00D73F70" w:rsidRDefault="00D73F70" w:rsidP="00D73F70">
                            <w:pPr>
                              <w:numPr>
                                <w:ilvl w:val="0"/>
                                <w:numId w:val="55"/>
                              </w:numPr>
                              <w:spacing w:after="0" w:line="240" w:lineRule="auto"/>
                              <w:rPr>
                                <w:rFonts w:eastAsia="Times New Roman"/>
                                <w:lang w:val="en-GB"/>
                              </w:rPr>
                            </w:pPr>
                            <w:r>
                              <w:rPr>
                                <w:rFonts w:eastAsia="Times New Roman"/>
                                <w:lang w:val="en-GB"/>
                              </w:rPr>
                              <w:t>First live zoster vaccine (refrigerated formulation) registered for use in individuals aged ≥ 50 years (limited vaccine availability in 2007–2008)</w:t>
                            </w:r>
                          </w:p>
                          <w:p w14:paraId="290CC1FF" w14:textId="77777777" w:rsidR="00D73F70" w:rsidRPr="00D73F70" w:rsidRDefault="00D73F70" w:rsidP="00D73F70">
                            <w:pPr>
                              <w:pStyle w:val="NormalWeb"/>
                              <w:spacing w:before="0" w:beforeAutospacing="0" w:after="0" w:afterAutospacing="0" w:line="240" w:lineRule="auto"/>
                              <w:rPr>
                                <w:b/>
                                <w:bCs/>
                                <w:lang w:val="en-GB"/>
                              </w:rPr>
                            </w:pPr>
                            <w:r w:rsidRPr="00D73F70">
                              <w:rPr>
                                <w:b/>
                                <w:bCs/>
                                <w:lang w:val="en-GB"/>
                              </w:rPr>
                              <w:t>2009</w:t>
                            </w:r>
                          </w:p>
                          <w:p w14:paraId="697B229C" w14:textId="77777777" w:rsidR="00D73F70" w:rsidRDefault="00D73F70" w:rsidP="00D73F70">
                            <w:pPr>
                              <w:numPr>
                                <w:ilvl w:val="0"/>
                                <w:numId w:val="56"/>
                              </w:numPr>
                              <w:spacing w:after="0" w:line="240" w:lineRule="auto"/>
                              <w:rPr>
                                <w:rFonts w:eastAsia="Times New Roman"/>
                                <w:lang w:val="en-GB"/>
                              </w:rPr>
                            </w:pPr>
                            <w:r>
                              <w:rPr>
                                <w:rFonts w:eastAsia="Times New Roman"/>
                                <w:lang w:val="en-GB"/>
                              </w:rPr>
                              <w:t>A single dose of zoster vaccine recommended for individuals aged ≥ 60 years (no vaccine availability after 2008)</w:t>
                            </w:r>
                          </w:p>
                          <w:p w14:paraId="33EBA5BF" w14:textId="77777777" w:rsidR="00D73F70" w:rsidRPr="00D73F70" w:rsidRDefault="00D73F70" w:rsidP="00D73F70">
                            <w:pPr>
                              <w:pStyle w:val="NormalWeb"/>
                              <w:spacing w:before="0" w:beforeAutospacing="0" w:after="0" w:afterAutospacing="0" w:line="240" w:lineRule="auto"/>
                              <w:rPr>
                                <w:b/>
                                <w:bCs/>
                                <w:lang w:val="en-GB"/>
                              </w:rPr>
                            </w:pPr>
                            <w:r w:rsidRPr="00D73F70">
                              <w:rPr>
                                <w:b/>
                                <w:bCs/>
                                <w:lang w:val="en-GB"/>
                              </w:rPr>
                              <w:t>2013</w:t>
                            </w:r>
                          </w:p>
                          <w:p w14:paraId="72425984" w14:textId="77777777" w:rsidR="00D73F70" w:rsidRDefault="00D73F70" w:rsidP="00D73F70">
                            <w:pPr>
                              <w:numPr>
                                <w:ilvl w:val="0"/>
                                <w:numId w:val="57"/>
                              </w:numPr>
                              <w:spacing w:after="0" w:line="240" w:lineRule="auto"/>
                              <w:rPr>
                                <w:rFonts w:eastAsia="Times New Roman"/>
                                <w:lang w:val="en-GB"/>
                              </w:rPr>
                            </w:pPr>
                            <w:r>
                              <w:rPr>
                                <w:rFonts w:eastAsia="Times New Roman"/>
                                <w:lang w:val="en-GB"/>
                              </w:rPr>
                              <w:t>First live zoster vaccine (refrigerated formulation) available on private prescription</w:t>
                            </w:r>
                          </w:p>
                          <w:p w14:paraId="76710194" w14:textId="77777777" w:rsidR="00D73F70" w:rsidRPr="00D73F70" w:rsidRDefault="00D73F70" w:rsidP="00D73F70">
                            <w:pPr>
                              <w:pStyle w:val="NormalWeb"/>
                              <w:spacing w:before="0" w:beforeAutospacing="0" w:after="0" w:afterAutospacing="0" w:line="240" w:lineRule="auto"/>
                              <w:rPr>
                                <w:b/>
                                <w:bCs/>
                                <w:lang w:val="en-GB"/>
                              </w:rPr>
                            </w:pPr>
                            <w:r w:rsidRPr="00D73F70">
                              <w:rPr>
                                <w:b/>
                                <w:bCs/>
                                <w:lang w:val="en-GB"/>
                              </w:rPr>
                              <w:t>2016</w:t>
                            </w:r>
                          </w:p>
                          <w:p w14:paraId="685688DE" w14:textId="77777777" w:rsidR="00D73F70" w:rsidRDefault="00D73F70" w:rsidP="00D73F70">
                            <w:pPr>
                              <w:numPr>
                                <w:ilvl w:val="0"/>
                                <w:numId w:val="58"/>
                              </w:numPr>
                              <w:spacing w:after="0" w:line="240" w:lineRule="auto"/>
                              <w:rPr>
                                <w:rFonts w:eastAsia="Times New Roman"/>
                                <w:lang w:val="en-GB"/>
                              </w:rPr>
                            </w:pPr>
                            <w:r>
                              <w:rPr>
                                <w:rFonts w:eastAsia="Times New Roman"/>
                                <w:lang w:val="en-GB"/>
                              </w:rPr>
                              <w:t>Single dose of zoster vaccine included under the NIP for people aged 70 years, with a five-year catch-up program for people aged 71–79 years.</w:t>
                            </w:r>
                          </w:p>
                          <w:p w14:paraId="5ACDA176" w14:textId="77777777" w:rsidR="00D73F70" w:rsidRPr="00D73F70" w:rsidRDefault="00D73F70" w:rsidP="00D73F70">
                            <w:pPr>
                              <w:pStyle w:val="NormalWeb"/>
                              <w:spacing w:before="0" w:beforeAutospacing="0" w:after="0" w:afterAutospacing="0" w:line="240" w:lineRule="auto"/>
                              <w:rPr>
                                <w:b/>
                                <w:bCs/>
                                <w:lang w:val="en-GB"/>
                              </w:rPr>
                            </w:pPr>
                            <w:r w:rsidRPr="00D73F70">
                              <w:rPr>
                                <w:b/>
                                <w:bCs/>
                                <w:lang w:val="en-GB"/>
                              </w:rPr>
                              <w:t>2018</w:t>
                            </w:r>
                          </w:p>
                          <w:p w14:paraId="70D0353E" w14:textId="3370AFC2" w:rsidR="00D73F70" w:rsidRPr="00D73F70" w:rsidRDefault="00D73F70" w:rsidP="00D73F70">
                            <w:pPr>
                              <w:numPr>
                                <w:ilvl w:val="0"/>
                                <w:numId w:val="59"/>
                              </w:numPr>
                              <w:spacing w:after="0" w:line="240" w:lineRule="auto"/>
                              <w:rPr>
                                <w:rFonts w:eastAsia="Times New Roman"/>
                                <w:lang w:val="en-GB"/>
                              </w:rPr>
                            </w:pPr>
                            <w:r>
                              <w:rPr>
                                <w:rFonts w:eastAsia="Times New Roman"/>
                                <w:lang w:val="en-GB"/>
                              </w:rPr>
                              <w:t>First inactivated recombinant zoster vaccine registered for use in adults aged ≥ 50 years.</w:t>
                            </w:r>
                          </w:p>
                        </w:txbxContent>
                      </wps:txbx>
                      <wps:bodyPr rot="0" vert="horz" wrap="square" lIns="91440" tIns="45720" rIns="91440" bIns="45720" anchor="t" anchorCtr="0">
                        <a:spAutoFit/>
                      </wps:bodyPr>
                    </wps:wsp>
                  </a:graphicData>
                </a:graphic>
              </wp:inline>
            </w:drawing>
          </mc:Choice>
          <mc:Fallback>
            <w:pict>
              <v:shape w14:anchorId="2297F823" id="_x0000_s1038"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" fillcolor="#f7ecdd" stroked="f">
                <v:textbox style="mso-fit-shape-to-text:t">
                  <w:txbxContent>
                    <w:p w14:paraId="0C209FBB" w14:textId="12B32056" w:rsidR="00D73F70" w:rsidRDefault="00D24B47" w:rsidP="00D73F70">
                      <w:pPr>
                        <w:pStyle w:val="NormalWeb"/>
                        <w:spacing w:before="0" w:beforeAutospacing="0" w:after="0" w:afterAutospacing="0" w:line="240" w:lineRule="auto"/>
                        <w:rPr>
                          <w:b/>
                          <w:bCs/>
                          <w:lang w:val="en-GB"/>
                        </w:rPr>
                      </w:pPr>
                      <w:r>
                        <w:rPr>
                          <w:b/>
                          <w:bCs/>
                          <w:lang w:val="en-GB"/>
                        </w:rPr>
                        <w:t>Zoster</w:t>
                      </w:r>
                      <w:r w:rsidR="00D73F70" w:rsidRPr="003C10B2">
                        <w:rPr>
                          <w:b/>
                          <w:bCs/>
                          <w:lang w:val="en-GB"/>
                        </w:rPr>
                        <w:t xml:space="preserve"> vaccine</w:t>
                      </w:r>
                    </w:p>
                    <w:p w14:paraId="7E976EF4" w14:textId="77777777" w:rsidR="00D73F70" w:rsidRPr="00D73F70" w:rsidRDefault="00D73F70" w:rsidP="00D73F70">
                      <w:pPr>
                        <w:pStyle w:val="NormalWeb"/>
                        <w:spacing w:before="0" w:beforeAutospacing="0" w:after="0" w:afterAutospacing="0" w:line="240" w:lineRule="auto"/>
                        <w:rPr>
                          <w:b/>
                          <w:bCs/>
                          <w:lang w:val="en-GB"/>
                        </w:rPr>
                      </w:pPr>
                      <w:r w:rsidRPr="00D73F70">
                        <w:rPr>
                          <w:b/>
                          <w:bCs/>
                          <w:lang w:val="en-GB"/>
                        </w:rPr>
                        <w:t>2006</w:t>
                      </w:r>
                    </w:p>
                    <w:p w14:paraId="128878E9" w14:textId="77777777" w:rsidR="00D73F70" w:rsidRDefault="00D73F70" w:rsidP="00D73F70">
                      <w:pPr>
                        <w:numPr>
                          <w:ilvl w:val="0"/>
                          <w:numId w:val="54"/>
                        </w:numPr>
                        <w:spacing w:after="0" w:line="240" w:lineRule="auto"/>
                        <w:rPr>
                          <w:rFonts w:eastAsia="Times New Roman"/>
                          <w:lang w:val="en-GB"/>
                        </w:rPr>
                      </w:pPr>
                      <w:r>
                        <w:rPr>
                          <w:rFonts w:eastAsia="Times New Roman"/>
                          <w:lang w:val="en-GB"/>
                        </w:rPr>
                        <w:t>First live zoster vaccine (frozen formulation) registered for use in individuals aged ≥ 60 years (but not marketed in Australia)</w:t>
                      </w:r>
                    </w:p>
                    <w:p w14:paraId="18933646" w14:textId="77777777" w:rsidR="00D73F70" w:rsidRPr="00D73F70" w:rsidRDefault="00D73F70" w:rsidP="00D73F70">
                      <w:pPr>
                        <w:pStyle w:val="NormalWeb"/>
                        <w:spacing w:before="0" w:beforeAutospacing="0" w:after="0" w:afterAutospacing="0" w:line="240" w:lineRule="auto"/>
                        <w:rPr>
                          <w:b/>
                          <w:bCs/>
                          <w:lang w:val="en-GB"/>
                        </w:rPr>
                      </w:pPr>
                      <w:r w:rsidRPr="00D73F70">
                        <w:rPr>
                          <w:b/>
                          <w:bCs/>
                          <w:lang w:val="en-GB"/>
                        </w:rPr>
                        <w:t>2007</w:t>
                      </w:r>
                    </w:p>
                    <w:p w14:paraId="6295D4AC" w14:textId="77777777" w:rsidR="00D73F70" w:rsidRDefault="00D73F70" w:rsidP="00D73F70">
                      <w:pPr>
                        <w:numPr>
                          <w:ilvl w:val="0"/>
                          <w:numId w:val="55"/>
                        </w:numPr>
                        <w:spacing w:after="0" w:line="240" w:lineRule="auto"/>
                        <w:rPr>
                          <w:rFonts w:eastAsia="Times New Roman"/>
                          <w:lang w:val="en-GB"/>
                        </w:rPr>
                      </w:pPr>
                      <w:r>
                        <w:rPr>
                          <w:rFonts w:eastAsia="Times New Roman"/>
                          <w:lang w:val="en-GB"/>
                        </w:rPr>
                        <w:t>First live zoster vaccine (refrigerated formulation) registered for use in individuals aged ≥ 50 years (limited vaccine availability in 2007–2008)</w:t>
                      </w:r>
                    </w:p>
                    <w:p w14:paraId="290CC1FF" w14:textId="77777777" w:rsidR="00D73F70" w:rsidRPr="00D73F70" w:rsidRDefault="00D73F70" w:rsidP="00D73F70">
                      <w:pPr>
                        <w:pStyle w:val="NormalWeb"/>
                        <w:spacing w:before="0" w:beforeAutospacing="0" w:after="0" w:afterAutospacing="0" w:line="240" w:lineRule="auto"/>
                        <w:rPr>
                          <w:b/>
                          <w:bCs/>
                          <w:lang w:val="en-GB"/>
                        </w:rPr>
                      </w:pPr>
                      <w:r w:rsidRPr="00D73F70">
                        <w:rPr>
                          <w:b/>
                          <w:bCs/>
                          <w:lang w:val="en-GB"/>
                        </w:rPr>
                        <w:t>2009</w:t>
                      </w:r>
                    </w:p>
                    <w:p w14:paraId="697B229C" w14:textId="77777777" w:rsidR="00D73F70" w:rsidRDefault="00D73F70" w:rsidP="00D73F70">
                      <w:pPr>
                        <w:numPr>
                          <w:ilvl w:val="0"/>
                          <w:numId w:val="56"/>
                        </w:numPr>
                        <w:spacing w:after="0" w:line="240" w:lineRule="auto"/>
                        <w:rPr>
                          <w:rFonts w:eastAsia="Times New Roman"/>
                          <w:lang w:val="en-GB"/>
                        </w:rPr>
                      </w:pPr>
                      <w:r>
                        <w:rPr>
                          <w:rFonts w:eastAsia="Times New Roman"/>
                          <w:lang w:val="en-GB"/>
                        </w:rPr>
                        <w:t>A single dose of zoster vaccine recommended for individuals aged ≥ 60 years (no vaccine availability after 2008)</w:t>
                      </w:r>
                    </w:p>
                    <w:p w14:paraId="33EBA5BF" w14:textId="77777777" w:rsidR="00D73F70" w:rsidRPr="00D73F70" w:rsidRDefault="00D73F70" w:rsidP="00D73F70">
                      <w:pPr>
                        <w:pStyle w:val="NormalWeb"/>
                        <w:spacing w:before="0" w:beforeAutospacing="0" w:after="0" w:afterAutospacing="0" w:line="240" w:lineRule="auto"/>
                        <w:rPr>
                          <w:b/>
                          <w:bCs/>
                          <w:lang w:val="en-GB"/>
                        </w:rPr>
                      </w:pPr>
                      <w:r w:rsidRPr="00D73F70">
                        <w:rPr>
                          <w:b/>
                          <w:bCs/>
                          <w:lang w:val="en-GB"/>
                        </w:rPr>
                        <w:t>2013</w:t>
                      </w:r>
                    </w:p>
                    <w:p w14:paraId="72425984" w14:textId="77777777" w:rsidR="00D73F70" w:rsidRDefault="00D73F70" w:rsidP="00D73F70">
                      <w:pPr>
                        <w:numPr>
                          <w:ilvl w:val="0"/>
                          <w:numId w:val="57"/>
                        </w:numPr>
                        <w:spacing w:after="0" w:line="240" w:lineRule="auto"/>
                        <w:rPr>
                          <w:rFonts w:eastAsia="Times New Roman"/>
                          <w:lang w:val="en-GB"/>
                        </w:rPr>
                      </w:pPr>
                      <w:r>
                        <w:rPr>
                          <w:rFonts w:eastAsia="Times New Roman"/>
                          <w:lang w:val="en-GB"/>
                        </w:rPr>
                        <w:t>First live zoster vaccine (refrigerated formulation) available on private prescription</w:t>
                      </w:r>
                    </w:p>
                    <w:p w14:paraId="76710194" w14:textId="77777777" w:rsidR="00D73F70" w:rsidRPr="00D73F70" w:rsidRDefault="00D73F70" w:rsidP="00D73F70">
                      <w:pPr>
                        <w:pStyle w:val="NormalWeb"/>
                        <w:spacing w:before="0" w:beforeAutospacing="0" w:after="0" w:afterAutospacing="0" w:line="240" w:lineRule="auto"/>
                        <w:rPr>
                          <w:b/>
                          <w:bCs/>
                          <w:lang w:val="en-GB"/>
                        </w:rPr>
                      </w:pPr>
                      <w:r w:rsidRPr="00D73F70">
                        <w:rPr>
                          <w:b/>
                          <w:bCs/>
                          <w:lang w:val="en-GB"/>
                        </w:rPr>
                        <w:t>2016</w:t>
                      </w:r>
                    </w:p>
                    <w:p w14:paraId="685688DE" w14:textId="77777777" w:rsidR="00D73F70" w:rsidRDefault="00D73F70" w:rsidP="00D73F70">
                      <w:pPr>
                        <w:numPr>
                          <w:ilvl w:val="0"/>
                          <w:numId w:val="58"/>
                        </w:numPr>
                        <w:spacing w:after="0" w:line="240" w:lineRule="auto"/>
                        <w:rPr>
                          <w:rFonts w:eastAsia="Times New Roman"/>
                          <w:lang w:val="en-GB"/>
                        </w:rPr>
                      </w:pPr>
                      <w:r>
                        <w:rPr>
                          <w:rFonts w:eastAsia="Times New Roman"/>
                          <w:lang w:val="en-GB"/>
                        </w:rPr>
                        <w:t>Single dose of zoster vaccine included under the NIP for people aged 70 years, with a five-year catch-up program for people aged 71–79 years.</w:t>
                      </w:r>
                    </w:p>
                    <w:p w14:paraId="5ACDA176" w14:textId="77777777" w:rsidR="00D73F70" w:rsidRPr="00D73F70" w:rsidRDefault="00D73F70" w:rsidP="00D73F70">
                      <w:pPr>
                        <w:pStyle w:val="NormalWeb"/>
                        <w:spacing w:before="0" w:beforeAutospacing="0" w:after="0" w:afterAutospacing="0" w:line="240" w:lineRule="auto"/>
                        <w:rPr>
                          <w:b/>
                          <w:bCs/>
                          <w:lang w:val="en-GB"/>
                        </w:rPr>
                      </w:pPr>
                      <w:r w:rsidRPr="00D73F70">
                        <w:rPr>
                          <w:b/>
                          <w:bCs/>
                          <w:lang w:val="en-GB"/>
                        </w:rPr>
                        <w:t>2018</w:t>
                      </w:r>
                    </w:p>
                    <w:p w14:paraId="70D0353E" w14:textId="3370AFC2" w:rsidR="00D73F70" w:rsidRPr="00D73F70" w:rsidRDefault="00D73F70" w:rsidP="00D73F70">
                      <w:pPr>
                        <w:numPr>
                          <w:ilvl w:val="0"/>
                          <w:numId w:val="59"/>
                        </w:numPr>
                        <w:spacing w:after="0" w:line="240" w:lineRule="auto"/>
                        <w:rPr>
                          <w:rFonts w:eastAsia="Times New Roman"/>
                          <w:lang w:val="en-GB"/>
                        </w:rPr>
                      </w:pPr>
                      <w:r>
                        <w:rPr>
                          <w:rFonts w:eastAsia="Times New Roman"/>
                          <w:lang w:val="en-GB"/>
                        </w:rPr>
                        <w:t>First inactivated recombinant zoster vaccine registered for use in adults aged ≥ 50 years.</w:t>
                      </w:r>
                    </w:p>
                  </w:txbxContent>
                </v:textbox>
                <w10:anchorlock/>
              </v:shape>
            </w:pict>
          </mc:Fallback>
        </mc:AlternateContent>
      </w:r>
    </w:p>
    <w:p w14:paraId="776D1E2C" w14:textId="3FFEEFFB" w:rsidR="0033445F" w:rsidRPr="00834CDC" w:rsidRDefault="0033445F" w:rsidP="0033445F">
      <w:pPr>
        <w:divId w:val="1988506822"/>
      </w:pPr>
      <w:r w:rsidRPr="00834CDC">
        <w:t xml:space="preserve">The varicella-zoster virus (VZV) causes two distinct diseases: varicella (chickenpox) and herpes zoster (shingles). Varicella is highly contagious and, in children, is </w:t>
      </w:r>
      <w:proofErr w:type="gramStart"/>
      <w:r w:rsidRPr="00834CDC">
        <w:t>generally a</w:t>
      </w:r>
      <w:proofErr w:type="gramEnd"/>
      <w:r w:rsidRPr="00834CDC">
        <w:t xml:space="preserve"> benign, self-limiting illness. However, infants, adults and the immunocompromised have significantly higher morbidity and mortality.</w:t>
      </w:r>
      <w:r w:rsidRPr="00834CDC">
        <w:rPr>
          <w:vertAlign w:val="superscript"/>
        </w:rPr>
        <w:t>214</w:t>
      </w:r>
      <w:r w:rsidRPr="00834CDC">
        <w:t xml:space="preserve"> Complications associated with acute varicella infection include secondary bacterial infection of the skin; pneumonia; encephalitis and other neurological issues; pericarditis; arthritis; and osteomyelitis.</w:t>
      </w:r>
      <w:r w:rsidRPr="00834CDC">
        <w:rPr>
          <w:vertAlign w:val="superscript"/>
        </w:rPr>
        <w:t>63,215</w:t>
      </w:r>
      <w:r w:rsidRPr="00834CDC">
        <w:t xml:space="preserve"> Varicella infection in pregnancy may result in congenital varicella syndrome in infants, associated with skin scarring, limb defects, and eye or neurological abnormalities.</w:t>
      </w:r>
      <w:r w:rsidRPr="00834CDC">
        <w:rPr>
          <w:vertAlign w:val="superscript"/>
        </w:rPr>
        <w:t>63</w:t>
      </w:r>
      <w:r w:rsidRPr="00834CDC">
        <w:t xml:space="preserve"> After primary infection, the virus lays dormant in ganglionic neurons in the spinal cord.</w:t>
      </w:r>
      <w:r w:rsidRPr="00834CDC">
        <w:rPr>
          <w:vertAlign w:val="superscript"/>
        </w:rPr>
        <w:t>214</w:t>
      </w:r>
      <w:r w:rsidRPr="00834CDC">
        <w:t xml:space="preserve"> Herpes zoster is a reactivation of VZV, usually occurring years after the primary infection, when immunity against the virus has waned, or at times of immunocompromise.</w:t>
      </w:r>
      <w:r w:rsidRPr="00834CDC">
        <w:rPr>
          <w:vertAlign w:val="superscript"/>
        </w:rPr>
        <w:t>216</w:t>
      </w:r>
      <w:r w:rsidRPr="00834CDC">
        <w:t xml:space="preserve"> Herpes zoster causes a painful, localised rash in a dermatomal distribution.</w:t>
      </w:r>
      <w:r w:rsidRPr="00834CDC">
        <w:rPr>
          <w:vertAlign w:val="superscript"/>
        </w:rPr>
        <w:t>216</w:t>
      </w:r>
      <w:r w:rsidRPr="00834CDC">
        <w:t xml:space="preserve"> The most </w:t>
      </w:r>
      <w:r w:rsidRPr="00834CDC">
        <w:lastRenderedPageBreak/>
        <w:t>common complication of herpes zoster is post-herpetic neuralgia; other potential complications include ophthalmic disease, secondary bacterial infections and scarring, neurological complications and disseminated disease.</w:t>
      </w:r>
      <w:r w:rsidRPr="00834CDC">
        <w:rPr>
          <w:vertAlign w:val="superscript"/>
        </w:rPr>
        <w:t>63,217</w:t>
      </w:r>
      <w:r w:rsidRPr="00834CDC">
        <w:t xml:space="preserve"> </w:t>
      </w:r>
    </w:p>
    <w:p w14:paraId="302B7353" w14:textId="77777777" w:rsidR="0033445F" w:rsidRPr="00834CDC" w:rsidRDefault="0033445F" w:rsidP="0033445F">
      <w:pPr>
        <w:pStyle w:val="Heading2"/>
        <w:divId w:val="1988506822"/>
      </w:pPr>
      <w:r w:rsidRPr="00834CDC">
        <w:t xml:space="preserve">Results </w:t>
      </w:r>
    </w:p>
    <w:p w14:paraId="0DF412F1" w14:textId="5B6CD03B" w:rsidR="0033445F" w:rsidRPr="00834CDC" w:rsidRDefault="0033445F" w:rsidP="0033445F">
      <w:pPr>
        <w:divId w:val="1988506822"/>
      </w:pPr>
      <w:r w:rsidRPr="00834CDC">
        <w:t xml:space="preserve">VZV infection notifications are not presented in this report, as most are unspecified (not </w:t>
      </w:r>
      <w:proofErr w:type="gramStart"/>
      <w:r w:rsidRPr="00834CDC">
        <w:t>designated</w:t>
      </w:r>
      <w:proofErr w:type="gramEnd"/>
      <w:r w:rsidRPr="00834CDC">
        <w:t xml:space="preserve"> as either varicella or zoster). Hospitalisation data for varicella </w:t>
      </w:r>
      <w:proofErr w:type="gramStart"/>
      <w:r w:rsidRPr="00834CDC">
        <w:t>are presented</w:t>
      </w:r>
      <w:proofErr w:type="gramEnd"/>
      <w:r w:rsidRPr="00834CDC">
        <w:t xml:space="preserve"> for all jurisdictions for the 2016–2019 period in</w:t>
      </w:r>
      <w:r w:rsidR="00FF2CC0" w:rsidRPr="00834CDC">
        <w:t> </w:t>
      </w:r>
      <w:r w:rsidRPr="00834CDC">
        <w:t xml:space="preserve">Table 21. </w:t>
      </w:r>
    </w:p>
    <w:p w14:paraId="7AE16DB5" w14:textId="77777777" w:rsidR="00A22DCA" w:rsidRPr="00834CDC" w:rsidRDefault="00A22DCA" w:rsidP="00A22DCA">
      <w:pPr>
        <w:pStyle w:val="NormalWeb"/>
        <w:divId w:val="1988506822"/>
      </w:pPr>
      <w:r w:rsidRPr="00834CDC">
        <w:rPr>
          <w:rStyle w:val="Strong"/>
        </w:rPr>
        <w:t>Table 21: Varicella (chickenpox) hospitalisations, Australia (all states and territories), 2016–</w:t>
      </w:r>
      <w:proofErr w:type="gramStart"/>
      <w:r w:rsidRPr="00834CDC">
        <w:rPr>
          <w:rStyle w:val="Strong"/>
        </w:rPr>
        <w:t>2019,</w:t>
      </w:r>
      <w:r w:rsidRPr="00834CDC">
        <w:rPr>
          <w:rStyle w:val="Strong"/>
          <w:vertAlign w:val="superscript"/>
        </w:rPr>
        <w:t>a</w:t>
      </w:r>
      <w:proofErr w:type="gramEnd"/>
      <w:r w:rsidRPr="00834CDC">
        <w:rPr>
          <w:rStyle w:val="Strong"/>
        </w:rPr>
        <w:t xml:space="preserve"> by age and Aboriginal and Torres Strait Islander status</w:t>
      </w:r>
    </w:p>
    <w:tbl>
      <w:tblPr>
        <w:tblStyle w:val="CDI-StandardTable"/>
        <w:tblW w:w="0" w:type="auto"/>
        <w:tblLayout w:type="fixed"/>
        <w:tblLook w:val="04A0" w:firstRow="1" w:lastRow="0" w:firstColumn="1" w:lastColumn="0" w:noHBand="0" w:noVBand="1"/>
        <w:tblDescription w:val="Table 21 shows the number and rates per 100,000 population of varicella (chickenpox) hospitalisations by age and Aboriginal and Torres Strait Islander status, Australia, 2016 to 2019.&#10;"/>
      </w:tblPr>
      <w:tblGrid>
        <w:gridCol w:w="1433"/>
        <w:gridCol w:w="4521"/>
        <w:gridCol w:w="709"/>
        <w:gridCol w:w="708"/>
        <w:gridCol w:w="1134"/>
        <w:gridCol w:w="1935"/>
      </w:tblGrid>
      <w:tr w:rsidR="00A22DCA" w:rsidRPr="00834CDC" w14:paraId="7046EFEA" w14:textId="77777777" w:rsidTr="00A22DCA">
        <w:trPr>
          <w:cnfStyle w:val="100000000000" w:firstRow="1" w:lastRow="0" w:firstColumn="0" w:lastColumn="0" w:oddVBand="0" w:evenVBand="0" w:oddHBand="0" w:evenHBand="0" w:firstRowFirstColumn="0" w:firstRowLastColumn="0" w:lastRowFirstColumn="0" w:lastRowLastColumn="0"/>
          <w:divId w:val="1988506822"/>
          <w:tblHeader/>
        </w:trPr>
        <w:tc>
          <w:tcPr>
            <w:tcW w:w="1433" w:type="dxa"/>
            <w:vMerge w:val="restart"/>
            <w:hideMark/>
          </w:tcPr>
          <w:p w14:paraId="353AAF37" w14:textId="77777777" w:rsidR="00A22DCA" w:rsidRPr="00834CDC" w:rsidRDefault="00A22DCA" w:rsidP="00A22DCA">
            <w:pPr>
              <w:pStyle w:val="NormalWeb"/>
              <w:jc w:val="left"/>
              <w:rPr>
                <w:sz w:val="18"/>
                <w:szCs w:val="18"/>
              </w:rPr>
            </w:pPr>
            <w:r w:rsidRPr="00834CDC">
              <w:rPr>
                <w:sz w:val="18"/>
                <w:szCs w:val="18"/>
              </w:rPr>
              <w:t>Age group (years)</w:t>
            </w:r>
          </w:p>
        </w:tc>
        <w:tc>
          <w:tcPr>
            <w:tcW w:w="4521" w:type="dxa"/>
            <w:vMerge w:val="restart"/>
            <w:hideMark/>
          </w:tcPr>
          <w:p w14:paraId="2760B191" w14:textId="77777777" w:rsidR="00A22DCA" w:rsidRPr="00834CDC" w:rsidRDefault="00A22DCA" w:rsidP="00A22DCA">
            <w:pPr>
              <w:pStyle w:val="NormalWeb"/>
              <w:jc w:val="left"/>
              <w:rPr>
                <w:sz w:val="18"/>
                <w:szCs w:val="18"/>
              </w:rPr>
            </w:pPr>
            <w:r w:rsidRPr="00834CDC">
              <w:rPr>
                <w:sz w:val="18"/>
                <w:szCs w:val="18"/>
              </w:rPr>
              <w:t>Aboriginal and Torres Strait Islander status</w:t>
            </w:r>
          </w:p>
        </w:tc>
        <w:tc>
          <w:tcPr>
            <w:tcW w:w="4486" w:type="dxa"/>
            <w:gridSpan w:val="4"/>
            <w:hideMark/>
          </w:tcPr>
          <w:p w14:paraId="4388C052" w14:textId="1C2C64B6" w:rsidR="00A22DCA" w:rsidRPr="00834CDC" w:rsidRDefault="00A22DCA" w:rsidP="008E078C">
            <w:pPr>
              <w:pStyle w:val="NormalWeb"/>
              <w:rPr>
                <w:sz w:val="18"/>
                <w:szCs w:val="18"/>
              </w:rPr>
            </w:pPr>
            <w:r w:rsidRPr="00834CDC">
              <w:rPr>
                <w:sz w:val="18"/>
                <w:szCs w:val="18"/>
              </w:rPr>
              <w:t>Hospitalisations (2016 – 2019)</w:t>
            </w:r>
            <w:r w:rsidR="00163A49" w:rsidRPr="00834CDC">
              <w:rPr>
                <w:sz w:val="18"/>
                <w:szCs w:val="18"/>
              </w:rPr>
              <w:t xml:space="preserve"> </w:t>
            </w:r>
            <w:r w:rsidRPr="00834CDC">
              <w:rPr>
                <w:sz w:val="18"/>
                <w:szCs w:val="18"/>
                <w:vertAlign w:val="superscript"/>
              </w:rPr>
              <w:t>a</w:t>
            </w:r>
          </w:p>
        </w:tc>
      </w:tr>
      <w:tr w:rsidR="00A22DCA" w:rsidRPr="00834CDC" w14:paraId="3A43FD63" w14:textId="77777777" w:rsidTr="00A22DCA">
        <w:trPr>
          <w:cnfStyle w:val="100000000000" w:firstRow="1" w:lastRow="0" w:firstColumn="0" w:lastColumn="0" w:oddVBand="0" w:evenVBand="0" w:oddHBand="0" w:evenHBand="0" w:firstRowFirstColumn="0" w:firstRowLastColumn="0" w:lastRowFirstColumn="0" w:lastRowLastColumn="0"/>
          <w:divId w:val="1988506822"/>
          <w:tblHeader/>
        </w:trPr>
        <w:tc>
          <w:tcPr>
            <w:tcW w:w="1433" w:type="dxa"/>
            <w:vMerge/>
            <w:tcBorders>
              <w:bottom w:val="single" w:sz="4" w:space="0" w:color="808080" w:themeColor="background1" w:themeShade="80"/>
            </w:tcBorders>
            <w:hideMark/>
          </w:tcPr>
          <w:p w14:paraId="6C6ED3F3" w14:textId="77777777" w:rsidR="00A22DCA" w:rsidRPr="00834CDC" w:rsidRDefault="00A22DCA" w:rsidP="00A22DCA">
            <w:pPr>
              <w:jc w:val="left"/>
              <w:rPr>
                <w:sz w:val="18"/>
                <w:szCs w:val="18"/>
              </w:rPr>
            </w:pPr>
          </w:p>
        </w:tc>
        <w:tc>
          <w:tcPr>
            <w:tcW w:w="4521" w:type="dxa"/>
            <w:vMerge/>
            <w:tcBorders>
              <w:bottom w:val="single" w:sz="4" w:space="0" w:color="808080" w:themeColor="background1" w:themeShade="80"/>
            </w:tcBorders>
            <w:hideMark/>
          </w:tcPr>
          <w:p w14:paraId="72C5F980" w14:textId="77777777" w:rsidR="00A22DCA" w:rsidRPr="00834CDC" w:rsidRDefault="00A22DCA" w:rsidP="00A22DCA">
            <w:pPr>
              <w:jc w:val="left"/>
              <w:rPr>
                <w:sz w:val="18"/>
                <w:szCs w:val="18"/>
              </w:rPr>
            </w:pPr>
          </w:p>
        </w:tc>
        <w:tc>
          <w:tcPr>
            <w:tcW w:w="709" w:type="dxa"/>
            <w:tcBorders>
              <w:bottom w:val="single" w:sz="4" w:space="0" w:color="808080" w:themeColor="background1" w:themeShade="80"/>
            </w:tcBorders>
            <w:hideMark/>
          </w:tcPr>
          <w:p w14:paraId="300196D1" w14:textId="77777777" w:rsidR="00A22DCA" w:rsidRPr="00834CDC" w:rsidRDefault="00A22DCA" w:rsidP="008E078C">
            <w:pPr>
              <w:pStyle w:val="NormalWeb"/>
              <w:rPr>
                <w:sz w:val="18"/>
                <w:szCs w:val="18"/>
              </w:rPr>
            </w:pPr>
            <w:r w:rsidRPr="00834CDC">
              <w:rPr>
                <w:sz w:val="18"/>
                <w:szCs w:val="18"/>
              </w:rPr>
              <w:t>n</w:t>
            </w:r>
          </w:p>
        </w:tc>
        <w:tc>
          <w:tcPr>
            <w:tcW w:w="708" w:type="dxa"/>
            <w:tcBorders>
              <w:bottom w:val="single" w:sz="4" w:space="0" w:color="808080" w:themeColor="background1" w:themeShade="80"/>
            </w:tcBorders>
            <w:hideMark/>
          </w:tcPr>
          <w:p w14:paraId="48039862" w14:textId="34BB9ABF" w:rsidR="00A22DCA" w:rsidRPr="00834CDC" w:rsidRDefault="00A22DCA" w:rsidP="008E078C">
            <w:pPr>
              <w:pStyle w:val="NormalWeb"/>
              <w:rPr>
                <w:sz w:val="18"/>
                <w:szCs w:val="18"/>
              </w:rPr>
            </w:pPr>
            <w:r w:rsidRPr="00834CDC">
              <w:rPr>
                <w:sz w:val="18"/>
                <w:szCs w:val="18"/>
              </w:rPr>
              <w:t>Rate</w:t>
            </w:r>
            <w:r w:rsidR="00163A49" w:rsidRPr="00834CDC">
              <w:rPr>
                <w:sz w:val="18"/>
                <w:szCs w:val="18"/>
              </w:rPr>
              <w:t xml:space="preserve"> </w:t>
            </w:r>
            <w:r w:rsidRPr="00834CDC">
              <w:rPr>
                <w:sz w:val="18"/>
                <w:szCs w:val="18"/>
                <w:vertAlign w:val="superscript"/>
              </w:rPr>
              <w:t>b</w:t>
            </w:r>
          </w:p>
        </w:tc>
        <w:tc>
          <w:tcPr>
            <w:tcW w:w="1134" w:type="dxa"/>
            <w:tcBorders>
              <w:bottom w:val="single" w:sz="4" w:space="0" w:color="808080" w:themeColor="background1" w:themeShade="80"/>
            </w:tcBorders>
            <w:hideMark/>
          </w:tcPr>
          <w:p w14:paraId="4CF9B3E1" w14:textId="77777777" w:rsidR="00A22DCA" w:rsidRPr="00834CDC" w:rsidRDefault="00A22DCA" w:rsidP="008E078C">
            <w:pPr>
              <w:pStyle w:val="NormalWeb"/>
              <w:rPr>
                <w:sz w:val="18"/>
                <w:szCs w:val="18"/>
              </w:rPr>
            </w:pPr>
            <w:r w:rsidRPr="00834CDC">
              <w:rPr>
                <w:sz w:val="18"/>
                <w:szCs w:val="18"/>
              </w:rPr>
              <w:t>Rate ratio</w:t>
            </w:r>
          </w:p>
        </w:tc>
        <w:tc>
          <w:tcPr>
            <w:tcW w:w="1935" w:type="dxa"/>
            <w:tcBorders>
              <w:bottom w:val="single" w:sz="4" w:space="0" w:color="808080" w:themeColor="background1" w:themeShade="80"/>
            </w:tcBorders>
            <w:hideMark/>
          </w:tcPr>
          <w:p w14:paraId="22769522" w14:textId="77777777" w:rsidR="00A22DCA" w:rsidRPr="00834CDC" w:rsidRDefault="00A22DCA" w:rsidP="008E078C">
            <w:pPr>
              <w:pStyle w:val="NormalWeb"/>
              <w:rPr>
                <w:sz w:val="18"/>
                <w:szCs w:val="18"/>
              </w:rPr>
            </w:pPr>
            <w:proofErr w:type="gramStart"/>
            <w:r w:rsidRPr="00834CDC">
              <w:rPr>
                <w:sz w:val="18"/>
                <w:szCs w:val="18"/>
              </w:rPr>
              <w:t>95%</w:t>
            </w:r>
            <w:proofErr w:type="gramEnd"/>
            <w:r w:rsidRPr="00834CDC">
              <w:rPr>
                <w:sz w:val="18"/>
                <w:szCs w:val="18"/>
              </w:rPr>
              <w:t xml:space="preserve"> CI for rate ratio</w:t>
            </w:r>
          </w:p>
        </w:tc>
      </w:tr>
      <w:tr w:rsidR="00A22DCA" w:rsidRPr="00834CDC" w14:paraId="42204EF4" w14:textId="77777777" w:rsidTr="00A22DCA">
        <w:trPr>
          <w:divId w:val="1988506822"/>
        </w:trPr>
        <w:tc>
          <w:tcPr>
            <w:tcW w:w="143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D5C961B" w14:textId="77777777" w:rsidR="00A22DCA" w:rsidRPr="00834CDC" w:rsidRDefault="00A22DCA" w:rsidP="00A22DCA">
            <w:pPr>
              <w:pStyle w:val="NormalWeb"/>
              <w:jc w:val="left"/>
              <w:rPr>
                <w:sz w:val="18"/>
                <w:szCs w:val="18"/>
              </w:rPr>
            </w:pPr>
            <w:r w:rsidRPr="00834CDC">
              <w:rPr>
                <w:sz w:val="18"/>
                <w:szCs w:val="18"/>
              </w:rPr>
              <w:t>0–4</w:t>
            </w:r>
          </w:p>
        </w:tc>
        <w:tc>
          <w:tcPr>
            <w:tcW w:w="4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3F76D2A" w14:textId="77777777" w:rsidR="00A22DCA" w:rsidRPr="00834CDC" w:rsidRDefault="00A22DCA" w:rsidP="00A22DCA">
            <w:pPr>
              <w:pStyle w:val="NormalWeb"/>
              <w:jc w:val="left"/>
              <w:rPr>
                <w:sz w:val="18"/>
                <w:szCs w:val="18"/>
              </w:rPr>
            </w:pPr>
            <w:r w:rsidRPr="00834CDC">
              <w:rPr>
                <w:sz w:val="18"/>
                <w:szCs w:val="18"/>
              </w:rPr>
              <w:t>Aboriginal and Torres Strait Islander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623B88E" w14:textId="77777777" w:rsidR="00A22DCA" w:rsidRPr="00834CDC" w:rsidRDefault="00A22DCA" w:rsidP="008E078C">
            <w:pPr>
              <w:pStyle w:val="NormalWeb"/>
              <w:rPr>
                <w:sz w:val="18"/>
                <w:szCs w:val="18"/>
              </w:rPr>
            </w:pPr>
            <w:r w:rsidRPr="00834CDC">
              <w:rPr>
                <w:sz w:val="18"/>
                <w:szCs w:val="18"/>
              </w:rPr>
              <w:t>19</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36BE053" w14:textId="77777777" w:rsidR="00A22DCA" w:rsidRPr="00834CDC" w:rsidRDefault="00A22DCA" w:rsidP="008E078C">
            <w:pPr>
              <w:pStyle w:val="NormalWeb"/>
              <w:rPr>
                <w:sz w:val="18"/>
                <w:szCs w:val="18"/>
              </w:rPr>
            </w:pPr>
            <w:r w:rsidRPr="00834CDC">
              <w:rPr>
                <w:sz w:val="18"/>
                <w:szCs w:val="18"/>
              </w:rPr>
              <w:t>5.76</w:t>
            </w:r>
          </w:p>
        </w:tc>
        <w:tc>
          <w:tcPr>
            <w:tcW w:w="11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C89A797" w14:textId="77777777" w:rsidR="00A22DCA" w:rsidRPr="00834CDC" w:rsidRDefault="00A22DCA" w:rsidP="008E078C">
            <w:pPr>
              <w:pStyle w:val="NormalWeb"/>
              <w:rPr>
                <w:sz w:val="18"/>
                <w:szCs w:val="18"/>
              </w:rPr>
            </w:pPr>
            <w:r w:rsidRPr="00834CDC">
              <w:rPr>
                <w:sz w:val="18"/>
                <w:szCs w:val="18"/>
              </w:rPr>
              <w:t>1.2</w:t>
            </w:r>
          </w:p>
        </w:tc>
        <w:tc>
          <w:tcPr>
            <w:tcW w:w="193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7EF4B15" w14:textId="77777777" w:rsidR="00A22DCA" w:rsidRPr="00834CDC" w:rsidRDefault="00A22DCA" w:rsidP="008E078C">
            <w:pPr>
              <w:pStyle w:val="NormalWeb"/>
              <w:rPr>
                <w:sz w:val="18"/>
                <w:szCs w:val="18"/>
              </w:rPr>
            </w:pPr>
            <w:r w:rsidRPr="00834CDC">
              <w:rPr>
                <w:sz w:val="18"/>
                <w:szCs w:val="18"/>
              </w:rPr>
              <w:t>0.7–1.9</w:t>
            </w:r>
          </w:p>
        </w:tc>
      </w:tr>
      <w:tr w:rsidR="00A22DCA" w:rsidRPr="00834CDC" w14:paraId="35F5C7B4" w14:textId="77777777" w:rsidTr="00A22DCA">
        <w:trPr>
          <w:cnfStyle w:val="000000010000" w:firstRow="0" w:lastRow="0" w:firstColumn="0" w:lastColumn="0" w:oddVBand="0" w:evenVBand="0" w:oddHBand="0" w:evenHBand="1" w:firstRowFirstColumn="0" w:firstRowLastColumn="0" w:lastRowFirstColumn="0" w:lastRowLastColumn="0"/>
          <w:divId w:val="1988506822"/>
        </w:trPr>
        <w:tc>
          <w:tcPr>
            <w:tcW w:w="143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C81B6D0" w14:textId="77777777" w:rsidR="00A22DCA" w:rsidRPr="00834CDC" w:rsidRDefault="00A22DCA" w:rsidP="00A22DCA">
            <w:pPr>
              <w:jc w:val="left"/>
              <w:rPr>
                <w:sz w:val="18"/>
                <w:szCs w:val="18"/>
              </w:rPr>
            </w:pPr>
          </w:p>
        </w:tc>
        <w:tc>
          <w:tcPr>
            <w:tcW w:w="4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74F310A" w14:textId="77777777" w:rsidR="00A22DCA" w:rsidRPr="00834CDC" w:rsidRDefault="00A22DCA" w:rsidP="00A22DCA">
            <w:pPr>
              <w:pStyle w:val="NormalWeb"/>
              <w:jc w:val="left"/>
              <w:rPr>
                <w:sz w:val="18"/>
                <w:szCs w:val="18"/>
              </w:rPr>
            </w:pPr>
            <w:r w:rsidRPr="00834CDC">
              <w:rPr>
                <w:sz w:val="18"/>
                <w:szCs w:val="18"/>
              </w:rPr>
              <w:t>Other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41920A1" w14:textId="77777777" w:rsidR="00A22DCA" w:rsidRPr="00834CDC" w:rsidRDefault="00A22DCA" w:rsidP="008E078C">
            <w:pPr>
              <w:pStyle w:val="NormalWeb"/>
              <w:rPr>
                <w:sz w:val="18"/>
                <w:szCs w:val="18"/>
              </w:rPr>
            </w:pPr>
            <w:r w:rsidRPr="00834CDC">
              <w:rPr>
                <w:sz w:val="18"/>
                <w:szCs w:val="18"/>
              </w:rPr>
              <w:t>246</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3058BB8" w14:textId="77777777" w:rsidR="00A22DCA" w:rsidRPr="00834CDC" w:rsidRDefault="00A22DCA" w:rsidP="008E078C">
            <w:pPr>
              <w:pStyle w:val="NormalWeb"/>
              <w:rPr>
                <w:sz w:val="18"/>
                <w:szCs w:val="18"/>
              </w:rPr>
            </w:pPr>
            <w:r w:rsidRPr="00834CDC">
              <w:rPr>
                <w:sz w:val="18"/>
                <w:szCs w:val="18"/>
              </w:rPr>
              <w:t>4.75</w:t>
            </w:r>
          </w:p>
        </w:tc>
        <w:tc>
          <w:tcPr>
            <w:tcW w:w="11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6CDD368" w14:textId="77777777" w:rsidR="00A22DCA" w:rsidRPr="00834CDC" w:rsidRDefault="00A22DCA" w:rsidP="008E078C">
            <w:pPr>
              <w:rPr>
                <w:sz w:val="18"/>
                <w:szCs w:val="18"/>
              </w:rPr>
            </w:pPr>
          </w:p>
        </w:tc>
        <w:tc>
          <w:tcPr>
            <w:tcW w:w="193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1341426" w14:textId="77777777" w:rsidR="00A22DCA" w:rsidRPr="00834CDC" w:rsidRDefault="00A22DCA" w:rsidP="008E078C">
            <w:pPr>
              <w:rPr>
                <w:sz w:val="18"/>
                <w:szCs w:val="18"/>
              </w:rPr>
            </w:pPr>
          </w:p>
        </w:tc>
      </w:tr>
      <w:tr w:rsidR="00A22DCA" w:rsidRPr="00834CDC" w14:paraId="3B76F0FC" w14:textId="77777777" w:rsidTr="00A22DCA">
        <w:trPr>
          <w:divId w:val="1988506822"/>
        </w:trPr>
        <w:tc>
          <w:tcPr>
            <w:tcW w:w="143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0FB0C53" w14:textId="77777777" w:rsidR="00A22DCA" w:rsidRPr="00834CDC" w:rsidRDefault="00A22DCA" w:rsidP="00A22DCA">
            <w:pPr>
              <w:pStyle w:val="NormalWeb"/>
              <w:jc w:val="left"/>
              <w:rPr>
                <w:sz w:val="18"/>
                <w:szCs w:val="18"/>
              </w:rPr>
            </w:pPr>
            <w:r w:rsidRPr="00834CDC">
              <w:rPr>
                <w:sz w:val="18"/>
                <w:szCs w:val="18"/>
              </w:rPr>
              <w:t>5–14</w:t>
            </w:r>
          </w:p>
        </w:tc>
        <w:tc>
          <w:tcPr>
            <w:tcW w:w="4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A148E04" w14:textId="77777777" w:rsidR="00A22DCA" w:rsidRPr="00834CDC" w:rsidRDefault="00A22DCA" w:rsidP="00A22DCA">
            <w:pPr>
              <w:pStyle w:val="NormalWeb"/>
              <w:jc w:val="left"/>
              <w:rPr>
                <w:sz w:val="18"/>
                <w:szCs w:val="18"/>
              </w:rPr>
            </w:pPr>
            <w:r w:rsidRPr="00834CDC">
              <w:rPr>
                <w:sz w:val="18"/>
                <w:szCs w:val="18"/>
              </w:rPr>
              <w:t>Aboriginal and Torres Strait Islander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198FC54" w14:textId="77777777" w:rsidR="00A22DCA" w:rsidRPr="00834CDC" w:rsidRDefault="00A22DCA" w:rsidP="008E078C">
            <w:pPr>
              <w:pStyle w:val="NormalWeb"/>
              <w:rPr>
                <w:sz w:val="18"/>
                <w:szCs w:val="18"/>
              </w:rPr>
            </w:pPr>
            <w:r w:rsidRPr="00834CDC">
              <w:rPr>
                <w:sz w:val="18"/>
                <w:szCs w:val="18"/>
              </w:rPr>
              <w:t>15</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5150A4B" w14:textId="77777777" w:rsidR="00A22DCA" w:rsidRPr="00834CDC" w:rsidRDefault="00A22DCA" w:rsidP="008E078C">
            <w:pPr>
              <w:pStyle w:val="NormalWeb"/>
              <w:rPr>
                <w:sz w:val="18"/>
                <w:szCs w:val="18"/>
              </w:rPr>
            </w:pPr>
            <w:r w:rsidRPr="00834CDC">
              <w:rPr>
                <w:sz w:val="18"/>
                <w:szCs w:val="18"/>
              </w:rPr>
              <w:t>2.35</w:t>
            </w:r>
          </w:p>
        </w:tc>
        <w:tc>
          <w:tcPr>
            <w:tcW w:w="11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338A8C0" w14:textId="77777777" w:rsidR="00A22DCA" w:rsidRPr="00834CDC" w:rsidRDefault="00A22DCA" w:rsidP="008E078C">
            <w:pPr>
              <w:pStyle w:val="NormalWeb"/>
              <w:rPr>
                <w:sz w:val="18"/>
                <w:szCs w:val="18"/>
              </w:rPr>
            </w:pPr>
            <w:r w:rsidRPr="00834CDC">
              <w:rPr>
                <w:sz w:val="18"/>
                <w:szCs w:val="18"/>
              </w:rPr>
              <w:t>1.6</w:t>
            </w:r>
          </w:p>
        </w:tc>
        <w:tc>
          <w:tcPr>
            <w:tcW w:w="193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FAEAEDC" w14:textId="77777777" w:rsidR="00A22DCA" w:rsidRPr="00834CDC" w:rsidRDefault="00A22DCA" w:rsidP="008E078C">
            <w:pPr>
              <w:pStyle w:val="NormalWeb"/>
              <w:rPr>
                <w:sz w:val="18"/>
                <w:szCs w:val="18"/>
              </w:rPr>
            </w:pPr>
            <w:r w:rsidRPr="00834CDC">
              <w:rPr>
                <w:sz w:val="18"/>
                <w:szCs w:val="18"/>
              </w:rPr>
              <w:t>0.9–2.8</w:t>
            </w:r>
          </w:p>
        </w:tc>
      </w:tr>
      <w:tr w:rsidR="00A22DCA" w:rsidRPr="00834CDC" w14:paraId="6FFBA4C7" w14:textId="77777777" w:rsidTr="00A22DCA">
        <w:trPr>
          <w:cnfStyle w:val="000000010000" w:firstRow="0" w:lastRow="0" w:firstColumn="0" w:lastColumn="0" w:oddVBand="0" w:evenVBand="0" w:oddHBand="0" w:evenHBand="1" w:firstRowFirstColumn="0" w:firstRowLastColumn="0" w:lastRowFirstColumn="0" w:lastRowLastColumn="0"/>
          <w:divId w:val="1988506822"/>
        </w:trPr>
        <w:tc>
          <w:tcPr>
            <w:tcW w:w="143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D07BCD3" w14:textId="77777777" w:rsidR="00A22DCA" w:rsidRPr="00834CDC" w:rsidRDefault="00A22DCA" w:rsidP="00A22DCA">
            <w:pPr>
              <w:jc w:val="left"/>
              <w:rPr>
                <w:sz w:val="18"/>
                <w:szCs w:val="18"/>
              </w:rPr>
            </w:pPr>
          </w:p>
        </w:tc>
        <w:tc>
          <w:tcPr>
            <w:tcW w:w="4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CE3DD39" w14:textId="77777777" w:rsidR="00A22DCA" w:rsidRPr="00834CDC" w:rsidRDefault="00A22DCA" w:rsidP="00A22DCA">
            <w:pPr>
              <w:pStyle w:val="NormalWeb"/>
              <w:jc w:val="left"/>
              <w:rPr>
                <w:sz w:val="18"/>
                <w:szCs w:val="18"/>
              </w:rPr>
            </w:pPr>
            <w:r w:rsidRPr="00834CDC">
              <w:rPr>
                <w:sz w:val="18"/>
                <w:szCs w:val="18"/>
              </w:rPr>
              <w:t>Other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CAA7CC5" w14:textId="77777777" w:rsidR="00A22DCA" w:rsidRPr="00834CDC" w:rsidRDefault="00A22DCA" w:rsidP="008E078C">
            <w:pPr>
              <w:pStyle w:val="NormalWeb"/>
              <w:rPr>
                <w:sz w:val="18"/>
                <w:szCs w:val="18"/>
              </w:rPr>
            </w:pPr>
            <w:r w:rsidRPr="00834CDC">
              <w:rPr>
                <w:sz w:val="18"/>
                <w:szCs w:val="18"/>
              </w:rPr>
              <w:t>147</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38159B9" w14:textId="77777777" w:rsidR="00A22DCA" w:rsidRPr="00834CDC" w:rsidRDefault="00A22DCA" w:rsidP="008E078C">
            <w:pPr>
              <w:pStyle w:val="NormalWeb"/>
              <w:rPr>
                <w:sz w:val="18"/>
                <w:szCs w:val="18"/>
              </w:rPr>
            </w:pPr>
            <w:r w:rsidRPr="00834CDC">
              <w:rPr>
                <w:sz w:val="18"/>
                <w:szCs w:val="18"/>
              </w:rPr>
              <w:t>1.45</w:t>
            </w:r>
          </w:p>
        </w:tc>
        <w:tc>
          <w:tcPr>
            <w:tcW w:w="11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45BE4FA" w14:textId="77777777" w:rsidR="00A22DCA" w:rsidRPr="00834CDC" w:rsidRDefault="00A22DCA" w:rsidP="008E078C">
            <w:pPr>
              <w:rPr>
                <w:sz w:val="18"/>
                <w:szCs w:val="18"/>
              </w:rPr>
            </w:pPr>
          </w:p>
        </w:tc>
        <w:tc>
          <w:tcPr>
            <w:tcW w:w="193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46C0B55" w14:textId="77777777" w:rsidR="00A22DCA" w:rsidRPr="00834CDC" w:rsidRDefault="00A22DCA" w:rsidP="008E078C">
            <w:pPr>
              <w:rPr>
                <w:sz w:val="18"/>
                <w:szCs w:val="18"/>
              </w:rPr>
            </w:pPr>
          </w:p>
        </w:tc>
      </w:tr>
      <w:tr w:rsidR="00A22DCA" w:rsidRPr="00834CDC" w14:paraId="387C45F3" w14:textId="77777777" w:rsidTr="00A22DCA">
        <w:trPr>
          <w:divId w:val="1988506822"/>
        </w:trPr>
        <w:tc>
          <w:tcPr>
            <w:tcW w:w="143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3ED4B86" w14:textId="77777777" w:rsidR="00A22DCA" w:rsidRPr="00834CDC" w:rsidRDefault="00A22DCA" w:rsidP="00A22DCA">
            <w:pPr>
              <w:pStyle w:val="NormalWeb"/>
              <w:jc w:val="left"/>
              <w:rPr>
                <w:sz w:val="18"/>
                <w:szCs w:val="18"/>
              </w:rPr>
            </w:pPr>
            <w:r w:rsidRPr="00834CDC">
              <w:rPr>
                <w:sz w:val="18"/>
                <w:szCs w:val="18"/>
              </w:rPr>
              <w:t>15–24</w:t>
            </w:r>
          </w:p>
        </w:tc>
        <w:tc>
          <w:tcPr>
            <w:tcW w:w="4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1771670" w14:textId="77777777" w:rsidR="00A22DCA" w:rsidRPr="00834CDC" w:rsidRDefault="00A22DCA" w:rsidP="00A22DCA">
            <w:pPr>
              <w:pStyle w:val="NormalWeb"/>
              <w:jc w:val="left"/>
              <w:rPr>
                <w:sz w:val="18"/>
                <w:szCs w:val="18"/>
              </w:rPr>
            </w:pPr>
            <w:r w:rsidRPr="00834CDC">
              <w:rPr>
                <w:sz w:val="18"/>
                <w:szCs w:val="18"/>
              </w:rPr>
              <w:t>Aboriginal and Torres Strait Islander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0A4C0D2" w14:textId="77777777" w:rsidR="00A22DCA" w:rsidRPr="00834CDC" w:rsidRDefault="00A22DCA" w:rsidP="008E078C">
            <w:pPr>
              <w:pStyle w:val="NormalWeb"/>
              <w:rPr>
                <w:sz w:val="18"/>
                <w:szCs w:val="18"/>
              </w:rPr>
            </w:pPr>
            <w:r w:rsidRPr="00834CDC">
              <w:rPr>
                <w:sz w:val="18"/>
                <w:szCs w:val="18"/>
              </w:rPr>
              <w:t>10</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B8614FA" w14:textId="77777777" w:rsidR="00A22DCA" w:rsidRPr="00834CDC" w:rsidRDefault="00A22DCA" w:rsidP="008E078C">
            <w:pPr>
              <w:pStyle w:val="NormalWeb"/>
              <w:rPr>
                <w:sz w:val="18"/>
                <w:szCs w:val="18"/>
              </w:rPr>
            </w:pPr>
            <w:r w:rsidRPr="00834CDC">
              <w:rPr>
                <w:sz w:val="18"/>
                <w:szCs w:val="18"/>
              </w:rPr>
              <w:t>1.80</w:t>
            </w:r>
          </w:p>
        </w:tc>
        <w:tc>
          <w:tcPr>
            <w:tcW w:w="11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1DF88BF" w14:textId="77777777" w:rsidR="00A22DCA" w:rsidRPr="00834CDC" w:rsidRDefault="00A22DCA" w:rsidP="008E078C">
            <w:pPr>
              <w:pStyle w:val="NormalWeb"/>
              <w:rPr>
                <w:sz w:val="18"/>
                <w:szCs w:val="18"/>
              </w:rPr>
            </w:pPr>
            <w:r w:rsidRPr="00834CDC">
              <w:rPr>
                <w:sz w:val="18"/>
                <w:szCs w:val="18"/>
              </w:rPr>
              <w:t>1.2</w:t>
            </w:r>
          </w:p>
        </w:tc>
        <w:tc>
          <w:tcPr>
            <w:tcW w:w="193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78DDDA2" w14:textId="77777777" w:rsidR="00A22DCA" w:rsidRPr="00834CDC" w:rsidRDefault="00A22DCA" w:rsidP="008E078C">
            <w:pPr>
              <w:pStyle w:val="NormalWeb"/>
              <w:rPr>
                <w:sz w:val="18"/>
                <w:szCs w:val="18"/>
              </w:rPr>
            </w:pPr>
            <w:r w:rsidRPr="00834CDC">
              <w:rPr>
                <w:sz w:val="18"/>
                <w:szCs w:val="18"/>
              </w:rPr>
              <w:t>0.6–2.3</w:t>
            </w:r>
          </w:p>
        </w:tc>
      </w:tr>
      <w:tr w:rsidR="00A22DCA" w:rsidRPr="00834CDC" w14:paraId="360D439B" w14:textId="77777777" w:rsidTr="00A22DCA">
        <w:trPr>
          <w:cnfStyle w:val="000000010000" w:firstRow="0" w:lastRow="0" w:firstColumn="0" w:lastColumn="0" w:oddVBand="0" w:evenVBand="0" w:oddHBand="0" w:evenHBand="1" w:firstRowFirstColumn="0" w:firstRowLastColumn="0" w:lastRowFirstColumn="0" w:lastRowLastColumn="0"/>
          <w:divId w:val="1988506822"/>
        </w:trPr>
        <w:tc>
          <w:tcPr>
            <w:tcW w:w="143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2945AAA" w14:textId="77777777" w:rsidR="00A22DCA" w:rsidRPr="00834CDC" w:rsidRDefault="00A22DCA" w:rsidP="00A22DCA">
            <w:pPr>
              <w:jc w:val="left"/>
              <w:rPr>
                <w:sz w:val="18"/>
                <w:szCs w:val="18"/>
              </w:rPr>
            </w:pPr>
          </w:p>
        </w:tc>
        <w:tc>
          <w:tcPr>
            <w:tcW w:w="4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066E800" w14:textId="77777777" w:rsidR="00A22DCA" w:rsidRPr="00834CDC" w:rsidRDefault="00A22DCA" w:rsidP="00A22DCA">
            <w:pPr>
              <w:pStyle w:val="NormalWeb"/>
              <w:jc w:val="left"/>
              <w:rPr>
                <w:sz w:val="18"/>
                <w:szCs w:val="18"/>
              </w:rPr>
            </w:pPr>
            <w:r w:rsidRPr="00834CDC">
              <w:rPr>
                <w:sz w:val="18"/>
                <w:szCs w:val="18"/>
              </w:rPr>
              <w:t>Other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6DF2356" w14:textId="77777777" w:rsidR="00A22DCA" w:rsidRPr="00834CDC" w:rsidRDefault="00A22DCA" w:rsidP="008E078C">
            <w:pPr>
              <w:pStyle w:val="NormalWeb"/>
              <w:rPr>
                <w:sz w:val="18"/>
                <w:szCs w:val="18"/>
              </w:rPr>
            </w:pPr>
            <w:r w:rsidRPr="00834CDC">
              <w:rPr>
                <w:sz w:val="18"/>
                <w:szCs w:val="18"/>
              </w:rPr>
              <w:t>159</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95B8432" w14:textId="77777777" w:rsidR="00A22DCA" w:rsidRPr="00834CDC" w:rsidRDefault="00A22DCA" w:rsidP="008E078C">
            <w:pPr>
              <w:pStyle w:val="NormalWeb"/>
              <w:rPr>
                <w:sz w:val="18"/>
                <w:szCs w:val="18"/>
              </w:rPr>
            </w:pPr>
            <w:r w:rsidRPr="00834CDC">
              <w:rPr>
                <w:sz w:val="18"/>
                <w:szCs w:val="18"/>
              </w:rPr>
              <w:t>1.49</w:t>
            </w:r>
          </w:p>
        </w:tc>
        <w:tc>
          <w:tcPr>
            <w:tcW w:w="11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6EB1F7E" w14:textId="77777777" w:rsidR="00A22DCA" w:rsidRPr="00834CDC" w:rsidRDefault="00A22DCA" w:rsidP="008E078C">
            <w:pPr>
              <w:rPr>
                <w:sz w:val="18"/>
                <w:szCs w:val="18"/>
              </w:rPr>
            </w:pPr>
          </w:p>
        </w:tc>
        <w:tc>
          <w:tcPr>
            <w:tcW w:w="193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52420DA" w14:textId="77777777" w:rsidR="00A22DCA" w:rsidRPr="00834CDC" w:rsidRDefault="00A22DCA" w:rsidP="008E078C">
            <w:pPr>
              <w:rPr>
                <w:sz w:val="18"/>
                <w:szCs w:val="18"/>
              </w:rPr>
            </w:pPr>
          </w:p>
        </w:tc>
      </w:tr>
      <w:tr w:rsidR="00A22DCA" w:rsidRPr="00834CDC" w14:paraId="6DED96C5" w14:textId="77777777" w:rsidTr="00A22DCA">
        <w:trPr>
          <w:divId w:val="1988506822"/>
        </w:trPr>
        <w:tc>
          <w:tcPr>
            <w:tcW w:w="143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5E7672D" w14:textId="77777777" w:rsidR="00A22DCA" w:rsidRPr="00834CDC" w:rsidRDefault="00A22DCA" w:rsidP="00A22DCA">
            <w:pPr>
              <w:pStyle w:val="NormalWeb"/>
              <w:jc w:val="left"/>
              <w:rPr>
                <w:sz w:val="18"/>
                <w:szCs w:val="18"/>
              </w:rPr>
            </w:pPr>
            <w:r w:rsidRPr="00834CDC">
              <w:rPr>
                <w:sz w:val="18"/>
                <w:szCs w:val="18"/>
              </w:rPr>
              <w:t>25–49</w:t>
            </w:r>
          </w:p>
        </w:tc>
        <w:tc>
          <w:tcPr>
            <w:tcW w:w="4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96E0956" w14:textId="77777777" w:rsidR="00A22DCA" w:rsidRPr="00834CDC" w:rsidRDefault="00A22DCA" w:rsidP="00A22DCA">
            <w:pPr>
              <w:pStyle w:val="NormalWeb"/>
              <w:jc w:val="left"/>
              <w:rPr>
                <w:sz w:val="18"/>
                <w:szCs w:val="18"/>
              </w:rPr>
            </w:pPr>
            <w:r w:rsidRPr="00834CDC">
              <w:rPr>
                <w:sz w:val="18"/>
                <w:szCs w:val="18"/>
              </w:rPr>
              <w:t>Aboriginal and Torres Strait Islander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D68CF81" w14:textId="77777777" w:rsidR="00A22DCA" w:rsidRPr="00834CDC" w:rsidRDefault="00A22DCA" w:rsidP="008E078C">
            <w:pPr>
              <w:pStyle w:val="NormalWeb"/>
              <w:rPr>
                <w:sz w:val="18"/>
                <w:szCs w:val="18"/>
              </w:rPr>
            </w:pPr>
            <w:r w:rsidRPr="00834CDC">
              <w:rPr>
                <w:sz w:val="18"/>
                <w:szCs w:val="18"/>
              </w:rPr>
              <w:t>36</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8ED6899" w14:textId="77777777" w:rsidR="00A22DCA" w:rsidRPr="00834CDC" w:rsidRDefault="00A22DCA" w:rsidP="008E078C">
            <w:pPr>
              <w:pStyle w:val="NormalWeb"/>
              <w:rPr>
                <w:sz w:val="18"/>
                <w:szCs w:val="18"/>
              </w:rPr>
            </w:pPr>
            <w:r w:rsidRPr="00834CDC">
              <w:rPr>
                <w:sz w:val="18"/>
                <w:szCs w:val="18"/>
              </w:rPr>
              <w:t>4.08</w:t>
            </w:r>
          </w:p>
        </w:tc>
        <w:tc>
          <w:tcPr>
            <w:tcW w:w="11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6D27C2A" w14:textId="77777777" w:rsidR="00A22DCA" w:rsidRPr="00834CDC" w:rsidRDefault="00A22DCA" w:rsidP="008E078C">
            <w:pPr>
              <w:pStyle w:val="NormalWeb"/>
              <w:rPr>
                <w:sz w:val="18"/>
                <w:szCs w:val="18"/>
              </w:rPr>
            </w:pPr>
            <w:r w:rsidRPr="00834CDC">
              <w:rPr>
                <w:sz w:val="18"/>
                <w:szCs w:val="18"/>
              </w:rPr>
              <w:t>1.7</w:t>
            </w:r>
          </w:p>
        </w:tc>
        <w:tc>
          <w:tcPr>
            <w:tcW w:w="193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3F23525" w14:textId="77777777" w:rsidR="00A22DCA" w:rsidRPr="00834CDC" w:rsidRDefault="00A22DCA" w:rsidP="008E078C">
            <w:pPr>
              <w:pStyle w:val="NormalWeb"/>
              <w:rPr>
                <w:sz w:val="18"/>
                <w:szCs w:val="18"/>
              </w:rPr>
            </w:pPr>
            <w:r w:rsidRPr="00834CDC">
              <w:rPr>
                <w:sz w:val="18"/>
                <w:szCs w:val="18"/>
              </w:rPr>
              <w:t>1.1–2.3</w:t>
            </w:r>
          </w:p>
        </w:tc>
      </w:tr>
      <w:tr w:rsidR="00A22DCA" w:rsidRPr="00834CDC" w14:paraId="77787935" w14:textId="77777777" w:rsidTr="00A22DCA">
        <w:trPr>
          <w:cnfStyle w:val="000000010000" w:firstRow="0" w:lastRow="0" w:firstColumn="0" w:lastColumn="0" w:oddVBand="0" w:evenVBand="0" w:oddHBand="0" w:evenHBand="1" w:firstRowFirstColumn="0" w:firstRowLastColumn="0" w:lastRowFirstColumn="0" w:lastRowLastColumn="0"/>
          <w:divId w:val="1988506822"/>
        </w:trPr>
        <w:tc>
          <w:tcPr>
            <w:tcW w:w="143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BDE499" w14:textId="77777777" w:rsidR="00A22DCA" w:rsidRPr="00834CDC" w:rsidRDefault="00A22DCA" w:rsidP="00A22DCA">
            <w:pPr>
              <w:jc w:val="left"/>
              <w:rPr>
                <w:sz w:val="18"/>
                <w:szCs w:val="18"/>
              </w:rPr>
            </w:pPr>
          </w:p>
        </w:tc>
        <w:tc>
          <w:tcPr>
            <w:tcW w:w="4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5F7A41C" w14:textId="77777777" w:rsidR="00A22DCA" w:rsidRPr="00834CDC" w:rsidRDefault="00A22DCA" w:rsidP="00A22DCA">
            <w:pPr>
              <w:pStyle w:val="NormalWeb"/>
              <w:jc w:val="left"/>
              <w:rPr>
                <w:sz w:val="18"/>
                <w:szCs w:val="18"/>
              </w:rPr>
            </w:pPr>
            <w:r w:rsidRPr="00834CDC">
              <w:rPr>
                <w:sz w:val="18"/>
                <w:szCs w:val="18"/>
              </w:rPr>
              <w:t>Other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85FC0E7" w14:textId="77777777" w:rsidR="00A22DCA" w:rsidRPr="00834CDC" w:rsidRDefault="00A22DCA" w:rsidP="008E078C">
            <w:pPr>
              <w:pStyle w:val="NormalWeb"/>
              <w:rPr>
                <w:sz w:val="18"/>
                <w:szCs w:val="18"/>
              </w:rPr>
            </w:pPr>
            <w:r w:rsidRPr="00834CDC">
              <w:rPr>
                <w:sz w:val="18"/>
                <w:szCs w:val="18"/>
              </w:rPr>
              <w:t>723</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C784BFD" w14:textId="77777777" w:rsidR="00A22DCA" w:rsidRPr="00834CDC" w:rsidRDefault="00A22DCA" w:rsidP="008E078C">
            <w:pPr>
              <w:pStyle w:val="NormalWeb"/>
              <w:rPr>
                <w:sz w:val="18"/>
                <w:szCs w:val="18"/>
              </w:rPr>
            </w:pPr>
            <w:r w:rsidRPr="00834CDC">
              <w:rPr>
                <w:sz w:val="18"/>
                <w:szCs w:val="18"/>
              </w:rPr>
              <w:t>2.47</w:t>
            </w:r>
          </w:p>
        </w:tc>
        <w:tc>
          <w:tcPr>
            <w:tcW w:w="11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E07FC3A" w14:textId="77777777" w:rsidR="00A22DCA" w:rsidRPr="00834CDC" w:rsidRDefault="00A22DCA" w:rsidP="008E078C">
            <w:pPr>
              <w:rPr>
                <w:sz w:val="18"/>
                <w:szCs w:val="18"/>
              </w:rPr>
            </w:pPr>
          </w:p>
        </w:tc>
        <w:tc>
          <w:tcPr>
            <w:tcW w:w="193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3643CAC" w14:textId="77777777" w:rsidR="00A22DCA" w:rsidRPr="00834CDC" w:rsidRDefault="00A22DCA" w:rsidP="008E078C">
            <w:pPr>
              <w:rPr>
                <w:sz w:val="18"/>
                <w:szCs w:val="18"/>
              </w:rPr>
            </w:pPr>
          </w:p>
        </w:tc>
      </w:tr>
      <w:tr w:rsidR="00A22DCA" w:rsidRPr="00834CDC" w14:paraId="441361CD" w14:textId="77777777" w:rsidTr="00A22DCA">
        <w:trPr>
          <w:divId w:val="1988506822"/>
        </w:trPr>
        <w:tc>
          <w:tcPr>
            <w:tcW w:w="143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3CEE794" w14:textId="77777777" w:rsidR="00A22DCA" w:rsidRPr="00834CDC" w:rsidRDefault="00A22DCA" w:rsidP="00A22DCA">
            <w:pPr>
              <w:pStyle w:val="NormalWeb"/>
              <w:jc w:val="left"/>
              <w:rPr>
                <w:sz w:val="18"/>
                <w:szCs w:val="18"/>
              </w:rPr>
            </w:pPr>
            <w:r w:rsidRPr="00834CDC">
              <w:rPr>
                <w:sz w:val="18"/>
                <w:szCs w:val="18"/>
              </w:rPr>
              <w:t>50+</w:t>
            </w:r>
          </w:p>
        </w:tc>
        <w:tc>
          <w:tcPr>
            <w:tcW w:w="4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3970664" w14:textId="77777777" w:rsidR="00A22DCA" w:rsidRPr="00834CDC" w:rsidRDefault="00A22DCA" w:rsidP="00A22DCA">
            <w:pPr>
              <w:pStyle w:val="NormalWeb"/>
              <w:jc w:val="left"/>
              <w:rPr>
                <w:sz w:val="18"/>
                <w:szCs w:val="18"/>
              </w:rPr>
            </w:pPr>
            <w:r w:rsidRPr="00834CDC">
              <w:rPr>
                <w:sz w:val="18"/>
                <w:szCs w:val="18"/>
              </w:rPr>
              <w:t>Aboriginal and Torres Strait Islander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3DCD3D7" w14:textId="77777777" w:rsidR="00A22DCA" w:rsidRPr="00834CDC" w:rsidRDefault="00A22DCA" w:rsidP="008E078C">
            <w:pPr>
              <w:pStyle w:val="NormalWeb"/>
              <w:rPr>
                <w:sz w:val="18"/>
                <w:szCs w:val="18"/>
              </w:rPr>
            </w:pPr>
            <w:r w:rsidRPr="00834CDC">
              <w:rPr>
                <w:sz w:val="18"/>
                <w:szCs w:val="18"/>
              </w:rPr>
              <w:t>27</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9B7AAB5" w14:textId="77777777" w:rsidR="00A22DCA" w:rsidRPr="00834CDC" w:rsidRDefault="00A22DCA" w:rsidP="008E078C">
            <w:pPr>
              <w:pStyle w:val="NormalWeb"/>
              <w:rPr>
                <w:sz w:val="18"/>
                <w:szCs w:val="18"/>
              </w:rPr>
            </w:pPr>
            <w:r w:rsidRPr="00834CDC">
              <w:rPr>
                <w:sz w:val="18"/>
                <w:szCs w:val="18"/>
              </w:rPr>
              <w:t>5.86</w:t>
            </w:r>
          </w:p>
        </w:tc>
        <w:tc>
          <w:tcPr>
            <w:tcW w:w="11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61CC628" w14:textId="77777777" w:rsidR="00A22DCA" w:rsidRPr="00834CDC" w:rsidRDefault="00A22DCA" w:rsidP="008E078C">
            <w:pPr>
              <w:pStyle w:val="NormalWeb"/>
              <w:rPr>
                <w:sz w:val="18"/>
                <w:szCs w:val="18"/>
              </w:rPr>
            </w:pPr>
            <w:r w:rsidRPr="00834CDC">
              <w:rPr>
                <w:sz w:val="18"/>
                <w:szCs w:val="18"/>
              </w:rPr>
              <w:t>1.1</w:t>
            </w:r>
          </w:p>
        </w:tc>
        <w:tc>
          <w:tcPr>
            <w:tcW w:w="193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8EAD5A8" w14:textId="77777777" w:rsidR="00A22DCA" w:rsidRPr="00834CDC" w:rsidRDefault="00A22DCA" w:rsidP="008E078C">
            <w:pPr>
              <w:pStyle w:val="NormalWeb"/>
              <w:rPr>
                <w:sz w:val="18"/>
                <w:szCs w:val="18"/>
              </w:rPr>
            </w:pPr>
            <w:r w:rsidRPr="00834CDC">
              <w:rPr>
                <w:sz w:val="18"/>
                <w:szCs w:val="18"/>
              </w:rPr>
              <w:t>0.7–1.5</w:t>
            </w:r>
          </w:p>
        </w:tc>
      </w:tr>
      <w:tr w:rsidR="00A22DCA" w:rsidRPr="00834CDC" w14:paraId="531FCCED" w14:textId="77777777" w:rsidTr="00A22DCA">
        <w:trPr>
          <w:cnfStyle w:val="000000010000" w:firstRow="0" w:lastRow="0" w:firstColumn="0" w:lastColumn="0" w:oddVBand="0" w:evenVBand="0" w:oddHBand="0" w:evenHBand="1" w:firstRowFirstColumn="0" w:firstRowLastColumn="0" w:lastRowFirstColumn="0" w:lastRowLastColumn="0"/>
          <w:divId w:val="1988506822"/>
        </w:trPr>
        <w:tc>
          <w:tcPr>
            <w:tcW w:w="143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69BD229" w14:textId="77777777" w:rsidR="00A22DCA" w:rsidRPr="00834CDC" w:rsidRDefault="00A22DCA" w:rsidP="00A22DCA">
            <w:pPr>
              <w:jc w:val="left"/>
              <w:rPr>
                <w:sz w:val="18"/>
                <w:szCs w:val="18"/>
              </w:rPr>
            </w:pPr>
          </w:p>
        </w:tc>
        <w:tc>
          <w:tcPr>
            <w:tcW w:w="4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2DA3CD3" w14:textId="77777777" w:rsidR="00A22DCA" w:rsidRPr="00834CDC" w:rsidRDefault="00A22DCA" w:rsidP="00A22DCA">
            <w:pPr>
              <w:pStyle w:val="NormalWeb"/>
              <w:jc w:val="left"/>
              <w:rPr>
                <w:sz w:val="18"/>
                <w:szCs w:val="18"/>
              </w:rPr>
            </w:pPr>
            <w:r w:rsidRPr="00834CDC">
              <w:rPr>
                <w:sz w:val="18"/>
                <w:szCs w:val="18"/>
              </w:rPr>
              <w:t>Other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95C1A88" w14:textId="77777777" w:rsidR="00A22DCA" w:rsidRPr="00834CDC" w:rsidRDefault="00A22DCA" w:rsidP="008E078C">
            <w:pPr>
              <w:pStyle w:val="NormalWeb"/>
              <w:rPr>
                <w:sz w:val="18"/>
                <w:szCs w:val="18"/>
              </w:rPr>
            </w:pPr>
            <w:r w:rsidRPr="00834CDC">
              <w:rPr>
                <w:sz w:val="18"/>
                <w:szCs w:val="18"/>
              </w:rPr>
              <w:t>1,573</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D72AFDE" w14:textId="77777777" w:rsidR="00A22DCA" w:rsidRPr="00834CDC" w:rsidRDefault="00A22DCA" w:rsidP="008E078C">
            <w:pPr>
              <w:pStyle w:val="NormalWeb"/>
              <w:rPr>
                <w:sz w:val="18"/>
                <w:szCs w:val="18"/>
              </w:rPr>
            </w:pPr>
            <w:r w:rsidRPr="00834CDC">
              <w:rPr>
                <w:sz w:val="18"/>
                <w:szCs w:val="18"/>
              </w:rPr>
              <w:t>5.56</w:t>
            </w:r>
          </w:p>
        </w:tc>
        <w:tc>
          <w:tcPr>
            <w:tcW w:w="11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3D1B708" w14:textId="77777777" w:rsidR="00A22DCA" w:rsidRPr="00834CDC" w:rsidRDefault="00A22DCA" w:rsidP="008E078C">
            <w:pPr>
              <w:rPr>
                <w:sz w:val="18"/>
                <w:szCs w:val="18"/>
              </w:rPr>
            </w:pPr>
          </w:p>
        </w:tc>
        <w:tc>
          <w:tcPr>
            <w:tcW w:w="193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F679083" w14:textId="77777777" w:rsidR="00A22DCA" w:rsidRPr="00834CDC" w:rsidRDefault="00A22DCA" w:rsidP="008E078C">
            <w:pPr>
              <w:rPr>
                <w:sz w:val="18"/>
                <w:szCs w:val="18"/>
              </w:rPr>
            </w:pPr>
          </w:p>
        </w:tc>
      </w:tr>
      <w:tr w:rsidR="00A22DCA" w:rsidRPr="00834CDC" w14:paraId="2D8C51E5" w14:textId="77777777" w:rsidTr="006408B5">
        <w:trPr>
          <w:divId w:val="1988506822"/>
        </w:trPr>
        <w:tc>
          <w:tcPr>
            <w:tcW w:w="143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06058A0D" w14:textId="7CEC4866" w:rsidR="00A22DCA" w:rsidRPr="00834CDC" w:rsidRDefault="00A22DCA" w:rsidP="00A22DCA">
            <w:pPr>
              <w:pStyle w:val="NormalWeb"/>
              <w:jc w:val="left"/>
              <w:rPr>
                <w:b/>
                <w:bCs/>
                <w:sz w:val="18"/>
                <w:szCs w:val="18"/>
              </w:rPr>
            </w:pPr>
            <w:r w:rsidRPr="00834CDC">
              <w:rPr>
                <w:b/>
                <w:bCs/>
                <w:sz w:val="18"/>
                <w:szCs w:val="18"/>
              </w:rPr>
              <w:t>All ages</w:t>
            </w:r>
            <w:r w:rsidR="00D24B47">
              <w:rPr>
                <w:b/>
                <w:bCs/>
                <w:sz w:val="18"/>
                <w:szCs w:val="18"/>
              </w:rPr>
              <w:t xml:space="preserve"> </w:t>
            </w:r>
            <w:r w:rsidRPr="00834CDC">
              <w:rPr>
                <w:b/>
                <w:bCs/>
                <w:sz w:val="18"/>
                <w:szCs w:val="18"/>
                <w:vertAlign w:val="superscript"/>
              </w:rPr>
              <w:t>c</w:t>
            </w:r>
          </w:p>
        </w:tc>
        <w:tc>
          <w:tcPr>
            <w:tcW w:w="4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1D8DC20F" w14:textId="77777777" w:rsidR="00A22DCA" w:rsidRPr="00834CDC" w:rsidRDefault="00A22DCA" w:rsidP="00A22DCA">
            <w:pPr>
              <w:pStyle w:val="NormalWeb"/>
              <w:jc w:val="left"/>
              <w:rPr>
                <w:b/>
                <w:bCs/>
                <w:sz w:val="18"/>
                <w:szCs w:val="18"/>
              </w:rPr>
            </w:pPr>
            <w:r w:rsidRPr="00834CDC">
              <w:rPr>
                <w:b/>
                <w:bCs/>
                <w:sz w:val="18"/>
                <w:szCs w:val="18"/>
              </w:rPr>
              <w:t>Aboriginal and Torres Strait Islander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25A68CD" w14:textId="77777777" w:rsidR="00A22DCA" w:rsidRPr="00834CDC" w:rsidRDefault="00A22DCA" w:rsidP="008E078C">
            <w:pPr>
              <w:pStyle w:val="NormalWeb"/>
              <w:rPr>
                <w:b/>
                <w:bCs/>
                <w:sz w:val="18"/>
                <w:szCs w:val="18"/>
              </w:rPr>
            </w:pPr>
            <w:r w:rsidRPr="00834CDC">
              <w:rPr>
                <w:b/>
                <w:bCs/>
                <w:sz w:val="18"/>
                <w:szCs w:val="18"/>
              </w:rPr>
              <w:t>107</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417378E2" w14:textId="77777777" w:rsidR="00A22DCA" w:rsidRPr="00834CDC" w:rsidRDefault="00A22DCA" w:rsidP="008E078C">
            <w:pPr>
              <w:pStyle w:val="NormalWeb"/>
              <w:rPr>
                <w:b/>
                <w:bCs/>
                <w:sz w:val="18"/>
                <w:szCs w:val="18"/>
              </w:rPr>
            </w:pPr>
            <w:r w:rsidRPr="00834CDC">
              <w:rPr>
                <w:b/>
                <w:bCs/>
                <w:sz w:val="18"/>
                <w:szCs w:val="18"/>
              </w:rPr>
              <w:t>4.27</w:t>
            </w:r>
          </w:p>
        </w:tc>
        <w:tc>
          <w:tcPr>
            <w:tcW w:w="11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05F14BF9" w14:textId="77777777" w:rsidR="00A22DCA" w:rsidRPr="00834CDC" w:rsidRDefault="00A22DCA" w:rsidP="008E078C">
            <w:pPr>
              <w:pStyle w:val="NormalWeb"/>
              <w:rPr>
                <w:b/>
                <w:bCs/>
                <w:sz w:val="18"/>
                <w:szCs w:val="18"/>
              </w:rPr>
            </w:pPr>
            <w:r w:rsidRPr="00834CDC">
              <w:rPr>
                <w:b/>
                <w:bCs/>
                <w:sz w:val="18"/>
                <w:szCs w:val="18"/>
              </w:rPr>
              <w:t>1.3</w:t>
            </w:r>
          </w:p>
        </w:tc>
        <w:tc>
          <w:tcPr>
            <w:tcW w:w="193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14FC4914" w14:textId="77777777" w:rsidR="00A22DCA" w:rsidRPr="00834CDC" w:rsidRDefault="00A22DCA" w:rsidP="008E078C">
            <w:pPr>
              <w:pStyle w:val="NormalWeb"/>
              <w:rPr>
                <w:b/>
                <w:bCs/>
                <w:sz w:val="18"/>
                <w:szCs w:val="18"/>
              </w:rPr>
            </w:pPr>
            <w:r w:rsidRPr="00834CDC">
              <w:rPr>
                <w:b/>
                <w:bCs/>
                <w:sz w:val="18"/>
                <w:szCs w:val="18"/>
              </w:rPr>
              <w:t>1.0–1.5</w:t>
            </w:r>
          </w:p>
        </w:tc>
      </w:tr>
      <w:tr w:rsidR="00A22DCA" w:rsidRPr="00834CDC" w14:paraId="0A44CEE5" w14:textId="77777777" w:rsidTr="006408B5">
        <w:trPr>
          <w:cnfStyle w:val="000000010000" w:firstRow="0" w:lastRow="0" w:firstColumn="0" w:lastColumn="0" w:oddVBand="0" w:evenVBand="0" w:oddHBand="0" w:evenHBand="1" w:firstRowFirstColumn="0" w:firstRowLastColumn="0" w:lastRowFirstColumn="0" w:lastRowLastColumn="0"/>
          <w:divId w:val="1988506822"/>
        </w:trPr>
        <w:tc>
          <w:tcPr>
            <w:tcW w:w="143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7B2E788F" w14:textId="77777777" w:rsidR="00A22DCA" w:rsidRPr="00834CDC" w:rsidRDefault="00A22DCA" w:rsidP="00A22DCA">
            <w:pPr>
              <w:jc w:val="left"/>
              <w:rPr>
                <w:b/>
                <w:bCs/>
                <w:sz w:val="18"/>
                <w:szCs w:val="18"/>
              </w:rPr>
            </w:pPr>
          </w:p>
        </w:tc>
        <w:tc>
          <w:tcPr>
            <w:tcW w:w="4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40D3F2E5" w14:textId="77777777" w:rsidR="00A22DCA" w:rsidRPr="00834CDC" w:rsidRDefault="00A22DCA" w:rsidP="00A22DCA">
            <w:pPr>
              <w:pStyle w:val="NormalWeb"/>
              <w:jc w:val="left"/>
              <w:rPr>
                <w:b/>
                <w:bCs/>
                <w:sz w:val="18"/>
                <w:szCs w:val="18"/>
              </w:rPr>
            </w:pPr>
            <w:r w:rsidRPr="00834CDC">
              <w:rPr>
                <w:b/>
                <w:bCs/>
                <w:sz w:val="18"/>
                <w:szCs w:val="18"/>
              </w:rPr>
              <w:t>Other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1E1A193B" w14:textId="77777777" w:rsidR="00A22DCA" w:rsidRPr="00834CDC" w:rsidRDefault="00A22DCA" w:rsidP="008E078C">
            <w:pPr>
              <w:pStyle w:val="NormalWeb"/>
              <w:rPr>
                <w:b/>
                <w:bCs/>
                <w:sz w:val="18"/>
                <w:szCs w:val="18"/>
              </w:rPr>
            </w:pPr>
            <w:r w:rsidRPr="00834CDC">
              <w:rPr>
                <w:b/>
                <w:bCs/>
                <w:sz w:val="18"/>
                <w:szCs w:val="18"/>
              </w:rPr>
              <w:t>2,848</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A469E55" w14:textId="77777777" w:rsidR="00A22DCA" w:rsidRPr="00834CDC" w:rsidRDefault="00A22DCA" w:rsidP="008E078C">
            <w:pPr>
              <w:pStyle w:val="NormalWeb"/>
              <w:rPr>
                <w:b/>
                <w:bCs/>
                <w:sz w:val="18"/>
                <w:szCs w:val="18"/>
              </w:rPr>
            </w:pPr>
            <w:r w:rsidRPr="00834CDC">
              <w:rPr>
                <w:b/>
                <w:bCs/>
                <w:sz w:val="18"/>
                <w:szCs w:val="18"/>
              </w:rPr>
              <w:t>3.38</w:t>
            </w:r>
          </w:p>
        </w:tc>
        <w:tc>
          <w:tcPr>
            <w:tcW w:w="11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2352209" w14:textId="77777777" w:rsidR="00A22DCA" w:rsidRPr="00834CDC" w:rsidRDefault="00A22DCA" w:rsidP="008E078C">
            <w:pPr>
              <w:rPr>
                <w:b/>
                <w:bCs/>
                <w:sz w:val="18"/>
                <w:szCs w:val="18"/>
              </w:rPr>
            </w:pPr>
          </w:p>
        </w:tc>
        <w:tc>
          <w:tcPr>
            <w:tcW w:w="193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B67701D" w14:textId="77777777" w:rsidR="00A22DCA" w:rsidRPr="00834CDC" w:rsidRDefault="00A22DCA" w:rsidP="008E078C">
            <w:pPr>
              <w:rPr>
                <w:b/>
                <w:bCs/>
                <w:sz w:val="18"/>
                <w:szCs w:val="18"/>
              </w:rPr>
            </w:pPr>
          </w:p>
        </w:tc>
      </w:tr>
    </w:tbl>
    <w:p w14:paraId="0CC1F02D" w14:textId="77777777" w:rsidR="00A22DCA" w:rsidRPr="00834CDC" w:rsidRDefault="00A22DCA" w:rsidP="00A22DCA">
      <w:pPr>
        <w:pStyle w:val="CDIfootnotes"/>
        <w:divId w:val="1988506822"/>
      </w:pPr>
      <w:r w:rsidRPr="00834CDC">
        <w:t>a</w:t>
      </w:r>
      <w:r w:rsidRPr="00834CDC">
        <w:tab/>
      </w:r>
      <w:proofErr w:type="gramStart"/>
      <w:r w:rsidRPr="00834CDC">
        <w:t>Hospital admissions</w:t>
      </w:r>
      <w:proofErr w:type="gramEnd"/>
      <w:r w:rsidRPr="00834CDC">
        <w:t xml:space="preserve"> where the date of admission was between 1 January 2016 and 30 June 2019.</w:t>
      </w:r>
    </w:p>
    <w:p w14:paraId="07279EAE" w14:textId="77777777" w:rsidR="00A22DCA" w:rsidRPr="00834CDC" w:rsidRDefault="00A22DCA" w:rsidP="00A22DCA">
      <w:pPr>
        <w:pStyle w:val="CDIfootnotes"/>
        <w:divId w:val="1988506822"/>
      </w:pPr>
      <w:r w:rsidRPr="00834CDC">
        <w:t>b</w:t>
      </w:r>
      <w:r w:rsidRPr="00834CDC">
        <w:tab/>
        <w:t>Average annual age-specific rate per 100,000 population.</w:t>
      </w:r>
    </w:p>
    <w:p w14:paraId="787D52E1" w14:textId="02CF155A" w:rsidR="00A22DCA" w:rsidRPr="00834CDC" w:rsidRDefault="00A22DCA" w:rsidP="00A22DCA">
      <w:pPr>
        <w:pStyle w:val="CDIfootnotes"/>
        <w:divId w:val="1988506822"/>
      </w:pPr>
      <w:r w:rsidRPr="00834CDC">
        <w:t>c</w:t>
      </w:r>
      <w:r w:rsidRPr="00834CDC">
        <w:tab/>
        <w:t>Rates for all ages combined are age-standardised to the Australian Bureau of Statistics Australian population estimates for 2016.</w:t>
      </w:r>
    </w:p>
    <w:p w14:paraId="67876E95" w14:textId="77777777" w:rsidR="0033445F" w:rsidRPr="00834CDC" w:rsidRDefault="0033445F" w:rsidP="0033445F">
      <w:pPr>
        <w:divId w:val="1988506822"/>
      </w:pPr>
      <w:r w:rsidRPr="00834CDC">
        <w:t xml:space="preserve">A total of 2,955 hospital admissions for varicella </w:t>
      </w:r>
      <w:proofErr w:type="gramStart"/>
      <w:r w:rsidRPr="00834CDC">
        <w:t>were recorded</w:t>
      </w:r>
      <w:proofErr w:type="gramEnd"/>
      <w:r w:rsidRPr="00834CDC">
        <w:t xml:space="preserve"> during this reporting period, of which 107 (3.6%) were recorded as being in Aboriginal and Torres Strait Islander people. Hospitalisation rates in both Aboriginal and Torres Strait Islander and other people were highest in adults aged ≥ 50 years, followed by children aged 0–4 years, with rates similar. Hospitalisation rates were significantly higher in Aboriginal and Torres Strait Islander than other people in the 25–</w:t>
      </w:r>
      <w:proofErr w:type="gramStart"/>
      <w:r w:rsidRPr="00834CDC">
        <w:t>49 year</w:t>
      </w:r>
      <w:proofErr w:type="gramEnd"/>
      <w:r w:rsidRPr="00834CDC">
        <w:t xml:space="preserve"> age group (RR: 1.7; 95% CI: 1.1–2.3) and for all ages combined (RR: 1.3; 95% CI: 1.0–1.5). </w:t>
      </w:r>
    </w:p>
    <w:p w14:paraId="51AA2B76" w14:textId="77777777" w:rsidR="0033445F" w:rsidRPr="00834CDC" w:rsidRDefault="0033445F" w:rsidP="0033445F">
      <w:pPr>
        <w:divId w:val="1988506822"/>
      </w:pPr>
      <w:r w:rsidRPr="00834CDC">
        <w:t xml:space="preserve">The trend in varicella hospitalisation rates, for all age groups combined, </w:t>
      </w:r>
      <w:proofErr w:type="gramStart"/>
      <w:r w:rsidRPr="00834CDC">
        <w:t>is presented</w:t>
      </w:r>
      <w:proofErr w:type="gramEnd"/>
      <w:r w:rsidRPr="00834CDC">
        <w:t xml:space="preserve"> in Figure 18 for six states and territories (excluding the Australian Capital Territory and Tasmania) for the decade 2010–2019. Rates in Aboriginal and Torres Strait Islander people decreased between 2010 and 2014, then rose to a peak of 6.2 per 100,000 population in 2017 before falling to 2.4 per 100,000 population in 2019. The rate in other Australians was steady from 2010 to 2018, falling to 2.8 per 100,000 population in 2019. </w:t>
      </w:r>
    </w:p>
    <w:p w14:paraId="085225D6" w14:textId="77777777" w:rsidR="0033445F" w:rsidRPr="00834CDC" w:rsidRDefault="0033445F" w:rsidP="0033445F">
      <w:pPr>
        <w:divId w:val="1988506822"/>
      </w:pPr>
      <w:r w:rsidRPr="00834CDC">
        <w:t xml:space="preserve">There were 55 deaths recorded in Australia in the 2016–2019 period with varicella as underlying (n = 20) or associated cause of death (n = 35), of which none </w:t>
      </w:r>
      <w:proofErr w:type="gramStart"/>
      <w:r w:rsidRPr="00834CDC">
        <w:t>were recorded</w:t>
      </w:r>
      <w:proofErr w:type="gramEnd"/>
      <w:r w:rsidRPr="00834CDC">
        <w:t xml:space="preserve"> as being in Aboriginal and Torres Strait Islander people. Fifty of 55 deaths (90.9%) were in adults aged ≥ 65 years, and no deaths </w:t>
      </w:r>
      <w:proofErr w:type="gramStart"/>
      <w:r w:rsidRPr="00834CDC">
        <w:t>were recorded</w:t>
      </w:r>
      <w:proofErr w:type="gramEnd"/>
      <w:r w:rsidRPr="00834CDC">
        <w:t xml:space="preserve"> in children or adolescents. </w:t>
      </w:r>
    </w:p>
    <w:p w14:paraId="4AD069E0" w14:textId="77777777" w:rsidR="00722366" w:rsidRPr="00834CDC" w:rsidRDefault="00722366" w:rsidP="00722366">
      <w:pPr>
        <w:pStyle w:val="CDIFigures"/>
        <w:divId w:val="1988506822"/>
      </w:pPr>
      <w:r w:rsidRPr="00834CDC">
        <w:rPr>
          <w:rStyle w:val="Strong"/>
          <w:b/>
          <w:bCs w:val="0"/>
        </w:rPr>
        <w:lastRenderedPageBreak/>
        <w:t>Figure 18: Varicella (chickenpox) hospitalisation rates, Australia (selected states and territories</w:t>
      </w:r>
      <w:proofErr w:type="gramStart"/>
      <w:r w:rsidRPr="00834CDC">
        <w:rPr>
          <w:rStyle w:val="Strong"/>
          <w:b/>
          <w:bCs w:val="0"/>
        </w:rPr>
        <w:t>),</w:t>
      </w:r>
      <w:r w:rsidRPr="00834CDC">
        <w:rPr>
          <w:rStyle w:val="Strong"/>
          <w:b/>
          <w:bCs w:val="0"/>
          <w:vertAlign w:val="superscript"/>
        </w:rPr>
        <w:t>a</w:t>
      </w:r>
      <w:proofErr w:type="gramEnd"/>
      <w:r w:rsidRPr="00834CDC">
        <w:rPr>
          <w:rStyle w:val="Strong"/>
          <w:b/>
          <w:bCs w:val="0"/>
        </w:rPr>
        <w:t xml:space="preserve"> 2010–2019,</w:t>
      </w:r>
      <w:r w:rsidRPr="00834CDC">
        <w:rPr>
          <w:rStyle w:val="Strong"/>
          <w:b/>
          <w:bCs w:val="0"/>
          <w:vertAlign w:val="superscript"/>
        </w:rPr>
        <w:t>b</w:t>
      </w:r>
      <w:r w:rsidRPr="00834CDC">
        <w:rPr>
          <w:rStyle w:val="Strong"/>
          <w:b/>
          <w:bCs w:val="0"/>
        </w:rPr>
        <w:t xml:space="preserve"> by Aboriginal and Torres Strait Islander status.</w:t>
      </w:r>
    </w:p>
    <w:p w14:paraId="387AA57F" w14:textId="77777777" w:rsidR="00722366" w:rsidRPr="00834CDC" w:rsidRDefault="00722366" w:rsidP="00722366">
      <w:pPr>
        <w:pStyle w:val="NormalWeb"/>
        <w:divId w:val="1988506822"/>
      </w:pPr>
      <w:r w:rsidRPr="00834CDC">
        <w:rPr>
          <w:noProof/>
        </w:rPr>
        <w:drawing>
          <wp:inline distT="0" distB="0" distL="0" distR="0" wp14:anchorId="4B3AFE42" wp14:editId="18222C87">
            <wp:extent cx="6625742" cy="4483187"/>
            <wp:effectExtent l="0" t="0" r="3810" b="0"/>
            <wp:docPr id="26" name="Picture 26" descr="Line graph showing varicella (chickenpox) hospitalisation rates for the period 2010 to 2019, in selected jurisdictions (Northern Territory, Queensland, South Australia, Western Australia, New South Wales and Victoria). Rates were higher in Aboriginal and Torres Strait Islander people at the beginning of the time period, but were similar by the end of the 10 year perio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ine graph showing varicella (chickenpox) hospitalisation rates for the period 2010 to 2019, in selected jurisdictions (Northern Territory, Queensland, South Australia, Western Australia, New South Wales and Victoria). Rates were higher in Aboriginal and Torres Strait Islander people at the beginning of the time period, but were similar by the end of the 10 year period. &#10;"/>
                    <pic:cNvPicPr>
                      <a:picLocks noChangeAspect="1" noChangeArrowheads="1"/>
                    </pic:cNvPicPr>
                  </pic:nvPicPr>
                  <pic:blipFill>
                    <a:blip r:link="rId29">
                      <a:extLst>
                        <a:ext uri="{28A0092B-C50C-407E-A947-70E740481C1C}">
                          <a14:useLocalDpi xmlns:a14="http://schemas.microsoft.com/office/drawing/2010/main" val="0"/>
                        </a:ext>
                      </a:extLst>
                    </a:blip>
                    <a:stretch>
                      <a:fillRect/>
                    </a:stretch>
                  </pic:blipFill>
                  <pic:spPr bwMode="auto">
                    <a:xfrm>
                      <a:off x="0" y="0"/>
                      <a:ext cx="6632317" cy="4487636"/>
                    </a:xfrm>
                    <a:prstGeom prst="rect">
                      <a:avLst/>
                    </a:prstGeom>
                  </pic:spPr>
                </pic:pic>
              </a:graphicData>
            </a:graphic>
          </wp:inline>
        </w:drawing>
      </w:r>
    </w:p>
    <w:p w14:paraId="542BBAEC" w14:textId="77777777" w:rsidR="00722366" w:rsidRPr="00834CDC" w:rsidRDefault="00722366" w:rsidP="00722366">
      <w:pPr>
        <w:pStyle w:val="CDIfootnotes"/>
        <w:divId w:val="1988506822"/>
      </w:pPr>
      <w:r w:rsidRPr="00834CDC">
        <w:t>a</w:t>
      </w:r>
      <w:r w:rsidRPr="00834CDC">
        <w:tab/>
        <w:t xml:space="preserve">States and territories with satisfactory data quality for the 2010–2019 period (refer to Appendix A): Northern Territory, Queensland, New South Wales, Victoria, South </w:t>
      </w:r>
      <w:proofErr w:type="gramStart"/>
      <w:r w:rsidRPr="00834CDC">
        <w:t>Australia</w:t>
      </w:r>
      <w:proofErr w:type="gramEnd"/>
      <w:r w:rsidRPr="00834CDC">
        <w:t xml:space="preserve"> and Western Australia.</w:t>
      </w:r>
    </w:p>
    <w:p w14:paraId="2CAEDC02" w14:textId="77777777" w:rsidR="00722366" w:rsidRPr="00834CDC" w:rsidRDefault="00722366" w:rsidP="00722366">
      <w:pPr>
        <w:pStyle w:val="CDIfootnotes"/>
        <w:divId w:val="1988506822"/>
      </w:pPr>
      <w:r w:rsidRPr="00834CDC">
        <w:t>b</w:t>
      </w:r>
      <w:r w:rsidRPr="00834CDC">
        <w:tab/>
        <w:t>Hospital admissions where the date of admission was between 1 January 2010 and 30 June 2019. 2019 hospitalisation data were annualised.</w:t>
      </w:r>
    </w:p>
    <w:p w14:paraId="52823FA8" w14:textId="77777777" w:rsidR="0033445F" w:rsidRPr="00834CDC" w:rsidRDefault="0033445F" w:rsidP="0033445F">
      <w:pPr>
        <w:divId w:val="1988506822"/>
      </w:pPr>
      <w:r w:rsidRPr="00834CDC">
        <w:t xml:space="preserve">Of 27,781 hospitalisations for herpes zoster recorded during the 2016–2019 period, 521 (1.9%) </w:t>
      </w:r>
      <w:proofErr w:type="gramStart"/>
      <w:r w:rsidRPr="00834CDC">
        <w:t>were recorded</w:t>
      </w:r>
      <w:proofErr w:type="gramEnd"/>
      <w:r w:rsidRPr="00834CDC">
        <w:t xml:space="preserve"> as being in Aboriginal and Torres Strait Islander people (Table 22). Hospitalisation rates for herpes zoster generally increased with </w:t>
      </w:r>
      <w:proofErr w:type="gramStart"/>
      <w:r w:rsidRPr="00834CDC">
        <w:t>age, and</w:t>
      </w:r>
      <w:proofErr w:type="gramEnd"/>
      <w:r w:rsidRPr="00834CDC">
        <w:t xml:space="preserve"> were highest by far in adults aged ≥ 50 years, with the rate lower in Aboriginal and Torres Strait Islander people than in other people (RR: 0.8; 95% CI: 0.7–0.9). Hospitalisation rates in Aboriginal and Torres Strait Islander were similar to those in other people in children aged 0–4 years and for all age groups combined, but higher in the 5–14 years (RR: 2.2; 95% CI: 1.1–3.9), 15–24 years (RR: 2.0; 95% CI: 1.4–2.8) and 25–49 years (RR: 1.8; 95% CI: 1.5–2.1) age groups (Table 22). </w:t>
      </w:r>
    </w:p>
    <w:p w14:paraId="69D103B8" w14:textId="77777777" w:rsidR="0033445F" w:rsidRPr="00834CDC" w:rsidRDefault="0033445F" w:rsidP="0033445F">
      <w:pPr>
        <w:divId w:val="1988506822"/>
      </w:pPr>
      <w:r w:rsidRPr="00834CDC">
        <w:t xml:space="preserve">Trends for herpes zoster hospitalisation rates </w:t>
      </w:r>
      <w:proofErr w:type="gramStart"/>
      <w:r w:rsidRPr="00834CDC">
        <w:t>are presented</w:t>
      </w:r>
      <w:proofErr w:type="gramEnd"/>
      <w:r w:rsidRPr="00834CDC">
        <w:t xml:space="preserve"> in Figure 19 for six states and territories (excluding the Australian Capital Territory and Tasmania) for the decade 2010–2019. Rates increased in both Aboriginal and Torres Strait Islander and other people from 2010 to 2016 and </w:t>
      </w:r>
      <w:proofErr w:type="gramStart"/>
      <w:r w:rsidRPr="00834CDC">
        <w:t>subsequently</w:t>
      </w:r>
      <w:proofErr w:type="gramEnd"/>
      <w:r w:rsidRPr="00834CDC">
        <w:t xml:space="preserve"> decreased in the years from 2017 to 2019. </w:t>
      </w:r>
    </w:p>
    <w:p w14:paraId="12889512" w14:textId="130461C9" w:rsidR="0033445F" w:rsidRPr="00834CDC" w:rsidRDefault="0033445F" w:rsidP="0033445F">
      <w:pPr>
        <w:divId w:val="1988506822"/>
      </w:pPr>
      <w:r w:rsidRPr="00834CDC">
        <w:lastRenderedPageBreak/>
        <w:t>There were 455 deaths recorded in Australia for the 2016–2019 period with herpes zoster as underlying (n = 143) or associated (n = 312) cause of death, of which 1–5</w:t>
      </w:r>
      <w:r w:rsidR="00D24B47">
        <w:t xml:space="preserve"> </w:t>
      </w:r>
      <w:r w:rsidR="00D24B47">
        <w:rPr>
          <w:rStyle w:val="FootnoteReference"/>
        </w:rPr>
        <w:footnoteReference w:id="4"/>
      </w:r>
      <w:r w:rsidRPr="00834CDC">
        <w:t xml:space="preserve"> </w:t>
      </w:r>
      <w:proofErr w:type="gramStart"/>
      <w:r w:rsidRPr="00834CDC">
        <w:t>were recorded</w:t>
      </w:r>
      <w:proofErr w:type="gramEnd"/>
      <w:r w:rsidRPr="00834CDC">
        <w:t xml:space="preserve"> as being in Aboriginal and Torres Strait Islander people. Of the 455 deaths, 440 (96.7%) were in adults aged ≥ 65 years and 15 (3.3%) in people aged 15–64 years. </w:t>
      </w:r>
    </w:p>
    <w:p w14:paraId="3BBC783B" w14:textId="122C73D9" w:rsidR="00C53945" w:rsidRPr="00834CDC" w:rsidRDefault="00C53945">
      <w:pPr>
        <w:rPr>
          <w:rFonts w:asciiTheme="majorHAnsi" w:eastAsiaTheme="majorEastAsia" w:hAnsiTheme="majorHAnsi" w:cstheme="majorBidi"/>
          <w:b/>
          <w:bCs/>
          <w:sz w:val="26"/>
          <w:szCs w:val="26"/>
        </w:rPr>
      </w:pPr>
    </w:p>
    <w:p w14:paraId="485D33EB" w14:textId="77777777" w:rsidR="00C53945" w:rsidRPr="00834CDC" w:rsidRDefault="00C53945" w:rsidP="00C53945">
      <w:pPr>
        <w:pStyle w:val="CDIFigures"/>
        <w:divId w:val="1988506822"/>
      </w:pPr>
      <w:r w:rsidRPr="00834CDC">
        <w:rPr>
          <w:rStyle w:val="Strong"/>
          <w:b/>
          <w:bCs w:val="0"/>
        </w:rPr>
        <w:t>Table 22: Herpes zoster (shingles) hospitalisations, Australia (all states and territories), 2016–</w:t>
      </w:r>
      <w:proofErr w:type="gramStart"/>
      <w:r w:rsidRPr="00834CDC">
        <w:rPr>
          <w:rStyle w:val="Strong"/>
          <w:b/>
          <w:bCs w:val="0"/>
        </w:rPr>
        <w:t>2019,</w:t>
      </w:r>
      <w:r w:rsidRPr="00834CDC">
        <w:rPr>
          <w:rStyle w:val="Strong"/>
          <w:b/>
          <w:bCs w:val="0"/>
          <w:vertAlign w:val="superscript"/>
        </w:rPr>
        <w:t>a</w:t>
      </w:r>
      <w:proofErr w:type="gramEnd"/>
      <w:r w:rsidRPr="00834CDC">
        <w:rPr>
          <w:rStyle w:val="Strong"/>
          <w:b/>
          <w:bCs w:val="0"/>
        </w:rPr>
        <w:t xml:space="preserve"> by age and Aboriginal and Torres Strait Islander status</w:t>
      </w:r>
    </w:p>
    <w:tbl>
      <w:tblPr>
        <w:tblStyle w:val="CDI-StandardTable"/>
        <w:tblW w:w="0" w:type="auto"/>
        <w:tblCellMar>
          <w:top w:w="28" w:type="dxa"/>
          <w:bottom w:w="28" w:type="dxa"/>
        </w:tblCellMar>
        <w:tblLook w:val="04A0" w:firstRow="1" w:lastRow="0" w:firstColumn="1" w:lastColumn="0" w:noHBand="0" w:noVBand="1"/>
        <w:tblDescription w:val="Table 22 shows the number and rates per 100,000 population of herpes zoster (shingles) hospitalisations by age and Aboriginal and Torres Strait Islander status, Australia, 2016 to 2019.&#10;"/>
      </w:tblPr>
      <w:tblGrid>
        <w:gridCol w:w="1430"/>
        <w:gridCol w:w="4949"/>
        <w:gridCol w:w="709"/>
        <w:gridCol w:w="567"/>
        <w:gridCol w:w="1134"/>
        <w:gridCol w:w="1677"/>
      </w:tblGrid>
      <w:tr w:rsidR="00C53945" w:rsidRPr="00834CDC" w14:paraId="37A886AF" w14:textId="77777777" w:rsidTr="004E44A3">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val="restart"/>
            <w:hideMark/>
          </w:tcPr>
          <w:p w14:paraId="3A9D98F6" w14:textId="77777777" w:rsidR="00C53945" w:rsidRPr="00834CDC" w:rsidRDefault="00C53945" w:rsidP="00A105F7">
            <w:pPr>
              <w:pStyle w:val="NormalWeb"/>
              <w:jc w:val="left"/>
              <w:rPr>
                <w:sz w:val="18"/>
                <w:szCs w:val="18"/>
              </w:rPr>
            </w:pPr>
            <w:r w:rsidRPr="00834CDC">
              <w:rPr>
                <w:sz w:val="18"/>
                <w:szCs w:val="18"/>
              </w:rPr>
              <w:t>Age group (years)</w:t>
            </w:r>
          </w:p>
        </w:tc>
        <w:tc>
          <w:tcPr>
            <w:tcW w:w="4949" w:type="dxa"/>
            <w:vMerge w:val="restart"/>
            <w:hideMark/>
          </w:tcPr>
          <w:p w14:paraId="4B01DFFF" w14:textId="77777777" w:rsidR="00C53945" w:rsidRPr="00834CDC" w:rsidRDefault="00C53945" w:rsidP="00A105F7">
            <w:pPr>
              <w:pStyle w:val="NormalWeb"/>
              <w:jc w:val="left"/>
              <w:rPr>
                <w:sz w:val="18"/>
                <w:szCs w:val="18"/>
              </w:rPr>
            </w:pPr>
            <w:r w:rsidRPr="00834CDC">
              <w:rPr>
                <w:sz w:val="18"/>
                <w:szCs w:val="18"/>
              </w:rPr>
              <w:t>Aboriginal and Torres Strait Islander status</w:t>
            </w:r>
          </w:p>
        </w:tc>
        <w:tc>
          <w:tcPr>
            <w:tcW w:w="4087" w:type="dxa"/>
            <w:gridSpan w:val="4"/>
            <w:hideMark/>
          </w:tcPr>
          <w:p w14:paraId="21FB102E" w14:textId="77777777" w:rsidR="00C53945" w:rsidRPr="00834CDC" w:rsidRDefault="00C53945" w:rsidP="008E078C">
            <w:pPr>
              <w:pStyle w:val="NormalWeb"/>
              <w:rPr>
                <w:sz w:val="18"/>
                <w:szCs w:val="18"/>
              </w:rPr>
            </w:pPr>
            <w:r w:rsidRPr="00834CDC">
              <w:rPr>
                <w:sz w:val="18"/>
                <w:szCs w:val="18"/>
              </w:rPr>
              <w:t xml:space="preserve">Hospitalisations (2016–2019) </w:t>
            </w:r>
            <w:r w:rsidRPr="00834CDC">
              <w:rPr>
                <w:sz w:val="18"/>
                <w:szCs w:val="18"/>
                <w:vertAlign w:val="superscript"/>
              </w:rPr>
              <w:t>a</w:t>
            </w:r>
          </w:p>
        </w:tc>
      </w:tr>
      <w:tr w:rsidR="004C021A" w:rsidRPr="00834CDC" w14:paraId="00D654EC" w14:textId="77777777" w:rsidTr="004E44A3">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tcBorders>
              <w:bottom w:val="single" w:sz="4" w:space="0" w:color="808080" w:themeColor="background1" w:themeShade="80"/>
            </w:tcBorders>
            <w:hideMark/>
          </w:tcPr>
          <w:p w14:paraId="5743B679" w14:textId="77777777" w:rsidR="00C53945" w:rsidRPr="00834CDC" w:rsidRDefault="00C53945" w:rsidP="00A105F7">
            <w:pPr>
              <w:jc w:val="left"/>
              <w:rPr>
                <w:sz w:val="18"/>
                <w:szCs w:val="18"/>
              </w:rPr>
            </w:pPr>
          </w:p>
        </w:tc>
        <w:tc>
          <w:tcPr>
            <w:tcW w:w="4949" w:type="dxa"/>
            <w:vMerge/>
            <w:tcBorders>
              <w:bottom w:val="single" w:sz="4" w:space="0" w:color="808080" w:themeColor="background1" w:themeShade="80"/>
            </w:tcBorders>
            <w:hideMark/>
          </w:tcPr>
          <w:p w14:paraId="5BBC240F" w14:textId="77777777" w:rsidR="00C53945" w:rsidRPr="00834CDC" w:rsidRDefault="00C53945" w:rsidP="00A105F7">
            <w:pPr>
              <w:jc w:val="left"/>
              <w:rPr>
                <w:sz w:val="18"/>
                <w:szCs w:val="18"/>
              </w:rPr>
            </w:pPr>
          </w:p>
        </w:tc>
        <w:tc>
          <w:tcPr>
            <w:tcW w:w="709" w:type="dxa"/>
            <w:tcBorders>
              <w:bottom w:val="single" w:sz="4" w:space="0" w:color="808080" w:themeColor="background1" w:themeShade="80"/>
            </w:tcBorders>
            <w:hideMark/>
          </w:tcPr>
          <w:p w14:paraId="5BC04710" w14:textId="77777777" w:rsidR="00C53945" w:rsidRPr="00834CDC" w:rsidRDefault="00C53945" w:rsidP="008E078C">
            <w:pPr>
              <w:pStyle w:val="NormalWeb"/>
              <w:rPr>
                <w:sz w:val="18"/>
                <w:szCs w:val="18"/>
              </w:rPr>
            </w:pPr>
            <w:r w:rsidRPr="00834CDC">
              <w:rPr>
                <w:sz w:val="18"/>
                <w:szCs w:val="18"/>
              </w:rPr>
              <w:t>n</w:t>
            </w:r>
          </w:p>
        </w:tc>
        <w:tc>
          <w:tcPr>
            <w:tcW w:w="567" w:type="dxa"/>
            <w:tcBorders>
              <w:bottom w:val="single" w:sz="4" w:space="0" w:color="808080" w:themeColor="background1" w:themeShade="80"/>
            </w:tcBorders>
            <w:hideMark/>
          </w:tcPr>
          <w:p w14:paraId="7A731510" w14:textId="5C35CF8F" w:rsidR="00C53945" w:rsidRPr="00834CDC" w:rsidRDefault="00C53945" w:rsidP="008E078C">
            <w:pPr>
              <w:pStyle w:val="NormalWeb"/>
              <w:rPr>
                <w:sz w:val="18"/>
                <w:szCs w:val="18"/>
              </w:rPr>
            </w:pPr>
            <w:r w:rsidRPr="00834CDC">
              <w:rPr>
                <w:sz w:val="18"/>
                <w:szCs w:val="18"/>
              </w:rPr>
              <w:t>Rate</w:t>
            </w:r>
            <w:r w:rsidR="004C021A" w:rsidRPr="00834CDC">
              <w:rPr>
                <w:sz w:val="18"/>
                <w:szCs w:val="18"/>
              </w:rPr>
              <w:t xml:space="preserve"> </w:t>
            </w:r>
            <w:r w:rsidRPr="00834CDC">
              <w:rPr>
                <w:sz w:val="18"/>
                <w:szCs w:val="18"/>
                <w:vertAlign w:val="superscript"/>
              </w:rPr>
              <w:t>b</w:t>
            </w:r>
          </w:p>
        </w:tc>
        <w:tc>
          <w:tcPr>
            <w:tcW w:w="1134" w:type="dxa"/>
            <w:tcBorders>
              <w:bottom w:val="single" w:sz="4" w:space="0" w:color="808080" w:themeColor="background1" w:themeShade="80"/>
            </w:tcBorders>
            <w:hideMark/>
          </w:tcPr>
          <w:p w14:paraId="2BFC085D" w14:textId="77777777" w:rsidR="00C53945" w:rsidRPr="00834CDC" w:rsidRDefault="00C53945" w:rsidP="008E078C">
            <w:pPr>
              <w:pStyle w:val="NormalWeb"/>
              <w:rPr>
                <w:sz w:val="18"/>
                <w:szCs w:val="18"/>
              </w:rPr>
            </w:pPr>
            <w:r w:rsidRPr="00834CDC">
              <w:rPr>
                <w:sz w:val="18"/>
                <w:szCs w:val="18"/>
              </w:rPr>
              <w:t>Rate ratio</w:t>
            </w:r>
          </w:p>
        </w:tc>
        <w:tc>
          <w:tcPr>
            <w:tcW w:w="1677" w:type="dxa"/>
            <w:tcBorders>
              <w:bottom w:val="single" w:sz="4" w:space="0" w:color="808080" w:themeColor="background1" w:themeShade="80"/>
            </w:tcBorders>
            <w:hideMark/>
          </w:tcPr>
          <w:p w14:paraId="7ED9B3DE" w14:textId="77777777" w:rsidR="00C53945" w:rsidRPr="00834CDC" w:rsidRDefault="00C53945" w:rsidP="008E078C">
            <w:pPr>
              <w:pStyle w:val="NormalWeb"/>
              <w:rPr>
                <w:sz w:val="18"/>
                <w:szCs w:val="18"/>
              </w:rPr>
            </w:pPr>
            <w:proofErr w:type="gramStart"/>
            <w:r w:rsidRPr="00834CDC">
              <w:rPr>
                <w:sz w:val="18"/>
                <w:szCs w:val="18"/>
              </w:rPr>
              <w:t>95%</w:t>
            </w:r>
            <w:proofErr w:type="gramEnd"/>
            <w:r w:rsidRPr="00834CDC">
              <w:rPr>
                <w:sz w:val="18"/>
                <w:szCs w:val="18"/>
              </w:rPr>
              <w:t xml:space="preserve"> CI for rate ratio</w:t>
            </w:r>
          </w:p>
        </w:tc>
      </w:tr>
      <w:tr w:rsidR="004C021A" w:rsidRPr="00834CDC" w14:paraId="54761F71" w14:textId="77777777" w:rsidTr="004E44A3">
        <w:trPr>
          <w:divId w:val="1988506822"/>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9848C38" w14:textId="77777777" w:rsidR="00C53945" w:rsidRPr="00834CDC" w:rsidRDefault="00C53945" w:rsidP="00A105F7">
            <w:pPr>
              <w:pStyle w:val="NormalWeb"/>
              <w:jc w:val="left"/>
              <w:rPr>
                <w:sz w:val="18"/>
                <w:szCs w:val="18"/>
              </w:rPr>
            </w:pPr>
            <w:r w:rsidRPr="00834CDC">
              <w:rPr>
                <w:sz w:val="18"/>
                <w:szCs w:val="18"/>
              </w:rPr>
              <w:t>0–4</w:t>
            </w:r>
          </w:p>
        </w:tc>
        <w:tc>
          <w:tcPr>
            <w:tcW w:w="4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D0419D0" w14:textId="77777777" w:rsidR="00C53945" w:rsidRPr="00834CDC" w:rsidRDefault="00C53945" w:rsidP="00A105F7">
            <w:pPr>
              <w:pStyle w:val="NormalWeb"/>
              <w:jc w:val="left"/>
              <w:rPr>
                <w:sz w:val="18"/>
                <w:szCs w:val="18"/>
              </w:rPr>
            </w:pPr>
            <w:r w:rsidRPr="00834CDC">
              <w:rPr>
                <w:sz w:val="18"/>
                <w:szCs w:val="18"/>
              </w:rPr>
              <w:t>Aboriginal and Torres Strait Islander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15EFADC" w14:textId="77777777" w:rsidR="00C53945" w:rsidRPr="00834CDC" w:rsidRDefault="00C53945" w:rsidP="008E078C">
            <w:pPr>
              <w:pStyle w:val="NormalWeb"/>
              <w:rPr>
                <w:sz w:val="18"/>
                <w:szCs w:val="18"/>
              </w:rPr>
            </w:pPr>
            <w:r w:rsidRPr="00834CDC">
              <w:rPr>
                <w:sz w:val="18"/>
                <w:szCs w:val="18"/>
              </w:rPr>
              <w:t>7</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3CA898A" w14:textId="77777777" w:rsidR="00C53945" w:rsidRPr="00834CDC" w:rsidRDefault="00C53945" w:rsidP="008E078C">
            <w:pPr>
              <w:pStyle w:val="NormalWeb"/>
              <w:rPr>
                <w:sz w:val="18"/>
                <w:szCs w:val="18"/>
              </w:rPr>
            </w:pPr>
            <w:r w:rsidRPr="00834CDC">
              <w:rPr>
                <w:sz w:val="18"/>
                <w:szCs w:val="18"/>
              </w:rPr>
              <w:t>2.12</w:t>
            </w:r>
          </w:p>
        </w:tc>
        <w:tc>
          <w:tcPr>
            <w:tcW w:w="11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C0B2EC7" w14:textId="77777777" w:rsidR="00C53945" w:rsidRPr="00834CDC" w:rsidRDefault="00C53945" w:rsidP="008E078C">
            <w:pPr>
              <w:pStyle w:val="NormalWeb"/>
              <w:rPr>
                <w:sz w:val="18"/>
                <w:szCs w:val="18"/>
              </w:rPr>
            </w:pPr>
            <w:r w:rsidRPr="00834CDC">
              <w:rPr>
                <w:sz w:val="18"/>
                <w:szCs w:val="18"/>
              </w:rPr>
              <w:t>2.4</w:t>
            </w:r>
          </w:p>
        </w:tc>
        <w:tc>
          <w:tcPr>
            <w:tcW w:w="167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40E5240" w14:textId="77777777" w:rsidR="00C53945" w:rsidRPr="00834CDC" w:rsidRDefault="00C53945" w:rsidP="008E078C">
            <w:pPr>
              <w:pStyle w:val="NormalWeb"/>
              <w:rPr>
                <w:sz w:val="18"/>
                <w:szCs w:val="18"/>
              </w:rPr>
            </w:pPr>
            <w:r w:rsidRPr="00834CDC">
              <w:rPr>
                <w:sz w:val="18"/>
                <w:szCs w:val="18"/>
              </w:rPr>
              <w:t>0.9 – 5.3</w:t>
            </w:r>
          </w:p>
        </w:tc>
      </w:tr>
      <w:tr w:rsidR="004C021A" w:rsidRPr="00834CDC" w14:paraId="4CC6DEAB"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2A102BF" w14:textId="77777777" w:rsidR="00C53945" w:rsidRPr="00834CDC" w:rsidRDefault="00C53945" w:rsidP="00A105F7">
            <w:pPr>
              <w:jc w:val="left"/>
              <w:rPr>
                <w:sz w:val="18"/>
                <w:szCs w:val="18"/>
              </w:rPr>
            </w:pPr>
          </w:p>
        </w:tc>
        <w:tc>
          <w:tcPr>
            <w:tcW w:w="4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5F34B48" w14:textId="77777777" w:rsidR="00C53945" w:rsidRPr="00834CDC" w:rsidRDefault="00C53945" w:rsidP="00A105F7">
            <w:pPr>
              <w:pStyle w:val="NormalWeb"/>
              <w:jc w:val="left"/>
              <w:rPr>
                <w:sz w:val="18"/>
                <w:szCs w:val="18"/>
              </w:rPr>
            </w:pPr>
            <w:r w:rsidRPr="00834CDC">
              <w:rPr>
                <w:sz w:val="18"/>
                <w:szCs w:val="18"/>
              </w:rPr>
              <w:t>Other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19BC03A" w14:textId="77777777" w:rsidR="00C53945" w:rsidRPr="00834CDC" w:rsidRDefault="00C53945" w:rsidP="008E078C">
            <w:pPr>
              <w:pStyle w:val="NormalWeb"/>
              <w:rPr>
                <w:sz w:val="18"/>
                <w:szCs w:val="18"/>
              </w:rPr>
            </w:pPr>
            <w:r w:rsidRPr="00834CDC">
              <w:rPr>
                <w:sz w:val="18"/>
                <w:szCs w:val="18"/>
              </w:rPr>
              <w:t>46</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F2A5E51" w14:textId="77777777" w:rsidR="00C53945" w:rsidRPr="00834CDC" w:rsidRDefault="00C53945" w:rsidP="008E078C">
            <w:pPr>
              <w:pStyle w:val="NormalWeb"/>
              <w:rPr>
                <w:sz w:val="18"/>
                <w:szCs w:val="18"/>
              </w:rPr>
            </w:pPr>
            <w:r w:rsidRPr="00834CDC">
              <w:rPr>
                <w:sz w:val="18"/>
                <w:szCs w:val="18"/>
              </w:rPr>
              <w:t>0.89</w:t>
            </w:r>
          </w:p>
        </w:tc>
        <w:tc>
          <w:tcPr>
            <w:tcW w:w="11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7711CD3" w14:textId="77777777" w:rsidR="00C53945" w:rsidRPr="00834CDC" w:rsidRDefault="00C53945" w:rsidP="008E078C">
            <w:pPr>
              <w:rPr>
                <w:sz w:val="18"/>
                <w:szCs w:val="18"/>
              </w:rPr>
            </w:pPr>
          </w:p>
        </w:tc>
        <w:tc>
          <w:tcPr>
            <w:tcW w:w="167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96B8480" w14:textId="77777777" w:rsidR="00C53945" w:rsidRPr="00834CDC" w:rsidRDefault="00C53945" w:rsidP="008E078C">
            <w:pPr>
              <w:rPr>
                <w:sz w:val="18"/>
                <w:szCs w:val="18"/>
              </w:rPr>
            </w:pPr>
          </w:p>
        </w:tc>
      </w:tr>
      <w:tr w:rsidR="004C021A" w:rsidRPr="00834CDC" w14:paraId="0C67FBBD" w14:textId="77777777" w:rsidTr="004E44A3">
        <w:trPr>
          <w:divId w:val="1988506822"/>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4591A7F" w14:textId="77777777" w:rsidR="00C53945" w:rsidRPr="00834CDC" w:rsidRDefault="00C53945" w:rsidP="00A105F7">
            <w:pPr>
              <w:pStyle w:val="NormalWeb"/>
              <w:jc w:val="left"/>
              <w:rPr>
                <w:sz w:val="18"/>
                <w:szCs w:val="18"/>
              </w:rPr>
            </w:pPr>
            <w:r w:rsidRPr="00834CDC">
              <w:rPr>
                <w:sz w:val="18"/>
                <w:szCs w:val="18"/>
              </w:rPr>
              <w:t>5–14</w:t>
            </w:r>
          </w:p>
        </w:tc>
        <w:tc>
          <w:tcPr>
            <w:tcW w:w="4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95A1B7A" w14:textId="77777777" w:rsidR="00C53945" w:rsidRPr="00834CDC" w:rsidRDefault="00C53945" w:rsidP="00A105F7">
            <w:pPr>
              <w:pStyle w:val="NormalWeb"/>
              <w:jc w:val="left"/>
              <w:rPr>
                <w:sz w:val="18"/>
                <w:szCs w:val="18"/>
              </w:rPr>
            </w:pPr>
            <w:r w:rsidRPr="00834CDC">
              <w:rPr>
                <w:sz w:val="18"/>
                <w:szCs w:val="18"/>
              </w:rPr>
              <w:t>Aboriginal and Torres Strait Islander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0DD1101" w14:textId="77777777" w:rsidR="00C53945" w:rsidRPr="00834CDC" w:rsidRDefault="00C53945" w:rsidP="008E078C">
            <w:pPr>
              <w:pStyle w:val="NormalWeb"/>
              <w:rPr>
                <w:sz w:val="18"/>
                <w:szCs w:val="18"/>
              </w:rPr>
            </w:pPr>
            <w:r w:rsidRPr="00834CDC">
              <w:rPr>
                <w:sz w:val="18"/>
                <w:szCs w:val="18"/>
              </w:rPr>
              <w:t>13</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BE22C99" w14:textId="77777777" w:rsidR="00C53945" w:rsidRPr="00834CDC" w:rsidRDefault="00C53945" w:rsidP="008E078C">
            <w:pPr>
              <w:pStyle w:val="NormalWeb"/>
              <w:rPr>
                <w:sz w:val="18"/>
                <w:szCs w:val="18"/>
              </w:rPr>
            </w:pPr>
            <w:r w:rsidRPr="00834CDC">
              <w:rPr>
                <w:sz w:val="18"/>
                <w:szCs w:val="18"/>
              </w:rPr>
              <w:t>2.03</w:t>
            </w:r>
          </w:p>
        </w:tc>
        <w:tc>
          <w:tcPr>
            <w:tcW w:w="11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ED5F699" w14:textId="77777777" w:rsidR="00C53945" w:rsidRPr="00834CDC" w:rsidRDefault="00C53945" w:rsidP="008E078C">
            <w:pPr>
              <w:pStyle w:val="NormalWeb"/>
              <w:rPr>
                <w:sz w:val="18"/>
                <w:szCs w:val="18"/>
              </w:rPr>
            </w:pPr>
            <w:r w:rsidRPr="00834CDC">
              <w:rPr>
                <w:sz w:val="18"/>
                <w:szCs w:val="18"/>
              </w:rPr>
              <w:t>2.2</w:t>
            </w:r>
          </w:p>
        </w:tc>
        <w:tc>
          <w:tcPr>
            <w:tcW w:w="167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1621FBA" w14:textId="77777777" w:rsidR="00C53945" w:rsidRPr="00834CDC" w:rsidRDefault="00C53945" w:rsidP="008E078C">
            <w:pPr>
              <w:pStyle w:val="NormalWeb"/>
              <w:rPr>
                <w:sz w:val="18"/>
                <w:szCs w:val="18"/>
              </w:rPr>
            </w:pPr>
            <w:r w:rsidRPr="00834CDC">
              <w:rPr>
                <w:sz w:val="18"/>
                <w:szCs w:val="18"/>
              </w:rPr>
              <w:t>1.1 – 3.9</w:t>
            </w:r>
          </w:p>
        </w:tc>
      </w:tr>
      <w:tr w:rsidR="004C021A" w:rsidRPr="00834CDC" w14:paraId="57521495"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C313AFC" w14:textId="77777777" w:rsidR="00C53945" w:rsidRPr="00834CDC" w:rsidRDefault="00C53945" w:rsidP="00A105F7">
            <w:pPr>
              <w:jc w:val="left"/>
              <w:rPr>
                <w:sz w:val="18"/>
                <w:szCs w:val="18"/>
              </w:rPr>
            </w:pPr>
          </w:p>
        </w:tc>
        <w:tc>
          <w:tcPr>
            <w:tcW w:w="4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7B0874C" w14:textId="77777777" w:rsidR="00C53945" w:rsidRPr="00834CDC" w:rsidRDefault="00C53945" w:rsidP="00A105F7">
            <w:pPr>
              <w:pStyle w:val="NormalWeb"/>
              <w:jc w:val="left"/>
              <w:rPr>
                <w:sz w:val="18"/>
                <w:szCs w:val="18"/>
              </w:rPr>
            </w:pPr>
            <w:r w:rsidRPr="00834CDC">
              <w:rPr>
                <w:sz w:val="18"/>
                <w:szCs w:val="18"/>
              </w:rPr>
              <w:t>Other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A435FD4" w14:textId="77777777" w:rsidR="00C53945" w:rsidRPr="00834CDC" w:rsidRDefault="00C53945" w:rsidP="008E078C">
            <w:pPr>
              <w:pStyle w:val="NormalWeb"/>
              <w:rPr>
                <w:sz w:val="18"/>
                <w:szCs w:val="18"/>
              </w:rPr>
            </w:pPr>
            <w:r w:rsidRPr="00834CDC">
              <w:rPr>
                <w:sz w:val="18"/>
                <w:szCs w:val="18"/>
              </w:rPr>
              <w:t>95</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5C00D19" w14:textId="77777777" w:rsidR="00C53945" w:rsidRPr="00834CDC" w:rsidRDefault="00C53945" w:rsidP="008E078C">
            <w:pPr>
              <w:pStyle w:val="NormalWeb"/>
              <w:rPr>
                <w:sz w:val="18"/>
                <w:szCs w:val="18"/>
              </w:rPr>
            </w:pPr>
            <w:r w:rsidRPr="00834CDC">
              <w:rPr>
                <w:sz w:val="18"/>
                <w:szCs w:val="18"/>
              </w:rPr>
              <w:t>0.94</w:t>
            </w:r>
          </w:p>
        </w:tc>
        <w:tc>
          <w:tcPr>
            <w:tcW w:w="11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3C3640D" w14:textId="77777777" w:rsidR="00C53945" w:rsidRPr="00834CDC" w:rsidRDefault="00C53945" w:rsidP="008E078C">
            <w:pPr>
              <w:rPr>
                <w:sz w:val="18"/>
                <w:szCs w:val="18"/>
              </w:rPr>
            </w:pPr>
          </w:p>
        </w:tc>
        <w:tc>
          <w:tcPr>
            <w:tcW w:w="167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9E23D2F" w14:textId="77777777" w:rsidR="00C53945" w:rsidRPr="00834CDC" w:rsidRDefault="00C53945" w:rsidP="008E078C">
            <w:pPr>
              <w:rPr>
                <w:sz w:val="18"/>
                <w:szCs w:val="18"/>
              </w:rPr>
            </w:pPr>
          </w:p>
        </w:tc>
      </w:tr>
      <w:tr w:rsidR="004C021A" w:rsidRPr="00834CDC" w14:paraId="51EDD402" w14:textId="77777777" w:rsidTr="004E44A3">
        <w:trPr>
          <w:divId w:val="1988506822"/>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2EC702C" w14:textId="77777777" w:rsidR="00C53945" w:rsidRPr="00834CDC" w:rsidRDefault="00C53945" w:rsidP="00A105F7">
            <w:pPr>
              <w:pStyle w:val="NormalWeb"/>
              <w:jc w:val="left"/>
              <w:rPr>
                <w:sz w:val="18"/>
                <w:szCs w:val="18"/>
              </w:rPr>
            </w:pPr>
            <w:r w:rsidRPr="00834CDC">
              <w:rPr>
                <w:sz w:val="18"/>
                <w:szCs w:val="18"/>
              </w:rPr>
              <w:t>15–24</w:t>
            </w:r>
          </w:p>
        </w:tc>
        <w:tc>
          <w:tcPr>
            <w:tcW w:w="4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3980BDF" w14:textId="77777777" w:rsidR="00C53945" w:rsidRPr="00834CDC" w:rsidRDefault="00C53945" w:rsidP="00A105F7">
            <w:pPr>
              <w:pStyle w:val="NormalWeb"/>
              <w:jc w:val="left"/>
              <w:rPr>
                <w:sz w:val="18"/>
                <w:szCs w:val="18"/>
              </w:rPr>
            </w:pPr>
            <w:r w:rsidRPr="00834CDC">
              <w:rPr>
                <w:sz w:val="18"/>
                <w:szCs w:val="18"/>
              </w:rPr>
              <w:t>Aboriginal and Torres Strait Islander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B0C3338" w14:textId="77777777" w:rsidR="00C53945" w:rsidRPr="00834CDC" w:rsidRDefault="00C53945" w:rsidP="008E078C">
            <w:pPr>
              <w:pStyle w:val="NormalWeb"/>
              <w:rPr>
                <w:sz w:val="18"/>
                <w:szCs w:val="18"/>
              </w:rPr>
            </w:pPr>
            <w:r w:rsidRPr="00834CDC">
              <w:rPr>
                <w:sz w:val="18"/>
                <w:szCs w:val="18"/>
              </w:rPr>
              <w:t>40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E15C794" w14:textId="77777777" w:rsidR="00C53945" w:rsidRPr="00834CDC" w:rsidRDefault="00C53945" w:rsidP="008E078C">
            <w:pPr>
              <w:pStyle w:val="NormalWeb"/>
              <w:rPr>
                <w:sz w:val="18"/>
                <w:szCs w:val="18"/>
              </w:rPr>
            </w:pPr>
            <w:r w:rsidRPr="00834CDC">
              <w:rPr>
                <w:sz w:val="18"/>
                <w:szCs w:val="18"/>
              </w:rPr>
              <w:t>7.20</w:t>
            </w:r>
          </w:p>
        </w:tc>
        <w:tc>
          <w:tcPr>
            <w:tcW w:w="11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496699D" w14:textId="77777777" w:rsidR="00C53945" w:rsidRPr="00834CDC" w:rsidRDefault="00C53945" w:rsidP="008E078C">
            <w:pPr>
              <w:pStyle w:val="NormalWeb"/>
              <w:rPr>
                <w:sz w:val="18"/>
                <w:szCs w:val="18"/>
              </w:rPr>
            </w:pPr>
            <w:r w:rsidRPr="00834CDC">
              <w:rPr>
                <w:sz w:val="18"/>
                <w:szCs w:val="18"/>
              </w:rPr>
              <w:t>2.0</w:t>
            </w:r>
          </w:p>
        </w:tc>
        <w:tc>
          <w:tcPr>
            <w:tcW w:w="167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95E4E48" w14:textId="77777777" w:rsidR="00C53945" w:rsidRPr="00834CDC" w:rsidRDefault="00C53945" w:rsidP="008E078C">
            <w:pPr>
              <w:pStyle w:val="NormalWeb"/>
              <w:rPr>
                <w:sz w:val="18"/>
                <w:szCs w:val="18"/>
              </w:rPr>
            </w:pPr>
            <w:r w:rsidRPr="00834CDC">
              <w:rPr>
                <w:sz w:val="18"/>
                <w:szCs w:val="18"/>
              </w:rPr>
              <w:t>1.4 – 2.8</w:t>
            </w:r>
          </w:p>
        </w:tc>
      </w:tr>
      <w:tr w:rsidR="004C021A" w:rsidRPr="00834CDC" w14:paraId="345C3884"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BEB1EE1" w14:textId="77777777" w:rsidR="00C53945" w:rsidRPr="00834CDC" w:rsidRDefault="00C53945" w:rsidP="00A105F7">
            <w:pPr>
              <w:jc w:val="left"/>
              <w:rPr>
                <w:sz w:val="18"/>
                <w:szCs w:val="18"/>
              </w:rPr>
            </w:pPr>
          </w:p>
        </w:tc>
        <w:tc>
          <w:tcPr>
            <w:tcW w:w="4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60C6285" w14:textId="77777777" w:rsidR="00C53945" w:rsidRPr="00834CDC" w:rsidRDefault="00C53945" w:rsidP="00A105F7">
            <w:pPr>
              <w:pStyle w:val="NormalWeb"/>
              <w:jc w:val="left"/>
              <w:rPr>
                <w:sz w:val="18"/>
                <w:szCs w:val="18"/>
              </w:rPr>
            </w:pPr>
            <w:r w:rsidRPr="00834CDC">
              <w:rPr>
                <w:sz w:val="18"/>
                <w:szCs w:val="18"/>
              </w:rPr>
              <w:t>Other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42C7EC7" w14:textId="77777777" w:rsidR="00C53945" w:rsidRPr="00834CDC" w:rsidRDefault="00C53945" w:rsidP="008E078C">
            <w:pPr>
              <w:pStyle w:val="NormalWeb"/>
              <w:rPr>
                <w:sz w:val="18"/>
                <w:szCs w:val="18"/>
              </w:rPr>
            </w:pPr>
            <w:r w:rsidRPr="00834CDC">
              <w:rPr>
                <w:sz w:val="18"/>
                <w:szCs w:val="18"/>
              </w:rPr>
              <w:t>378</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A0878E0" w14:textId="77777777" w:rsidR="00C53945" w:rsidRPr="00834CDC" w:rsidRDefault="00C53945" w:rsidP="008E078C">
            <w:pPr>
              <w:pStyle w:val="NormalWeb"/>
              <w:rPr>
                <w:sz w:val="18"/>
                <w:szCs w:val="18"/>
              </w:rPr>
            </w:pPr>
            <w:r w:rsidRPr="00834CDC">
              <w:rPr>
                <w:sz w:val="18"/>
                <w:szCs w:val="18"/>
              </w:rPr>
              <w:t>3.54</w:t>
            </w:r>
          </w:p>
        </w:tc>
        <w:tc>
          <w:tcPr>
            <w:tcW w:w="11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2120862" w14:textId="77777777" w:rsidR="00C53945" w:rsidRPr="00834CDC" w:rsidRDefault="00C53945" w:rsidP="008E078C">
            <w:pPr>
              <w:rPr>
                <w:sz w:val="18"/>
                <w:szCs w:val="18"/>
              </w:rPr>
            </w:pPr>
          </w:p>
        </w:tc>
        <w:tc>
          <w:tcPr>
            <w:tcW w:w="167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8D87DBB" w14:textId="77777777" w:rsidR="00C53945" w:rsidRPr="00834CDC" w:rsidRDefault="00C53945" w:rsidP="008E078C">
            <w:pPr>
              <w:rPr>
                <w:sz w:val="18"/>
                <w:szCs w:val="18"/>
              </w:rPr>
            </w:pPr>
          </w:p>
        </w:tc>
      </w:tr>
      <w:tr w:rsidR="004C021A" w:rsidRPr="00834CDC" w14:paraId="753D5F0F" w14:textId="77777777" w:rsidTr="004E44A3">
        <w:trPr>
          <w:divId w:val="1988506822"/>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0F0E1AA" w14:textId="77777777" w:rsidR="00C53945" w:rsidRPr="00834CDC" w:rsidRDefault="00C53945" w:rsidP="00A105F7">
            <w:pPr>
              <w:pStyle w:val="NormalWeb"/>
              <w:jc w:val="left"/>
              <w:rPr>
                <w:sz w:val="18"/>
                <w:szCs w:val="18"/>
              </w:rPr>
            </w:pPr>
            <w:r w:rsidRPr="00834CDC">
              <w:rPr>
                <w:sz w:val="18"/>
                <w:szCs w:val="18"/>
              </w:rPr>
              <w:t>25–49</w:t>
            </w:r>
          </w:p>
        </w:tc>
        <w:tc>
          <w:tcPr>
            <w:tcW w:w="4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40E1C10" w14:textId="77777777" w:rsidR="00C53945" w:rsidRPr="00834CDC" w:rsidRDefault="00C53945" w:rsidP="00A105F7">
            <w:pPr>
              <w:pStyle w:val="NormalWeb"/>
              <w:jc w:val="left"/>
              <w:rPr>
                <w:sz w:val="18"/>
                <w:szCs w:val="18"/>
              </w:rPr>
            </w:pPr>
            <w:r w:rsidRPr="00834CDC">
              <w:rPr>
                <w:sz w:val="18"/>
                <w:szCs w:val="18"/>
              </w:rPr>
              <w:t>Aboriginal and Torres Strait Islander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C575B77" w14:textId="77777777" w:rsidR="00C53945" w:rsidRPr="00834CDC" w:rsidRDefault="00C53945" w:rsidP="008E078C">
            <w:pPr>
              <w:pStyle w:val="NormalWeb"/>
              <w:rPr>
                <w:sz w:val="18"/>
                <w:szCs w:val="18"/>
              </w:rPr>
            </w:pPr>
            <w:r w:rsidRPr="00834CDC">
              <w:rPr>
                <w:sz w:val="18"/>
                <w:szCs w:val="18"/>
              </w:rPr>
              <w:t>129</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E5CD346" w14:textId="77777777" w:rsidR="00C53945" w:rsidRPr="00834CDC" w:rsidRDefault="00C53945" w:rsidP="008E078C">
            <w:pPr>
              <w:pStyle w:val="NormalWeb"/>
              <w:rPr>
                <w:sz w:val="18"/>
                <w:szCs w:val="18"/>
              </w:rPr>
            </w:pPr>
            <w:r w:rsidRPr="00834CDC">
              <w:rPr>
                <w:sz w:val="18"/>
                <w:szCs w:val="18"/>
              </w:rPr>
              <w:t>14.63</w:t>
            </w:r>
          </w:p>
        </w:tc>
        <w:tc>
          <w:tcPr>
            <w:tcW w:w="11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2205C2" w14:textId="77777777" w:rsidR="00C53945" w:rsidRPr="00834CDC" w:rsidRDefault="00C53945" w:rsidP="008E078C">
            <w:pPr>
              <w:pStyle w:val="NormalWeb"/>
              <w:rPr>
                <w:sz w:val="18"/>
                <w:szCs w:val="18"/>
              </w:rPr>
            </w:pPr>
            <w:r w:rsidRPr="00834CDC">
              <w:rPr>
                <w:sz w:val="18"/>
                <w:szCs w:val="18"/>
              </w:rPr>
              <w:t>1.8</w:t>
            </w:r>
          </w:p>
        </w:tc>
        <w:tc>
          <w:tcPr>
            <w:tcW w:w="167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643E1E2" w14:textId="77777777" w:rsidR="00C53945" w:rsidRPr="00834CDC" w:rsidRDefault="00C53945" w:rsidP="008E078C">
            <w:pPr>
              <w:pStyle w:val="NormalWeb"/>
              <w:rPr>
                <w:sz w:val="18"/>
                <w:szCs w:val="18"/>
              </w:rPr>
            </w:pPr>
            <w:r w:rsidRPr="00834CDC">
              <w:rPr>
                <w:sz w:val="18"/>
                <w:szCs w:val="18"/>
              </w:rPr>
              <w:t>1.5 – 2.1</w:t>
            </w:r>
          </w:p>
        </w:tc>
      </w:tr>
      <w:tr w:rsidR="004C021A" w:rsidRPr="00834CDC" w14:paraId="7A150CD8"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74B8FC" w14:textId="77777777" w:rsidR="00C53945" w:rsidRPr="00834CDC" w:rsidRDefault="00C53945" w:rsidP="00A105F7">
            <w:pPr>
              <w:jc w:val="left"/>
              <w:rPr>
                <w:sz w:val="18"/>
                <w:szCs w:val="18"/>
              </w:rPr>
            </w:pPr>
          </w:p>
        </w:tc>
        <w:tc>
          <w:tcPr>
            <w:tcW w:w="4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EE9832C" w14:textId="77777777" w:rsidR="00C53945" w:rsidRPr="00834CDC" w:rsidRDefault="00C53945" w:rsidP="00A105F7">
            <w:pPr>
              <w:pStyle w:val="NormalWeb"/>
              <w:jc w:val="left"/>
              <w:rPr>
                <w:sz w:val="18"/>
                <w:szCs w:val="18"/>
              </w:rPr>
            </w:pPr>
            <w:r w:rsidRPr="00834CDC">
              <w:rPr>
                <w:sz w:val="18"/>
                <w:szCs w:val="18"/>
              </w:rPr>
              <w:t>Other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F5A10D8" w14:textId="77777777" w:rsidR="00C53945" w:rsidRPr="00834CDC" w:rsidRDefault="00C53945" w:rsidP="008E078C">
            <w:pPr>
              <w:pStyle w:val="NormalWeb"/>
              <w:rPr>
                <w:sz w:val="18"/>
                <w:szCs w:val="18"/>
              </w:rPr>
            </w:pPr>
            <w:r w:rsidRPr="00834CDC">
              <w:rPr>
                <w:sz w:val="18"/>
                <w:szCs w:val="18"/>
              </w:rPr>
              <w:t>2,412</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D44EAA4" w14:textId="77777777" w:rsidR="00C53945" w:rsidRPr="00834CDC" w:rsidRDefault="00C53945" w:rsidP="008E078C">
            <w:pPr>
              <w:pStyle w:val="NormalWeb"/>
              <w:rPr>
                <w:sz w:val="18"/>
                <w:szCs w:val="18"/>
              </w:rPr>
            </w:pPr>
            <w:r w:rsidRPr="00834CDC">
              <w:rPr>
                <w:sz w:val="18"/>
                <w:szCs w:val="18"/>
              </w:rPr>
              <w:t>8.23</w:t>
            </w:r>
          </w:p>
        </w:tc>
        <w:tc>
          <w:tcPr>
            <w:tcW w:w="11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7EA4396" w14:textId="77777777" w:rsidR="00C53945" w:rsidRPr="00834CDC" w:rsidRDefault="00C53945" w:rsidP="008E078C">
            <w:pPr>
              <w:rPr>
                <w:sz w:val="18"/>
                <w:szCs w:val="18"/>
              </w:rPr>
            </w:pPr>
          </w:p>
        </w:tc>
        <w:tc>
          <w:tcPr>
            <w:tcW w:w="167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12F9932" w14:textId="77777777" w:rsidR="00C53945" w:rsidRPr="00834CDC" w:rsidRDefault="00C53945" w:rsidP="008E078C">
            <w:pPr>
              <w:rPr>
                <w:sz w:val="18"/>
                <w:szCs w:val="18"/>
              </w:rPr>
            </w:pPr>
          </w:p>
        </w:tc>
      </w:tr>
      <w:tr w:rsidR="004C021A" w:rsidRPr="00834CDC" w14:paraId="4FFDAE9A" w14:textId="77777777" w:rsidTr="004E44A3">
        <w:trPr>
          <w:divId w:val="1988506822"/>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49ABA13" w14:textId="77777777" w:rsidR="00C53945" w:rsidRPr="00834CDC" w:rsidRDefault="00C53945" w:rsidP="00A105F7">
            <w:pPr>
              <w:pStyle w:val="NormalWeb"/>
              <w:jc w:val="left"/>
              <w:rPr>
                <w:sz w:val="18"/>
                <w:szCs w:val="18"/>
              </w:rPr>
            </w:pPr>
            <w:r w:rsidRPr="00834CDC">
              <w:rPr>
                <w:sz w:val="18"/>
                <w:szCs w:val="18"/>
              </w:rPr>
              <w:t>50+</w:t>
            </w:r>
          </w:p>
        </w:tc>
        <w:tc>
          <w:tcPr>
            <w:tcW w:w="4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EE12B45" w14:textId="77777777" w:rsidR="00C53945" w:rsidRPr="00834CDC" w:rsidRDefault="00C53945" w:rsidP="00A105F7">
            <w:pPr>
              <w:pStyle w:val="NormalWeb"/>
              <w:jc w:val="left"/>
              <w:rPr>
                <w:sz w:val="18"/>
                <w:szCs w:val="18"/>
              </w:rPr>
            </w:pPr>
            <w:r w:rsidRPr="00834CDC">
              <w:rPr>
                <w:sz w:val="18"/>
                <w:szCs w:val="18"/>
              </w:rPr>
              <w:t>Aboriginal and Torres Strait Islander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F45AAAA" w14:textId="77777777" w:rsidR="00C53945" w:rsidRPr="00834CDC" w:rsidRDefault="00C53945" w:rsidP="008E078C">
            <w:pPr>
              <w:pStyle w:val="NormalWeb"/>
              <w:rPr>
                <w:sz w:val="18"/>
                <w:szCs w:val="18"/>
              </w:rPr>
            </w:pPr>
            <w:r w:rsidRPr="00834CDC">
              <w:rPr>
                <w:sz w:val="18"/>
                <w:szCs w:val="18"/>
              </w:rPr>
              <w:t>332</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EB1293A" w14:textId="77777777" w:rsidR="00C53945" w:rsidRPr="00834CDC" w:rsidRDefault="00C53945" w:rsidP="008E078C">
            <w:pPr>
              <w:pStyle w:val="NormalWeb"/>
              <w:rPr>
                <w:sz w:val="18"/>
                <w:szCs w:val="18"/>
              </w:rPr>
            </w:pPr>
            <w:r w:rsidRPr="00834CDC">
              <w:rPr>
                <w:sz w:val="18"/>
                <w:szCs w:val="18"/>
              </w:rPr>
              <w:t>72.07</w:t>
            </w:r>
          </w:p>
        </w:tc>
        <w:tc>
          <w:tcPr>
            <w:tcW w:w="11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D877E72" w14:textId="77777777" w:rsidR="00C53945" w:rsidRPr="00834CDC" w:rsidRDefault="00C53945" w:rsidP="008E078C">
            <w:pPr>
              <w:pStyle w:val="NormalWeb"/>
              <w:rPr>
                <w:sz w:val="18"/>
                <w:szCs w:val="18"/>
              </w:rPr>
            </w:pPr>
            <w:r w:rsidRPr="00834CDC">
              <w:rPr>
                <w:sz w:val="18"/>
                <w:szCs w:val="18"/>
              </w:rPr>
              <w:t>0.8</w:t>
            </w:r>
          </w:p>
        </w:tc>
        <w:tc>
          <w:tcPr>
            <w:tcW w:w="167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20AB63A" w14:textId="77777777" w:rsidR="00C53945" w:rsidRPr="00834CDC" w:rsidRDefault="00C53945" w:rsidP="008E078C">
            <w:pPr>
              <w:pStyle w:val="NormalWeb"/>
              <w:rPr>
                <w:sz w:val="18"/>
                <w:szCs w:val="18"/>
              </w:rPr>
            </w:pPr>
            <w:r w:rsidRPr="00834CDC">
              <w:rPr>
                <w:sz w:val="18"/>
                <w:szCs w:val="18"/>
              </w:rPr>
              <w:t>0.7 – 0.9</w:t>
            </w:r>
          </w:p>
        </w:tc>
      </w:tr>
      <w:tr w:rsidR="004C021A" w:rsidRPr="00834CDC" w14:paraId="3F0645AD"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2203A7D" w14:textId="77777777" w:rsidR="00C53945" w:rsidRPr="00834CDC" w:rsidRDefault="00C53945" w:rsidP="00A105F7">
            <w:pPr>
              <w:jc w:val="left"/>
              <w:rPr>
                <w:sz w:val="18"/>
                <w:szCs w:val="18"/>
              </w:rPr>
            </w:pPr>
          </w:p>
        </w:tc>
        <w:tc>
          <w:tcPr>
            <w:tcW w:w="4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970A082" w14:textId="77777777" w:rsidR="00C53945" w:rsidRPr="00834CDC" w:rsidRDefault="00C53945" w:rsidP="00A105F7">
            <w:pPr>
              <w:pStyle w:val="NormalWeb"/>
              <w:jc w:val="left"/>
              <w:rPr>
                <w:sz w:val="18"/>
                <w:szCs w:val="18"/>
              </w:rPr>
            </w:pPr>
            <w:r w:rsidRPr="00834CDC">
              <w:rPr>
                <w:sz w:val="18"/>
                <w:szCs w:val="18"/>
              </w:rPr>
              <w:t>Other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0CA5F90" w14:textId="77777777" w:rsidR="00C53945" w:rsidRPr="00834CDC" w:rsidRDefault="00C53945" w:rsidP="008E078C">
            <w:pPr>
              <w:pStyle w:val="NormalWeb"/>
              <w:rPr>
                <w:sz w:val="18"/>
                <w:szCs w:val="18"/>
              </w:rPr>
            </w:pPr>
            <w:r w:rsidRPr="00834CDC">
              <w:rPr>
                <w:sz w:val="18"/>
                <w:szCs w:val="18"/>
              </w:rPr>
              <w:t>24,329</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EC0E3F6" w14:textId="77777777" w:rsidR="00C53945" w:rsidRPr="00834CDC" w:rsidRDefault="00C53945" w:rsidP="008E078C">
            <w:pPr>
              <w:pStyle w:val="NormalWeb"/>
              <w:rPr>
                <w:sz w:val="18"/>
                <w:szCs w:val="18"/>
              </w:rPr>
            </w:pPr>
            <w:r w:rsidRPr="00834CDC">
              <w:rPr>
                <w:sz w:val="18"/>
                <w:szCs w:val="18"/>
              </w:rPr>
              <w:t>86.00</w:t>
            </w:r>
          </w:p>
        </w:tc>
        <w:tc>
          <w:tcPr>
            <w:tcW w:w="11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8F64D9A" w14:textId="77777777" w:rsidR="00C53945" w:rsidRPr="00834CDC" w:rsidRDefault="00C53945" w:rsidP="008E078C">
            <w:pPr>
              <w:rPr>
                <w:sz w:val="18"/>
                <w:szCs w:val="18"/>
              </w:rPr>
            </w:pPr>
          </w:p>
        </w:tc>
        <w:tc>
          <w:tcPr>
            <w:tcW w:w="167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C0BE2BE" w14:textId="77777777" w:rsidR="00C53945" w:rsidRPr="00834CDC" w:rsidRDefault="00C53945" w:rsidP="008E078C">
            <w:pPr>
              <w:rPr>
                <w:sz w:val="18"/>
                <w:szCs w:val="18"/>
              </w:rPr>
            </w:pPr>
          </w:p>
        </w:tc>
      </w:tr>
      <w:tr w:rsidR="004C021A" w:rsidRPr="00834CDC" w14:paraId="65578A6B" w14:textId="77777777" w:rsidTr="004E44A3">
        <w:trPr>
          <w:divId w:val="1988506822"/>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EABCF98" w14:textId="122D2BF1" w:rsidR="00C53945" w:rsidRPr="00834CDC" w:rsidRDefault="00C53945" w:rsidP="00A105F7">
            <w:pPr>
              <w:pStyle w:val="NormalWeb"/>
              <w:jc w:val="left"/>
              <w:rPr>
                <w:b/>
                <w:bCs/>
                <w:sz w:val="18"/>
                <w:szCs w:val="18"/>
              </w:rPr>
            </w:pPr>
            <w:r w:rsidRPr="00834CDC">
              <w:rPr>
                <w:b/>
                <w:bCs/>
                <w:sz w:val="18"/>
                <w:szCs w:val="18"/>
              </w:rPr>
              <w:t>All ages</w:t>
            </w:r>
            <w:r w:rsidR="004C021A" w:rsidRPr="00834CDC">
              <w:rPr>
                <w:b/>
                <w:bCs/>
                <w:sz w:val="18"/>
                <w:szCs w:val="18"/>
              </w:rPr>
              <w:t xml:space="preserve"> </w:t>
            </w:r>
            <w:r w:rsidRPr="00834CDC">
              <w:rPr>
                <w:b/>
                <w:bCs/>
                <w:sz w:val="18"/>
                <w:szCs w:val="18"/>
                <w:vertAlign w:val="superscript"/>
              </w:rPr>
              <w:t>c</w:t>
            </w:r>
          </w:p>
        </w:tc>
        <w:tc>
          <w:tcPr>
            <w:tcW w:w="4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5047DA93" w14:textId="77777777" w:rsidR="00C53945" w:rsidRPr="00834CDC" w:rsidRDefault="00C53945" w:rsidP="00A105F7">
            <w:pPr>
              <w:pStyle w:val="NormalWeb"/>
              <w:jc w:val="left"/>
              <w:rPr>
                <w:b/>
                <w:bCs/>
                <w:sz w:val="18"/>
                <w:szCs w:val="18"/>
              </w:rPr>
            </w:pPr>
            <w:r w:rsidRPr="00834CDC">
              <w:rPr>
                <w:b/>
                <w:bCs/>
                <w:sz w:val="18"/>
                <w:szCs w:val="18"/>
              </w:rPr>
              <w:t>Aboriginal and Torres Strait Islander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F992A04" w14:textId="77777777" w:rsidR="00C53945" w:rsidRPr="00834CDC" w:rsidRDefault="00C53945" w:rsidP="008E078C">
            <w:pPr>
              <w:pStyle w:val="NormalWeb"/>
              <w:rPr>
                <w:b/>
                <w:bCs/>
                <w:sz w:val="18"/>
                <w:szCs w:val="18"/>
              </w:rPr>
            </w:pPr>
            <w:r w:rsidRPr="00834CDC">
              <w:rPr>
                <w:b/>
                <w:bCs/>
                <w:sz w:val="18"/>
                <w:szCs w:val="18"/>
              </w:rPr>
              <w:t>521</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1EDDBE1" w14:textId="77777777" w:rsidR="00C53945" w:rsidRPr="00834CDC" w:rsidRDefault="00C53945" w:rsidP="008E078C">
            <w:pPr>
              <w:pStyle w:val="NormalWeb"/>
              <w:rPr>
                <w:b/>
                <w:bCs/>
                <w:sz w:val="18"/>
                <w:szCs w:val="18"/>
              </w:rPr>
            </w:pPr>
            <w:r w:rsidRPr="00834CDC">
              <w:rPr>
                <w:b/>
                <w:bCs/>
                <w:sz w:val="18"/>
                <w:szCs w:val="18"/>
              </w:rPr>
              <w:t>29.60</w:t>
            </w:r>
          </w:p>
        </w:tc>
        <w:tc>
          <w:tcPr>
            <w:tcW w:w="11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7D192D76" w14:textId="77777777" w:rsidR="00C53945" w:rsidRPr="00834CDC" w:rsidRDefault="00C53945" w:rsidP="008E078C">
            <w:pPr>
              <w:pStyle w:val="NormalWeb"/>
              <w:rPr>
                <w:b/>
                <w:bCs/>
                <w:sz w:val="18"/>
                <w:szCs w:val="18"/>
              </w:rPr>
            </w:pPr>
            <w:r w:rsidRPr="00834CDC">
              <w:rPr>
                <w:b/>
                <w:bCs/>
                <w:sz w:val="18"/>
                <w:szCs w:val="18"/>
              </w:rPr>
              <w:t>1.0</w:t>
            </w:r>
          </w:p>
        </w:tc>
        <w:tc>
          <w:tcPr>
            <w:tcW w:w="167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49F20931" w14:textId="77777777" w:rsidR="00C53945" w:rsidRPr="00834CDC" w:rsidRDefault="00C53945" w:rsidP="008E078C">
            <w:pPr>
              <w:pStyle w:val="NormalWeb"/>
              <w:rPr>
                <w:b/>
                <w:bCs/>
                <w:sz w:val="18"/>
                <w:szCs w:val="18"/>
              </w:rPr>
            </w:pPr>
            <w:r w:rsidRPr="00834CDC">
              <w:rPr>
                <w:b/>
                <w:bCs/>
                <w:sz w:val="18"/>
                <w:szCs w:val="18"/>
              </w:rPr>
              <w:t>0.9 – 1.0</w:t>
            </w:r>
          </w:p>
        </w:tc>
      </w:tr>
      <w:tr w:rsidR="004C021A" w:rsidRPr="00834CDC" w14:paraId="25E3D88F" w14:textId="77777777" w:rsidTr="004E44A3">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A66211B" w14:textId="77777777" w:rsidR="00C53945" w:rsidRPr="00834CDC" w:rsidRDefault="00C53945" w:rsidP="00A105F7">
            <w:pPr>
              <w:jc w:val="left"/>
              <w:rPr>
                <w:b/>
                <w:bCs/>
                <w:sz w:val="18"/>
                <w:szCs w:val="18"/>
              </w:rPr>
            </w:pPr>
          </w:p>
        </w:tc>
        <w:tc>
          <w:tcPr>
            <w:tcW w:w="4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B10FAC6" w14:textId="77777777" w:rsidR="00C53945" w:rsidRPr="00834CDC" w:rsidRDefault="00C53945" w:rsidP="00A105F7">
            <w:pPr>
              <w:pStyle w:val="NormalWeb"/>
              <w:jc w:val="left"/>
              <w:rPr>
                <w:b/>
                <w:bCs/>
                <w:sz w:val="18"/>
                <w:szCs w:val="18"/>
              </w:rPr>
            </w:pPr>
            <w:r w:rsidRPr="00834CDC">
              <w:rPr>
                <w:b/>
                <w:bCs/>
                <w:sz w:val="18"/>
                <w:szCs w:val="18"/>
              </w:rPr>
              <w:t>Other</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05716256" w14:textId="77777777" w:rsidR="00C53945" w:rsidRPr="00834CDC" w:rsidRDefault="00C53945" w:rsidP="008E078C">
            <w:pPr>
              <w:pStyle w:val="NormalWeb"/>
              <w:rPr>
                <w:b/>
                <w:bCs/>
                <w:sz w:val="18"/>
                <w:szCs w:val="18"/>
              </w:rPr>
            </w:pPr>
            <w:r w:rsidRPr="00834CDC">
              <w:rPr>
                <w:b/>
                <w:bCs/>
                <w:sz w:val="18"/>
                <w:szCs w:val="18"/>
              </w:rPr>
              <w:t>27,260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9D64000" w14:textId="77777777" w:rsidR="00C53945" w:rsidRPr="00834CDC" w:rsidRDefault="00C53945" w:rsidP="008E078C">
            <w:pPr>
              <w:pStyle w:val="NormalWeb"/>
              <w:rPr>
                <w:b/>
                <w:bCs/>
                <w:sz w:val="18"/>
                <w:szCs w:val="18"/>
              </w:rPr>
            </w:pPr>
            <w:r w:rsidRPr="00834CDC">
              <w:rPr>
                <w:b/>
                <w:bCs/>
                <w:sz w:val="18"/>
                <w:szCs w:val="18"/>
              </w:rPr>
              <w:t>31.07</w:t>
            </w:r>
          </w:p>
        </w:tc>
        <w:tc>
          <w:tcPr>
            <w:tcW w:w="11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5B623A22" w14:textId="77777777" w:rsidR="00C53945" w:rsidRPr="00834CDC" w:rsidRDefault="00C53945" w:rsidP="008E078C">
            <w:pPr>
              <w:rPr>
                <w:b/>
                <w:bCs/>
                <w:sz w:val="18"/>
                <w:szCs w:val="18"/>
              </w:rPr>
            </w:pPr>
          </w:p>
        </w:tc>
        <w:tc>
          <w:tcPr>
            <w:tcW w:w="167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25D0709" w14:textId="77777777" w:rsidR="00C53945" w:rsidRPr="00834CDC" w:rsidRDefault="00C53945" w:rsidP="008E078C">
            <w:pPr>
              <w:rPr>
                <w:b/>
                <w:bCs/>
                <w:sz w:val="18"/>
                <w:szCs w:val="18"/>
              </w:rPr>
            </w:pPr>
          </w:p>
        </w:tc>
      </w:tr>
    </w:tbl>
    <w:p w14:paraId="30F7BC31" w14:textId="77777777" w:rsidR="00C53945" w:rsidRPr="00834CDC" w:rsidRDefault="00C53945" w:rsidP="004C021A">
      <w:pPr>
        <w:pStyle w:val="CDIfootnotes"/>
        <w:divId w:val="1988506822"/>
      </w:pPr>
      <w:r w:rsidRPr="00834CDC">
        <w:t>a</w:t>
      </w:r>
      <w:r w:rsidRPr="00834CDC">
        <w:tab/>
      </w:r>
      <w:proofErr w:type="gramStart"/>
      <w:r w:rsidRPr="00834CDC">
        <w:t>Hospital admissions</w:t>
      </w:r>
      <w:proofErr w:type="gramEnd"/>
      <w:r w:rsidRPr="00834CDC">
        <w:t xml:space="preserve"> where the date of admission was between 1 January 2016 and 30 June 2019.</w:t>
      </w:r>
    </w:p>
    <w:p w14:paraId="2AFB8044" w14:textId="77777777" w:rsidR="00C53945" w:rsidRPr="00834CDC" w:rsidRDefault="00C53945" w:rsidP="004C021A">
      <w:pPr>
        <w:pStyle w:val="CDIfootnotes"/>
        <w:divId w:val="1988506822"/>
      </w:pPr>
      <w:r w:rsidRPr="00834CDC">
        <w:t>b</w:t>
      </w:r>
      <w:r w:rsidRPr="00834CDC">
        <w:tab/>
        <w:t>Average annual age-specific rate per 100,000 population.</w:t>
      </w:r>
    </w:p>
    <w:p w14:paraId="3EF4FBC6" w14:textId="6C9E51ED" w:rsidR="00A350DD" w:rsidRPr="004E44A3" w:rsidRDefault="00C53945" w:rsidP="004E44A3">
      <w:pPr>
        <w:pStyle w:val="CDIfootnotes"/>
        <w:divId w:val="1988506822"/>
      </w:pPr>
      <w:r w:rsidRPr="00834CDC">
        <w:t>c</w:t>
      </w:r>
      <w:r w:rsidRPr="00834CDC">
        <w:tab/>
        <w:t>Rates for all ages combined are age-standardised to the Australian Bureau of Statistics Australian population estimates for 2016.</w:t>
      </w:r>
    </w:p>
    <w:p w14:paraId="163B4D80" w14:textId="77777777" w:rsidR="00D24B47" w:rsidRDefault="00D24B47">
      <w:pPr>
        <w:rPr>
          <w:rStyle w:val="Strong"/>
        </w:rPr>
      </w:pPr>
      <w:r>
        <w:rPr>
          <w:rStyle w:val="Strong"/>
        </w:rPr>
        <w:br w:type="page"/>
      </w:r>
    </w:p>
    <w:p w14:paraId="576BA03D" w14:textId="4E65109E" w:rsidR="00A350DD" w:rsidRPr="00834CDC" w:rsidRDefault="00A350DD" w:rsidP="00A350DD">
      <w:pPr>
        <w:pStyle w:val="NormalWeb"/>
        <w:divId w:val="1988506822"/>
      </w:pPr>
      <w:r w:rsidRPr="00834CDC">
        <w:rPr>
          <w:rStyle w:val="Strong"/>
        </w:rPr>
        <w:lastRenderedPageBreak/>
        <w:t>Figure 19: Herpes zoster (shingles) hospitalisation rates, Australia (selected states and territories</w:t>
      </w:r>
      <w:proofErr w:type="gramStart"/>
      <w:r w:rsidRPr="00834CDC">
        <w:rPr>
          <w:rStyle w:val="Strong"/>
        </w:rPr>
        <w:t>),</w:t>
      </w:r>
      <w:r w:rsidRPr="00834CDC">
        <w:rPr>
          <w:rStyle w:val="Strong"/>
          <w:vertAlign w:val="superscript"/>
        </w:rPr>
        <w:t>a</w:t>
      </w:r>
      <w:proofErr w:type="gramEnd"/>
      <w:r w:rsidRPr="00834CDC">
        <w:rPr>
          <w:rStyle w:val="Strong"/>
        </w:rPr>
        <w:t xml:space="preserve"> 2010–2019,</w:t>
      </w:r>
      <w:r w:rsidRPr="00834CDC">
        <w:rPr>
          <w:rStyle w:val="Strong"/>
          <w:vertAlign w:val="superscript"/>
        </w:rPr>
        <w:t>b</w:t>
      </w:r>
      <w:r w:rsidRPr="00834CDC">
        <w:rPr>
          <w:rStyle w:val="Strong"/>
        </w:rPr>
        <w:t xml:space="preserve"> by Aboriginal and Torres Strait Islander status</w:t>
      </w:r>
    </w:p>
    <w:p w14:paraId="7D2E4534" w14:textId="77777777" w:rsidR="00A350DD" w:rsidRPr="00834CDC" w:rsidRDefault="00A350DD" w:rsidP="004E44A3">
      <w:pPr>
        <w:pStyle w:val="Heading2"/>
        <w:jc w:val="center"/>
        <w:divId w:val="1988506822"/>
      </w:pPr>
      <w:r w:rsidRPr="00834CDC">
        <w:rPr>
          <w:rFonts w:eastAsia="Times New Roman"/>
          <w:noProof/>
        </w:rPr>
        <w:drawing>
          <wp:inline distT="0" distB="0" distL="0" distR="0" wp14:anchorId="2E789682" wp14:editId="7A1058A9">
            <wp:extent cx="5998191" cy="3937903"/>
            <wp:effectExtent l="0" t="0" r="3175" b="0"/>
            <wp:docPr id="27" name="Picture 27" descr="Line graph showing herpes zoster (shingles) hospitalisation rates for the period 2010 to 2019, in selected jurisdictions (Northern Territory, Queensland, South Australia, Western Australia, New South Wales and Victoria). Rates were substantially lower in Aboriginal and Torres Strait Islander than other people during the 10 year perio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ne graph showing herpes zoster (shingles) hospitalisation rates for the period 2010 to 2019, in selected jurisdictions (Northern Territory, Queensland, South Australia, Western Australia, New South Wales and Victoria). Rates were substantially lower in Aboriginal and Torres Strait Islander than other people during the 10 year period. &#10;"/>
                    <pic:cNvPicPr>
                      <a:picLocks noChangeAspect="1" noChangeArrowheads="1"/>
                    </pic:cNvPicPr>
                  </pic:nvPicPr>
                  <pic:blipFill>
                    <a:blip r:link="rId30">
                      <a:extLst>
                        <a:ext uri="{28A0092B-C50C-407E-A947-70E740481C1C}">
                          <a14:useLocalDpi xmlns:a14="http://schemas.microsoft.com/office/drawing/2010/main" val="0"/>
                        </a:ext>
                      </a:extLst>
                    </a:blip>
                    <a:stretch>
                      <a:fillRect/>
                    </a:stretch>
                  </pic:blipFill>
                  <pic:spPr bwMode="auto">
                    <a:xfrm>
                      <a:off x="0" y="0"/>
                      <a:ext cx="6050757" cy="3972414"/>
                    </a:xfrm>
                    <a:prstGeom prst="rect">
                      <a:avLst/>
                    </a:prstGeom>
                  </pic:spPr>
                </pic:pic>
              </a:graphicData>
            </a:graphic>
          </wp:inline>
        </w:drawing>
      </w:r>
    </w:p>
    <w:p w14:paraId="73A3C64B" w14:textId="19AE3F2D" w:rsidR="00A350DD" w:rsidRPr="00834CDC" w:rsidRDefault="00A350DD" w:rsidP="00A350DD">
      <w:pPr>
        <w:pStyle w:val="CDIfootnotes"/>
        <w:divId w:val="1988506822"/>
      </w:pPr>
      <w:r w:rsidRPr="00834CDC">
        <w:t xml:space="preserve">a </w:t>
      </w:r>
      <w:r w:rsidRPr="00834CDC">
        <w:tab/>
        <w:t xml:space="preserve">States and territories with satisfactory data quality for the 2010–2019 period (refer to Appendix A): Northern Territory, Queensland, New South Wales, Victoria, South </w:t>
      </w:r>
      <w:proofErr w:type="gramStart"/>
      <w:r w:rsidRPr="00834CDC">
        <w:t>Australia</w:t>
      </w:r>
      <w:proofErr w:type="gramEnd"/>
      <w:r w:rsidRPr="00834CDC">
        <w:t xml:space="preserve"> and Western Australia. </w:t>
      </w:r>
    </w:p>
    <w:p w14:paraId="3803DD82" w14:textId="77777777" w:rsidR="00D24B47" w:rsidRDefault="00A350DD" w:rsidP="004E44A3">
      <w:pPr>
        <w:pStyle w:val="CDIfootnotes"/>
      </w:pPr>
      <w:r w:rsidRPr="00834CDC">
        <w:t xml:space="preserve">b </w:t>
      </w:r>
      <w:r w:rsidRPr="00834CDC">
        <w:tab/>
        <w:t>Hospital admissions where the date of admission was between 1 January 2010 and 30 June 2019. 2019 hospitalisation data were annualised</w:t>
      </w:r>
      <w:r w:rsidR="00D24B47">
        <w:t>.</w:t>
      </w:r>
    </w:p>
    <w:p w14:paraId="792AF487" w14:textId="77777777" w:rsidR="00D24B47" w:rsidRDefault="00D24B47" w:rsidP="004E44A3">
      <w:pPr>
        <w:pStyle w:val="CDIfootnotes"/>
      </w:pPr>
    </w:p>
    <w:p w14:paraId="21D80BB7" w14:textId="48E52FC6" w:rsidR="004E44A3" w:rsidRDefault="004E44A3" w:rsidP="004E44A3">
      <w:pPr>
        <w:pStyle w:val="CDIfootnotes"/>
      </w:pPr>
    </w:p>
    <w:p w14:paraId="1CCB843F" w14:textId="2A19CBC6" w:rsidR="0033445F" w:rsidRPr="00834CDC" w:rsidRDefault="0033445F" w:rsidP="00A350DD">
      <w:pPr>
        <w:pStyle w:val="Heading2"/>
        <w:divId w:val="1988506822"/>
      </w:pPr>
      <w:r w:rsidRPr="00834CDC">
        <w:t xml:space="preserve">Discussion </w:t>
      </w:r>
    </w:p>
    <w:p w14:paraId="469D1AE9" w14:textId="77777777" w:rsidR="0033445F" w:rsidRPr="00834CDC" w:rsidRDefault="0033445F" w:rsidP="0033445F">
      <w:pPr>
        <w:divId w:val="1988506822"/>
      </w:pPr>
      <w:r w:rsidRPr="00834CDC">
        <w:t>The all-age varicella hospitalisation rate in Aboriginal and Torres Strait Islander people has decreased by 67% since the national varicella immunisation program was introduced in 2005.</w:t>
      </w:r>
      <w:r w:rsidRPr="00834CDC">
        <w:rPr>
          <w:vertAlign w:val="superscript"/>
        </w:rPr>
        <w:t>3</w:t>
      </w:r>
      <w:r w:rsidRPr="00834CDC">
        <w:t xml:space="preserve"> Age-specific varicella hospitalisation rates were 53% lower in Aboriginal and Torres Strait Islander children aged &lt; 5 years in the 2016–2019 period than in the 2011–2015 period and were 43-44% lower in those aged 5–25 years,</w:t>
      </w:r>
      <w:r w:rsidRPr="00834CDC">
        <w:rPr>
          <w:vertAlign w:val="superscript"/>
        </w:rPr>
        <w:t>1</w:t>
      </w:r>
      <w:r w:rsidRPr="00834CDC">
        <w:t xml:space="preserve"> suggesting ongoing benefits of the vaccination program. In addition, congenital and neonatal varicella infections have been rare in recent years,</w:t>
      </w:r>
      <w:r w:rsidRPr="00834CDC">
        <w:rPr>
          <w:vertAlign w:val="superscript"/>
        </w:rPr>
        <w:t>1,218</w:t>
      </w:r>
      <w:r w:rsidRPr="00834CDC">
        <w:t xml:space="preserve"> </w:t>
      </w:r>
      <w:proofErr w:type="gramStart"/>
      <w:r w:rsidRPr="00834CDC">
        <w:t>likely reflecting</w:t>
      </w:r>
      <w:proofErr w:type="gramEnd"/>
      <w:r w:rsidRPr="00834CDC">
        <w:t xml:space="preserve"> a combination of direct and indirect (herd protection) effects of vaccination. </w:t>
      </w:r>
      <w:proofErr w:type="gramStart"/>
      <w:r w:rsidRPr="00834CDC">
        <w:t>Previous</w:t>
      </w:r>
      <w:proofErr w:type="gramEnd"/>
      <w:r w:rsidRPr="00834CDC">
        <w:t xml:space="preserve"> Australian studies have found that a single dose of varicella vaccine has relatively moderate effectiveness (65–82%) against hospitalisation,</w:t>
      </w:r>
      <w:r w:rsidRPr="00834CDC">
        <w:rPr>
          <w:vertAlign w:val="superscript"/>
        </w:rPr>
        <w:t>219,220</w:t>
      </w:r>
      <w:r w:rsidRPr="00834CDC">
        <w:t xml:space="preserve"> suggesting that a second dose of vaccine (currently recommended but not funded under the NIP)</w:t>
      </w:r>
      <w:r w:rsidRPr="00834CDC">
        <w:rPr>
          <w:vertAlign w:val="superscript"/>
        </w:rPr>
        <w:t>1</w:t>
      </w:r>
      <w:r w:rsidRPr="00834CDC">
        <w:t xml:space="preserve"> may be required to realise the full benefit of reductions in hospitalisation rates. </w:t>
      </w:r>
    </w:p>
    <w:p w14:paraId="141E3510" w14:textId="77777777" w:rsidR="0033445F" w:rsidRPr="00834CDC" w:rsidRDefault="0033445F" w:rsidP="0033445F">
      <w:pPr>
        <w:divId w:val="1988506822"/>
      </w:pPr>
      <w:r w:rsidRPr="00834CDC">
        <w:t xml:space="preserve">Whilst live attenuated zoster vaccine </w:t>
      </w:r>
      <w:proofErr w:type="gramStart"/>
      <w:r w:rsidRPr="00834CDC">
        <w:t>was recommended</w:t>
      </w:r>
      <w:proofErr w:type="gramEnd"/>
      <w:r w:rsidRPr="00834CDC">
        <w:t xml:space="preserve"> for use in 2009, and has been available on private prescriptions since 2013, it was not included on the NIP until 2016. Herpes zoster hospitalisation rates continued to rise until 2016 in both Aboriginal and Torres Strait Islander people and other people, but since then have started to decline. While we found the zoster hospitalisation rate to be lower in Aboriginal and Torres Strait Islander adults aged ≥ 50 years than in other adults, this may reflect the marked increase in incidence with increasing age within this single broad age group, and lower proportion of Aboriginal and Torres Strait Islander than other people within older </w:t>
      </w:r>
      <w:r w:rsidRPr="00834CDC">
        <w:lastRenderedPageBreak/>
        <w:t>age bands.</w:t>
      </w:r>
      <w:r w:rsidRPr="00834CDC">
        <w:rPr>
          <w:vertAlign w:val="superscript"/>
        </w:rPr>
        <w:t>221</w:t>
      </w:r>
      <w:r w:rsidRPr="00834CDC">
        <w:t xml:space="preserve"> A previous Australian study found that, in the 2007–2011 period, herpes zoster hospitalisation rates among Aboriginal and Torres Islander adults aged ≥ 70 years were similar to other adults, and were twofold higher among Aboriginal and Torres Strait Islander people in adults aged 60–69 years.</w:t>
      </w:r>
      <w:r w:rsidRPr="00834CDC">
        <w:rPr>
          <w:vertAlign w:val="superscript"/>
        </w:rPr>
        <w:t>222</w:t>
      </w:r>
      <w:r w:rsidRPr="00834CDC">
        <w:t xml:space="preserve"> Likewise, the lower all-age zoster hospitalisation rates in Aboriginal and Torres Strait Islander people in trend data likely reflect the population distribution skewed to younger ages, relative to the overall Australian population, given that the age-standardised rate for the 2016–2019 period was similar. </w:t>
      </w:r>
    </w:p>
    <w:p w14:paraId="65E6672D" w14:textId="77777777" w:rsidR="0033445F" w:rsidRPr="00834CDC" w:rsidRDefault="0033445F" w:rsidP="0033445F">
      <w:pPr>
        <w:divId w:val="1988506822"/>
      </w:pPr>
      <w:r w:rsidRPr="00834CDC">
        <w:t xml:space="preserve">There </w:t>
      </w:r>
      <w:proofErr w:type="gramStart"/>
      <w:r w:rsidRPr="00834CDC">
        <w:t>were</w:t>
      </w:r>
      <w:proofErr w:type="gramEnd"/>
      <w:r w:rsidRPr="00834CDC">
        <w:t xml:space="preserve"> substantially more zoster than varicella hospitalisations in the 2016–2019 period (fivefold more among Aboriginal and Torres Islander people and tenfold among other Australians). As a result, errors in hospital coding, </w:t>
      </w:r>
      <w:proofErr w:type="gramStart"/>
      <w:r w:rsidRPr="00834CDC">
        <w:t>e.g.</w:t>
      </w:r>
      <w:proofErr w:type="gramEnd"/>
      <w:r w:rsidRPr="00834CDC">
        <w:t xml:space="preserve"> assigning varicella instead of zoster codes, could have had a differential impact and could have contributed to the finding that varicella hospitalisation rates were highest in adults aged ≥ 50 years.</w:t>
      </w:r>
    </w:p>
    <w:p w14:paraId="2FF9D466" w14:textId="77777777" w:rsidR="00C77FB7" w:rsidRPr="00834CDC" w:rsidRDefault="00C77FB7">
      <w:pPr>
        <w:rPr>
          <w:rFonts w:asciiTheme="majorHAnsi" w:eastAsiaTheme="majorEastAsia" w:hAnsiTheme="majorHAnsi" w:cstheme="majorBidi"/>
          <w:b/>
          <w:bCs/>
          <w:sz w:val="32"/>
          <w:szCs w:val="28"/>
        </w:rPr>
      </w:pPr>
      <w:r w:rsidRPr="00834CDC">
        <w:br w:type="page"/>
      </w:r>
    </w:p>
    <w:p w14:paraId="393A9A40" w14:textId="63D9A773" w:rsidR="0033445F" w:rsidRPr="00834CDC" w:rsidRDefault="0033445F" w:rsidP="0033445F">
      <w:pPr>
        <w:pStyle w:val="Heading1"/>
        <w:divId w:val="1988506822"/>
      </w:pPr>
      <w:r w:rsidRPr="00834CDC">
        <w:lastRenderedPageBreak/>
        <w:t xml:space="preserve">14. Rare diseases </w:t>
      </w:r>
    </w:p>
    <w:p w14:paraId="183C6231" w14:textId="77777777" w:rsidR="0033445F" w:rsidRPr="00834CDC" w:rsidRDefault="0033445F" w:rsidP="0033445F">
      <w:pPr>
        <w:divId w:val="1988506822"/>
      </w:pPr>
      <w:r w:rsidRPr="00834CDC">
        <w:t xml:space="preserve">Four vaccine preventable diseases, now rare in Australia due to successful immunisation programs, are discussed together in this section: diphtheria, tetanus, </w:t>
      </w:r>
      <w:proofErr w:type="gramStart"/>
      <w:r w:rsidRPr="00834CDC">
        <w:t>poliomyelitis</w:t>
      </w:r>
      <w:proofErr w:type="gramEnd"/>
      <w:r w:rsidRPr="00834CDC">
        <w:t xml:space="preserve"> and rubella. Notification, </w:t>
      </w:r>
      <w:proofErr w:type="gramStart"/>
      <w:r w:rsidRPr="00834CDC">
        <w:t>hospitalisation</w:t>
      </w:r>
      <w:proofErr w:type="gramEnd"/>
      <w:r w:rsidRPr="00834CDC">
        <w:t xml:space="preserve"> and death data are presented for all diseases and states and territories for the 2016–2019 period. Refer to </w:t>
      </w:r>
      <w:r w:rsidRPr="00834CDC">
        <w:rPr>
          <w:rStyle w:val="Emphasis"/>
          <w:b w:val="0"/>
          <w:bCs w:val="0"/>
        </w:rPr>
        <w:t xml:space="preserve">Summary of National Surveillance Data on Vaccine Preventable Diseases in Australia, 2016–2018 </w:t>
      </w:r>
      <w:r w:rsidRPr="00834CDC">
        <w:t>for more detailed information on these diseases.</w:t>
      </w:r>
      <w:r w:rsidRPr="00834CDC">
        <w:rPr>
          <w:vertAlign w:val="superscript"/>
        </w:rPr>
        <w:t>223</w:t>
      </w:r>
      <w:r w:rsidRPr="00834CDC">
        <w:t xml:space="preserve"> </w:t>
      </w:r>
    </w:p>
    <w:p w14:paraId="2B2FF499" w14:textId="64F01856" w:rsidR="00863324" w:rsidRPr="00834CDC" w:rsidRDefault="0033445F" w:rsidP="00863324">
      <w:pPr>
        <w:pStyle w:val="Heading2"/>
        <w:divId w:val="1988506822"/>
      </w:pPr>
      <w:r w:rsidRPr="00834CDC">
        <w:t xml:space="preserve">Diphtheria </w:t>
      </w:r>
      <w:r w:rsidR="00863324" w:rsidRPr="00834CDC">
        <w:t xml:space="preserve">and </w:t>
      </w:r>
      <w:r w:rsidR="00D24B47">
        <w:t>t</w:t>
      </w:r>
      <w:r w:rsidR="00863324" w:rsidRPr="00834CDC">
        <w:t xml:space="preserve">etanus </w:t>
      </w:r>
    </w:p>
    <w:p w14:paraId="28425E3F" w14:textId="3595E48B" w:rsidR="0033445F" w:rsidRPr="00834CDC" w:rsidRDefault="00E214ED" w:rsidP="0033445F">
      <w:pPr>
        <w:pStyle w:val="Heading2"/>
        <w:divId w:val="1988506822"/>
      </w:pPr>
      <w:r w:rsidRPr="00834CDC">
        <w:rPr>
          <w:noProof/>
        </w:rPr>
        <mc:AlternateContent>
          <mc:Choice Requires="wps">
            <w:drawing>
              <wp:inline distT="0" distB="0" distL="0" distR="0" wp14:anchorId="526D7D04" wp14:editId="75B80CC8">
                <wp:extent cx="6625742" cy="1404620"/>
                <wp:effectExtent l="0" t="0" r="3810" b="635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1404620"/>
                        </a:xfrm>
                        <a:prstGeom prst="rect">
                          <a:avLst/>
                        </a:prstGeom>
                        <a:solidFill>
                          <a:srgbClr val="F7ECDD"/>
                        </a:solidFill>
                        <a:ln w="9525">
                          <a:noFill/>
                          <a:miter lim="800000"/>
                          <a:headEnd/>
                          <a:tailEnd/>
                        </a:ln>
                      </wps:spPr>
                      <wps:txbx>
                        <w:txbxContent>
                          <w:p w14:paraId="331DED15" w14:textId="77777777" w:rsidR="00E214ED" w:rsidRDefault="00E214ED" w:rsidP="00E214ED">
                            <w:pPr>
                              <w:pStyle w:val="Heading3"/>
                              <w:rPr>
                                <w:lang w:val="en-GB"/>
                              </w:rPr>
                            </w:pPr>
                            <w:r>
                              <w:rPr>
                                <w:lang w:val="en-GB"/>
                              </w:rPr>
                              <w:t>Relevant vaccine history</w:t>
                            </w:r>
                          </w:p>
                          <w:p w14:paraId="4DF3A91D" w14:textId="77777777" w:rsidR="00E214ED" w:rsidRDefault="00E214ED" w:rsidP="00E214ED">
                            <w:pPr>
                              <w:pStyle w:val="NormalWeb"/>
                              <w:spacing w:before="0" w:beforeAutospacing="0" w:after="0" w:afterAutospacing="0" w:line="240" w:lineRule="auto"/>
                              <w:rPr>
                                <w:lang w:val="en-GB"/>
                              </w:rPr>
                            </w:pPr>
                          </w:p>
                          <w:p w14:paraId="1E1D0510" w14:textId="725F52AD" w:rsidR="00E214ED" w:rsidRDefault="00E214ED" w:rsidP="00E214ED">
                            <w:pPr>
                              <w:pStyle w:val="NormalWeb"/>
                              <w:spacing w:before="0" w:beforeAutospacing="0" w:after="0" w:afterAutospacing="0" w:line="240" w:lineRule="auto"/>
                              <w:rPr>
                                <w:lang w:val="en-GB"/>
                              </w:rPr>
                            </w:pPr>
                            <w:r>
                              <w:rPr>
                                <w:lang w:val="en-GB"/>
                              </w:rPr>
                              <w:t>No difference in vaccination programs between Aboriginal and Torres Strait Islander and other people</w:t>
                            </w:r>
                          </w:p>
                          <w:p w14:paraId="1A98C8E2" w14:textId="77777777" w:rsidR="00E214ED" w:rsidRDefault="00E214ED" w:rsidP="00E214ED">
                            <w:pPr>
                              <w:pStyle w:val="NormalWeb"/>
                              <w:spacing w:before="0" w:beforeAutospacing="0" w:after="0" w:afterAutospacing="0" w:line="240" w:lineRule="auto"/>
                              <w:rPr>
                                <w:lang w:val="en-GB"/>
                              </w:rPr>
                            </w:pPr>
                          </w:p>
                          <w:p w14:paraId="5A5806C2" w14:textId="30CF450D" w:rsidR="00E214ED" w:rsidRPr="00E214ED" w:rsidRDefault="00E214ED" w:rsidP="00E214ED">
                            <w:pPr>
                              <w:pStyle w:val="NormalWeb"/>
                              <w:spacing w:before="0" w:beforeAutospacing="0" w:after="0" w:afterAutospacing="0" w:line="240" w:lineRule="auto"/>
                              <w:rPr>
                                <w:b/>
                                <w:bCs/>
                                <w:lang w:val="en-GB"/>
                              </w:rPr>
                            </w:pPr>
                            <w:r w:rsidRPr="00E214ED">
                              <w:rPr>
                                <w:b/>
                                <w:bCs/>
                                <w:lang w:val="en-GB"/>
                              </w:rPr>
                              <w:t>1932</w:t>
                            </w:r>
                          </w:p>
                          <w:p w14:paraId="7E083968" w14:textId="77777777" w:rsidR="00E214ED" w:rsidRDefault="00E214ED" w:rsidP="00E214ED">
                            <w:pPr>
                              <w:numPr>
                                <w:ilvl w:val="0"/>
                                <w:numId w:val="60"/>
                              </w:numPr>
                              <w:spacing w:after="0" w:line="240" w:lineRule="auto"/>
                              <w:rPr>
                                <w:rFonts w:eastAsia="Times New Roman"/>
                                <w:lang w:val="en-GB"/>
                              </w:rPr>
                            </w:pPr>
                            <w:r>
                              <w:rPr>
                                <w:rFonts w:eastAsia="Times New Roman"/>
                                <w:lang w:val="en-GB"/>
                              </w:rPr>
                              <w:t>School-based diphtheria vaccination programs commenced</w:t>
                            </w:r>
                          </w:p>
                          <w:p w14:paraId="1C8F516E"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1975</w:t>
                            </w:r>
                          </w:p>
                          <w:p w14:paraId="4133AC2C" w14:textId="57EFCA15" w:rsidR="00E214ED" w:rsidRDefault="00E214ED" w:rsidP="00E214ED">
                            <w:pPr>
                              <w:numPr>
                                <w:ilvl w:val="0"/>
                                <w:numId w:val="61"/>
                              </w:numPr>
                              <w:spacing w:after="0" w:line="240" w:lineRule="auto"/>
                              <w:rPr>
                                <w:rFonts w:eastAsia="Times New Roman"/>
                                <w:lang w:val="en-GB"/>
                              </w:rPr>
                            </w:pPr>
                            <w:r>
                              <w:rPr>
                                <w:rFonts w:eastAsia="Times New Roman"/>
                                <w:lang w:val="en-GB"/>
                              </w:rPr>
                              <w:t>First national vaccination schedule recommended and funded four DTPw</w:t>
                            </w:r>
                            <w:r w:rsidR="00C62BD8">
                              <w:rPr>
                                <w:rFonts w:eastAsia="Times New Roman"/>
                                <w:lang w:val="en-GB"/>
                              </w:rPr>
                              <w:t xml:space="preserve"> </w:t>
                            </w:r>
                            <w:r w:rsidRPr="00C62BD8">
                              <w:rPr>
                                <w:rFonts w:eastAsia="Times New Roman"/>
                                <w:vertAlign w:val="superscript"/>
                                <w:lang w:val="en-GB"/>
                              </w:rPr>
                              <w:t>i</w:t>
                            </w:r>
                            <w:r>
                              <w:rPr>
                                <w:rFonts w:eastAsia="Times New Roman"/>
                                <w:lang w:val="en-GB"/>
                              </w:rPr>
                              <w:t xml:space="preserve"> doses for infants at 3, 4, 5 and 18 months of age; booster doses of tetanus toxoid recommended every 5 years</w:t>
                            </w:r>
                          </w:p>
                          <w:p w14:paraId="7660EB33"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1978</w:t>
                            </w:r>
                          </w:p>
                          <w:p w14:paraId="7F2BEDD9" w14:textId="77777777" w:rsidR="00E214ED" w:rsidRDefault="00E214ED" w:rsidP="00E214ED">
                            <w:pPr>
                              <w:numPr>
                                <w:ilvl w:val="0"/>
                                <w:numId w:val="62"/>
                              </w:numPr>
                              <w:spacing w:after="0" w:line="240" w:lineRule="auto"/>
                              <w:rPr>
                                <w:rFonts w:eastAsia="Times New Roman"/>
                                <w:lang w:val="en-GB"/>
                              </w:rPr>
                            </w:pPr>
                            <w:r>
                              <w:rPr>
                                <w:rFonts w:eastAsia="Times New Roman"/>
                                <w:lang w:val="en-GB"/>
                              </w:rPr>
                              <w:t>4th dose removed from schedule (reinstated 1985)</w:t>
                            </w:r>
                          </w:p>
                          <w:p w14:paraId="53509471"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1982</w:t>
                            </w:r>
                          </w:p>
                          <w:p w14:paraId="555BA192" w14:textId="77777777" w:rsidR="00E214ED" w:rsidRDefault="00E214ED" w:rsidP="00E214ED">
                            <w:pPr>
                              <w:numPr>
                                <w:ilvl w:val="0"/>
                                <w:numId w:val="63"/>
                              </w:numPr>
                              <w:spacing w:after="0" w:line="240" w:lineRule="auto"/>
                              <w:rPr>
                                <w:rFonts w:eastAsia="Times New Roman"/>
                                <w:lang w:val="en-GB"/>
                              </w:rPr>
                            </w:pPr>
                            <w:r>
                              <w:rPr>
                                <w:rFonts w:eastAsia="Times New Roman"/>
                                <w:lang w:val="en-GB"/>
                              </w:rPr>
                              <w:t>Booster doses of tetanus toxoid recommended every 10 years (changed to dT from 1984)</w:t>
                            </w:r>
                          </w:p>
                          <w:p w14:paraId="375234CF"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1994</w:t>
                            </w:r>
                          </w:p>
                          <w:p w14:paraId="67C0A9B6" w14:textId="77777777" w:rsidR="00E214ED" w:rsidRDefault="00E214ED" w:rsidP="00E214ED">
                            <w:pPr>
                              <w:numPr>
                                <w:ilvl w:val="0"/>
                                <w:numId w:val="64"/>
                              </w:numPr>
                              <w:spacing w:after="0" w:line="240" w:lineRule="auto"/>
                              <w:rPr>
                                <w:rFonts w:eastAsia="Times New Roman"/>
                                <w:lang w:val="en-GB"/>
                              </w:rPr>
                            </w:pPr>
                            <w:r>
                              <w:rPr>
                                <w:rFonts w:eastAsia="Times New Roman"/>
                                <w:lang w:val="en-GB"/>
                              </w:rPr>
                              <w:t>Fifth dose added at 4–5 years of age</w:t>
                            </w:r>
                          </w:p>
                          <w:p w14:paraId="653B9404"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1999</w:t>
                            </w:r>
                          </w:p>
                          <w:p w14:paraId="39AA42AF" w14:textId="252864EB" w:rsidR="00E214ED" w:rsidRDefault="00E214ED" w:rsidP="00E214ED">
                            <w:pPr>
                              <w:numPr>
                                <w:ilvl w:val="0"/>
                                <w:numId w:val="65"/>
                              </w:numPr>
                              <w:spacing w:after="0" w:line="240" w:lineRule="auto"/>
                              <w:rPr>
                                <w:rFonts w:eastAsia="Times New Roman"/>
                                <w:lang w:val="en-GB"/>
                              </w:rPr>
                            </w:pPr>
                            <w:r>
                              <w:rPr>
                                <w:rFonts w:eastAsia="Times New Roman"/>
                                <w:lang w:val="en-GB"/>
                              </w:rPr>
                              <w:t>DTPa</w:t>
                            </w:r>
                            <w:r w:rsidR="00C62BD8">
                              <w:rPr>
                                <w:rFonts w:eastAsia="Times New Roman"/>
                                <w:lang w:val="en-GB"/>
                              </w:rPr>
                              <w:t xml:space="preserve"> </w:t>
                            </w:r>
                            <w:r w:rsidRPr="00C62BD8">
                              <w:rPr>
                                <w:rFonts w:eastAsia="Times New Roman"/>
                                <w:vertAlign w:val="superscript"/>
                                <w:lang w:val="en-GB"/>
                              </w:rPr>
                              <w:t>ii</w:t>
                            </w:r>
                            <w:r>
                              <w:rPr>
                                <w:rFonts w:eastAsia="Times New Roman"/>
                                <w:lang w:val="en-GB"/>
                              </w:rPr>
                              <w:t xml:space="preserve"> vaccine recommended and funded for all five childhood DTP doses</w:t>
                            </w:r>
                          </w:p>
                          <w:p w14:paraId="53CCF642"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2000</w:t>
                            </w:r>
                          </w:p>
                          <w:p w14:paraId="79103523" w14:textId="77777777" w:rsidR="00E214ED" w:rsidRDefault="00E214ED" w:rsidP="00E214ED">
                            <w:pPr>
                              <w:numPr>
                                <w:ilvl w:val="0"/>
                                <w:numId w:val="66"/>
                              </w:numPr>
                              <w:spacing w:after="0" w:line="240" w:lineRule="auto"/>
                              <w:rPr>
                                <w:rFonts w:eastAsia="Times New Roman"/>
                                <w:lang w:val="en-GB"/>
                              </w:rPr>
                            </w:pPr>
                            <w:r>
                              <w:rPr>
                                <w:rFonts w:eastAsia="Times New Roman"/>
                                <w:lang w:val="en-GB"/>
                              </w:rPr>
                              <w:t>A single dT booster dose recommended at 50 years of age (unless documented within the last 10 years), replacing the recommendation for dT booster doses every 10 years</w:t>
                            </w:r>
                          </w:p>
                          <w:p w14:paraId="7DD386E2"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2003</w:t>
                            </w:r>
                          </w:p>
                          <w:p w14:paraId="36EA8004" w14:textId="77777777" w:rsidR="00E214ED" w:rsidRDefault="00E214ED" w:rsidP="00E214ED">
                            <w:pPr>
                              <w:numPr>
                                <w:ilvl w:val="0"/>
                                <w:numId w:val="67"/>
                              </w:numPr>
                              <w:spacing w:after="0" w:line="240" w:lineRule="auto"/>
                              <w:rPr>
                                <w:rFonts w:eastAsia="Times New Roman"/>
                                <w:lang w:val="en-GB"/>
                              </w:rPr>
                            </w:pPr>
                            <w:r>
                              <w:rPr>
                                <w:rFonts w:eastAsia="Times New Roman"/>
                                <w:lang w:val="en-GB"/>
                              </w:rPr>
                              <w:t>18-month booster replaced by adolescent dose; the eligible age group varied by jurisdiction</w:t>
                            </w:r>
                          </w:p>
                          <w:p w14:paraId="5D3DF34A"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2008–2012</w:t>
                            </w:r>
                          </w:p>
                          <w:p w14:paraId="2CAB55EB" w14:textId="19B44452" w:rsidR="00E214ED" w:rsidRDefault="00E214ED" w:rsidP="00E214ED">
                            <w:pPr>
                              <w:numPr>
                                <w:ilvl w:val="0"/>
                                <w:numId w:val="68"/>
                              </w:numPr>
                              <w:spacing w:after="0" w:line="240" w:lineRule="auto"/>
                              <w:rPr>
                                <w:rFonts w:eastAsia="Times New Roman"/>
                                <w:lang w:val="en-GB"/>
                              </w:rPr>
                            </w:pPr>
                            <w:r>
                              <w:rPr>
                                <w:rFonts w:eastAsia="Times New Roman"/>
                                <w:lang w:val="en-GB"/>
                              </w:rPr>
                              <w:t>dTpa</w:t>
                            </w:r>
                            <w:r w:rsidR="00C62BD8">
                              <w:rPr>
                                <w:rFonts w:eastAsia="Times New Roman"/>
                                <w:lang w:val="en-GB"/>
                              </w:rPr>
                              <w:t xml:space="preserve"> </w:t>
                            </w:r>
                            <w:r w:rsidRPr="00C62BD8">
                              <w:rPr>
                                <w:rFonts w:eastAsia="Times New Roman"/>
                                <w:vertAlign w:val="superscript"/>
                                <w:lang w:val="en-GB"/>
                              </w:rPr>
                              <w:t>iii</w:t>
                            </w:r>
                            <w:r>
                              <w:rPr>
                                <w:rFonts w:eastAsia="Times New Roman"/>
                                <w:lang w:val="en-GB"/>
                              </w:rPr>
                              <w:t xml:space="preserve"> vaccine funded temporarily by various jurisdictions for parents/contacts of infants during pertussis epidemic. Program timing and eligibility criteria differed by jurisdiction</w:t>
                            </w:r>
                          </w:p>
                          <w:p w14:paraId="440BF1C3"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2015</w:t>
                            </w:r>
                          </w:p>
                          <w:p w14:paraId="19469411" w14:textId="77777777" w:rsidR="00E214ED" w:rsidRDefault="00E214ED" w:rsidP="00E214ED">
                            <w:pPr>
                              <w:numPr>
                                <w:ilvl w:val="0"/>
                                <w:numId w:val="69"/>
                              </w:numPr>
                              <w:spacing w:after="0" w:line="240" w:lineRule="auto"/>
                              <w:rPr>
                                <w:rFonts w:eastAsia="Times New Roman"/>
                                <w:lang w:val="en-GB"/>
                              </w:rPr>
                            </w:pPr>
                            <w:r>
                              <w:rPr>
                                <w:rFonts w:eastAsia="Times New Roman"/>
                                <w:lang w:val="en-GB"/>
                              </w:rPr>
                              <w:t>Booster dose of DTPa vaccine recommended at 18 months of age</w:t>
                            </w:r>
                          </w:p>
                          <w:p w14:paraId="43AB1BEE"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2016</w:t>
                            </w:r>
                          </w:p>
                          <w:p w14:paraId="165B4571" w14:textId="77777777" w:rsidR="00E214ED" w:rsidRDefault="00E214ED" w:rsidP="00E214ED">
                            <w:pPr>
                              <w:numPr>
                                <w:ilvl w:val="0"/>
                                <w:numId w:val="70"/>
                              </w:numPr>
                              <w:spacing w:after="0" w:line="240" w:lineRule="auto"/>
                              <w:rPr>
                                <w:rFonts w:eastAsia="Times New Roman"/>
                                <w:lang w:val="en-GB"/>
                              </w:rPr>
                            </w:pPr>
                            <w:r>
                              <w:rPr>
                                <w:rFonts w:eastAsia="Times New Roman"/>
                                <w:lang w:val="en-GB"/>
                              </w:rPr>
                              <w:t>Booster dose of DTPa funded at 18 months of age</w:t>
                            </w:r>
                          </w:p>
                          <w:p w14:paraId="4683BA92"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2017</w:t>
                            </w:r>
                          </w:p>
                          <w:p w14:paraId="4699478F" w14:textId="77777777" w:rsidR="00E214ED" w:rsidRDefault="00E214ED" w:rsidP="00E214ED">
                            <w:pPr>
                              <w:numPr>
                                <w:ilvl w:val="0"/>
                                <w:numId w:val="71"/>
                              </w:numPr>
                              <w:spacing w:after="0" w:line="240" w:lineRule="auto"/>
                              <w:rPr>
                                <w:rFonts w:eastAsia="Times New Roman"/>
                                <w:lang w:val="en-GB"/>
                              </w:rPr>
                            </w:pPr>
                            <w:r>
                              <w:rPr>
                                <w:rFonts w:eastAsia="Times New Roman"/>
                                <w:lang w:val="en-GB"/>
                              </w:rPr>
                              <w:t>Age for which one adult/adolescent formulation dTpa vaccine registered for use lowered from ≥ 10 years to 4 years of age</w:t>
                            </w:r>
                          </w:p>
                          <w:p w14:paraId="015B0E99"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2018</w:t>
                            </w:r>
                          </w:p>
                          <w:p w14:paraId="1D4BA84D" w14:textId="77777777" w:rsidR="00E214ED" w:rsidRDefault="00E214ED" w:rsidP="00E214ED">
                            <w:pPr>
                              <w:numPr>
                                <w:ilvl w:val="0"/>
                                <w:numId w:val="72"/>
                              </w:numPr>
                              <w:spacing w:after="0" w:line="240" w:lineRule="auto"/>
                              <w:rPr>
                                <w:rFonts w:eastAsia="Times New Roman"/>
                                <w:lang w:val="en-GB"/>
                              </w:rPr>
                            </w:pPr>
                            <w:r>
                              <w:rPr>
                                <w:rFonts w:eastAsia="Times New Roman"/>
                                <w:lang w:val="en-GB"/>
                              </w:rPr>
                              <w:t>dTpa funded under the NIP for all women during the third trimester of pregnancy</w:t>
                            </w:r>
                          </w:p>
                          <w:p w14:paraId="543C7E9E" w14:textId="2EDEC450" w:rsidR="00E214ED" w:rsidRDefault="00E214ED" w:rsidP="00E214ED">
                            <w:pPr>
                              <w:spacing w:after="0" w:line="240" w:lineRule="auto"/>
                            </w:pPr>
                          </w:p>
                        </w:txbxContent>
                      </wps:txbx>
                      <wps:bodyPr rot="0" vert="horz" wrap="square" lIns="91440" tIns="45720" rIns="91440" bIns="45720" anchor="t" anchorCtr="0">
                        <a:spAutoFit/>
                      </wps:bodyPr>
                    </wps:wsp>
                  </a:graphicData>
                </a:graphic>
              </wp:inline>
            </w:drawing>
          </mc:Choice>
          <mc:Fallback>
            <w:pict>
              <v:shape w14:anchorId="526D7D04" id="_x0000_s1039"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" fillcolor="#f7ecdd" stroked="f">
                <v:textbox style="mso-fit-shape-to-text:t">
                  <w:txbxContent>
                    <w:p w14:paraId="331DED15" w14:textId="77777777" w:rsidR="00E214ED" w:rsidRDefault="00E214ED" w:rsidP="00E214ED">
                      <w:pPr>
                        <w:pStyle w:val="Heading3"/>
                        <w:rPr>
                          <w:lang w:val="en-GB"/>
                        </w:rPr>
                      </w:pPr>
                      <w:r>
                        <w:rPr>
                          <w:lang w:val="en-GB"/>
                        </w:rPr>
                        <w:t>Relevant vaccine history</w:t>
                      </w:r>
                    </w:p>
                    <w:p w14:paraId="4DF3A91D" w14:textId="77777777" w:rsidR="00E214ED" w:rsidRDefault="00E214ED" w:rsidP="00E214ED">
                      <w:pPr>
                        <w:pStyle w:val="NormalWeb"/>
                        <w:spacing w:before="0" w:beforeAutospacing="0" w:after="0" w:afterAutospacing="0" w:line="240" w:lineRule="auto"/>
                        <w:rPr>
                          <w:lang w:val="en-GB"/>
                        </w:rPr>
                      </w:pPr>
                    </w:p>
                    <w:p w14:paraId="1E1D0510" w14:textId="725F52AD" w:rsidR="00E214ED" w:rsidRDefault="00E214ED" w:rsidP="00E214ED">
                      <w:pPr>
                        <w:pStyle w:val="NormalWeb"/>
                        <w:spacing w:before="0" w:beforeAutospacing="0" w:after="0" w:afterAutospacing="0" w:line="240" w:lineRule="auto"/>
                        <w:rPr>
                          <w:lang w:val="en-GB"/>
                        </w:rPr>
                      </w:pPr>
                      <w:r>
                        <w:rPr>
                          <w:lang w:val="en-GB"/>
                        </w:rPr>
                        <w:t>No difference in vaccination programs between Aboriginal and Torres Strait Islander and other people</w:t>
                      </w:r>
                    </w:p>
                    <w:p w14:paraId="1A98C8E2" w14:textId="77777777" w:rsidR="00E214ED" w:rsidRDefault="00E214ED" w:rsidP="00E214ED">
                      <w:pPr>
                        <w:pStyle w:val="NormalWeb"/>
                        <w:spacing w:before="0" w:beforeAutospacing="0" w:after="0" w:afterAutospacing="0" w:line="240" w:lineRule="auto"/>
                        <w:rPr>
                          <w:lang w:val="en-GB"/>
                        </w:rPr>
                      </w:pPr>
                    </w:p>
                    <w:p w14:paraId="5A5806C2" w14:textId="30CF450D" w:rsidR="00E214ED" w:rsidRPr="00E214ED" w:rsidRDefault="00E214ED" w:rsidP="00E214ED">
                      <w:pPr>
                        <w:pStyle w:val="NormalWeb"/>
                        <w:spacing w:before="0" w:beforeAutospacing="0" w:after="0" w:afterAutospacing="0" w:line="240" w:lineRule="auto"/>
                        <w:rPr>
                          <w:b/>
                          <w:bCs/>
                          <w:lang w:val="en-GB"/>
                        </w:rPr>
                      </w:pPr>
                      <w:r w:rsidRPr="00E214ED">
                        <w:rPr>
                          <w:b/>
                          <w:bCs/>
                          <w:lang w:val="en-GB"/>
                        </w:rPr>
                        <w:t>1932</w:t>
                      </w:r>
                    </w:p>
                    <w:p w14:paraId="7E083968" w14:textId="77777777" w:rsidR="00E214ED" w:rsidRDefault="00E214ED" w:rsidP="00E214ED">
                      <w:pPr>
                        <w:numPr>
                          <w:ilvl w:val="0"/>
                          <w:numId w:val="60"/>
                        </w:numPr>
                        <w:spacing w:after="0" w:line="240" w:lineRule="auto"/>
                        <w:rPr>
                          <w:rFonts w:eastAsia="Times New Roman"/>
                          <w:lang w:val="en-GB"/>
                        </w:rPr>
                      </w:pPr>
                      <w:r>
                        <w:rPr>
                          <w:rFonts w:eastAsia="Times New Roman"/>
                          <w:lang w:val="en-GB"/>
                        </w:rPr>
                        <w:t>School-based diphtheria vaccination programs commenced</w:t>
                      </w:r>
                    </w:p>
                    <w:p w14:paraId="1C8F516E"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1975</w:t>
                      </w:r>
                    </w:p>
                    <w:p w14:paraId="4133AC2C" w14:textId="57EFCA15" w:rsidR="00E214ED" w:rsidRDefault="00E214ED" w:rsidP="00E214ED">
                      <w:pPr>
                        <w:numPr>
                          <w:ilvl w:val="0"/>
                          <w:numId w:val="61"/>
                        </w:numPr>
                        <w:spacing w:after="0" w:line="240" w:lineRule="auto"/>
                        <w:rPr>
                          <w:rFonts w:eastAsia="Times New Roman"/>
                          <w:lang w:val="en-GB"/>
                        </w:rPr>
                      </w:pPr>
                      <w:r>
                        <w:rPr>
                          <w:rFonts w:eastAsia="Times New Roman"/>
                          <w:lang w:val="en-GB"/>
                        </w:rPr>
                        <w:t>First national vaccination schedule recommended and funded four DTPw</w:t>
                      </w:r>
                      <w:r w:rsidR="00C62BD8">
                        <w:rPr>
                          <w:rFonts w:eastAsia="Times New Roman"/>
                          <w:lang w:val="en-GB"/>
                        </w:rPr>
                        <w:t xml:space="preserve"> </w:t>
                      </w:r>
                      <w:r w:rsidRPr="00C62BD8">
                        <w:rPr>
                          <w:rFonts w:eastAsia="Times New Roman"/>
                          <w:vertAlign w:val="superscript"/>
                          <w:lang w:val="en-GB"/>
                        </w:rPr>
                        <w:t>i</w:t>
                      </w:r>
                      <w:r>
                        <w:rPr>
                          <w:rFonts w:eastAsia="Times New Roman"/>
                          <w:lang w:val="en-GB"/>
                        </w:rPr>
                        <w:t xml:space="preserve"> doses for infants at 3, 4, 5 and 18 months of age; booster doses of tetanus toxoid recommended every 5 years</w:t>
                      </w:r>
                    </w:p>
                    <w:p w14:paraId="7660EB33"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1978</w:t>
                      </w:r>
                    </w:p>
                    <w:p w14:paraId="7F2BEDD9" w14:textId="77777777" w:rsidR="00E214ED" w:rsidRDefault="00E214ED" w:rsidP="00E214ED">
                      <w:pPr>
                        <w:numPr>
                          <w:ilvl w:val="0"/>
                          <w:numId w:val="62"/>
                        </w:numPr>
                        <w:spacing w:after="0" w:line="240" w:lineRule="auto"/>
                        <w:rPr>
                          <w:rFonts w:eastAsia="Times New Roman"/>
                          <w:lang w:val="en-GB"/>
                        </w:rPr>
                      </w:pPr>
                      <w:r>
                        <w:rPr>
                          <w:rFonts w:eastAsia="Times New Roman"/>
                          <w:lang w:val="en-GB"/>
                        </w:rPr>
                        <w:t>4th dose removed from schedule (reinstated 1985)</w:t>
                      </w:r>
                    </w:p>
                    <w:p w14:paraId="53509471"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1982</w:t>
                      </w:r>
                    </w:p>
                    <w:p w14:paraId="555BA192" w14:textId="77777777" w:rsidR="00E214ED" w:rsidRDefault="00E214ED" w:rsidP="00E214ED">
                      <w:pPr>
                        <w:numPr>
                          <w:ilvl w:val="0"/>
                          <w:numId w:val="63"/>
                        </w:numPr>
                        <w:spacing w:after="0" w:line="240" w:lineRule="auto"/>
                        <w:rPr>
                          <w:rFonts w:eastAsia="Times New Roman"/>
                          <w:lang w:val="en-GB"/>
                        </w:rPr>
                      </w:pPr>
                      <w:r>
                        <w:rPr>
                          <w:rFonts w:eastAsia="Times New Roman"/>
                          <w:lang w:val="en-GB"/>
                        </w:rPr>
                        <w:t>Booster doses of tetanus toxoid recommended every 10 years (changed to dT from 1984)</w:t>
                      </w:r>
                    </w:p>
                    <w:p w14:paraId="375234CF"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1994</w:t>
                      </w:r>
                    </w:p>
                    <w:p w14:paraId="67C0A9B6" w14:textId="77777777" w:rsidR="00E214ED" w:rsidRDefault="00E214ED" w:rsidP="00E214ED">
                      <w:pPr>
                        <w:numPr>
                          <w:ilvl w:val="0"/>
                          <w:numId w:val="64"/>
                        </w:numPr>
                        <w:spacing w:after="0" w:line="240" w:lineRule="auto"/>
                        <w:rPr>
                          <w:rFonts w:eastAsia="Times New Roman"/>
                          <w:lang w:val="en-GB"/>
                        </w:rPr>
                      </w:pPr>
                      <w:r>
                        <w:rPr>
                          <w:rFonts w:eastAsia="Times New Roman"/>
                          <w:lang w:val="en-GB"/>
                        </w:rPr>
                        <w:t>Fifth dose added at 4–5 years of age</w:t>
                      </w:r>
                    </w:p>
                    <w:p w14:paraId="653B9404"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1999</w:t>
                      </w:r>
                    </w:p>
                    <w:p w14:paraId="39AA42AF" w14:textId="252864EB" w:rsidR="00E214ED" w:rsidRDefault="00E214ED" w:rsidP="00E214ED">
                      <w:pPr>
                        <w:numPr>
                          <w:ilvl w:val="0"/>
                          <w:numId w:val="65"/>
                        </w:numPr>
                        <w:spacing w:after="0" w:line="240" w:lineRule="auto"/>
                        <w:rPr>
                          <w:rFonts w:eastAsia="Times New Roman"/>
                          <w:lang w:val="en-GB"/>
                        </w:rPr>
                      </w:pPr>
                      <w:r>
                        <w:rPr>
                          <w:rFonts w:eastAsia="Times New Roman"/>
                          <w:lang w:val="en-GB"/>
                        </w:rPr>
                        <w:t>DTPa</w:t>
                      </w:r>
                      <w:r w:rsidR="00C62BD8">
                        <w:rPr>
                          <w:rFonts w:eastAsia="Times New Roman"/>
                          <w:lang w:val="en-GB"/>
                        </w:rPr>
                        <w:t xml:space="preserve"> </w:t>
                      </w:r>
                      <w:r w:rsidRPr="00C62BD8">
                        <w:rPr>
                          <w:rFonts w:eastAsia="Times New Roman"/>
                          <w:vertAlign w:val="superscript"/>
                          <w:lang w:val="en-GB"/>
                        </w:rPr>
                        <w:t>ii</w:t>
                      </w:r>
                      <w:r>
                        <w:rPr>
                          <w:rFonts w:eastAsia="Times New Roman"/>
                          <w:lang w:val="en-GB"/>
                        </w:rPr>
                        <w:t xml:space="preserve"> vaccine recommended and funded for all five childhood DTP doses</w:t>
                      </w:r>
                    </w:p>
                    <w:p w14:paraId="53CCF642"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2000</w:t>
                      </w:r>
                    </w:p>
                    <w:p w14:paraId="79103523" w14:textId="77777777" w:rsidR="00E214ED" w:rsidRDefault="00E214ED" w:rsidP="00E214ED">
                      <w:pPr>
                        <w:numPr>
                          <w:ilvl w:val="0"/>
                          <w:numId w:val="66"/>
                        </w:numPr>
                        <w:spacing w:after="0" w:line="240" w:lineRule="auto"/>
                        <w:rPr>
                          <w:rFonts w:eastAsia="Times New Roman"/>
                          <w:lang w:val="en-GB"/>
                        </w:rPr>
                      </w:pPr>
                      <w:r>
                        <w:rPr>
                          <w:rFonts w:eastAsia="Times New Roman"/>
                          <w:lang w:val="en-GB"/>
                        </w:rPr>
                        <w:t>A single dT booster dose recommended at 50 years of age (unless documented within the last 10 years), replacing the recommendation for dT booster doses every 10 years</w:t>
                      </w:r>
                    </w:p>
                    <w:p w14:paraId="7DD386E2"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2003</w:t>
                      </w:r>
                    </w:p>
                    <w:p w14:paraId="36EA8004" w14:textId="77777777" w:rsidR="00E214ED" w:rsidRDefault="00E214ED" w:rsidP="00E214ED">
                      <w:pPr>
                        <w:numPr>
                          <w:ilvl w:val="0"/>
                          <w:numId w:val="67"/>
                        </w:numPr>
                        <w:spacing w:after="0" w:line="240" w:lineRule="auto"/>
                        <w:rPr>
                          <w:rFonts w:eastAsia="Times New Roman"/>
                          <w:lang w:val="en-GB"/>
                        </w:rPr>
                      </w:pPr>
                      <w:r>
                        <w:rPr>
                          <w:rFonts w:eastAsia="Times New Roman"/>
                          <w:lang w:val="en-GB"/>
                        </w:rPr>
                        <w:t>18-month booster replaced by adolescent dose; the eligible age group varied by jurisdiction</w:t>
                      </w:r>
                    </w:p>
                    <w:p w14:paraId="5D3DF34A"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2008–2012</w:t>
                      </w:r>
                    </w:p>
                    <w:p w14:paraId="2CAB55EB" w14:textId="19B44452" w:rsidR="00E214ED" w:rsidRDefault="00E214ED" w:rsidP="00E214ED">
                      <w:pPr>
                        <w:numPr>
                          <w:ilvl w:val="0"/>
                          <w:numId w:val="68"/>
                        </w:numPr>
                        <w:spacing w:after="0" w:line="240" w:lineRule="auto"/>
                        <w:rPr>
                          <w:rFonts w:eastAsia="Times New Roman"/>
                          <w:lang w:val="en-GB"/>
                        </w:rPr>
                      </w:pPr>
                      <w:r>
                        <w:rPr>
                          <w:rFonts w:eastAsia="Times New Roman"/>
                          <w:lang w:val="en-GB"/>
                        </w:rPr>
                        <w:t>dTpa</w:t>
                      </w:r>
                      <w:r w:rsidR="00C62BD8">
                        <w:rPr>
                          <w:rFonts w:eastAsia="Times New Roman"/>
                          <w:lang w:val="en-GB"/>
                        </w:rPr>
                        <w:t xml:space="preserve"> </w:t>
                      </w:r>
                      <w:r w:rsidRPr="00C62BD8">
                        <w:rPr>
                          <w:rFonts w:eastAsia="Times New Roman"/>
                          <w:vertAlign w:val="superscript"/>
                          <w:lang w:val="en-GB"/>
                        </w:rPr>
                        <w:t>iii</w:t>
                      </w:r>
                      <w:r>
                        <w:rPr>
                          <w:rFonts w:eastAsia="Times New Roman"/>
                          <w:lang w:val="en-GB"/>
                        </w:rPr>
                        <w:t xml:space="preserve"> vaccine funded temporarily by various jurisdictions for parents/contacts of infants during pertussis epidemic. Program timing and eligibility criteria differed by jurisdiction</w:t>
                      </w:r>
                    </w:p>
                    <w:p w14:paraId="440BF1C3"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2015</w:t>
                      </w:r>
                    </w:p>
                    <w:p w14:paraId="19469411" w14:textId="77777777" w:rsidR="00E214ED" w:rsidRDefault="00E214ED" w:rsidP="00E214ED">
                      <w:pPr>
                        <w:numPr>
                          <w:ilvl w:val="0"/>
                          <w:numId w:val="69"/>
                        </w:numPr>
                        <w:spacing w:after="0" w:line="240" w:lineRule="auto"/>
                        <w:rPr>
                          <w:rFonts w:eastAsia="Times New Roman"/>
                          <w:lang w:val="en-GB"/>
                        </w:rPr>
                      </w:pPr>
                      <w:r>
                        <w:rPr>
                          <w:rFonts w:eastAsia="Times New Roman"/>
                          <w:lang w:val="en-GB"/>
                        </w:rPr>
                        <w:t>Booster dose of DTPa vaccine recommended at 18 months of age</w:t>
                      </w:r>
                    </w:p>
                    <w:p w14:paraId="43AB1BEE"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2016</w:t>
                      </w:r>
                    </w:p>
                    <w:p w14:paraId="165B4571" w14:textId="77777777" w:rsidR="00E214ED" w:rsidRDefault="00E214ED" w:rsidP="00E214ED">
                      <w:pPr>
                        <w:numPr>
                          <w:ilvl w:val="0"/>
                          <w:numId w:val="70"/>
                        </w:numPr>
                        <w:spacing w:after="0" w:line="240" w:lineRule="auto"/>
                        <w:rPr>
                          <w:rFonts w:eastAsia="Times New Roman"/>
                          <w:lang w:val="en-GB"/>
                        </w:rPr>
                      </w:pPr>
                      <w:r>
                        <w:rPr>
                          <w:rFonts w:eastAsia="Times New Roman"/>
                          <w:lang w:val="en-GB"/>
                        </w:rPr>
                        <w:t>Booster dose of DTPa funded at 18 months of age</w:t>
                      </w:r>
                    </w:p>
                    <w:p w14:paraId="4683BA92"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2017</w:t>
                      </w:r>
                    </w:p>
                    <w:p w14:paraId="4699478F" w14:textId="77777777" w:rsidR="00E214ED" w:rsidRDefault="00E214ED" w:rsidP="00E214ED">
                      <w:pPr>
                        <w:numPr>
                          <w:ilvl w:val="0"/>
                          <w:numId w:val="71"/>
                        </w:numPr>
                        <w:spacing w:after="0" w:line="240" w:lineRule="auto"/>
                        <w:rPr>
                          <w:rFonts w:eastAsia="Times New Roman"/>
                          <w:lang w:val="en-GB"/>
                        </w:rPr>
                      </w:pPr>
                      <w:r>
                        <w:rPr>
                          <w:rFonts w:eastAsia="Times New Roman"/>
                          <w:lang w:val="en-GB"/>
                        </w:rPr>
                        <w:t>Age for which one adult/adolescent formulation dTpa vaccine registered for use lowered from ≥ 10 years to 4 years of age</w:t>
                      </w:r>
                    </w:p>
                    <w:p w14:paraId="015B0E99" w14:textId="77777777" w:rsidR="00E214ED" w:rsidRPr="00E214ED" w:rsidRDefault="00E214ED" w:rsidP="00E214ED">
                      <w:pPr>
                        <w:pStyle w:val="NormalWeb"/>
                        <w:spacing w:before="0" w:beforeAutospacing="0" w:after="0" w:afterAutospacing="0" w:line="240" w:lineRule="auto"/>
                        <w:rPr>
                          <w:b/>
                          <w:bCs/>
                          <w:lang w:val="en-GB"/>
                        </w:rPr>
                      </w:pPr>
                      <w:r w:rsidRPr="00E214ED">
                        <w:rPr>
                          <w:b/>
                          <w:bCs/>
                          <w:lang w:val="en-GB"/>
                        </w:rPr>
                        <w:t>2018</w:t>
                      </w:r>
                    </w:p>
                    <w:p w14:paraId="1D4BA84D" w14:textId="77777777" w:rsidR="00E214ED" w:rsidRDefault="00E214ED" w:rsidP="00E214ED">
                      <w:pPr>
                        <w:numPr>
                          <w:ilvl w:val="0"/>
                          <w:numId w:val="72"/>
                        </w:numPr>
                        <w:spacing w:after="0" w:line="240" w:lineRule="auto"/>
                        <w:rPr>
                          <w:rFonts w:eastAsia="Times New Roman"/>
                          <w:lang w:val="en-GB"/>
                        </w:rPr>
                      </w:pPr>
                      <w:r>
                        <w:rPr>
                          <w:rFonts w:eastAsia="Times New Roman"/>
                          <w:lang w:val="en-GB"/>
                        </w:rPr>
                        <w:t>dTpa funded under the NIP for all women during the third trimester of pregnancy</w:t>
                      </w:r>
                    </w:p>
                    <w:p w14:paraId="543C7E9E" w14:textId="2EDEC450" w:rsidR="00E214ED" w:rsidRDefault="00E214ED" w:rsidP="00E214ED">
                      <w:pPr>
                        <w:spacing w:after="0" w:line="240" w:lineRule="auto"/>
                      </w:pPr>
                    </w:p>
                  </w:txbxContent>
                </v:textbox>
                <w10:anchorlock/>
              </v:shape>
            </w:pict>
          </mc:Fallback>
        </mc:AlternateContent>
      </w:r>
    </w:p>
    <w:p w14:paraId="0C8D639E" w14:textId="77777777" w:rsidR="00170857" w:rsidRPr="00834CDC" w:rsidRDefault="00170857" w:rsidP="00170857">
      <w:pPr>
        <w:pStyle w:val="CDIfootnotes"/>
        <w:divId w:val="1988506822"/>
      </w:pPr>
      <w:proofErr w:type="spellStart"/>
      <w:r w:rsidRPr="00834CDC">
        <w:t>i</w:t>
      </w:r>
      <w:proofErr w:type="spellEnd"/>
      <w:r w:rsidRPr="00834CDC">
        <w:tab/>
      </w:r>
      <w:proofErr w:type="spellStart"/>
      <w:r w:rsidRPr="00834CDC">
        <w:t>DTPw</w:t>
      </w:r>
      <w:proofErr w:type="spellEnd"/>
      <w:r w:rsidRPr="00834CDC">
        <w:t>: Diphtheria-tetanus-pertussis (whole-cell).</w:t>
      </w:r>
    </w:p>
    <w:p w14:paraId="27335F12" w14:textId="77777777" w:rsidR="00170857" w:rsidRPr="00834CDC" w:rsidRDefault="00170857" w:rsidP="00170857">
      <w:pPr>
        <w:pStyle w:val="CDIfootnotes"/>
        <w:divId w:val="1988506822"/>
      </w:pPr>
      <w:r w:rsidRPr="00834CDC">
        <w:t>ii</w:t>
      </w:r>
      <w:r w:rsidRPr="00834CDC">
        <w:tab/>
      </w:r>
      <w:proofErr w:type="spellStart"/>
      <w:r w:rsidRPr="00834CDC">
        <w:t>DTPa</w:t>
      </w:r>
      <w:proofErr w:type="spellEnd"/>
      <w:r w:rsidRPr="00834CDC">
        <w:t>: Diphtheria-tetanus-pertussis (acellular).</w:t>
      </w:r>
    </w:p>
    <w:p w14:paraId="78D2F1A1" w14:textId="77777777" w:rsidR="00170857" w:rsidRPr="00834CDC" w:rsidRDefault="00170857" w:rsidP="00170857">
      <w:pPr>
        <w:pStyle w:val="CDIfootnotes"/>
        <w:divId w:val="1988506822"/>
      </w:pPr>
      <w:r w:rsidRPr="00834CDC">
        <w:t>iii</w:t>
      </w:r>
      <w:r w:rsidRPr="00834CDC">
        <w:tab/>
      </w:r>
      <w:proofErr w:type="spellStart"/>
      <w:r w:rsidRPr="00834CDC">
        <w:t>dTpa</w:t>
      </w:r>
      <w:proofErr w:type="spellEnd"/>
      <w:r w:rsidRPr="00834CDC">
        <w:t>: Adolescent/adult diphtheria- tetanus-pertussis (acellular).</w:t>
      </w:r>
    </w:p>
    <w:p w14:paraId="03970CA3" w14:textId="77777777" w:rsidR="000E0AAE" w:rsidRPr="00834CDC" w:rsidRDefault="000E0AAE" w:rsidP="0033445F">
      <w:pPr>
        <w:divId w:val="1988506822"/>
      </w:pPr>
    </w:p>
    <w:p w14:paraId="4290B2B7" w14:textId="4424F950" w:rsidR="000E0AAE" w:rsidRPr="00834CDC" w:rsidRDefault="000E0AAE" w:rsidP="000E0AAE">
      <w:pPr>
        <w:pStyle w:val="Heading2"/>
        <w:divId w:val="1988506822"/>
      </w:pPr>
      <w:r w:rsidRPr="00834CDC">
        <w:lastRenderedPageBreak/>
        <w:t>Diphtheria</w:t>
      </w:r>
    </w:p>
    <w:p w14:paraId="1526609E" w14:textId="54CC7426" w:rsidR="0033445F" w:rsidRPr="00834CDC" w:rsidRDefault="0033445F" w:rsidP="0033445F">
      <w:pPr>
        <w:divId w:val="1988506822"/>
      </w:pPr>
      <w:r w:rsidRPr="00834CDC">
        <w:t xml:space="preserve">Diphtheria is an acute pharyngeal or cutaneous infection caused by toxigenic strains of the bacteria </w:t>
      </w:r>
      <w:r w:rsidRPr="00834CDC">
        <w:rPr>
          <w:rStyle w:val="Emphasis"/>
          <w:b w:val="0"/>
          <w:bCs w:val="0"/>
        </w:rPr>
        <w:t xml:space="preserve">Corynebacterium diphtheriae, C. </w:t>
      </w:r>
      <w:proofErr w:type="spellStart"/>
      <w:r w:rsidRPr="00834CDC">
        <w:rPr>
          <w:rStyle w:val="Emphasis"/>
          <w:b w:val="0"/>
          <w:bCs w:val="0"/>
        </w:rPr>
        <w:t>ulcerans</w:t>
      </w:r>
      <w:proofErr w:type="spellEnd"/>
      <w:r w:rsidRPr="00834CDC">
        <w:rPr>
          <w:rStyle w:val="Emphasis"/>
          <w:b w:val="0"/>
          <w:bCs w:val="0"/>
        </w:rPr>
        <w:t xml:space="preserve"> </w:t>
      </w:r>
      <w:r w:rsidRPr="00834CDC">
        <w:t xml:space="preserve">and (rarely) </w:t>
      </w:r>
      <w:r w:rsidRPr="00834CDC">
        <w:rPr>
          <w:rStyle w:val="Emphasis"/>
          <w:b w:val="0"/>
          <w:bCs w:val="0"/>
        </w:rPr>
        <w:t>C. pseudotuberculosis</w:t>
      </w:r>
      <w:r w:rsidRPr="00834CDC">
        <w:t>. The major concern with diphtheria infection is fatal acute respiratory obstruction. Diphtheria infection can also occur in skin lesions, particularly in warm climates and under conditions of poor hygiene.</w:t>
      </w:r>
      <w:r w:rsidRPr="00834CDC">
        <w:rPr>
          <w:vertAlign w:val="superscript"/>
        </w:rPr>
        <w:t>224</w:t>
      </w:r>
      <w:r w:rsidRPr="00834CDC">
        <w:t xml:space="preserve"> The severe symptoms of diphtheria are associated with a toxin produced by the organism. Non-toxigenic forms can cause mild respiratory and skin</w:t>
      </w:r>
      <w:r w:rsidR="0090652E" w:rsidRPr="00834CDC">
        <w:t> </w:t>
      </w:r>
      <w:r w:rsidRPr="00834CDC">
        <w:t xml:space="preserve">infections. </w:t>
      </w:r>
    </w:p>
    <w:p w14:paraId="7C555D0B" w14:textId="77777777" w:rsidR="0033445F" w:rsidRPr="00834CDC" w:rsidRDefault="0033445F" w:rsidP="0033445F">
      <w:pPr>
        <w:divId w:val="1988506822"/>
      </w:pPr>
      <w:r w:rsidRPr="00834CDC">
        <w:t xml:space="preserve">There were 34 diphtheria notifications during the 2016–2019 period, with three recorded as being in Aboriginal and Torres Strait Islander people, all in adults aged ≥ 25 years (Table 23). </w:t>
      </w:r>
    </w:p>
    <w:p w14:paraId="71DF726B" w14:textId="69E28F9B" w:rsidR="0033445F" w:rsidRPr="00834CDC" w:rsidRDefault="0033445F" w:rsidP="0033445F">
      <w:pPr>
        <w:divId w:val="1988506822"/>
      </w:pPr>
      <w:r w:rsidRPr="00834CDC">
        <w:t xml:space="preserve">There were </w:t>
      </w:r>
      <w:proofErr w:type="gramStart"/>
      <w:r w:rsidRPr="00834CDC">
        <w:t>52</w:t>
      </w:r>
      <w:proofErr w:type="gramEnd"/>
      <w:r w:rsidRPr="00834CDC">
        <w:t xml:space="preserve"> diphtheria hospital admissions during the 2016–2019 period, with six (11.5%) recorded as being in Aboriginal and Torres Strait Islander people (Table 24). The highest age-specific diphtheria hospitalisation rate was in Aboriginal and Torres Strait Islander children aged &lt; 5 years, though based on small numbers (0.6 per 100,000 per year; RR versus other children: 31.4; 95% CI: 1.6-1852.8). Given that there were no diphtheria notifications in children aged &lt; 5 years, the hospitalisations in this age group may </w:t>
      </w:r>
      <w:proofErr w:type="gramStart"/>
      <w:r w:rsidRPr="00834CDC">
        <w:t>represent</w:t>
      </w:r>
      <w:proofErr w:type="gramEnd"/>
      <w:r w:rsidRPr="00834CDC">
        <w:t xml:space="preserve"> non-toxigenic cases or coding errors. Only infection with toxigenic diphtheria is notifiable, with notifications regarded as the most reliable source of data, due to routine public health follow-up of laboratory notifications of toxigenic isolates. Between one and five deaths</w:t>
      </w:r>
      <w:r w:rsidR="00D24B47">
        <w:t xml:space="preserve"> </w:t>
      </w:r>
      <w:r w:rsidRPr="00834CDC">
        <w:rPr>
          <w:vertAlign w:val="superscript"/>
        </w:rPr>
        <w:t>iv</w:t>
      </w:r>
      <w:r w:rsidRPr="00834CDC">
        <w:t xml:space="preserve"> </w:t>
      </w:r>
      <w:proofErr w:type="gramStart"/>
      <w:r w:rsidRPr="00834CDC">
        <w:t>were recorded</w:t>
      </w:r>
      <w:proofErr w:type="gramEnd"/>
      <w:r w:rsidRPr="00834CDC">
        <w:t xml:space="preserve"> in the 2016–2019 period with diphtheria recorded as underlying or associated cause. </w:t>
      </w:r>
    </w:p>
    <w:p w14:paraId="243563CA" w14:textId="232FF96A" w:rsidR="0033445F" w:rsidRPr="00834CDC" w:rsidRDefault="0033445F" w:rsidP="0033445F">
      <w:pPr>
        <w:divId w:val="1988506822"/>
        <w:rPr>
          <w:vertAlign w:val="superscript"/>
        </w:rPr>
      </w:pPr>
      <w:r w:rsidRPr="00834CDC">
        <w:t>Diphtheria has become rare in Australia due to longstanding immunisation programs. However, sporadic cases of serious infection due to toxigenic diphtheria still occur in unvaccinated individuals, and there were three times as many notifications in the 2016–2019 period as in the 2011–2015 period.</w:t>
      </w:r>
      <w:r w:rsidRPr="00834CDC">
        <w:rPr>
          <w:vertAlign w:val="superscript"/>
        </w:rPr>
        <w:t>1</w:t>
      </w:r>
      <w:r w:rsidRPr="00834CDC">
        <w:t xml:space="preserve"> Cases in the 2016–2019 period were predominantly in adults, reflecting a long-standing epidemiological shift from children to adults, also seen in other developed countries, likely due to a combination of waning post-vaccination immunity and lower historical childhood immunisation coverage.</w:t>
      </w:r>
      <w:r w:rsidRPr="00834CDC">
        <w:rPr>
          <w:vertAlign w:val="superscript"/>
        </w:rPr>
        <w:t>225</w:t>
      </w:r>
      <w:r w:rsidRPr="00834CDC">
        <w:t xml:space="preserve"> It is important that all individuals remain up-to-date with diphtheria vaccine, particularly travellers as the majority of Australian cases are now acquired overseas.</w:t>
      </w:r>
      <w:r w:rsidRPr="00834CDC">
        <w:rPr>
          <w:vertAlign w:val="superscript"/>
        </w:rPr>
        <w:t>225</w:t>
      </w:r>
    </w:p>
    <w:p w14:paraId="02801A7F" w14:textId="07853C74" w:rsidR="00F318F5" w:rsidRPr="00834CDC" w:rsidRDefault="00F318F5" w:rsidP="0033445F">
      <w:pPr>
        <w:divId w:val="1988506822"/>
        <w:rPr>
          <w:vertAlign w:val="superscript"/>
        </w:rPr>
      </w:pPr>
    </w:p>
    <w:p w14:paraId="1D6CD81B" w14:textId="73AB437C" w:rsidR="00F318F5" w:rsidRPr="00834CDC" w:rsidRDefault="00F318F5" w:rsidP="0033445F">
      <w:pPr>
        <w:divId w:val="1988506822"/>
        <w:rPr>
          <w:vertAlign w:val="superscript"/>
        </w:rPr>
      </w:pPr>
    </w:p>
    <w:p w14:paraId="0C48EC24" w14:textId="6497D527" w:rsidR="00F318F5" w:rsidRPr="00834CDC" w:rsidRDefault="00F318F5" w:rsidP="0033445F">
      <w:pPr>
        <w:divId w:val="1988506822"/>
        <w:rPr>
          <w:vertAlign w:val="superscript"/>
        </w:rPr>
      </w:pPr>
    </w:p>
    <w:p w14:paraId="2FD91C39" w14:textId="371C957E" w:rsidR="00F318F5" w:rsidRPr="00834CDC" w:rsidRDefault="00F318F5" w:rsidP="0033445F">
      <w:pPr>
        <w:divId w:val="1988506822"/>
        <w:rPr>
          <w:vertAlign w:val="superscript"/>
        </w:rPr>
      </w:pPr>
    </w:p>
    <w:p w14:paraId="5E9FD3FF" w14:textId="3494B395" w:rsidR="00F318F5" w:rsidRPr="00834CDC" w:rsidRDefault="00F318F5" w:rsidP="0033445F">
      <w:pPr>
        <w:divId w:val="1988506822"/>
        <w:rPr>
          <w:vertAlign w:val="superscript"/>
        </w:rPr>
      </w:pPr>
    </w:p>
    <w:p w14:paraId="47BA1BB8" w14:textId="49C62B59" w:rsidR="00F318F5" w:rsidRPr="00834CDC" w:rsidRDefault="00F318F5" w:rsidP="0033445F">
      <w:pPr>
        <w:divId w:val="1988506822"/>
        <w:rPr>
          <w:vertAlign w:val="superscript"/>
        </w:rPr>
      </w:pPr>
    </w:p>
    <w:p w14:paraId="5279D670" w14:textId="2724701D" w:rsidR="00F318F5" w:rsidRPr="00834CDC" w:rsidRDefault="00F318F5" w:rsidP="0033445F">
      <w:pPr>
        <w:divId w:val="1988506822"/>
        <w:rPr>
          <w:vertAlign w:val="superscript"/>
        </w:rPr>
      </w:pPr>
    </w:p>
    <w:p w14:paraId="3BEDD1D1" w14:textId="2D970B21" w:rsidR="00F318F5" w:rsidRPr="00834CDC" w:rsidRDefault="00F318F5" w:rsidP="0033445F">
      <w:pPr>
        <w:divId w:val="1988506822"/>
        <w:rPr>
          <w:vertAlign w:val="superscript"/>
        </w:rPr>
      </w:pPr>
    </w:p>
    <w:p w14:paraId="1692C06A" w14:textId="16EC6AAB" w:rsidR="00F318F5" w:rsidRPr="00834CDC" w:rsidRDefault="00F318F5" w:rsidP="0033445F">
      <w:pPr>
        <w:divId w:val="1988506822"/>
        <w:rPr>
          <w:vertAlign w:val="superscript"/>
        </w:rPr>
      </w:pPr>
    </w:p>
    <w:p w14:paraId="06C4D287" w14:textId="47CD458E" w:rsidR="00F318F5" w:rsidRPr="00834CDC" w:rsidRDefault="00F318F5" w:rsidP="0033445F">
      <w:pPr>
        <w:divId w:val="1988506822"/>
        <w:rPr>
          <w:vertAlign w:val="superscript"/>
        </w:rPr>
      </w:pPr>
    </w:p>
    <w:p w14:paraId="20D4C17B" w14:textId="77777777" w:rsidR="00F318F5" w:rsidRPr="00834CDC" w:rsidRDefault="00F318F5" w:rsidP="0033445F">
      <w:pPr>
        <w:divId w:val="1988506822"/>
        <w:rPr>
          <w:vertAlign w:val="superscript"/>
        </w:rPr>
      </w:pPr>
    </w:p>
    <w:p w14:paraId="63A1537F" w14:textId="46573C29" w:rsidR="001B59ED" w:rsidRPr="00834CDC" w:rsidRDefault="00287FAC" w:rsidP="00287FAC">
      <w:pPr>
        <w:pStyle w:val="CDIfootnotes"/>
        <w:pBdr>
          <w:top w:val="single" w:sz="4" w:space="1" w:color="808080" w:themeColor="background1" w:themeShade="80"/>
        </w:pBdr>
        <w:rPr>
          <w:rStyle w:val="Strong"/>
          <w:bCs w:val="0"/>
        </w:rPr>
      </w:pPr>
      <w:r w:rsidRPr="00834CDC">
        <w:t>iv</w:t>
      </w:r>
      <w:r w:rsidRPr="00834CDC">
        <w:tab/>
      </w:r>
      <w:proofErr w:type="gramStart"/>
      <w:r w:rsidRPr="00834CDC">
        <w:t>To</w:t>
      </w:r>
      <w:proofErr w:type="gramEnd"/>
      <w:r w:rsidRPr="00834CDC">
        <w:t xml:space="preserve"> comply with the Australian Coordinating Registry’s data release condition that death counts &lt; 6 be suppressed in published reports, counts between 1 and 5 are reported as a range </w:t>
      </w:r>
      <w:r w:rsidR="001B59ED" w:rsidRPr="00834CDC">
        <w:rPr>
          <w:rStyle w:val="Strong"/>
          <w:b w:val="0"/>
          <w:bCs w:val="0"/>
        </w:rPr>
        <w:br w:type="page"/>
      </w:r>
    </w:p>
    <w:p w14:paraId="6BF3A866" w14:textId="7C04EA66" w:rsidR="001B59ED" w:rsidRPr="00834CDC" w:rsidRDefault="001B59ED" w:rsidP="001B59ED">
      <w:pPr>
        <w:pStyle w:val="CDIFigures"/>
        <w:divId w:val="1988506822"/>
      </w:pPr>
      <w:r w:rsidRPr="00834CDC">
        <w:rPr>
          <w:rStyle w:val="Strong"/>
          <w:b/>
          <w:bCs w:val="0"/>
        </w:rPr>
        <w:lastRenderedPageBreak/>
        <w:t>Table 23: Notifications for diphtheria, tetanus, poliomyelitis and rubella, Australia (all states and territories), 2016–</w:t>
      </w:r>
      <w:proofErr w:type="gramStart"/>
      <w:r w:rsidRPr="00834CDC">
        <w:rPr>
          <w:rStyle w:val="Strong"/>
          <w:b/>
          <w:bCs w:val="0"/>
        </w:rPr>
        <w:t>2019,</w:t>
      </w:r>
      <w:r w:rsidRPr="00834CDC">
        <w:rPr>
          <w:rStyle w:val="Strong"/>
          <w:b/>
          <w:bCs w:val="0"/>
          <w:vertAlign w:val="superscript"/>
        </w:rPr>
        <w:t>a</w:t>
      </w:r>
      <w:proofErr w:type="gramEnd"/>
      <w:r w:rsidRPr="00834CDC">
        <w:rPr>
          <w:rStyle w:val="Strong"/>
          <w:b/>
          <w:bCs w:val="0"/>
        </w:rPr>
        <w:t xml:space="preserve"> by age and Aboriginal and Torres Strait Islander status</w:t>
      </w:r>
    </w:p>
    <w:tbl>
      <w:tblPr>
        <w:tblStyle w:val="CDI-StandardTable"/>
        <w:tblW w:w="0" w:type="auto"/>
        <w:tblCellMar>
          <w:top w:w="28" w:type="dxa"/>
          <w:bottom w:w="28" w:type="dxa"/>
        </w:tblCellMar>
        <w:tblLook w:val="04A0" w:firstRow="1" w:lastRow="0" w:firstColumn="1" w:lastColumn="0" w:noHBand="0" w:noVBand="1"/>
        <w:tblDescription w:val="Table 23 shows the number and rates per 100,000 population of diphtheria, tetanus, poliomyelitis and rubella notifications by age and Aboriginal and Torres Strait Islander status, Australia, 2016 to 2019.&#10;"/>
      </w:tblPr>
      <w:tblGrid>
        <w:gridCol w:w="1701"/>
        <w:gridCol w:w="3402"/>
        <w:gridCol w:w="567"/>
        <w:gridCol w:w="567"/>
        <w:gridCol w:w="567"/>
        <w:gridCol w:w="709"/>
        <w:gridCol w:w="851"/>
        <w:gridCol w:w="567"/>
        <w:gridCol w:w="567"/>
        <w:gridCol w:w="910"/>
      </w:tblGrid>
      <w:tr w:rsidR="001B59ED" w:rsidRPr="00834CDC" w14:paraId="0AAE29CC" w14:textId="77777777" w:rsidTr="00115711">
        <w:trPr>
          <w:cnfStyle w:val="100000000000" w:firstRow="1" w:lastRow="0" w:firstColumn="0" w:lastColumn="0" w:oddVBand="0" w:evenVBand="0" w:oddHBand="0" w:evenHBand="0" w:firstRowFirstColumn="0" w:firstRowLastColumn="0" w:lastRowFirstColumn="0" w:lastRowLastColumn="0"/>
          <w:divId w:val="1988506822"/>
          <w:tblHeader/>
        </w:trPr>
        <w:tc>
          <w:tcPr>
            <w:tcW w:w="1701" w:type="dxa"/>
            <w:vMerge w:val="restart"/>
            <w:hideMark/>
          </w:tcPr>
          <w:p w14:paraId="7D905082" w14:textId="6AB60B62" w:rsidR="001B59ED" w:rsidRPr="00834CDC" w:rsidRDefault="001B59ED" w:rsidP="001B59ED">
            <w:pPr>
              <w:pStyle w:val="NormalWeb"/>
              <w:jc w:val="left"/>
              <w:rPr>
                <w:sz w:val="18"/>
                <w:szCs w:val="18"/>
              </w:rPr>
            </w:pPr>
            <w:r w:rsidRPr="00834CDC">
              <w:rPr>
                <w:sz w:val="18"/>
                <w:szCs w:val="18"/>
              </w:rPr>
              <w:t>Age group (years)</w:t>
            </w:r>
          </w:p>
        </w:tc>
        <w:tc>
          <w:tcPr>
            <w:tcW w:w="3402" w:type="dxa"/>
            <w:vMerge w:val="restart"/>
            <w:hideMark/>
          </w:tcPr>
          <w:p w14:paraId="246D7AF2" w14:textId="77777777" w:rsidR="001B59ED" w:rsidRPr="00834CDC" w:rsidRDefault="001B59ED" w:rsidP="001B59ED">
            <w:pPr>
              <w:pStyle w:val="NormalWeb"/>
              <w:jc w:val="left"/>
              <w:rPr>
                <w:sz w:val="18"/>
                <w:szCs w:val="18"/>
              </w:rPr>
            </w:pPr>
            <w:r w:rsidRPr="00834CDC">
              <w:rPr>
                <w:sz w:val="18"/>
                <w:szCs w:val="18"/>
              </w:rPr>
              <w:t>Aboriginal and Torres Strait Islander status</w:t>
            </w:r>
          </w:p>
        </w:tc>
        <w:tc>
          <w:tcPr>
            <w:tcW w:w="1134" w:type="dxa"/>
            <w:gridSpan w:val="2"/>
            <w:hideMark/>
          </w:tcPr>
          <w:p w14:paraId="1712692A" w14:textId="77777777" w:rsidR="001B59ED" w:rsidRPr="00834CDC" w:rsidRDefault="001B59ED" w:rsidP="00457617">
            <w:pPr>
              <w:pStyle w:val="NormalWeb"/>
              <w:rPr>
                <w:sz w:val="18"/>
                <w:szCs w:val="18"/>
              </w:rPr>
            </w:pPr>
            <w:r w:rsidRPr="00834CDC">
              <w:rPr>
                <w:sz w:val="18"/>
                <w:szCs w:val="18"/>
              </w:rPr>
              <w:t>Diphtheria</w:t>
            </w:r>
          </w:p>
        </w:tc>
        <w:tc>
          <w:tcPr>
            <w:tcW w:w="1276" w:type="dxa"/>
            <w:gridSpan w:val="2"/>
            <w:hideMark/>
          </w:tcPr>
          <w:p w14:paraId="38591C2B" w14:textId="77777777" w:rsidR="001B59ED" w:rsidRPr="00834CDC" w:rsidRDefault="001B59ED" w:rsidP="00457617">
            <w:pPr>
              <w:pStyle w:val="NormalWeb"/>
              <w:rPr>
                <w:sz w:val="18"/>
                <w:szCs w:val="18"/>
              </w:rPr>
            </w:pPr>
            <w:r w:rsidRPr="00834CDC">
              <w:rPr>
                <w:sz w:val="18"/>
                <w:szCs w:val="18"/>
              </w:rPr>
              <w:t>Tetanus</w:t>
            </w:r>
          </w:p>
        </w:tc>
        <w:tc>
          <w:tcPr>
            <w:tcW w:w="1418" w:type="dxa"/>
            <w:gridSpan w:val="2"/>
            <w:hideMark/>
          </w:tcPr>
          <w:p w14:paraId="4D9A6208" w14:textId="77777777" w:rsidR="001B59ED" w:rsidRPr="00834CDC" w:rsidRDefault="001B59ED" w:rsidP="00457617">
            <w:pPr>
              <w:pStyle w:val="NormalWeb"/>
              <w:rPr>
                <w:sz w:val="18"/>
                <w:szCs w:val="18"/>
              </w:rPr>
            </w:pPr>
            <w:r w:rsidRPr="00834CDC">
              <w:rPr>
                <w:sz w:val="18"/>
                <w:szCs w:val="18"/>
              </w:rPr>
              <w:t>Poliomyelitis</w:t>
            </w:r>
          </w:p>
        </w:tc>
        <w:tc>
          <w:tcPr>
            <w:tcW w:w="1477" w:type="dxa"/>
            <w:gridSpan w:val="2"/>
            <w:hideMark/>
          </w:tcPr>
          <w:p w14:paraId="36AFA087" w14:textId="77777777" w:rsidR="001B59ED" w:rsidRPr="00834CDC" w:rsidRDefault="001B59ED" w:rsidP="00457617">
            <w:pPr>
              <w:pStyle w:val="NormalWeb"/>
              <w:rPr>
                <w:sz w:val="18"/>
                <w:szCs w:val="18"/>
              </w:rPr>
            </w:pPr>
            <w:r w:rsidRPr="00834CDC">
              <w:rPr>
                <w:sz w:val="18"/>
                <w:szCs w:val="18"/>
              </w:rPr>
              <w:t>Rubella</w:t>
            </w:r>
          </w:p>
        </w:tc>
      </w:tr>
      <w:tr w:rsidR="001B59ED" w:rsidRPr="00834CDC" w14:paraId="3167DB37" w14:textId="77777777" w:rsidTr="00115711">
        <w:trPr>
          <w:cnfStyle w:val="100000000000" w:firstRow="1" w:lastRow="0" w:firstColumn="0" w:lastColumn="0" w:oddVBand="0" w:evenVBand="0" w:oddHBand="0" w:evenHBand="0" w:firstRowFirstColumn="0" w:firstRowLastColumn="0" w:lastRowFirstColumn="0" w:lastRowLastColumn="0"/>
          <w:divId w:val="1988506822"/>
          <w:tblHeader/>
        </w:trPr>
        <w:tc>
          <w:tcPr>
            <w:tcW w:w="1701" w:type="dxa"/>
            <w:vMerge/>
            <w:tcBorders>
              <w:bottom w:val="single" w:sz="4" w:space="0" w:color="808080" w:themeColor="background1" w:themeShade="80"/>
            </w:tcBorders>
            <w:hideMark/>
          </w:tcPr>
          <w:p w14:paraId="568626EA" w14:textId="77777777" w:rsidR="001B59ED" w:rsidRPr="00834CDC" w:rsidRDefault="001B59ED" w:rsidP="001B59ED">
            <w:pPr>
              <w:jc w:val="left"/>
              <w:rPr>
                <w:sz w:val="18"/>
                <w:szCs w:val="18"/>
              </w:rPr>
            </w:pPr>
          </w:p>
        </w:tc>
        <w:tc>
          <w:tcPr>
            <w:tcW w:w="3402" w:type="dxa"/>
            <w:vMerge/>
            <w:tcBorders>
              <w:bottom w:val="single" w:sz="4" w:space="0" w:color="808080" w:themeColor="background1" w:themeShade="80"/>
            </w:tcBorders>
            <w:hideMark/>
          </w:tcPr>
          <w:p w14:paraId="738FB480" w14:textId="77777777" w:rsidR="001B59ED" w:rsidRPr="00834CDC" w:rsidRDefault="001B59ED" w:rsidP="001B59ED">
            <w:pPr>
              <w:jc w:val="left"/>
              <w:rPr>
                <w:sz w:val="18"/>
                <w:szCs w:val="18"/>
              </w:rPr>
            </w:pPr>
          </w:p>
        </w:tc>
        <w:tc>
          <w:tcPr>
            <w:tcW w:w="567" w:type="dxa"/>
            <w:tcBorders>
              <w:bottom w:val="single" w:sz="4" w:space="0" w:color="808080" w:themeColor="background1" w:themeShade="80"/>
            </w:tcBorders>
            <w:hideMark/>
          </w:tcPr>
          <w:p w14:paraId="6B0C7601" w14:textId="77777777" w:rsidR="001B59ED" w:rsidRPr="00834CDC" w:rsidRDefault="001B59ED" w:rsidP="00457617">
            <w:pPr>
              <w:pStyle w:val="NormalWeb"/>
              <w:rPr>
                <w:sz w:val="18"/>
                <w:szCs w:val="18"/>
              </w:rPr>
            </w:pPr>
            <w:r w:rsidRPr="00834CDC">
              <w:rPr>
                <w:sz w:val="18"/>
                <w:szCs w:val="18"/>
              </w:rPr>
              <w:t>n</w:t>
            </w:r>
          </w:p>
        </w:tc>
        <w:tc>
          <w:tcPr>
            <w:tcW w:w="567" w:type="dxa"/>
            <w:tcBorders>
              <w:bottom w:val="single" w:sz="4" w:space="0" w:color="808080" w:themeColor="background1" w:themeShade="80"/>
            </w:tcBorders>
            <w:hideMark/>
          </w:tcPr>
          <w:p w14:paraId="5817E698" w14:textId="767AA128" w:rsidR="001B59ED" w:rsidRPr="00834CDC" w:rsidRDefault="001B59ED" w:rsidP="00457617">
            <w:pPr>
              <w:pStyle w:val="NormalWeb"/>
              <w:rPr>
                <w:sz w:val="18"/>
                <w:szCs w:val="18"/>
              </w:rPr>
            </w:pPr>
            <w:r w:rsidRPr="00834CDC">
              <w:rPr>
                <w:sz w:val="18"/>
                <w:szCs w:val="18"/>
              </w:rPr>
              <w:t>Rate</w:t>
            </w:r>
            <w:r w:rsidR="00631B32" w:rsidRPr="00834CDC">
              <w:rPr>
                <w:sz w:val="18"/>
                <w:szCs w:val="18"/>
              </w:rPr>
              <w:t xml:space="preserve"> </w:t>
            </w:r>
            <w:r w:rsidRPr="00834CDC">
              <w:rPr>
                <w:sz w:val="18"/>
                <w:szCs w:val="18"/>
                <w:vertAlign w:val="superscript"/>
              </w:rPr>
              <w:t>b</w:t>
            </w:r>
          </w:p>
        </w:tc>
        <w:tc>
          <w:tcPr>
            <w:tcW w:w="567" w:type="dxa"/>
            <w:tcBorders>
              <w:bottom w:val="single" w:sz="4" w:space="0" w:color="808080" w:themeColor="background1" w:themeShade="80"/>
            </w:tcBorders>
            <w:hideMark/>
          </w:tcPr>
          <w:p w14:paraId="27F63428" w14:textId="77777777" w:rsidR="001B59ED" w:rsidRPr="00834CDC" w:rsidRDefault="001B59ED" w:rsidP="00457617">
            <w:pPr>
              <w:pStyle w:val="NormalWeb"/>
              <w:rPr>
                <w:sz w:val="18"/>
                <w:szCs w:val="18"/>
              </w:rPr>
            </w:pPr>
            <w:r w:rsidRPr="00834CDC">
              <w:rPr>
                <w:sz w:val="18"/>
                <w:szCs w:val="18"/>
              </w:rPr>
              <w:t>n</w:t>
            </w:r>
          </w:p>
        </w:tc>
        <w:tc>
          <w:tcPr>
            <w:tcW w:w="709" w:type="dxa"/>
            <w:tcBorders>
              <w:bottom w:val="single" w:sz="4" w:space="0" w:color="808080" w:themeColor="background1" w:themeShade="80"/>
            </w:tcBorders>
            <w:hideMark/>
          </w:tcPr>
          <w:p w14:paraId="2B3B9B54" w14:textId="59856AE0" w:rsidR="001B59ED" w:rsidRPr="00834CDC" w:rsidRDefault="001B59ED" w:rsidP="00457617">
            <w:pPr>
              <w:pStyle w:val="NormalWeb"/>
              <w:rPr>
                <w:sz w:val="18"/>
                <w:szCs w:val="18"/>
              </w:rPr>
            </w:pPr>
            <w:r w:rsidRPr="00834CDC">
              <w:rPr>
                <w:sz w:val="18"/>
                <w:szCs w:val="18"/>
              </w:rPr>
              <w:t>Rate</w:t>
            </w:r>
            <w:r w:rsidR="00631B32" w:rsidRPr="00834CDC">
              <w:rPr>
                <w:sz w:val="18"/>
                <w:szCs w:val="18"/>
              </w:rPr>
              <w:t xml:space="preserve"> </w:t>
            </w:r>
            <w:r w:rsidRPr="00834CDC">
              <w:rPr>
                <w:sz w:val="18"/>
                <w:szCs w:val="18"/>
                <w:vertAlign w:val="superscript"/>
              </w:rPr>
              <w:t>b</w:t>
            </w:r>
          </w:p>
        </w:tc>
        <w:tc>
          <w:tcPr>
            <w:tcW w:w="851" w:type="dxa"/>
            <w:tcBorders>
              <w:bottom w:val="single" w:sz="4" w:space="0" w:color="808080" w:themeColor="background1" w:themeShade="80"/>
            </w:tcBorders>
            <w:hideMark/>
          </w:tcPr>
          <w:p w14:paraId="28C2B338" w14:textId="77777777" w:rsidR="001B59ED" w:rsidRPr="00834CDC" w:rsidRDefault="001B59ED" w:rsidP="00457617">
            <w:pPr>
              <w:pStyle w:val="NormalWeb"/>
              <w:rPr>
                <w:sz w:val="18"/>
                <w:szCs w:val="18"/>
              </w:rPr>
            </w:pPr>
            <w:r w:rsidRPr="00834CDC">
              <w:rPr>
                <w:sz w:val="18"/>
                <w:szCs w:val="18"/>
              </w:rPr>
              <w:t>n</w:t>
            </w:r>
          </w:p>
        </w:tc>
        <w:tc>
          <w:tcPr>
            <w:tcW w:w="567" w:type="dxa"/>
            <w:tcBorders>
              <w:bottom w:val="single" w:sz="4" w:space="0" w:color="808080" w:themeColor="background1" w:themeShade="80"/>
            </w:tcBorders>
            <w:hideMark/>
          </w:tcPr>
          <w:p w14:paraId="50622CAE" w14:textId="6E61EA37" w:rsidR="001B59ED" w:rsidRPr="00834CDC" w:rsidRDefault="001B59ED" w:rsidP="00457617">
            <w:pPr>
              <w:pStyle w:val="NormalWeb"/>
              <w:rPr>
                <w:sz w:val="18"/>
                <w:szCs w:val="18"/>
              </w:rPr>
            </w:pPr>
            <w:r w:rsidRPr="00834CDC">
              <w:rPr>
                <w:sz w:val="18"/>
                <w:szCs w:val="18"/>
              </w:rPr>
              <w:t>Rate</w:t>
            </w:r>
            <w:r w:rsidR="00631B32" w:rsidRPr="00834CDC">
              <w:rPr>
                <w:sz w:val="18"/>
                <w:szCs w:val="18"/>
              </w:rPr>
              <w:t xml:space="preserve"> </w:t>
            </w:r>
            <w:r w:rsidRPr="00834CDC">
              <w:rPr>
                <w:sz w:val="18"/>
                <w:szCs w:val="18"/>
                <w:vertAlign w:val="superscript"/>
              </w:rPr>
              <w:t>b</w:t>
            </w:r>
          </w:p>
        </w:tc>
        <w:tc>
          <w:tcPr>
            <w:tcW w:w="567" w:type="dxa"/>
            <w:tcBorders>
              <w:bottom w:val="single" w:sz="4" w:space="0" w:color="808080" w:themeColor="background1" w:themeShade="80"/>
            </w:tcBorders>
            <w:hideMark/>
          </w:tcPr>
          <w:p w14:paraId="6158F809" w14:textId="77777777" w:rsidR="001B59ED" w:rsidRPr="00834CDC" w:rsidRDefault="001B59ED" w:rsidP="00457617">
            <w:pPr>
              <w:pStyle w:val="NormalWeb"/>
              <w:rPr>
                <w:sz w:val="18"/>
                <w:szCs w:val="18"/>
              </w:rPr>
            </w:pPr>
            <w:r w:rsidRPr="00834CDC">
              <w:rPr>
                <w:sz w:val="18"/>
                <w:szCs w:val="18"/>
              </w:rPr>
              <w:t>n</w:t>
            </w:r>
          </w:p>
        </w:tc>
        <w:tc>
          <w:tcPr>
            <w:tcW w:w="910" w:type="dxa"/>
            <w:tcBorders>
              <w:bottom w:val="single" w:sz="4" w:space="0" w:color="808080" w:themeColor="background1" w:themeShade="80"/>
            </w:tcBorders>
            <w:hideMark/>
          </w:tcPr>
          <w:p w14:paraId="2D304F88" w14:textId="3D632DD3" w:rsidR="001B59ED" w:rsidRPr="00834CDC" w:rsidRDefault="001B59ED" w:rsidP="00457617">
            <w:pPr>
              <w:pStyle w:val="NormalWeb"/>
              <w:rPr>
                <w:sz w:val="18"/>
                <w:szCs w:val="18"/>
              </w:rPr>
            </w:pPr>
            <w:r w:rsidRPr="00834CDC">
              <w:rPr>
                <w:sz w:val="18"/>
                <w:szCs w:val="18"/>
              </w:rPr>
              <w:t>Rate</w:t>
            </w:r>
            <w:r w:rsidR="00631B32" w:rsidRPr="00834CDC">
              <w:rPr>
                <w:sz w:val="18"/>
                <w:szCs w:val="18"/>
              </w:rPr>
              <w:t xml:space="preserve"> </w:t>
            </w:r>
            <w:r w:rsidRPr="00834CDC">
              <w:rPr>
                <w:sz w:val="18"/>
                <w:szCs w:val="18"/>
                <w:vertAlign w:val="superscript"/>
              </w:rPr>
              <w:t>b</w:t>
            </w:r>
          </w:p>
        </w:tc>
      </w:tr>
      <w:tr w:rsidR="001B59ED" w:rsidRPr="00834CDC" w14:paraId="4F91A9DF" w14:textId="77777777" w:rsidTr="00115711">
        <w:trPr>
          <w:divId w:val="1988506822"/>
        </w:trPr>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8519967" w14:textId="77777777" w:rsidR="001B59ED" w:rsidRPr="00834CDC" w:rsidRDefault="001B59ED" w:rsidP="001B59ED">
            <w:pPr>
              <w:pStyle w:val="NormalWeb"/>
              <w:jc w:val="left"/>
              <w:rPr>
                <w:sz w:val="18"/>
                <w:szCs w:val="18"/>
              </w:rPr>
            </w:pPr>
            <w:r w:rsidRPr="00834CDC">
              <w:rPr>
                <w:sz w:val="18"/>
                <w:szCs w:val="18"/>
              </w:rPr>
              <w:t>0–4</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D770F1C" w14:textId="77777777" w:rsidR="001B59ED" w:rsidRPr="00834CDC" w:rsidRDefault="001B59ED" w:rsidP="001B59ED">
            <w:pPr>
              <w:pStyle w:val="NormalWeb"/>
              <w:jc w:val="left"/>
              <w:rPr>
                <w:sz w:val="18"/>
                <w:szCs w:val="18"/>
              </w:rPr>
            </w:pPr>
            <w:r w:rsidRPr="00834CDC">
              <w:rPr>
                <w:sz w:val="18"/>
                <w:szCs w:val="18"/>
              </w:rPr>
              <w:t>Aboriginal and Torres Strait Islander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B8B8768"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2D6595B"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42EB0DA" w14:textId="77777777" w:rsidR="001B59ED" w:rsidRPr="00834CDC" w:rsidRDefault="001B59ED" w:rsidP="00457617">
            <w:pPr>
              <w:pStyle w:val="NormalWeb"/>
              <w:rPr>
                <w:sz w:val="18"/>
                <w:szCs w:val="18"/>
              </w:rPr>
            </w:pPr>
            <w:r w:rsidRPr="00834CDC">
              <w:rPr>
                <w:sz w:val="18"/>
                <w:szCs w:val="18"/>
              </w:rPr>
              <w:t>0</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E438F43" w14:textId="77777777" w:rsidR="001B59ED" w:rsidRPr="00834CDC" w:rsidRDefault="001B59ED" w:rsidP="00457617">
            <w:pPr>
              <w:pStyle w:val="NormalWeb"/>
              <w:rPr>
                <w:sz w:val="18"/>
                <w:szCs w:val="18"/>
              </w:rPr>
            </w:pPr>
            <w:r w:rsidRPr="00834CDC">
              <w:rPr>
                <w:sz w:val="18"/>
                <w:szCs w:val="18"/>
              </w:rPr>
              <w:t>0.00</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0DBD5AE"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CA153F8"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41F302D" w14:textId="77777777" w:rsidR="001B59ED" w:rsidRPr="00834CDC" w:rsidRDefault="001B59ED" w:rsidP="00457617">
            <w:pPr>
              <w:pStyle w:val="NormalWeb"/>
              <w:rPr>
                <w:sz w:val="18"/>
                <w:szCs w:val="18"/>
              </w:rPr>
            </w:pPr>
            <w:r w:rsidRPr="00834CDC">
              <w:rPr>
                <w:sz w:val="18"/>
                <w:szCs w:val="18"/>
              </w:rPr>
              <w:t>1</w:t>
            </w:r>
          </w:p>
        </w:tc>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B881B72" w14:textId="77777777" w:rsidR="001B59ED" w:rsidRPr="00834CDC" w:rsidRDefault="001B59ED" w:rsidP="00457617">
            <w:pPr>
              <w:pStyle w:val="NormalWeb"/>
              <w:rPr>
                <w:sz w:val="18"/>
                <w:szCs w:val="18"/>
              </w:rPr>
            </w:pPr>
            <w:r w:rsidRPr="00834CDC">
              <w:rPr>
                <w:sz w:val="18"/>
                <w:szCs w:val="18"/>
              </w:rPr>
              <w:t>0.26</w:t>
            </w:r>
          </w:p>
        </w:tc>
      </w:tr>
      <w:tr w:rsidR="001B59ED" w:rsidRPr="00834CDC" w14:paraId="3F2E86D1" w14:textId="77777777" w:rsidTr="00115711">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22EB877" w14:textId="77777777" w:rsidR="001B59ED" w:rsidRPr="00834CDC" w:rsidRDefault="001B59ED" w:rsidP="001B59ED">
            <w:pPr>
              <w:jc w:val="left"/>
              <w:rPr>
                <w:sz w:val="18"/>
                <w:szCs w:val="18"/>
              </w:rPr>
            </w:pP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56768A5" w14:textId="77777777" w:rsidR="001B59ED" w:rsidRPr="00834CDC" w:rsidRDefault="001B59ED" w:rsidP="001B59ED">
            <w:pPr>
              <w:pStyle w:val="NormalWeb"/>
              <w:jc w:val="left"/>
              <w:rPr>
                <w:sz w:val="18"/>
                <w:szCs w:val="18"/>
              </w:rPr>
            </w:pPr>
            <w:r w:rsidRPr="00834CDC">
              <w:rPr>
                <w:sz w:val="18"/>
                <w:szCs w:val="18"/>
              </w:rPr>
              <w:t>Other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B2683B8"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F97F466"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387BCA0" w14:textId="77777777" w:rsidR="001B59ED" w:rsidRPr="00834CDC" w:rsidRDefault="001B59ED" w:rsidP="00457617">
            <w:pPr>
              <w:pStyle w:val="NormalWeb"/>
              <w:rPr>
                <w:sz w:val="18"/>
                <w:szCs w:val="18"/>
              </w:rPr>
            </w:pPr>
            <w:r w:rsidRPr="00834CDC">
              <w:rPr>
                <w:sz w:val="18"/>
                <w:szCs w:val="18"/>
              </w:rPr>
              <w:t>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95C4295" w14:textId="77777777" w:rsidR="001B59ED" w:rsidRPr="00834CDC" w:rsidRDefault="001B59ED" w:rsidP="00457617">
            <w:pPr>
              <w:pStyle w:val="NormalWeb"/>
              <w:rPr>
                <w:sz w:val="18"/>
                <w:szCs w:val="18"/>
              </w:rPr>
            </w:pPr>
            <w:r w:rsidRPr="00834CDC">
              <w:rPr>
                <w:sz w:val="18"/>
                <w:szCs w:val="18"/>
              </w:rPr>
              <w:t>0.02</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3731CBB"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221FA2B"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C86FAFE" w14:textId="77777777" w:rsidR="001B59ED" w:rsidRPr="00834CDC" w:rsidRDefault="001B59ED" w:rsidP="00457617">
            <w:pPr>
              <w:pStyle w:val="NormalWeb"/>
              <w:rPr>
                <w:sz w:val="18"/>
                <w:szCs w:val="18"/>
              </w:rPr>
            </w:pPr>
            <w:r w:rsidRPr="00834CDC">
              <w:rPr>
                <w:sz w:val="18"/>
                <w:szCs w:val="18"/>
              </w:rPr>
              <w:t>3</w:t>
            </w:r>
          </w:p>
        </w:tc>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157C508" w14:textId="77777777" w:rsidR="001B59ED" w:rsidRPr="00834CDC" w:rsidRDefault="001B59ED" w:rsidP="00457617">
            <w:pPr>
              <w:pStyle w:val="NormalWeb"/>
              <w:rPr>
                <w:sz w:val="18"/>
                <w:szCs w:val="18"/>
              </w:rPr>
            </w:pPr>
            <w:r w:rsidRPr="00834CDC">
              <w:rPr>
                <w:sz w:val="18"/>
                <w:szCs w:val="18"/>
              </w:rPr>
              <w:t>0.05</w:t>
            </w:r>
          </w:p>
        </w:tc>
      </w:tr>
      <w:tr w:rsidR="001B59ED" w:rsidRPr="00834CDC" w14:paraId="5873BC98" w14:textId="77777777" w:rsidTr="00115711">
        <w:trPr>
          <w:divId w:val="1988506822"/>
        </w:trPr>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6F6E1A1" w14:textId="77777777" w:rsidR="001B59ED" w:rsidRPr="00834CDC" w:rsidRDefault="001B59ED" w:rsidP="001B59ED">
            <w:pPr>
              <w:pStyle w:val="NormalWeb"/>
              <w:jc w:val="left"/>
              <w:rPr>
                <w:sz w:val="18"/>
                <w:szCs w:val="18"/>
              </w:rPr>
            </w:pPr>
            <w:r w:rsidRPr="00834CDC">
              <w:rPr>
                <w:sz w:val="18"/>
                <w:szCs w:val="18"/>
              </w:rPr>
              <w:t>5–14</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83AD84B" w14:textId="77777777" w:rsidR="001B59ED" w:rsidRPr="00834CDC" w:rsidRDefault="001B59ED" w:rsidP="001B59ED">
            <w:pPr>
              <w:pStyle w:val="NormalWeb"/>
              <w:jc w:val="left"/>
              <w:rPr>
                <w:sz w:val="18"/>
                <w:szCs w:val="18"/>
              </w:rPr>
            </w:pPr>
            <w:r w:rsidRPr="00834CDC">
              <w:rPr>
                <w:sz w:val="18"/>
                <w:szCs w:val="18"/>
              </w:rPr>
              <w:t>Aboriginal and Torres Strait Islander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488AA5D"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9FC61AB"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23B9338" w14:textId="77777777" w:rsidR="001B59ED" w:rsidRPr="00834CDC" w:rsidRDefault="001B59ED" w:rsidP="00457617">
            <w:pPr>
              <w:pStyle w:val="NormalWeb"/>
              <w:rPr>
                <w:sz w:val="18"/>
                <w:szCs w:val="18"/>
              </w:rPr>
            </w:pPr>
            <w:r w:rsidRPr="00834CDC">
              <w:rPr>
                <w:sz w:val="18"/>
                <w:szCs w:val="18"/>
              </w:rPr>
              <w:t>0</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28BAABB" w14:textId="77777777" w:rsidR="001B59ED" w:rsidRPr="00834CDC" w:rsidRDefault="001B59ED" w:rsidP="00457617">
            <w:pPr>
              <w:pStyle w:val="NormalWeb"/>
              <w:rPr>
                <w:sz w:val="18"/>
                <w:szCs w:val="18"/>
              </w:rPr>
            </w:pPr>
            <w:r w:rsidRPr="00834CDC">
              <w:rPr>
                <w:sz w:val="18"/>
                <w:szCs w:val="18"/>
              </w:rPr>
              <w:t>0.00</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321842D"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7D88DB0"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9C05C86" w14:textId="77777777" w:rsidR="001B59ED" w:rsidRPr="00834CDC" w:rsidRDefault="001B59ED" w:rsidP="00457617">
            <w:pPr>
              <w:pStyle w:val="NormalWeb"/>
              <w:rPr>
                <w:sz w:val="18"/>
                <w:szCs w:val="18"/>
              </w:rPr>
            </w:pPr>
            <w:r w:rsidRPr="00834CDC">
              <w:rPr>
                <w:sz w:val="18"/>
                <w:szCs w:val="18"/>
              </w:rPr>
              <w:t>0</w:t>
            </w:r>
          </w:p>
        </w:tc>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3AA5460" w14:textId="77777777" w:rsidR="001B59ED" w:rsidRPr="00834CDC" w:rsidRDefault="001B59ED" w:rsidP="00457617">
            <w:pPr>
              <w:pStyle w:val="NormalWeb"/>
              <w:rPr>
                <w:sz w:val="18"/>
                <w:szCs w:val="18"/>
              </w:rPr>
            </w:pPr>
            <w:r w:rsidRPr="00834CDC">
              <w:rPr>
                <w:sz w:val="18"/>
                <w:szCs w:val="18"/>
              </w:rPr>
              <w:t>0.00</w:t>
            </w:r>
          </w:p>
        </w:tc>
      </w:tr>
      <w:tr w:rsidR="001B59ED" w:rsidRPr="00834CDC" w14:paraId="266239E1" w14:textId="77777777" w:rsidTr="00115711">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B16E543" w14:textId="77777777" w:rsidR="001B59ED" w:rsidRPr="00834CDC" w:rsidRDefault="001B59ED" w:rsidP="001B59ED">
            <w:pPr>
              <w:jc w:val="left"/>
              <w:rPr>
                <w:sz w:val="18"/>
                <w:szCs w:val="18"/>
              </w:rPr>
            </w:pP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8663792" w14:textId="77777777" w:rsidR="001B59ED" w:rsidRPr="00834CDC" w:rsidRDefault="001B59ED" w:rsidP="001B59ED">
            <w:pPr>
              <w:pStyle w:val="NormalWeb"/>
              <w:jc w:val="left"/>
              <w:rPr>
                <w:sz w:val="18"/>
                <w:szCs w:val="18"/>
              </w:rPr>
            </w:pPr>
            <w:r w:rsidRPr="00834CDC">
              <w:rPr>
                <w:sz w:val="18"/>
                <w:szCs w:val="18"/>
              </w:rPr>
              <w:t>Other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46EBC2C" w14:textId="77777777" w:rsidR="001B59ED" w:rsidRPr="00834CDC" w:rsidRDefault="001B59ED" w:rsidP="00457617">
            <w:pPr>
              <w:pStyle w:val="NormalWeb"/>
              <w:rPr>
                <w:sz w:val="18"/>
                <w:szCs w:val="18"/>
              </w:rPr>
            </w:pPr>
            <w:r w:rsidRPr="00834CDC">
              <w:rPr>
                <w:sz w:val="18"/>
                <w:szCs w:val="18"/>
              </w:rPr>
              <w:t>2</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735BF8D" w14:textId="77777777" w:rsidR="001B59ED" w:rsidRPr="00834CDC" w:rsidRDefault="001B59ED" w:rsidP="00457617">
            <w:pPr>
              <w:pStyle w:val="NormalWeb"/>
              <w:rPr>
                <w:sz w:val="18"/>
                <w:szCs w:val="18"/>
              </w:rPr>
            </w:pPr>
            <w:r w:rsidRPr="00834CDC">
              <w:rPr>
                <w:sz w:val="18"/>
                <w:szCs w:val="18"/>
              </w:rPr>
              <w:t>0.02</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402365B" w14:textId="77777777" w:rsidR="001B59ED" w:rsidRPr="00834CDC" w:rsidRDefault="001B59ED" w:rsidP="00457617">
            <w:pPr>
              <w:pStyle w:val="NormalWeb"/>
              <w:rPr>
                <w:sz w:val="18"/>
                <w:szCs w:val="18"/>
              </w:rPr>
            </w:pPr>
            <w:r w:rsidRPr="00834CDC">
              <w:rPr>
                <w:sz w:val="18"/>
                <w:szCs w:val="18"/>
              </w:rPr>
              <w:t>2</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3EBE206" w14:textId="77777777" w:rsidR="001B59ED" w:rsidRPr="00834CDC" w:rsidRDefault="001B59ED" w:rsidP="00457617">
            <w:pPr>
              <w:pStyle w:val="NormalWeb"/>
              <w:rPr>
                <w:sz w:val="18"/>
                <w:szCs w:val="18"/>
              </w:rPr>
            </w:pPr>
            <w:r w:rsidRPr="00834CDC">
              <w:rPr>
                <w:sz w:val="18"/>
                <w:szCs w:val="18"/>
              </w:rPr>
              <w:t>0.02</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B4AFD62"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6E78673"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B1DA857" w14:textId="77777777" w:rsidR="001B59ED" w:rsidRPr="00834CDC" w:rsidRDefault="001B59ED" w:rsidP="00457617">
            <w:pPr>
              <w:pStyle w:val="NormalWeb"/>
              <w:rPr>
                <w:sz w:val="18"/>
                <w:szCs w:val="18"/>
              </w:rPr>
            </w:pPr>
            <w:r w:rsidRPr="00834CDC">
              <w:rPr>
                <w:sz w:val="18"/>
                <w:szCs w:val="18"/>
              </w:rPr>
              <w:t>3</w:t>
            </w:r>
          </w:p>
        </w:tc>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BD00524" w14:textId="77777777" w:rsidR="001B59ED" w:rsidRPr="00834CDC" w:rsidRDefault="001B59ED" w:rsidP="00457617">
            <w:pPr>
              <w:pStyle w:val="NormalWeb"/>
              <w:rPr>
                <w:sz w:val="18"/>
                <w:szCs w:val="18"/>
              </w:rPr>
            </w:pPr>
            <w:r w:rsidRPr="00834CDC">
              <w:rPr>
                <w:sz w:val="18"/>
                <w:szCs w:val="18"/>
              </w:rPr>
              <w:t>0.03</w:t>
            </w:r>
          </w:p>
        </w:tc>
      </w:tr>
      <w:tr w:rsidR="001B59ED" w:rsidRPr="00834CDC" w14:paraId="311E1BFE" w14:textId="77777777" w:rsidTr="00115711">
        <w:trPr>
          <w:divId w:val="1988506822"/>
        </w:trPr>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15333B3" w14:textId="77777777" w:rsidR="001B59ED" w:rsidRPr="00834CDC" w:rsidRDefault="001B59ED" w:rsidP="001B59ED">
            <w:pPr>
              <w:pStyle w:val="NormalWeb"/>
              <w:jc w:val="left"/>
              <w:rPr>
                <w:sz w:val="18"/>
                <w:szCs w:val="18"/>
              </w:rPr>
            </w:pPr>
            <w:r w:rsidRPr="00834CDC">
              <w:rPr>
                <w:sz w:val="18"/>
                <w:szCs w:val="18"/>
              </w:rPr>
              <w:t>15–24</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FF30E08" w14:textId="77777777" w:rsidR="001B59ED" w:rsidRPr="00834CDC" w:rsidRDefault="001B59ED" w:rsidP="001B59ED">
            <w:pPr>
              <w:pStyle w:val="NormalWeb"/>
              <w:jc w:val="left"/>
              <w:rPr>
                <w:sz w:val="18"/>
                <w:szCs w:val="18"/>
              </w:rPr>
            </w:pPr>
            <w:r w:rsidRPr="00834CDC">
              <w:rPr>
                <w:sz w:val="18"/>
                <w:szCs w:val="18"/>
              </w:rPr>
              <w:t>Aboriginal and Torres Strait Islander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6DFEA0"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8CE4964"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CE2788A" w14:textId="77777777" w:rsidR="001B59ED" w:rsidRPr="00834CDC" w:rsidRDefault="001B59ED" w:rsidP="00457617">
            <w:pPr>
              <w:pStyle w:val="NormalWeb"/>
              <w:rPr>
                <w:sz w:val="18"/>
                <w:szCs w:val="18"/>
              </w:rPr>
            </w:pPr>
            <w:r w:rsidRPr="00834CDC">
              <w:rPr>
                <w:sz w:val="18"/>
                <w:szCs w:val="18"/>
              </w:rPr>
              <w:t>0</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7371F99" w14:textId="77777777" w:rsidR="001B59ED" w:rsidRPr="00834CDC" w:rsidRDefault="001B59ED" w:rsidP="00457617">
            <w:pPr>
              <w:pStyle w:val="NormalWeb"/>
              <w:rPr>
                <w:sz w:val="18"/>
                <w:szCs w:val="18"/>
              </w:rPr>
            </w:pPr>
            <w:r w:rsidRPr="00834CDC">
              <w:rPr>
                <w:sz w:val="18"/>
                <w:szCs w:val="18"/>
              </w:rPr>
              <w:t>0.00</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8C405C7"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31E6AEC"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0F8D274" w14:textId="77777777" w:rsidR="001B59ED" w:rsidRPr="00834CDC" w:rsidRDefault="001B59ED" w:rsidP="00457617">
            <w:pPr>
              <w:pStyle w:val="NormalWeb"/>
              <w:rPr>
                <w:sz w:val="18"/>
                <w:szCs w:val="18"/>
              </w:rPr>
            </w:pPr>
            <w:r w:rsidRPr="00834CDC">
              <w:rPr>
                <w:sz w:val="18"/>
                <w:szCs w:val="18"/>
              </w:rPr>
              <w:t>0</w:t>
            </w:r>
          </w:p>
        </w:tc>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4AE6324" w14:textId="77777777" w:rsidR="001B59ED" w:rsidRPr="00834CDC" w:rsidRDefault="001B59ED" w:rsidP="00457617">
            <w:pPr>
              <w:pStyle w:val="NormalWeb"/>
              <w:rPr>
                <w:sz w:val="18"/>
                <w:szCs w:val="18"/>
              </w:rPr>
            </w:pPr>
            <w:r w:rsidRPr="00834CDC">
              <w:rPr>
                <w:sz w:val="18"/>
                <w:szCs w:val="18"/>
              </w:rPr>
              <w:t>0.00</w:t>
            </w:r>
          </w:p>
        </w:tc>
      </w:tr>
      <w:tr w:rsidR="001B59ED" w:rsidRPr="00834CDC" w14:paraId="72D68A55" w14:textId="77777777" w:rsidTr="00115711">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B24B6CA" w14:textId="77777777" w:rsidR="001B59ED" w:rsidRPr="00834CDC" w:rsidRDefault="001B59ED" w:rsidP="001B59ED">
            <w:pPr>
              <w:jc w:val="left"/>
              <w:rPr>
                <w:sz w:val="18"/>
                <w:szCs w:val="18"/>
              </w:rPr>
            </w:pP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854336" w14:textId="77777777" w:rsidR="001B59ED" w:rsidRPr="00834CDC" w:rsidRDefault="001B59ED" w:rsidP="001B59ED">
            <w:pPr>
              <w:pStyle w:val="NormalWeb"/>
              <w:jc w:val="left"/>
              <w:rPr>
                <w:sz w:val="18"/>
                <w:szCs w:val="18"/>
              </w:rPr>
            </w:pPr>
            <w:r w:rsidRPr="00834CDC">
              <w:rPr>
                <w:sz w:val="18"/>
                <w:szCs w:val="18"/>
              </w:rPr>
              <w:t>Other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5707B1B" w14:textId="77777777" w:rsidR="001B59ED" w:rsidRPr="00834CDC" w:rsidRDefault="001B59ED" w:rsidP="00457617">
            <w:pPr>
              <w:pStyle w:val="NormalWeb"/>
              <w:rPr>
                <w:sz w:val="18"/>
                <w:szCs w:val="18"/>
              </w:rPr>
            </w:pPr>
            <w:r w:rsidRPr="00834CDC">
              <w:rPr>
                <w:sz w:val="18"/>
                <w:szCs w:val="18"/>
              </w:rPr>
              <w:t>5</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72FAAD4" w14:textId="77777777" w:rsidR="001B59ED" w:rsidRPr="00834CDC" w:rsidRDefault="001B59ED" w:rsidP="00457617">
            <w:pPr>
              <w:pStyle w:val="NormalWeb"/>
              <w:rPr>
                <w:sz w:val="18"/>
                <w:szCs w:val="18"/>
              </w:rPr>
            </w:pPr>
            <w:r w:rsidRPr="00834CDC">
              <w:rPr>
                <w:sz w:val="18"/>
                <w:szCs w:val="18"/>
              </w:rPr>
              <w:t>0.04</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AB94FB2" w14:textId="77777777" w:rsidR="001B59ED" w:rsidRPr="00834CDC" w:rsidRDefault="001B59ED" w:rsidP="00457617">
            <w:pPr>
              <w:pStyle w:val="NormalWeb"/>
              <w:rPr>
                <w:sz w:val="18"/>
                <w:szCs w:val="18"/>
              </w:rPr>
            </w:pPr>
            <w:r w:rsidRPr="00834CDC">
              <w:rPr>
                <w:sz w:val="18"/>
                <w:szCs w:val="18"/>
              </w:rPr>
              <w:t>3</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23340D8" w14:textId="77777777" w:rsidR="001B59ED" w:rsidRPr="00834CDC" w:rsidRDefault="001B59ED" w:rsidP="00457617">
            <w:pPr>
              <w:pStyle w:val="NormalWeb"/>
              <w:rPr>
                <w:sz w:val="18"/>
                <w:szCs w:val="18"/>
              </w:rPr>
            </w:pPr>
            <w:r w:rsidRPr="00834CDC">
              <w:rPr>
                <w:sz w:val="18"/>
                <w:szCs w:val="18"/>
              </w:rPr>
              <w:t>0.02</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34B8EDC"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4B47971"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A3D6FD" w14:textId="77777777" w:rsidR="001B59ED" w:rsidRPr="00834CDC" w:rsidRDefault="001B59ED" w:rsidP="00457617">
            <w:pPr>
              <w:pStyle w:val="NormalWeb"/>
              <w:rPr>
                <w:sz w:val="18"/>
                <w:szCs w:val="18"/>
              </w:rPr>
            </w:pPr>
            <w:r w:rsidRPr="00834CDC">
              <w:rPr>
                <w:sz w:val="18"/>
                <w:szCs w:val="18"/>
              </w:rPr>
              <w:t>13</w:t>
            </w:r>
          </w:p>
        </w:tc>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7B9A2C" w14:textId="77777777" w:rsidR="001B59ED" w:rsidRPr="00834CDC" w:rsidRDefault="001B59ED" w:rsidP="00457617">
            <w:pPr>
              <w:pStyle w:val="NormalWeb"/>
              <w:rPr>
                <w:sz w:val="18"/>
                <w:szCs w:val="18"/>
              </w:rPr>
            </w:pPr>
            <w:r w:rsidRPr="00834CDC">
              <w:rPr>
                <w:sz w:val="18"/>
                <w:szCs w:val="18"/>
              </w:rPr>
              <w:t>0.11</w:t>
            </w:r>
          </w:p>
        </w:tc>
      </w:tr>
      <w:tr w:rsidR="001B59ED" w:rsidRPr="00834CDC" w14:paraId="1B5D37F4" w14:textId="77777777" w:rsidTr="00115711">
        <w:trPr>
          <w:divId w:val="1988506822"/>
        </w:trPr>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B85E4ED" w14:textId="77777777" w:rsidR="001B59ED" w:rsidRPr="00834CDC" w:rsidRDefault="001B59ED" w:rsidP="001B59ED">
            <w:pPr>
              <w:pStyle w:val="NormalWeb"/>
              <w:jc w:val="left"/>
              <w:rPr>
                <w:sz w:val="18"/>
                <w:szCs w:val="18"/>
              </w:rPr>
            </w:pPr>
            <w:r w:rsidRPr="00834CDC">
              <w:rPr>
                <w:sz w:val="18"/>
                <w:szCs w:val="18"/>
              </w:rPr>
              <w:t>25–49</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AAC304A" w14:textId="77777777" w:rsidR="001B59ED" w:rsidRPr="00834CDC" w:rsidRDefault="001B59ED" w:rsidP="001B59ED">
            <w:pPr>
              <w:pStyle w:val="NormalWeb"/>
              <w:jc w:val="left"/>
              <w:rPr>
                <w:sz w:val="18"/>
                <w:szCs w:val="18"/>
              </w:rPr>
            </w:pPr>
            <w:r w:rsidRPr="00834CDC">
              <w:rPr>
                <w:sz w:val="18"/>
                <w:szCs w:val="18"/>
              </w:rPr>
              <w:t>Aboriginal and Torres Strait Islander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AC558B4" w14:textId="77777777" w:rsidR="001B59ED" w:rsidRPr="00834CDC" w:rsidRDefault="001B59ED" w:rsidP="00457617">
            <w:pPr>
              <w:pStyle w:val="NormalWeb"/>
              <w:rPr>
                <w:sz w:val="18"/>
                <w:szCs w:val="18"/>
              </w:rPr>
            </w:pPr>
            <w:r w:rsidRPr="00834CDC">
              <w:rPr>
                <w:sz w:val="18"/>
                <w:szCs w:val="18"/>
              </w:rPr>
              <w:t>2</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FE8D8B8" w14:textId="77777777" w:rsidR="001B59ED" w:rsidRPr="00834CDC" w:rsidRDefault="001B59ED" w:rsidP="00457617">
            <w:pPr>
              <w:pStyle w:val="NormalWeb"/>
              <w:rPr>
                <w:sz w:val="18"/>
                <w:szCs w:val="18"/>
              </w:rPr>
            </w:pPr>
            <w:r w:rsidRPr="00834CDC">
              <w:rPr>
                <w:sz w:val="18"/>
                <w:szCs w:val="18"/>
              </w:rPr>
              <w:t>0.20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2CED0D3" w14:textId="77777777" w:rsidR="001B59ED" w:rsidRPr="00834CDC" w:rsidRDefault="001B59ED" w:rsidP="00457617">
            <w:pPr>
              <w:pStyle w:val="NormalWeb"/>
              <w:rPr>
                <w:sz w:val="18"/>
                <w:szCs w:val="18"/>
              </w:rPr>
            </w:pPr>
            <w:r w:rsidRPr="00834CDC">
              <w:rPr>
                <w:sz w:val="18"/>
                <w:szCs w:val="18"/>
              </w:rPr>
              <w:t>0</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32E2185" w14:textId="77777777" w:rsidR="001B59ED" w:rsidRPr="00834CDC" w:rsidRDefault="001B59ED" w:rsidP="00457617">
            <w:pPr>
              <w:pStyle w:val="NormalWeb"/>
              <w:rPr>
                <w:sz w:val="18"/>
                <w:szCs w:val="18"/>
              </w:rPr>
            </w:pPr>
            <w:r w:rsidRPr="00834CDC">
              <w:rPr>
                <w:sz w:val="18"/>
                <w:szCs w:val="18"/>
              </w:rPr>
              <w:t>0.00</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BC8B054"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D214528"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066FAAF" w14:textId="77777777" w:rsidR="001B59ED" w:rsidRPr="00834CDC" w:rsidRDefault="001B59ED" w:rsidP="00457617">
            <w:pPr>
              <w:pStyle w:val="NormalWeb"/>
              <w:rPr>
                <w:sz w:val="18"/>
                <w:szCs w:val="18"/>
              </w:rPr>
            </w:pPr>
            <w:r w:rsidRPr="00834CDC">
              <w:rPr>
                <w:sz w:val="18"/>
                <w:szCs w:val="18"/>
              </w:rPr>
              <w:t>0</w:t>
            </w:r>
          </w:p>
        </w:tc>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9ABB576" w14:textId="77777777" w:rsidR="001B59ED" w:rsidRPr="00834CDC" w:rsidRDefault="001B59ED" w:rsidP="00457617">
            <w:pPr>
              <w:pStyle w:val="NormalWeb"/>
              <w:rPr>
                <w:sz w:val="18"/>
                <w:szCs w:val="18"/>
              </w:rPr>
            </w:pPr>
            <w:r w:rsidRPr="00834CDC">
              <w:rPr>
                <w:sz w:val="18"/>
                <w:szCs w:val="18"/>
              </w:rPr>
              <w:t>0.00</w:t>
            </w:r>
          </w:p>
        </w:tc>
      </w:tr>
      <w:tr w:rsidR="001B59ED" w:rsidRPr="00834CDC" w14:paraId="396CF43C" w14:textId="77777777" w:rsidTr="00115711">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2384373" w14:textId="77777777" w:rsidR="001B59ED" w:rsidRPr="00834CDC" w:rsidRDefault="001B59ED" w:rsidP="001B59ED">
            <w:pPr>
              <w:jc w:val="left"/>
              <w:rPr>
                <w:sz w:val="18"/>
                <w:szCs w:val="18"/>
              </w:rPr>
            </w:pP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3809019" w14:textId="77777777" w:rsidR="001B59ED" w:rsidRPr="00834CDC" w:rsidRDefault="001B59ED" w:rsidP="001B59ED">
            <w:pPr>
              <w:pStyle w:val="NormalWeb"/>
              <w:jc w:val="left"/>
              <w:rPr>
                <w:sz w:val="18"/>
                <w:szCs w:val="18"/>
              </w:rPr>
            </w:pPr>
            <w:r w:rsidRPr="00834CDC">
              <w:rPr>
                <w:sz w:val="18"/>
                <w:szCs w:val="18"/>
              </w:rPr>
              <w:t>Other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624CDE0" w14:textId="77777777" w:rsidR="001B59ED" w:rsidRPr="00834CDC" w:rsidRDefault="001B59ED" w:rsidP="00457617">
            <w:pPr>
              <w:pStyle w:val="NormalWeb"/>
              <w:rPr>
                <w:sz w:val="18"/>
                <w:szCs w:val="18"/>
              </w:rPr>
            </w:pPr>
            <w:r w:rsidRPr="00834CDC">
              <w:rPr>
                <w:sz w:val="18"/>
                <w:szCs w:val="18"/>
              </w:rPr>
              <w:t>7</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CFAC618" w14:textId="77777777" w:rsidR="001B59ED" w:rsidRPr="00834CDC" w:rsidRDefault="001B59ED" w:rsidP="00457617">
            <w:pPr>
              <w:pStyle w:val="NormalWeb"/>
              <w:rPr>
                <w:sz w:val="18"/>
                <w:szCs w:val="18"/>
              </w:rPr>
            </w:pPr>
            <w:r w:rsidRPr="00834CDC">
              <w:rPr>
                <w:sz w:val="18"/>
                <w:szCs w:val="18"/>
              </w:rPr>
              <w:t>0.02</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B8E57A4" w14:textId="77777777" w:rsidR="001B59ED" w:rsidRPr="00834CDC" w:rsidRDefault="001B59ED" w:rsidP="00457617">
            <w:pPr>
              <w:pStyle w:val="NormalWeb"/>
              <w:rPr>
                <w:sz w:val="18"/>
                <w:szCs w:val="18"/>
              </w:rPr>
            </w:pPr>
            <w:r w:rsidRPr="00834CDC">
              <w:rPr>
                <w:sz w:val="18"/>
                <w:szCs w:val="18"/>
              </w:rPr>
              <w:t>3</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EC50F02" w14:textId="77777777" w:rsidR="001B59ED" w:rsidRPr="00834CDC" w:rsidRDefault="001B59ED" w:rsidP="00457617">
            <w:pPr>
              <w:pStyle w:val="NormalWeb"/>
              <w:rPr>
                <w:sz w:val="18"/>
                <w:szCs w:val="18"/>
              </w:rPr>
            </w:pPr>
            <w:r w:rsidRPr="00834CDC">
              <w:rPr>
                <w:sz w:val="18"/>
                <w:szCs w:val="18"/>
              </w:rPr>
              <w:t>0.01</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8DDB729"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CC88E6B"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50C4F46" w14:textId="77777777" w:rsidR="001B59ED" w:rsidRPr="00834CDC" w:rsidRDefault="001B59ED" w:rsidP="00457617">
            <w:pPr>
              <w:pStyle w:val="NormalWeb"/>
              <w:rPr>
                <w:sz w:val="18"/>
                <w:szCs w:val="18"/>
              </w:rPr>
            </w:pPr>
            <w:r w:rsidRPr="00834CDC">
              <w:rPr>
                <w:sz w:val="18"/>
                <w:szCs w:val="18"/>
              </w:rPr>
              <w:t>33</w:t>
            </w:r>
          </w:p>
        </w:tc>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44A174E" w14:textId="77777777" w:rsidR="001B59ED" w:rsidRPr="00834CDC" w:rsidRDefault="001B59ED" w:rsidP="00457617">
            <w:pPr>
              <w:pStyle w:val="NormalWeb"/>
              <w:rPr>
                <w:sz w:val="18"/>
                <w:szCs w:val="18"/>
              </w:rPr>
            </w:pPr>
            <w:r w:rsidRPr="00834CDC">
              <w:rPr>
                <w:sz w:val="18"/>
                <w:szCs w:val="18"/>
              </w:rPr>
              <w:t>0.10</w:t>
            </w:r>
          </w:p>
        </w:tc>
      </w:tr>
      <w:tr w:rsidR="001B59ED" w:rsidRPr="00834CDC" w14:paraId="0C8ED589" w14:textId="77777777" w:rsidTr="00115711">
        <w:trPr>
          <w:divId w:val="1988506822"/>
        </w:trPr>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3E28707" w14:textId="77777777" w:rsidR="001B59ED" w:rsidRPr="00834CDC" w:rsidRDefault="001B59ED" w:rsidP="001B59ED">
            <w:pPr>
              <w:pStyle w:val="NormalWeb"/>
              <w:jc w:val="left"/>
              <w:rPr>
                <w:sz w:val="18"/>
                <w:szCs w:val="18"/>
              </w:rPr>
            </w:pPr>
            <w:r w:rsidRPr="00834CDC">
              <w:rPr>
                <w:sz w:val="18"/>
                <w:szCs w:val="18"/>
              </w:rPr>
              <w:t>≥ 50</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462DA3B" w14:textId="77777777" w:rsidR="001B59ED" w:rsidRPr="00834CDC" w:rsidRDefault="001B59ED" w:rsidP="001B59ED">
            <w:pPr>
              <w:pStyle w:val="NormalWeb"/>
              <w:jc w:val="left"/>
              <w:rPr>
                <w:sz w:val="18"/>
                <w:szCs w:val="18"/>
              </w:rPr>
            </w:pPr>
            <w:r w:rsidRPr="00834CDC">
              <w:rPr>
                <w:sz w:val="18"/>
                <w:szCs w:val="18"/>
              </w:rPr>
              <w:t>Aboriginal and Torres Strait Islander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F5AD63D" w14:textId="77777777" w:rsidR="001B59ED" w:rsidRPr="00834CDC" w:rsidRDefault="001B59ED" w:rsidP="00457617">
            <w:pPr>
              <w:pStyle w:val="NormalWeb"/>
              <w:rPr>
                <w:sz w:val="18"/>
                <w:szCs w:val="18"/>
              </w:rPr>
            </w:pPr>
            <w:r w:rsidRPr="00834CDC">
              <w:rPr>
                <w:sz w:val="18"/>
                <w:szCs w:val="18"/>
              </w:rPr>
              <w:t>1</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D99C9A" w14:textId="77777777" w:rsidR="001B59ED" w:rsidRPr="00834CDC" w:rsidRDefault="001B59ED" w:rsidP="00457617">
            <w:pPr>
              <w:pStyle w:val="NormalWeb"/>
              <w:rPr>
                <w:sz w:val="18"/>
                <w:szCs w:val="18"/>
              </w:rPr>
            </w:pPr>
            <w:r w:rsidRPr="00834CDC">
              <w:rPr>
                <w:sz w:val="18"/>
                <w:szCs w:val="18"/>
              </w:rPr>
              <w:t>0.19</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959B3DD" w14:textId="77777777" w:rsidR="001B59ED" w:rsidRPr="00834CDC" w:rsidRDefault="001B59ED" w:rsidP="00457617">
            <w:pPr>
              <w:pStyle w:val="NormalWeb"/>
              <w:rPr>
                <w:sz w:val="18"/>
                <w:szCs w:val="18"/>
              </w:rPr>
            </w:pPr>
            <w:r w:rsidRPr="00834CDC">
              <w:rPr>
                <w:sz w:val="18"/>
                <w:szCs w:val="18"/>
              </w:rPr>
              <w:t>0</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155D8C3" w14:textId="77777777" w:rsidR="001B59ED" w:rsidRPr="00834CDC" w:rsidRDefault="001B59ED" w:rsidP="00457617">
            <w:pPr>
              <w:pStyle w:val="NormalWeb"/>
              <w:rPr>
                <w:sz w:val="18"/>
                <w:szCs w:val="18"/>
              </w:rPr>
            </w:pPr>
            <w:r w:rsidRPr="00834CDC">
              <w:rPr>
                <w:sz w:val="18"/>
                <w:szCs w:val="18"/>
              </w:rPr>
              <w:t>0.00</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5698282"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BC0B4FB"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AEBCF69" w14:textId="77777777" w:rsidR="001B59ED" w:rsidRPr="00834CDC" w:rsidRDefault="001B59ED" w:rsidP="00457617">
            <w:pPr>
              <w:pStyle w:val="NormalWeb"/>
              <w:rPr>
                <w:sz w:val="18"/>
                <w:szCs w:val="18"/>
              </w:rPr>
            </w:pPr>
            <w:r w:rsidRPr="00834CDC">
              <w:rPr>
                <w:sz w:val="18"/>
                <w:szCs w:val="18"/>
              </w:rPr>
              <w:t>0</w:t>
            </w:r>
          </w:p>
        </w:tc>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380BAE5" w14:textId="77777777" w:rsidR="001B59ED" w:rsidRPr="00834CDC" w:rsidRDefault="001B59ED" w:rsidP="00457617">
            <w:pPr>
              <w:pStyle w:val="NormalWeb"/>
              <w:rPr>
                <w:sz w:val="18"/>
                <w:szCs w:val="18"/>
              </w:rPr>
            </w:pPr>
            <w:r w:rsidRPr="00834CDC">
              <w:rPr>
                <w:sz w:val="18"/>
                <w:szCs w:val="18"/>
              </w:rPr>
              <w:t>0.00</w:t>
            </w:r>
          </w:p>
        </w:tc>
      </w:tr>
      <w:tr w:rsidR="001B59ED" w:rsidRPr="00834CDC" w14:paraId="31115C90" w14:textId="77777777" w:rsidTr="00115711">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EA2A349" w14:textId="77777777" w:rsidR="001B59ED" w:rsidRPr="00834CDC" w:rsidRDefault="001B59ED" w:rsidP="001B59ED">
            <w:pPr>
              <w:jc w:val="left"/>
              <w:rPr>
                <w:sz w:val="18"/>
                <w:szCs w:val="18"/>
              </w:rPr>
            </w:pP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05F2267" w14:textId="77777777" w:rsidR="001B59ED" w:rsidRPr="00834CDC" w:rsidRDefault="001B59ED" w:rsidP="001B59ED">
            <w:pPr>
              <w:pStyle w:val="NormalWeb"/>
              <w:jc w:val="left"/>
              <w:rPr>
                <w:sz w:val="18"/>
                <w:szCs w:val="18"/>
              </w:rPr>
            </w:pPr>
            <w:r w:rsidRPr="00834CDC">
              <w:rPr>
                <w:sz w:val="18"/>
                <w:szCs w:val="18"/>
              </w:rPr>
              <w:t>Other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CB79F0F" w14:textId="77777777" w:rsidR="001B59ED" w:rsidRPr="00834CDC" w:rsidRDefault="001B59ED" w:rsidP="00457617">
            <w:pPr>
              <w:pStyle w:val="NormalWeb"/>
              <w:rPr>
                <w:sz w:val="18"/>
                <w:szCs w:val="18"/>
              </w:rPr>
            </w:pPr>
            <w:r w:rsidRPr="00834CDC">
              <w:rPr>
                <w:sz w:val="18"/>
                <w:szCs w:val="18"/>
              </w:rPr>
              <w:t>17</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B5DF3E4" w14:textId="77777777" w:rsidR="001B59ED" w:rsidRPr="00834CDC" w:rsidRDefault="001B59ED" w:rsidP="00457617">
            <w:pPr>
              <w:pStyle w:val="NormalWeb"/>
              <w:rPr>
                <w:sz w:val="18"/>
                <w:szCs w:val="18"/>
              </w:rPr>
            </w:pPr>
            <w:r w:rsidRPr="00834CDC">
              <w:rPr>
                <w:sz w:val="18"/>
                <w:szCs w:val="18"/>
              </w:rPr>
              <w:t>0.05</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624BF7" w14:textId="77777777" w:rsidR="001B59ED" w:rsidRPr="00834CDC" w:rsidRDefault="001B59ED" w:rsidP="00457617">
            <w:pPr>
              <w:pStyle w:val="NormalWeb"/>
              <w:rPr>
                <w:sz w:val="18"/>
                <w:szCs w:val="18"/>
              </w:rPr>
            </w:pPr>
            <w:r w:rsidRPr="00834CDC">
              <w:rPr>
                <w:sz w:val="18"/>
                <w:szCs w:val="18"/>
              </w:rPr>
              <w:t>8</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C093047" w14:textId="77777777" w:rsidR="001B59ED" w:rsidRPr="00834CDC" w:rsidRDefault="001B59ED" w:rsidP="00457617">
            <w:pPr>
              <w:pStyle w:val="NormalWeb"/>
              <w:rPr>
                <w:sz w:val="18"/>
                <w:szCs w:val="18"/>
              </w:rPr>
            </w:pPr>
            <w:r w:rsidRPr="00834CDC">
              <w:rPr>
                <w:sz w:val="18"/>
                <w:szCs w:val="18"/>
              </w:rPr>
              <w:t>0.02</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78DDCB2"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8588EC1" w14:textId="77777777" w:rsidR="001B59ED" w:rsidRPr="00834CDC" w:rsidRDefault="001B59ED"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8693FC8" w14:textId="77777777" w:rsidR="001B59ED" w:rsidRPr="00834CDC" w:rsidRDefault="001B59ED" w:rsidP="00457617">
            <w:pPr>
              <w:pStyle w:val="NormalWeb"/>
              <w:rPr>
                <w:sz w:val="18"/>
                <w:szCs w:val="18"/>
              </w:rPr>
            </w:pPr>
            <w:r w:rsidRPr="00834CDC">
              <w:rPr>
                <w:sz w:val="18"/>
                <w:szCs w:val="18"/>
              </w:rPr>
              <w:t>5</w:t>
            </w:r>
          </w:p>
        </w:tc>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8C0A1F1" w14:textId="77777777" w:rsidR="001B59ED" w:rsidRPr="00834CDC" w:rsidRDefault="001B59ED" w:rsidP="00457617">
            <w:pPr>
              <w:pStyle w:val="NormalWeb"/>
              <w:rPr>
                <w:sz w:val="18"/>
                <w:szCs w:val="18"/>
              </w:rPr>
            </w:pPr>
            <w:r w:rsidRPr="00834CDC">
              <w:rPr>
                <w:sz w:val="18"/>
                <w:szCs w:val="18"/>
              </w:rPr>
              <w:t>0.02</w:t>
            </w:r>
          </w:p>
        </w:tc>
      </w:tr>
      <w:tr w:rsidR="00115711" w:rsidRPr="00834CDC" w14:paraId="3977AE4E" w14:textId="77777777" w:rsidTr="00115711">
        <w:trPr>
          <w:divId w:val="1988506822"/>
        </w:trPr>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0218DB21" w14:textId="4D9F3612" w:rsidR="001B59ED" w:rsidRPr="00834CDC" w:rsidRDefault="001B59ED" w:rsidP="001B59ED">
            <w:pPr>
              <w:pStyle w:val="NormalWeb"/>
              <w:jc w:val="left"/>
              <w:rPr>
                <w:b/>
                <w:bCs/>
                <w:sz w:val="18"/>
                <w:szCs w:val="18"/>
              </w:rPr>
            </w:pPr>
            <w:r w:rsidRPr="00834CDC">
              <w:rPr>
                <w:b/>
                <w:bCs/>
                <w:sz w:val="18"/>
                <w:szCs w:val="18"/>
              </w:rPr>
              <w:t>All ages</w:t>
            </w:r>
            <w:r w:rsidR="007402E6" w:rsidRPr="00834CDC">
              <w:rPr>
                <w:b/>
                <w:bCs/>
                <w:sz w:val="18"/>
                <w:szCs w:val="18"/>
              </w:rPr>
              <w:t xml:space="preserve"> </w:t>
            </w:r>
            <w:r w:rsidRPr="00834CDC">
              <w:rPr>
                <w:b/>
                <w:bCs/>
                <w:sz w:val="18"/>
                <w:szCs w:val="18"/>
                <w:vertAlign w:val="superscript"/>
              </w:rPr>
              <w:t>c</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0E9B3A29" w14:textId="77777777" w:rsidR="001B59ED" w:rsidRPr="00834CDC" w:rsidRDefault="001B59ED" w:rsidP="001B59ED">
            <w:pPr>
              <w:pStyle w:val="NormalWeb"/>
              <w:jc w:val="left"/>
              <w:rPr>
                <w:b/>
                <w:bCs/>
                <w:sz w:val="18"/>
                <w:szCs w:val="18"/>
              </w:rPr>
            </w:pPr>
            <w:r w:rsidRPr="00834CDC">
              <w:rPr>
                <w:b/>
                <w:bCs/>
                <w:sz w:val="18"/>
                <w:szCs w:val="18"/>
              </w:rPr>
              <w:t>Aboriginal and Torres Strait Islander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74130113" w14:textId="77777777" w:rsidR="001B59ED" w:rsidRPr="00834CDC" w:rsidRDefault="001B59ED" w:rsidP="00457617">
            <w:pPr>
              <w:pStyle w:val="NormalWeb"/>
              <w:rPr>
                <w:b/>
                <w:bCs/>
                <w:sz w:val="18"/>
                <w:szCs w:val="18"/>
              </w:rPr>
            </w:pPr>
            <w:r w:rsidRPr="00834CDC">
              <w:rPr>
                <w:b/>
                <w:bCs/>
                <w:sz w:val="18"/>
                <w:szCs w:val="18"/>
              </w:rPr>
              <w:t>3</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181D2001" w14:textId="77777777" w:rsidR="001B59ED" w:rsidRPr="00834CDC" w:rsidRDefault="001B59ED" w:rsidP="00457617">
            <w:pPr>
              <w:pStyle w:val="NormalWeb"/>
              <w:rPr>
                <w:b/>
                <w:bCs/>
                <w:sz w:val="18"/>
                <w:szCs w:val="18"/>
              </w:rPr>
            </w:pPr>
            <w:r w:rsidRPr="00834CDC">
              <w:rPr>
                <w:b/>
                <w:bCs/>
                <w:sz w:val="18"/>
                <w:szCs w:val="18"/>
              </w:rPr>
              <w:t>0.13</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06181A2" w14:textId="77777777" w:rsidR="001B59ED" w:rsidRPr="00834CDC" w:rsidRDefault="001B59ED" w:rsidP="00457617">
            <w:pPr>
              <w:pStyle w:val="NormalWeb"/>
              <w:rPr>
                <w:b/>
                <w:bCs/>
                <w:sz w:val="18"/>
                <w:szCs w:val="18"/>
              </w:rPr>
            </w:pPr>
            <w:r w:rsidRPr="00834CDC">
              <w:rPr>
                <w:b/>
                <w:bCs/>
                <w:sz w:val="18"/>
                <w:szCs w:val="18"/>
              </w:rPr>
              <w:t>0</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27B6F154" w14:textId="77777777" w:rsidR="001B59ED" w:rsidRPr="00834CDC" w:rsidRDefault="001B59ED" w:rsidP="00457617">
            <w:pPr>
              <w:pStyle w:val="NormalWeb"/>
              <w:rPr>
                <w:b/>
                <w:bCs/>
                <w:sz w:val="18"/>
                <w:szCs w:val="18"/>
              </w:rPr>
            </w:pPr>
            <w:r w:rsidRPr="00834CDC">
              <w:rPr>
                <w:b/>
                <w:bCs/>
                <w:sz w:val="18"/>
                <w:szCs w:val="18"/>
              </w:rPr>
              <w:t>0.00</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054F650" w14:textId="77777777" w:rsidR="001B59ED" w:rsidRPr="00834CDC" w:rsidRDefault="001B59ED" w:rsidP="00457617">
            <w:pPr>
              <w:pStyle w:val="NormalWeb"/>
              <w:rPr>
                <w:b/>
                <w:bCs/>
                <w:sz w:val="18"/>
                <w:szCs w:val="18"/>
              </w:rPr>
            </w:pPr>
            <w:r w:rsidRPr="00834CDC">
              <w:rPr>
                <w:b/>
                <w:bCs/>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467A29E3" w14:textId="77777777" w:rsidR="001B59ED" w:rsidRPr="00834CDC" w:rsidRDefault="001B59ED" w:rsidP="00457617">
            <w:pPr>
              <w:pStyle w:val="NormalWeb"/>
              <w:rPr>
                <w:b/>
                <w:bCs/>
                <w:sz w:val="18"/>
                <w:szCs w:val="18"/>
              </w:rPr>
            </w:pPr>
            <w:r w:rsidRPr="00834CDC">
              <w:rPr>
                <w:b/>
                <w:bCs/>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57A5C699" w14:textId="77777777" w:rsidR="001B59ED" w:rsidRPr="00834CDC" w:rsidRDefault="001B59ED" w:rsidP="00457617">
            <w:pPr>
              <w:pStyle w:val="NormalWeb"/>
              <w:rPr>
                <w:b/>
                <w:bCs/>
                <w:sz w:val="18"/>
                <w:szCs w:val="18"/>
              </w:rPr>
            </w:pPr>
            <w:r w:rsidRPr="00834CDC">
              <w:rPr>
                <w:b/>
                <w:bCs/>
                <w:sz w:val="18"/>
                <w:szCs w:val="18"/>
              </w:rPr>
              <w:t>1</w:t>
            </w:r>
          </w:p>
        </w:tc>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0DC0D352" w14:textId="77777777" w:rsidR="001B59ED" w:rsidRPr="00834CDC" w:rsidRDefault="001B59ED" w:rsidP="00457617">
            <w:pPr>
              <w:pStyle w:val="NormalWeb"/>
              <w:rPr>
                <w:b/>
                <w:bCs/>
                <w:sz w:val="18"/>
                <w:szCs w:val="18"/>
              </w:rPr>
            </w:pPr>
            <w:r w:rsidRPr="00834CDC">
              <w:rPr>
                <w:b/>
                <w:bCs/>
                <w:sz w:val="18"/>
                <w:szCs w:val="18"/>
              </w:rPr>
              <w:t>0.03</w:t>
            </w:r>
            <w:r w:rsidRPr="00834CDC">
              <w:rPr>
                <w:b/>
                <w:bCs/>
                <w:sz w:val="18"/>
                <w:szCs w:val="18"/>
                <w:vertAlign w:val="superscript"/>
              </w:rPr>
              <w:t>d</w:t>
            </w:r>
          </w:p>
        </w:tc>
      </w:tr>
      <w:tr w:rsidR="00382A9D" w:rsidRPr="00834CDC" w14:paraId="268D0E2D" w14:textId="77777777" w:rsidTr="00115711">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F66C50C" w14:textId="77777777" w:rsidR="001B59ED" w:rsidRPr="00834CDC" w:rsidRDefault="001B59ED" w:rsidP="001B59ED">
            <w:pPr>
              <w:jc w:val="left"/>
              <w:rPr>
                <w:b/>
                <w:bCs/>
                <w:sz w:val="18"/>
                <w:szCs w:val="18"/>
              </w:rPr>
            </w:pP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4A2279D" w14:textId="77777777" w:rsidR="001B59ED" w:rsidRPr="00834CDC" w:rsidRDefault="001B59ED" w:rsidP="001B59ED">
            <w:pPr>
              <w:pStyle w:val="NormalWeb"/>
              <w:jc w:val="left"/>
              <w:rPr>
                <w:b/>
                <w:bCs/>
                <w:sz w:val="18"/>
                <w:szCs w:val="18"/>
              </w:rPr>
            </w:pPr>
            <w:r w:rsidRPr="00834CDC">
              <w:rPr>
                <w:b/>
                <w:bCs/>
                <w:sz w:val="18"/>
                <w:szCs w:val="18"/>
              </w:rPr>
              <w:t>Other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BD68C19" w14:textId="77777777" w:rsidR="001B59ED" w:rsidRPr="00834CDC" w:rsidRDefault="001B59ED" w:rsidP="00457617">
            <w:pPr>
              <w:pStyle w:val="NormalWeb"/>
              <w:rPr>
                <w:b/>
                <w:bCs/>
                <w:sz w:val="18"/>
                <w:szCs w:val="18"/>
              </w:rPr>
            </w:pPr>
            <w:r w:rsidRPr="00834CDC">
              <w:rPr>
                <w:b/>
                <w:bCs/>
                <w:sz w:val="18"/>
                <w:szCs w:val="18"/>
              </w:rPr>
              <w:t>31</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0C981A9" w14:textId="77777777" w:rsidR="001B59ED" w:rsidRPr="00834CDC" w:rsidRDefault="001B59ED" w:rsidP="00457617">
            <w:pPr>
              <w:pStyle w:val="NormalWeb"/>
              <w:rPr>
                <w:b/>
                <w:bCs/>
                <w:sz w:val="18"/>
                <w:szCs w:val="18"/>
              </w:rPr>
            </w:pPr>
            <w:r w:rsidRPr="00834CDC">
              <w:rPr>
                <w:b/>
                <w:bCs/>
                <w:sz w:val="18"/>
                <w:szCs w:val="18"/>
              </w:rPr>
              <w:t>0.03</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D7FFD6C" w14:textId="77777777" w:rsidR="001B59ED" w:rsidRPr="00834CDC" w:rsidRDefault="001B59ED" w:rsidP="00457617">
            <w:pPr>
              <w:pStyle w:val="NormalWeb"/>
              <w:rPr>
                <w:b/>
                <w:bCs/>
                <w:sz w:val="18"/>
                <w:szCs w:val="18"/>
              </w:rPr>
            </w:pPr>
            <w:r w:rsidRPr="00834CDC">
              <w:rPr>
                <w:b/>
                <w:bCs/>
                <w:sz w:val="18"/>
                <w:szCs w:val="18"/>
              </w:rPr>
              <w:t>17</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7229E795" w14:textId="77777777" w:rsidR="001B59ED" w:rsidRPr="00834CDC" w:rsidRDefault="001B59ED" w:rsidP="00457617">
            <w:pPr>
              <w:pStyle w:val="NormalWeb"/>
              <w:rPr>
                <w:b/>
                <w:bCs/>
                <w:sz w:val="18"/>
                <w:szCs w:val="18"/>
              </w:rPr>
            </w:pPr>
            <w:r w:rsidRPr="00834CDC">
              <w:rPr>
                <w:b/>
                <w:bCs/>
                <w:sz w:val="18"/>
                <w:szCs w:val="18"/>
              </w:rPr>
              <w:t>0.02</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4CA626AE" w14:textId="77777777" w:rsidR="001B59ED" w:rsidRPr="00834CDC" w:rsidRDefault="001B59ED" w:rsidP="00457617">
            <w:pPr>
              <w:pStyle w:val="NormalWeb"/>
              <w:rPr>
                <w:b/>
                <w:bCs/>
                <w:sz w:val="18"/>
                <w:szCs w:val="18"/>
              </w:rPr>
            </w:pPr>
            <w:r w:rsidRPr="00834CDC">
              <w:rPr>
                <w:b/>
                <w:bCs/>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1D26BC40" w14:textId="77777777" w:rsidR="001B59ED" w:rsidRPr="00834CDC" w:rsidRDefault="001B59ED" w:rsidP="00457617">
            <w:pPr>
              <w:pStyle w:val="NormalWeb"/>
              <w:rPr>
                <w:b/>
                <w:bCs/>
                <w:sz w:val="18"/>
                <w:szCs w:val="18"/>
              </w:rPr>
            </w:pPr>
            <w:r w:rsidRPr="00834CDC">
              <w:rPr>
                <w:b/>
                <w:bCs/>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7210B153" w14:textId="77777777" w:rsidR="001B59ED" w:rsidRPr="00834CDC" w:rsidRDefault="001B59ED" w:rsidP="00457617">
            <w:pPr>
              <w:pStyle w:val="NormalWeb"/>
              <w:rPr>
                <w:b/>
                <w:bCs/>
                <w:sz w:val="18"/>
                <w:szCs w:val="18"/>
              </w:rPr>
            </w:pPr>
            <w:r w:rsidRPr="00834CDC">
              <w:rPr>
                <w:b/>
                <w:bCs/>
                <w:sz w:val="18"/>
                <w:szCs w:val="18"/>
              </w:rPr>
              <w:t>57</w:t>
            </w:r>
          </w:p>
        </w:tc>
        <w:tc>
          <w:tcPr>
            <w:tcW w:w="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056FA156" w14:textId="77777777" w:rsidR="001B59ED" w:rsidRPr="00834CDC" w:rsidRDefault="001B59ED" w:rsidP="00457617">
            <w:pPr>
              <w:pStyle w:val="NormalWeb"/>
              <w:rPr>
                <w:b/>
                <w:bCs/>
                <w:sz w:val="18"/>
                <w:szCs w:val="18"/>
              </w:rPr>
            </w:pPr>
            <w:r w:rsidRPr="00834CDC">
              <w:rPr>
                <w:b/>
                <w:bCs/>
                <w:sz w:val="18"/>
                <w:szCs w:val="18"/>
              </w:rPr>
              <w:t>0.06</w:t>
            </w:r>
          </w:p>
        </w:tc>
      </w:tr>
    </w:tbl>
    <w:p w14:paraId="0C659517" w14:textId="77777777" w:rsidR="001B59ED" w:rsidRPr="00834CDC" w:rsidRDefault="001B59ED" w:rsidP="001B59ED">
      <w:pPr>
        <w:pStyle w:val="CDIfootnotes"/>
        <w:divId w:val="1988506822"/>
      </w:pPr>
      <w:r w:rsidRPr="00834CDC">
        <w:t>a</w:t>
      </w:r>
      <w:r w:rsidRPr="00834CDC">
        <w:tab/>
        <w:t>Notification where date of diagnosis was between 1 January 2016 and 31 December 2019.</w:t>
      </w:r>
    </w:p>
    <w:p w14:paraId="3015446F" w14:textId="77777777" w:rsidR="001B59ED" w:rsidRPr="00834CDC" w:rsidRDefault="001B59ED" w:rsidP="001B59ED">
      <w:pPr>
        <w:pStyle w:val="CDIfootnotes"/>
        <w:divId w:val="1988506822"/>
      </w:pPr>
      <w:r w:rsidRPr="00834CDC">
        <w:t>b</w:t>
      </w:r>
      <w:r w:rsidRPr="00834CDC">
        <w:tab/>
        <w:t>Average annual age-specific rate per 100,000 population.</w:t>
      </w:r>
    </w:p>
    <w:p w14:paraId="3AEF2F31" w14:textId="77777777" w:rsidR="001B59ED" w:rsidRPr="00834CDC" w:rsidRDefault="001B59ED" w:rsidP="001B59ED">
      <w:pPr>
        <w:pStyle w:val="CDIfootnotes"/>
        <w:divId w:val="1988506822"/>
      </w:pPr>
      <w:r w:rsidRPr="00834CDC">
        <w:t>c</w:t>
      </w:r>
      <w:r w:rsidRPr="00834CDC">
        <w:tab/>
        <w:t>Rates for all ages combined are age-standardised in standard population following the Australian Bureau of Statistics 2016 Census.</w:t>
      </w:r>
    </w:p>
    <w:p w14:paraId="04F22E9D" w14:textId="77777777" w:rsidR="001B59ED" w:rsidRPr="00834CDC" w:rsidRDefault="001B59ED" w:rsidP="001B59ED">
      <w:pPr>
        <w:pStyle w:val="CDIfootnotes"/>
        <w:divId w:val="1988506822"/>
      </w:pPr>
      <w:r w:rsidRPr="00834CDC">
        <w:t>d</w:t>
      </w:r>
      <w:r w:rsidRPr="00834CDC">
        <w:tab/>
        <w:t xml:space="preserve">Rates not standardised due to </w:t>
      </w:r>
      <w:proofErr w:type="gramStart"/>
      <w:r w:rsidRPr="00834CDC">
        <w:t>low number</w:t>
      </w:r>
      <w:proofErr w:type="gramEnd"/>
      <w:r w:rsidRPr="00834CDC">
        <w:t xml:space="preserve"> of Indigenous cases.</w:t>
      </w:r>
    </w:p>
    <w:p w14:paraId="24AF3C25" w14:textId="77777777" w:rsidR="00716D44" w:rsidRPr="00834CDC" w:rsidRDefault="00716D44" w:rsidP="00716D44">
      <w:pPr>
        <w:pStyle w:val="CDIFigures"/>
        <w:divId w:val="1988506822"/>
      </w:pPr>
      <w:r w:rsidRPr="00834CDC">
        <w:rPr>
          <w:rStyle w:val="Strong"/>
          <w:b/>
          <w:bCs w:val="0"/>
        </w:rPr>
        <w:t>Table 24: Hospitalisations for diphtheria, tetanus, poliomyelitis and rubella, Australia (all states and territories), 2016–</w:t>
      </w:r>
      <w:proofErr w:type="gramStart"/>
      <w:r w:rsidRPr="00834CDC">
        <w:rPr>
          <w:rStyle w:val="Strong"/>
          <w:b/>
          <w:bCs w:val="0"/>
        </w:rPr>
        <w:t>2019,</w:t>
      </w:r>
      <w:r w:rsidRPr="00834CDC">
        <w:rPr>
          <w:rStyle w:val="Strong"/>
          <w:b/>
          <w:bCs w:val="0"/>
          <w:vertAlign w:val="superscript"/>
        </w:rPr>
        <w:t>a</w:t>
      </w:r>
      <w:proofErr w:type="gramEnd"/>
      <w:r w:rsidRPr="00834CDC">
        <w:rPr>
          <w:rStyle w:val="Strong"/>
          <w:b/>
          <w:bCs w:val="0"/>
        </w:rPr>
        <w:t xml:space="preserve"> by age and Aboriginal and Torres Strait Islander status</w:t>
      </w:r>
    </w:p>
    <w:tbl>
      <w:tblPr>
        <w:tblStyle w:val="CDI-StandardTable"/>
        <w:tblW w:w="0" w:type="auto"/>
        <w:tblCellMar>
          <w:top w:w="28" w:type="dxa"/>
          <w:bottom w:w="28" w:type="dxa"/>
        </w:tblCellMar>
        <w:tblLook w:val="04A0" w:firstRow="1" w:lastRow="0" w:firstColumn="1" w:lastColumn="0" w:noHBand="0" w:noVBand="1"/>
        <w:tblDescription w:val="Table 24 shows the number and rates per 100,000 population of diphtheria, tetanus, poliomyelitis and rubella hospitalisations by age and Aboriginal and Torres Strait Islander status, Australia, 2016 to 2019."/>
      </w:tblPr>
      <w:tblGrid>
        <w:gridCol w:w="879"/>
        <w:gridCol w:w="3799"/>
        <w:gridCol w:w="567"/>
        <w:gridCol w:w="567"/>
        <w:gridCol w:w="567"/>
        <w:gridCol w:w="851"/>
        <w:gridCol w:w="567"/>
        <w:gridCol w:w="850"/>
        <w:gridCol w:w="709"/>
        <w:gridCol w:w="1107"/>
      </w:tblGrid>
      <w:tr w:rsidR="00716D44" w:rsidRPr="00834CDC" w14:paraId="58615BB8" w14:textId="77777777" w:rsidTr="00115711">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val="restart"/>
            <w:hideMark/>
          </w:tcPr>
          <w:p w14:paraId="71A3279D" w14:textId="77777777" w:rsidR="00716D44" w:rsidRPr="00834CDC" w:rsidRDefault="00716D44" w:rsidP="00457617">
            <w:pPr>
              <w:pStyle w:val="NormalWeb"/>
              <w:rPr>
                <w:sz w:val="18"/>
                <w:szCs w:val="18"/>
              </w:rPr>
            </w:pPr>
            <w:r w:rsidRPr="00834CDC">
              <w:rPr>
                <w:sz w:val="18"/>
                <w:szCs w:val="18"/>
              </w:rPr>
              <w:t>Age group</w:t>
            </w:r>
            <w:r w:rsidRPr="00834CDC">
              <w:rPr>
                <w:sz w:val="18"/>
                <w:szCs w:val="18"/>
              </w:rPr>
              <w:br/>
              <w:t>(years)</w:t>
            </w:r>
          </w:p>
        </w:tc>
        <w:tc>
          <w:tcPr>
            <w:tcW w:w="3799" w:type="dxa"/>
            <w:vMerge w:val="restart"/>
            <w:hideMark/>
          </w:tcPr>
          <w:p w14:paraId="1B339984" w14:textId="77777777" w:rsidR="00716D44" w:rsidRPr="00834CDC" w:rsidRDefault="00716D44" w:rsidP="000937C8">
            <w:pPr>
              <w:pStyle w:val="NormalWeb"/>
              <w:jc w:val="left"/>
              <w:rPr>
                <w:sz w:val="18"/>
                <w:szCs w:val="18"/>
              </w:rPr>
            </w:pPr>
            <w:r w:rsidRPr="00834CDC">
              <w:rPr>
                <w:sz w:val="18"/>
                <w:szCs w:val="18"/>
              </w:rPr>
              <w:t>Aboriginal and Torres Strait Islander status</w:t>
            </w:r>
          </w:p>
        </w:tc>
        <w:tc>
          <w:tcPr>
            <w:tcW w:w="1134" w:type="dxa"/>
            <w:gridSpan w:val="2"/>
            <w:hideMark/>
          </w:tcPr>
          <w:p w14:paraId="25950A96" w14:textId="6BEDE52C" w:rsidR="00716D44" w:rsidRPr="00834CDC" w:rsidRDefault="00716D44" w:rsidP="00457617">
            <w:pPr>
              <w:pStyle w:val="NormalWeb"/>
              <w:rPr>
                <w:sz w:val="18"/>
                <w:szCs w:val="18"/>
              </w:rPr>
            </w:pPr>
            <w:r w:rsidRPr="00834CDC">
              <w:rPr>
                <w:sz w:val="18"/>
                <w:szCs w:val="18"/>
              </w:rPr>
              <w:t xml:space="preserve">Diphtheria </w:t>
            </w:r>
            <w:r w:rsidRPr="00834CDC">
              <w:rPr>
                <w:sz w:val="18"/>
                <w:szCs w:val="18"/>
                <w:vertAlign w:val="superscript"/>
              </w:rPr>
              <w:t>b</w:t>
            </w:r>
          </w:p>
        </w:tc>
        <w:tc>
          <w:tcPr>
            <w:tcW w:w="1418" w:type="dxa"/>
            <w:gridSpan w:val="2"/>
            <w:hideMark/>
          </w:tcPr>
          <w:p w14:paraId="61C3E7B8" w14:textId="207DC7B1" w:rsidR="00716D44" w:rsidRPr="00834CDC" w:rsidRDefault="00716D44" w:rsidP="00457617">
            <w:pPr>
              <w:pStyle w:val="NormalWeb"/>
              <w:rPr>
                <w:sz w:val="18"/>
                <w:szCs w:val="18"/>
              </w:rPr>
            </w:pPr>
            <w:r w:rsidRPr="00834CDC">
              <w:rPr>
                <w:sz w:val="18"/>
                <w:szCs w:val="18"/>
              </w:rPr>
              <w:t xml:space="preserve">Tetanus </w:t>
            </w:r>
            <w:r w:rsidRPr="00834CDC">
              <w:rPr>
                <w:sz w:val="18"/>
                <w:szCs w:val="18"/>
                <w:vertAlign w:val="superscript"/>
              </w:rPr>
              <w:t>b</w:t>
            </w:r>
          </w:p>
        </w:tc>
        <w:tc>
          <w:tcPr>
            <w:tcW w:w="1417" w:type="dxa"/>
            <w:gridSpan w:val="2"/>
            <w:hideMark/>
          </w:tcPr>
          <w:p w14:paraId="339D65C5" w14:textId="14628AC6" w:rsidR="00716D44" w:rsidRPr="00834CDC" w:rsidRDefault="00716D44" w:rsidP="00457617">
            <w:pPr>
              <w:pStyle w:val="NormalWeb"/>
              <w:rPr>
                <w:sz w:val="18"/>
                <w:szCs w:val="18"/>
              </w:rPr>
            </w:pPr>
            <w:r w:rsidRPr="00834CDC">
              <w:rPr>
                <w:sz w:val="18"/>
                <w:szCs w:val="18"/>
              </w:rPr>
              <w:t xml:space="preserve">Poliomyelitis </w:t>
            </w:r>
            <w:r w:rsidRPr="00834CDC">
              <w:rPr>
                <w:sz w:val="18"/>
                <w:szCs w:val="18"/>
                <w:vertAlign w:val="superscript"/>
              </w:rPr>
              <w:t>c</w:t>
            </w:r>
          </w:p>
        </w:tc>
        <w:tc>
          <w:tcPr>
            <w:tcW w:w="1816" w:type="dxa"/>
            <w:gridSpan w:val="2"/>
            <w:hideMark/>
          </w:tcPr>
          <w:p w14:paraId="38560DEF" w14:textId="23728D9F" w:rsidR="00716D44" w:rsidRPr="00834CDC" w:rsidRDefault="00716D44" w:rsidP="00457617">
            <w:pPr>
              <w:pStyle w:val="NormalWeb"/>
              <w:rPr>
                <w:sz w:val="18"/>
                <w:szCs w:val="18"/>
              </w:rPr>
            </w:pPr>
            <w:r w:rsidRPr="00834CDC">
              <w:rPr>
                <w:sz w:val="18"/>
                <w:szCs w:val="18"/>
              </w:rPr>
              <w:t xml:space="preserve">Rubella </w:t>
            </w:r>
            <w:r w:rsidRPr="00834CDC">
              <w:rPr>
                <w:sz w:val="18"/>
                <w:szCs w:val="18"/>
                <w:vertAlign w:val="superscript"/>
              </w:rPr>
              <w:t>b</w:t>
            </w:r>
          </w:p>
        </w:tc>
      </w:tr>
      <w:tr w:rsidR="00716D44" w:rsidRPr="00834CDC" w14:paraId="7E2F0D49" w14:textId="77777777" w:rsidTr="00115711">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tcBorders>
              <w:bottom w:val="single" w:sz="4" w:space="0" w:color="808080" w:themeColor="background1" w:themeShade="80"/>
            </w:tcBorders>
            <w:hideMark/>
          </w:tcPr>
          <w:p w14:paraId="2A089024" w14:textId="77777777" w:rsidR="00716D44" w:rsidRPr="00834CDC" w:rsidRDefault="00716D44" w:rsidP="00457617">
            <w:pPr>
              <w:rPr>
                <w:sz w:val="18"/>
                <w:szCs w:val="18"/>
              </w:rPr>
            </w:pPr>
          </w:p>
        </w:tc>
        <w:tc>
          <w:tcPr>
            <w:tcW w:w="3799" w:type="dxa"/>
            <w:vMerge/>
            <w:tcBorders>
              <w:bottom w:val="single" w:sz="4" w:space="0" w:color="808080" w:themeColor="background1" w:themeShade="80"/>
            </w:tcBorders>
            <w:hideMark/>
          </w:tcPr>
          <w:p w14:paraId="258E76F1" w14:textId="77777777" w:rsidR="00716D44" w:rsidRPr="00834CDC" w:rsidRDefault="00716D44" w:rsidP="000937C8">
            <w:pPr>
              <w:jc w:val="left"/>
              <w:rPr>
                <w:sz w:val="18"/>
                <w:szCs w:val="18"/>
              </w:rPr>
            </w:pPr>
          </w:p>
        </w:tc>
        <w:tc>
          <w:tcPr>
            <w:tcW w:w="567" w:type="dxa"/>
            <w:tcBorders>
              <w:bottom w:val="single" w:sz="4" w:space="0" w:color="808080" w:themeColor="background1" w:themeShade="80"/>
            </w:tcBorders>
            <w:hideMark/>
          </w:tcPr>
          <w:p w14:paraId="6575C86D" w14:textId="77777777" w:rsidR="00716D44" w:rsidRPr="00834CDC" w:rsidRDefault="00716D44" w:rsidP="00457617">
            <w:pPr>
              <w:pStyle w:val="NormalWeb"/>
              <w:rPr>
                <w:sz w:val="18"/>
                <w:szCs w:val="18"/>
              </w:rPr>
            </w:pPr>
            <w:r w:rsidRPr="00834CDC">
              <w:rPr>
                <w:sz w:val="18"/>
                <w:szCs w:val="18"/>
              </w:rPr>
              <w:t>N</w:t>
            </w:r>
          </w:p>
        </w:tc>
        <w:tc>
          <w:tcPr>
            <w:tcW w:w="567" w:type="dxa"/>
            <w:tcBorders>
              <w:bottom w:val="single" w:sz="4" w:space="0" w:color="808080" w:themeColor="background1" w:themeShade="80"/>
            </w:tcBorders>
            <w:hideMark/>
          </w:tcPr>
          <w:p w14:paraId="7296E55F" w14:textId="33AC0A85" w:rsidR="00716D44" w:rsidRPr="00D24B47" w:rsidRDefault="00716D44" w:rsidP="00457617">
            <w:pPr>
              <w:pStyle w:val="NormalWeb"/>
              <w:rPr>
                <w:sz w:val="18"/>
                <w:szCs w:val="18"/>
                <w:vertAlign w:val="superscript"/>
              </w:rPr>
            </w:pPr>
            <w:r w:rsidRPr="00834CDC">
              <w:rPr>
                <w:sz w:val="18"/>
                <w:szCs w:val="18"/>
              </w:rPr>
              <w:t>Rate</w:t>
            </w:r>
            <w:r w:rsidR="00D24B47">
              <w:rPr>
                <w:sz w:val="18"/>
                <w:szCs w:val="18"/>
              </w:rPr>
              <w:t xml:space="preserve"> </w:t>
            </w:r>
            <w:r w:rsidRPr="00D24B47">
              <w:rPr>
                <w:sz w:val="18"/>
                <w:szCs w:val="18"/>
                <w:vertAlign w:val="superscript"/>
              </w:rPr>
              <w:t>d</w:t>
            </w:r>
          </w:p>
        </w:tc>
        <w:tc>
          <w:tcPr>
            <w:tcW w:w="567" w:type="dxa"/>
            <w:tcBorders>
              <w:bottom w:val="single" w:sz="4" w:space="0" w:color="808080" w:themeColor="background1" w:themeShade="80"/>
            </w:tcBorders>
            <w:hideMark/>
          </w:tcPr>
          <w:p w14:paraId="21EA5D4F" w14:textId="77777777" w:rsidR="00716D44" w:rsidRPr="00834CDC" w:rsidRDefault="00716D44" w:rsidP="00457617">
            <w:pPr>
              <w:pStyle w:val="NormalWeb"/>
              <w:rPr>
                <w:sz w:val="18"/>
                <w:szCs w:val="18"/>
              </w:rPr>
            </w:pPr>
            <w:r w:rsidRPr="00834CDC">
              <w:rPr>
                <w:sz w:val="18"/>
                <w:szCs w:val="18"/>
              </w:rPr>
              <w:t>n</w:t>
            </w:r>
          </w:p>
        </w:tc>
        <w:tc>
          <w:tcPr>
            <w:tcW w:w="851" w:type="dxa"/>
            <w:tcBorders>
              <w:bottom w:val="single" w:sz="4" w:space="0" w:color="808080" w:themeColor="background1" w:themeShade="80"/>
            </w:tcBorders>
            <w:hideMark/>
          </w:tcPr>
          <w:p w14:paraId="370A537A" w14:textId="7EDB2877" w:rsidR="00716D44" w:rsidRPr="00834CDC" w:rsidRDefault="00716D44" w:rsidP="00457617">
            <w:pPr>
              <w:pStyle w:val="NormalWeb"/>
              <w:rPr>
                <w:sz w:val="18"/>
                <w:szCs w:val="18"/>
              </w:rPr>
            </w:pPr>
            <w:r w:rsidRPr="00834CDC">
              <w:rPr>
                <w:sz w:val="18"/>
                <w:szCs w:val="18"/>
              </w:rPr>
              <w:t>Rate</w:t>
            </w:r>
            <w:r w:rsidR="00D24B47">
              <w:rPr>
                <w:sz w:val="18"/>
                <w:szCs w:val="18"/>
              </w:rPr>
              <w:t xml:space="preserve"> </w:t>
            </w:r>
            <w:r w:rsidR="00D24B47" w:rsidRPr="00D24B47">
              <w:rPr>
                <w:sz w:val="18"/>
                <w:szCs w:val="18"/>
                <w:vertAlign w:val="superscript"/>
              </w:rPr>
              <w:t>d</w:t>
            </w:r>
          </w:p>
        </w:tc>
        <w:tc>
          <w:tcPr>
            <w:tcW w:w="567" w:type="dxa"/>
            <w:tcBorders>
              <w:bottom w:val="single" w:sz="4" w:space="0" w:color="808080" w:themeColor="background1" w:themeShade="80"/>
            </w:tcBorders>
            <w:hideMark/>
          </w:tcPr>
          <w:p w14:paraId="22313681" w14:textId="77777777" w:rsidR="00716D44" w:rsidRPr="00834CDC" w:rsidRDefault="00716D44" w:rsidP="00457617">
            <w:pPr>
              <w:pStyle w:val="NormalWeb"/>
              <w:rPr>
                <w:sz w:val="18"/>
                <w:szCs w:val="18"/>
              </w:rPr>
            </w:pPr>
            <w:r w:rsidRPr="00834CDC">
              <w:rPr>
                <w:sz w:val="18"/>
                <w:szCs w:val="18"/>
              </w:rPr>
              <w:t>n</w:t>
            </w:r>
          </w:p>
        </w:tc>
        <w:tc>
          <w:tcPr>
            <w:tcW w:w="850" w:type="dxa"/>
            <w:tcBorders>
              <w:bottom w:val="single" w:sz="4" w:space="0" w:color="808080" w:themeColor="background1" w:themeShade="80"/>
            </w:tcBorders>
            <w:hideMark/>
          </w:tcPr>
          <w:p w14:paraId="5504BBC4" w14:textId="0802E311" w:rsidR="00716D44" w:rsidRPr="00834CDC" w:rsidRDefault="00716D44" w:rsidP="00457617">
            <w:pPr>
              <w:pStyle w:val="NormalWeb"/>
              <w:rPr>
                <w:sz w:val="18"/>
                <w:szCs w:val="18"/>
              </w:rPr>
            </w:pPr>
            <w:r w:rsidRPr="00834CDC">
              <w:rPr>
                <w:sz w:val="18"/>
                <w:szCs w:val="18"/>
              </w:rPr>
              <w:t>Rate</w:t>
            </w:r>
            <w:r w:rsidR="00D24B47">
              <w:rPr>
                <w:sz w:val="18"/>
                <w:szCs w:val="18"/>
              </w:rPr>
              <w:t xml:space="preserve"> </w:t>
            </w:r>
            <w:r w:rsidR="00D24B47" w:rsidRPr="00D24B47">
              <w:rPr>
                <w:sz w:val="18"/>
                <w:szCs w:val="18"/>
                <w:vertAlign w:val="superscript"/>
              </w:rPr>
              <w:t>d</w:t>
            </w:r>
          </w:p>
        </w:tc>
        <w:tc>
          <w:tcPr>
            <w:tcW w:w="709" w:type="dxa"/>
            <w:tcBorders>
              <w:bottom w:val="single" w:sz="4" w:space="0" w:color="808080" w:themeColor="background1" w:themeShade="80"/>
            </w:tcBorders>
            <w:hideMark/>
          </w:tcPr>
          <w:p w14:paraId="31A4444B" w14:textId="77777777" w:rsidR="00716D44" w:rsidRPr="00834CDC" w:rsidRDefault="00716D44" w:rsidP="00457617">
            <w:pPr>
              <w:pStyle w:val="NormalWeb"/>
              <w:rPr>
                <w:sz w:val="18"/>
                <w:szCs w:val="18"/>
              </w:rPr>
            </w:pPr>
            <w:r w:rsidRPr="00834CDC">
              <w:rPr>
                <w:sz w:val="18"/>
                <w:szCs w:val="18"/>
              </w:rPr>
              <w:t>n</w:t>
            </w:r>
          </w:p>
        </w:tc>
        <w:tc>
          <w:tcPr>
            <w:tcW w:w="1107" w:type="dxa"/>
            <w:tcBorders>
              <w:bottom w:val="single" w:sz="4" w:space="0" w:color="808080" w:themeColor="background1" w:themeShade="80"/>
            </w:tcBorders>
            <w:hideMark/>
          </w:tcPr>
          <w:p w14:paraId="05DCAEEA" w14:textId="6ACEB910" w:rsidR="00716D44" w:rsidRPr="00834CDC" w:rsidRDefault="00716D44" w:rsidP="00457617">
            <w:pPr>
              <w:pStyle w:val="NormalWeb"/>
              <w:rPr>
                <w:sz w:val="18"/>
                <w:szCs w:val="18"/>
              </w:rPr>
            </w:pPr>
            <w:r w:rsidRPr="00834CDC">
              <w:rPr>
                <w:sz w:val="18"/>
                <w:szCs w:val="18"/>
              </w:rPr>
              <w:t>Rate</w:t>
            </w:r>
            <w:r w:rsidR="00D24B47">
              <w:rPr>
                <w:sz w:val="18"/>
                <w:szCs w:val="18"/>
              </w:rPr>
              <w:t xml:space="preserve"> </w:t>
            </w:r>
            <w:r w:rsidR="00D24B47" w:rsidRPr="00D24B47">
              <w:rPr>
                <w:sz w:val="18"/>
                <w:szCs w:val="18"/>
                <w:vertAlign w:val="superscript"/>
              </w:rPr>
              <w:t>d</w:t>
            </w:r>
          </w:p>
        </w:tc>
      </w:tr>
      <w:tr w:rsidR="00716D44" w:rsidRPr="00834CDC" w14:paraId="0AE35AA3" w14:textId="77777777" w:rsidTr="00115711">
        <w:trPr>
          <w:divId w:val="1988506822"/>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E1DB841" w14:textId="77777777" w:rsidR="00716D44" w:rsidRPr="00834CDC" w:rsidRDefault="00716D44" w:rsidP="00457617">
            <w:pPr>
              <w:pStyle w:val="NormalWeb"/>
              <w:rPr>
                <w:sz w:val="18"/>
                <w:szCs w:val="18"/>
              </w:rPr>
            </w:pPr>
            <w:r w:rsidRPr="00834CDC">
              <w:rPr>
                <w:sz w:val="18"/>
                <w:szCs w:val="18"/>
              </w:rPr>
              <w:t>0–4</w:t>
            </w:r>
          </w:p>
        </w:tc>
        <w:tc>
          <w:tcPr>
            <w:tcW w:w="37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53296DE" w14:textId="77777777" w:rsidR="00716D44" w:rsidRPr="00834CDC" w:rsidRDefault="00716D44" w:rsidP="000937C8">
            <w:pPr>
              <w:pStyle w:val="NormalWeb"/>
              <w:jc w:val="left"/>
              <w:rPr>
                <w:sz w:val="18"/>
                <w:szCs w:val="18"/>
              </w:rPr>
            </w:pPr>
            <w:r w:rsidRPr="00834CDC">
              <w:rPr>
                <w:sz w:val="18"/>
                <w:szCs w:val="18"/>
              </w:rPr>
              <w:t>Aboriginal and Torres Strait Islander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0D282DE" w14:textId="40C852BB" w:rsidR="00716D44" w:rsidRPr="00834CDC" w:rsidRDefault="00716D44" w:rsidP="00457617">
            <w:pPr>
              <w:pStyle w:val="NormalWeb"/>
              <w:rPr>
                <w:sz w:val="18"/>
                <w:szCs w:val="18"/>
              </w:rPr>
            </w:pPr>
            <w:r w:rsidRPr="00834CDC">
              <w:rPr>
                <w:sz w:val="18"/>
                <w:szCs w:val="18"/>
              </w:rPr>
              <w:t>1–4</w:t>
            </w:r>
            <w:r w:rsidR="003144DE" w:rsidRPr="00834CDC">
              <w:rPr>
                <w:sz w:val="18"/>
                <w:szCs w:val="18"/>
              </w:rPr>
              <w:t xml:space="preserve"> </w:t>
            </w:r>
            <w:r w:rsidRPr="00834CDC">
              <w:rPr>
                <w:sz w:val="18"/>
                <w:szCs w:val="18"/>
                <w:vertAlign w:val="superscript"/>
              </w:rPr>
              <w:t>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6F32550" w14:textId="77777777" w:rsidR="00716D44" w:rsidRPr="00834CDC" w:rsidRDefault="00716D44" w:rsidP="00457617">
            <w:pPr>
              <w:pStyle w:val="NormalWeb"/>
              <w:rPr>
                <w:sz w:val="18"/>
                <w:szCs w:val="18"/>
              </w:rPr>
            </w:pPr>
            <w:r w:rsidRPr="00834CDC">
              <w:rPr>
                <w:sz w:val="18"/>
                <w:szCs w:val="18"/>
              </w:rPr>
              <w:t>0.61</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8EB3D69" w14:textId="77777777" w:rsidR="00716D44" w:rsidRPr="00834CDC" w:rsidRDefault="00716D44" w:rsidP="00457617">
            <w:pPr>
              <w:pStyle w:val="NormalWeb"/>
              <w:rPr>
                <w:sz w:val="18"/>
                <w:szCs w:val="18"/>
              </w:rPr>
            </w:pPr>
            <w:r w:rsidRPr="00834CDC">
              <w:rPr>
                <w:sz w:val="18"/>
                <w:szCs w:val="18"/>
              </w:rPr>
              <w:t>0</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39FD832" w14:textId="77777777" w:rsidR="00716D44" w:rsidRPr="00834CDC" w:rsidRDefault="00716D44" w:rsidP="00457617">
            <w:pPr>
              <w:pStyle w:val="NormalWeb"/>
              <w:rPr>
                <w:sz w:val="18"/>
                <w:szCs w:val="18"/>
              </w:rPr>
            </w:pPr>
            <w:r w:rsidRPr="00834CDC">
              <w:rPr>
                <w:sz w:val="18"/>
                <w:szCs w:val="18"/>
              </w:rPr>
              <w:t>0.00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635DFAA" w14:textId="77777777" w:rsidR="00716D44" w:rsidRPr="00834CDC" w:rsidRDefault="00716D44" w:rsidP="00457617">
            <w:pPr>
              <w:pStyle w:val="NormalWeb"/>
              <w:rPr>
                <w:sz w:val="18"/>
                <w:szCs w:val="18"/>
              </w:rPr>
            </w:pPr>
            <w:r w:rsidRPr="00834CDC">
              <w:rPr>
                <w:sz w:val="18"/>
                <w:szCs w:val="18"/>
              </w:rPr>
              <w:t>0</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BD24D01" w14:textId="77777777" w:rsidR="00716D44" w:rsidRPr="00834CDC" w:rsidRDefault="00716D44" w:rsidP="00457617">
            <w:pPr>
              <w:pStyle w:val="NormalWeb"/>
              <w:rPr>
                <w:sz w:val="18"/>
                <w:szCs w:val="18"/>
              </w:rPr>
            </w:pPr>
            <w:r w:rsidRPr="00834CDC">
              <w:rPr>
                <w:sz w:val="18"/>
                <w:szCs w:val="18"/>
              </w:rPr>
              <w:t>0.00</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DE10DCE" w14:textId="77777777" w:rsidR="00716D44" w:rsidRPr="00834CDC" w:rsidRDefault="00716D44" w:rsidP="00457617">
            <w:pPr>
              <w:pStyle w:val="NormalWeb"/>
              <w:rPr>
                <w:sz w:val="18"/>
                <w:szCs w:val="18"/>
              </w:rPr>
            </w:pPr>
            <w:r w:rsidRPr="00834CDC">
              <w:rPr>
                <w:sz w:val="18"/>
                <w:szCs w:val="18"/>
              </w:rPr>
              <w:t>0</w:t>
            </w:r>
          </w:p>
        </w:tc>
        <w:tc>
          <w:tcPr>
            <w:tcW w:w="11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DDB8E00" w14:textId="77777777" w:rsidR="00716D44" w:rsidRPr="00834CDC" w:rsidRDefault="00716D44" w:rsidP="00457617">
            <w:pPr>
              <w:pStyle w:val="NormalWeb"/>
              <w:rPr>
                <w:sz w:val="18"/>
                <w:szCs w:val="18"/>
              </w:rPr>
            </w:pPr>
            <w:r w:rsidRPr="00834CDC">
              <w:rPr>
                <w:sz w:val="18"/>
                <w:szCs w:val="18"/>
              </w:rPr>
              <w:t>0</w:t>
            </w:r>
          </w:p>
        </w:tc>
      </w:tr>
      <w:tr w:rsidR="00716D44" w:rsidRPr="00834CDC" w14:paraId="0137DDCB" w14:textId="77777777" w:rsidTr="0011571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F18E160" w14:textId="77777777" w:rsidR="00716D44" w:rsidRPr="00834CDC" w:rsidRDefault="00716D44" w:rsidP="00457617">
            <w:pPr>
              <w:rPr>
                <w:sz w:val="18"/>
                <w:szCs w:val="18"/>
              </w:rPr>
            </w:pPr>
          </w:p>
        </w:tc>
        <w:tc>
          <w:tcPr>
            <w:tcW w:w="37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88B08A1" w14:textId="77777777" w:rsidR="00716D44" w:rsidRPr="00834CDC" w:rsidRDefault="00716D44" w:rsidP="000937C8">
            <w:pPr>
              <w:pStyle w:val="NormalWeb"/>
              <w:jc w:val="left"/>
              <w:rPr>
                <w:sz w:val="18"/>
                <w:szCs w:val="18"/>
              </w:rPr>
            </w:pPr>
            <w:r w:rsidRPr="00834CDC">
              <w:rPr>
                <w:sz w:val="18"/>
                <w:szCs w:val="18"/>
              </w:rPr>
              <w:t>Other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8D6B96A" w14:textId="601A97DD" w:rsidR="00716D44" w:rsidRPr="00834CDC" w:rsidRDefault="00716D44" w:rsidP="00457617">
            <w:pPr>
              <w:pStyle w:val="NormalWeb"/>
              <w:rPr>
                <w:sz w:val="18"/>
                <w:szCs w:val="18"/>
              </w:rPr>
            </w:pPr>
            <w:r w:rsidRPr="00834CDC">
              <w:rPr>
                <w:sz w:val="18"/>
                <w:szCs w:val="18"/>
              </w:rPr>
              <w:t>1–4</w:t>
            </w:r>
            <w:r w:rsidR="003144DE" w:rsidRPr="00834CDC">
              <w:rPr>
                <w:sz w:val="18"/>
                <w:szCs w:val="18"/>
              </w:rPr>
              <w:t xml:space="preserve"> </w:t>
            </w:r>
            <w:r w:rsidRPr="00834CDC">
              <w:rPr>
                <w:sz w:val="18"/>
                <w:szCs w:val="18"/>
                <w:vertAlign w:val="superscript"/>
              </w:rPr>
              <w:t>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09408CD" w14:textId="77777777" w:rsidR="00716D44" w:rsidRPr="00834CDC" w:rsidRDefault="00716D44" w:rsidP="00457617">
            <w:pPr>
              <w:pStyle w:val="NormalWeb"/>
              <w:rPr>
                <w:sz w:val="18"/>
                <w:szCs w:val="18"/>
              </w:rPr>
            </w:pPr>
            <w:r w:rsidRPr="00834CDC">
              <w:rPr>
                <w:sz w:val="18"/>
                <w:szCs w:val="18"/>
              </w:rPr>
              <w:t>0.02</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A226C87" w14:textId="4C0441E6" w:rsidR="00716D44" w:rsidRPr="00834CDC" w:rsidRDefault="00716D44" w:rsidP="00457617">
            <w:pPr>
              <w:pStyle w:val="NormalWeb"/>
              <w:rPr>
                <w:sz w:val="18"/>
                <w:szCs w:val="18"/>
              </w:rPr>
            </w:pPr>
            <w:r w:rsidRPr="00834CDC">
              <w:rPr>
                <w:sz w:val="18"/>
                <w:szCs w:val="18"/>
              </w:rPr>
              <w:t>1–4</w:t>
            </w:r>
            <w:r w:rsidR="003144DE" w:rsidRPr="00834CDC">
              <w:rPr>
                <w:sz w:val="18"/>
                <w:szCs w:val="18"/>
              </w:rPr>
              <w:t xml:space="preserve"> </w:t>
            </w:r>
            <w:r w:rsidRPr="00834CDC">
              <w:rPr>
                <w:sz w:val="18"/>
                <w:szCs w:val="18"/>
                <w:vertAlign w:val="superscript"/>
              </w:rPr>
              <w:t>e</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5AA3887" w14:textId="77777777" w:rsidR="00716D44" w:rsidRPr="00834CDC" w:rsidRDefault="00716D44" w:rsidP="00457617">
            <w:pPr>
              <w:pStyle w:val="NormalWeb"/>
              <w:rPr>
                <w:sz w:val="18"/>
                <w:szCs w:val="18"/>
              </w:rPr>
            </w:pPr>
            <w:r w:rsidRPr="00834CDC">
              <w:rPr>
                <w:sz w:val="18"/>
                <w:szCs w:val="18"/>
              </w:rPr>
              <w:t>0.02</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4789CE" w14:textId="77777777" w:rsidR="00716D44" w:rsidRPr="00834CDC" w:rsidRDefault="00716D44" w:rsidP="00457617">
            <w:pPr>
              <w:pStyle w:val="NormalWeb"/>
              <w:rPr>
                <w:sz w:val="18"/>
                <w:szCs w:val="18"/>
              </w:rPr>
            </w:pPr>
            <w:r w:rsidRPr="00834CDC">
              <w:rPr>
                <w:sz w:val="18"/>
                <w:szCs w:val="18"/>
              </w:rPr>
              <w:t>0</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97E79DB" w14:textId="77777777" w:rsidR="00716D44" w:rsidRPr="00834CDC" w:rsidRDefault="00716D44" w:rsidP="00457617">
            <w:pPr>
              <w:pStyle w:val="NormalWeb"/>
              <w:rPr>
                <w:sz w:val="18"/>
                <w:szCs w:val="18"/>
              </w:rPr>
            </w:pPr>
            <w:r w:rsidRPr="00834CDC">
              <w:rPr>
                <w:sz w:val="18"/>
                <w:szCs w:val="18"/>
              </w:rPr>
              <w:t>0.00</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4158E1D" w14:textId="20DDCFBD" w:rsidR="00716D44" w:rsidRPr="00834CDC" w:rsidRDefault="00716D44" w:rsidP="00457617">
            <w:pPr>
              <w:pStyle w:val="NormalWeb"/>
              <w:rPr>
                <w:sz w:val="18"/>
                <w:szCs w:val="18"/>
              </w:rPr>
            </w:pPr>
            <w:r w:rsidRPr="00834CDC">
              <w:rPr>
                <w:sz w:val="18"/>
                <w:szCs w:val="18"/>
              </w:rPr>
              <w:t>1–4</w:t>
            </w:r>
            <w:r w:rsidR="003144DE" w:rsidRPr="00834CDC">
              <w:rPr>
                <w:sz w:val="18"/>
                <w:szCs w:val="18"/>
              </w:rPr>
              <w:t xml:space="preserve"> </w:t>
            </w:r>
            <w:r w:rsidRPr="00834CDC">
              <w:rPr>
                <w:sz w:val="18"/>
                <w:szCs w:val="18"/>
                <w:vertAlign w:val="superscript"/>
              </w:rPr>
              <w:t>e</w:t>
            </w:r>
          </w:p>
        </w:tc>
        <w:tc>
          <w:tcPr>
            <w:tcW w:w="11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9F9DA47" w14:textId="77777777" w:rsidR="00716D44" w:rsidRPr="00834CDC" w:rsidRDefault="00716D44" w:rsidP="00457617">
            <w:pPr>
              <w:pStyle w:val="NormalWeb"/>
              <w:rPr>
                <w:sz w:val="18"/>
                <w:szCs w:val="18"/>
              </w:rPr>
            </w:pPr>
            <w:r w:rsidRPr="00834CDC">
              <w:rPr>
                <w:sz w:val="18"/>
                <w:szCs w:val="18"/>
              </w:rPr>
              <w:t>0.04</w:t>
            </w:r>
          </w:p>
        </w:tc>
      </w:tr>
      <w:tr w:rsidR="00716D44" w:rsidRPr="00834CDC" w14:paraId="3F4DA0B2" w14:textId="77777777" w:rsidTr="00115711">
        <w:trPr>
          <w:divId w:val="1988506822"/>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7445BEF" w14:textId="77777777" w:rsidR="00716D44" w:rsidRPr="00834CDC" w:rsidRDefault="00716D44" w:rsidP="00457617">
            <w:pPr>
              <w:pStyle w:val="NormalWeb"/>
              <w:rPr>
                <w:sz w:val="18"/>
                <w:szCs w:val="18"/>
              </w:rPr>
            </w:pPr>
            <w:r w:rsidRPr="00834CDC">
              <w:rPr>
                <w:sz w:val="18"/>
                <w:szCs w:val="18"/>
              </w:rPr>
              <w:t>5–14</w:t>
            </w:r>
          </w:p>
        </w:tc>
        <w:tc>
          <w:tcPr>
            <w:tcW w:w="37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487B996" w14:textId="77777777" w:rsidR="00716D44" w:rsidRPr="00834CDC" w:rsidRDefault="00716D44" w:rsidP="000937C8">
            <w:pPr>
              <w:pStyle w:val="NormalWeb"/>
              <w:jc w:val="left"/>
              <w:rPr>
                <w:sz w:val="18"/>
                <w:szCs w:val="18"/>
              </w:rPr>
            </w:pPr>
            <w:r w:rsidRPr="00834CDC">
              <w:rPr>
                <w:sz w:val="18"/>
                <w:szCs w:val="18"/>
              </w:rPr>
              <w:t>Aboriginal and Torres Strait Islander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5E7AC07" w14:textId="77777777" w:rsidR="00716D44" w:rsidRPr="00834CDC" w:rsidRDefault="00716D44"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3BF37D2" w14:textId="77777777" w:rsidR="00716D44" w:rsidRPr="00834CDC" w:rsidRDefault="00716D44" w:rsidP="00457617">
            <w:pPr>
              <w:pStyle w:val="NormalWeb"/>
              <w:rPr>
                <w:sz w:val="18"/>
                <w:szCs w:val="18"/>
              </w:rPr>
            </w:pPr>
            <w:r w:rsidRPr="00834CDC">
              <w:rPr>
                <w:sz w:val="18"/>
                <w:szCs w:val="18"/>
              </w:rPr>
              <w:t>0.00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9CD64BC" w14:textId="5A60E673" w:rsidR="00716D44" w:rsidRPr="00834CDC" w:rsidRDefault="00716D44" w:rsidP="00457617">
            <w:pPr>
              <w:pStyle w:val="NormalWeb"/>
              <w:rPr>
                <w:sz w:val="18"/>
                <w:szCs w:val="18"/>
              </w:rPr>
            </w:pPr>
            <w:r w:rsidRPr="00834CDC">
              <w:rPr>
                <w:sz w:val="18"/>
                <w:szCs w:val="18"/>
              </w:rPr>
              <w:t>1–4</w:t>
            </w:r>
            <w:r w:rsidR="003144DE" w:rsidRPr="00834CDC">
              <w:rPr>
                <w:sz w:val="18"/>
                <w:szCs w:val="18"/>
              </w:rPr>
              <w:t xml:space="preserve"> </w:t>
            </w:r>
            <w:r w:rsidRPr="00834CDC">
              <w:rPr>
                <w:sz w:val="18"/>
                <w:szCs w:val="18"/>
                <w:vertAlign w:val="superscript"/>
              </w:rPr>
              <w:t>e</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79E3413" w14:textId="77777777" w:rsidR="00716D44" w:rsidRPr="00834CDC" w:rsidRDefault="00716D44" w:rsidP="00457617">
            <w:pPr>
              <w:pStyle w:val="NormalWeb"/>
              <w:rPr>
                <w:sz w:val="18"/>
                <w:szCs w:val="18"/>
              </w:rPr>
            </w:pPr>
            <w:r w:rsidRPr="00834CDC">
              <w:rPr>
                <w:sz w:val="18"/>
                <w:szCs w:val="18"/>
              </w:rPr>
              <w:t>0.16</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B408415" w14:textId="77777777" w:rsidR="00716D44" w:rsidRPr="00834CDC" w:rsidRDefault="00716D44" w:rsidP="00457617">
            <w:pPr>
              <w:pStyle w:val="NormalWeb"/>
              <w:rPr>
                <w:sz w:val="18"/>
                <w:szCs w:val="18"/>
              </w:rPr>
            </w:pPr>
            <w:r w:rsidRPr="00834CDC">
              <w:rPr>
                <w:sz w:val="18"/>
                <w:szCs w:val="18"/>
              </w:rPr>
              <w:t>0</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51808E5" w14:textId="77777777" w:rsidR="00716D44" w:rsidRPr="00834CDC" w:rsidRDefault="00716D44" w:rsidP="00457617">
            <w:pPr>
              <w:pStyle w:val="NormalWeb"/>
              <w:rPr>
                <w:sz w:val="18"/>
                <w:szCs w:val="18"/>
              </w:rPr>
            </w:pPr>
            <w:r w:rsidRPr="00834CDC">
              <w:rPr>
                <w:sz w:val="18"/>
                <w:szCs w:val="18"/>
              </w:rPr>
              <w:t>0.00</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61A2F5B" w14:textId="77777777" w:rsidR="00716D44" w:rsidRPr="00834CDC" w:rsidRDefault="00716D44" w:rsidP="00457617">
            <w:pPr>
              <w:pStyle w:val="NormalWeb"/>
              <w:rPr>
                <w:sz w:val="18"/>
                <w:szCs w:val="18"/>
              </w:rPr>
            </w:pPr>
            <w:r w:rsidRPr="00834CDC">
              <w:rPr>
                <w:sz w:val="18"/>
                <w:szCs w:val="18"/>
              </w:rPr>
              <w:t>0</w:t>
            </w:r>
          </w:p>
        </w:tc>
        <w:tc>
          <w:tcPr>
            <w:tcW w:w="11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5977AC5" w14:textId="77777777" w:rsidR="00716D44" w:rsidRPr="00834CDC" w:rsidRDefault="00716D44" w:rsidP="00457617">
            <w:pPr>
              <w:pStyle w:val="NormalWeb"/>
              <w:rPr>
                <w:sz w:val="18"/>
                <w:szCs w:val="18"/>
              </w:rPr>
            </w:pPr>
            <w:r w:rsidRPr="00834CDC">
              <w:rPr>
                <w:sz w:val="18"/>
                <w:szCs w:val="18"/>
              </w:rPr>
              <w:t>0.00</w:t>
            </w:r>
          </w:p>
        </w:tc>
      </w:tr>
      <w:tr w:rsidR="00716D44" w:rsidRPr="00834CDC" w14:paraId="1FAC07B1" w14:textId="77777777" w:rsidTr="0011571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01AB14C" w14:textId="77777777" w:rsidR="00716D44" w:rsidRPr="00834CDC" w:rsidRDefault="00716D44" w:rsidP="00457617">
            <w:pPr>
              <w:rPr>
                <w:sz w:val="18"/>
                <w:szCs w:val="18"/>
              </w:rPr>
            </w:pPr>
          </w:p>
        </w:tc>
        <w:tc>
          <w:tcPr>
            <w:tcW w:w="37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B1061EA" w14:textId="77777777" w:rsidR="00716D44" w:rsidRPr="00834CDC" w:rsidRDefault="00716D44" w:rsidP="000937C8">
            <w:pPr>
              <w:pStyle w:val="NormalWeb"/>
              <w:jc w:val="left"/>
              <w:rPr>
                <w:sz w:val="18"/>
                <w:szCs w:val="18"/>
              </w:rPr>
            </w:pPr>
            <w:r w:rsidRPr="00834CDC">
              <w:rPr>
                <w:sz w:val="18"/>
                <w:szCs w:val="18"/>
              </w:rPr>
              <w:t>Other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E891569" w14:textId="7740E182" w:rsidR="00716D44" w:rsidRPr="00834CDC" w:rsidRDefault="00716D44" w:rsidP="00457617">
            <w:pPr>
              <w:pStyle w:val="NormalWeb"/>
              <w:rPr>
                <w:sz w:val="18"/>
                <w:szCs w:val="18"/>
              </w:rPr>
            </w:pPr>
            <w:r w:rsidRPr="00834CDC">
              <w:rPr>
                <w:sz w:val="18"/>
                <w:szCs w:val="18"/>
              </w:rPr>
              <w:t>1–4</w:t>
            </w:r>
            <w:r w:rsidR="003144DE" w:rsidRPr="00834CDC">
              <w:rPr>
                <w:sz w:val="18"/>
                <w:szCs w:val="18"/>
              </w:rPr>
              <w:t xml:space="preserve"> </w:t>
            </w:r>
            <w:r w:rsidRPr="00834CDC">
              <w:rPr>
                <w:sz w:val="18"/>
                <w:szCs w:val="18"/>
                <w:vertAlign w:val="superscript"/>
              </w:rPr>
              <w:t>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C076151" w14:textId="77777777" w:rsidR="00716D44" w:rsidRPr="00834CDC" w:rsidRDefault="00716D44" w:rsidP="00457617">
            <w:pPr>
              <w:pStyle w:val="NormalWeb"/>
              <w:rPr>
                <w:sz w:val="18"/>
                <w:szCs w:val="18"/>
              </w:rPr>
            </w:pPr>
            <w:r w:rsidRPr="00834CDC">
              <w:rPr>
                <w:sz w:val="18"/>
                <w:szCs w:val="18"/>
              </w:rPr>
              <w:t>0.03</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22D4A26" w14:textId="77777777" w:rsidR="00716D44" w:rsidRPr="00834CDC" w:rsidRDefault="00716D44" w:rsidP="00457617">
            <w:pPr>
              <w:pStyle w:val="NormalWeb"/>
              <w:rPr>
                <w:sz w:val="18"/>
                <w:szCs w:val="18"/>
              </w:rPr>
            </w:pPr>
            <w:r w:rsidRPr="00834CDC">
              <w:rPr>
                <w:sz w:val="18"/>
                <w:szCs w:val="18"/>
              </w:rPr>
              <w:t>NP</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827908" w14:textId="77777777" w:rsidR="00716D44" w:rsidRPr="00834CDC" w:rsidRDefault="00716D44" w:rsidP="00457617">
            <w:pPr>
              <w:pStyle w:val="NormalWeb"/>
              <w:rPr>
                <w:sz w:val="18"/>
                <w:szCs w:val="18"/>
              </w:rPr>
            </w:pPr>
            <w:r w:rsidRPr="00834CDC">
              <w:rPr>
                <w:sz w:val="18"/>
                <w:szCs w:val="18"/>
              </w:rPr>
              <w:t>0.05</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E6A1107" w14:textId="2FF69615" w:rsidR="00716D44" w:rsidRPr="00834CDC" w:rsidRDefault="00716D44" w:rsidP="00457617">
            <w:pPr>
              <w:pStyle w:val="NormalWeb"/>
              <w:rPr>
                <w:sz w:val="18"/>
                <w:szCs w:val="18"/>
              </w:rPr>
            </w:pPr>
            <w:r w:rsidRPr="00834CDC">
              <w:rPr>
                <w:sz w:val="18"/>
                <w:szCs w:val="18"/>
              </w:rPr>
              <w:t>1–4</w:t>
            </w:r>
            <w:r w:rsidR="003144DE" w:rsidRPr="00834CDC">
              <w:rPr>
                <w:sz w:val="18"/>
                <w:szCs w:val="18"/>
              </w:rPr>
              <w:t xml:space="preserve"> </w:t>
            </w:r>
            <w:r w:rsidRPr="00834CDC">
              <w:rPr>
                <w:sz w:val="18"/>
                <w:szCs w:val="18"/>
                <w:vertAlign w:val="superscript"/>
              </w:rPr>
              <w:t>e</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61C33AD" w14:textId="77777777" w:rsidR="00716D44" w:rsidRPr="00834CDC" w:rsidRDefault="00716D44" w:rsidP="00457617">
            <w:pPr>
              <w:pStyle w:val="NormalWeb"/>
              <w:rPr>
                <w:sz w:val="18"/>
                <w:szCs w:val="18"/>
              </w:rPr>
            </w:pPr>
            <w:r w:rsidRPr="00834CDC">
              <w:rPr>
                <w:sz w:val="18"/>
                <w:szCs w:val="18"/>
              </w:rPr>
              <w:t>0.01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2F750AF" w14:textId="78774CEA" w:rsidR="00716D44" w:rsidRPr="00834CDC" w:rsidRDefault="00716D44" w:rsidP="00457617">
            <w:pPr>
              <w:pStyle w:val="NormalWeb"/>
              <w:rPr>
                <w:sz w:val="18"/>
                <w:szCs w:val="18"/>
              </w:rPr>
            </w:pPr>
            <w:r w:rsidRPr="00834CDC">
              <w:rPr>
                <w:sz w:val="18"/>
                <w:szCs w:val="18"/>
              </w:rPr>
              <w:t>1–4</w:t>
            </w:r>
            <w:r w:rsidR="003144DE" w:rsidRPr="00834CDC">
              <w:rPr>
                <w:sz w:val="18"/>
                <w:szCs w:val="18"/>
              </w:rPr>
              <w:t xml:space="preserve"> </w:t>
            </w:r>
            <w:r w:rsidRPr="00834CDC">
              <w:rPr>
                <w:sz w:val="18"/>
                <w:szCs w:val="18"/>
                <w:vertAlign w:val="superscript"/>
              </w:rPr>
              <w:t>e</w:t>
            </w:r>
          </w:p>
        </w:tc>
        <w:tc>
          <w:tcPr>
            <w:tcW w:w="11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4DF2570" w14:textId="77777777" w:rsidR="00716D44" w:rsidRPr="00834CDC" w:rsidRDefault="00716D44" w:rsidP="00457617">
            <w:pPr>
              <w:pStyle w:val="NormalWeb"/>
              <w:rPr>
                <w:sz w:val="18"/>
                <w:szCs w:val="18"/>
              </w:rPr>
            </w:pPr>
            <w:r w:rsidRPr="00834CDC">
              <w:rPr>
                <w:sz w:val="18"/>
                <w:szCs w:val="18"/>
              </w:rPr>
              <w:t>0.01</w:t>
            </w:r>
          </w:p>
        </w:tc>
      </w:tr>
      <w:tr w:rsidR="00716D44" w:rsidRPr="00834CDC" w14:paraId="2B53621B" w14:textId="77777777" w:rsidTr="00115711">
        <w:trPr>
          <w:divId w:val="1988506822"/>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5AFC826" w14:textId="77777777" w:rsidR="00716D44" w:rsidRPr="00834CDC" w:rsidRDefault="00716D44" w:rsidP="00457617">
            <w:pPr>
              <w:pStyle w:val="NormalWeb"/>
              <w:rPr>
                <w:sz w:val="18"/>
                <w:szCs w:val="18"/>
              </w:rPr>
            </w:pPr>
            <w:r w:rsidRPr="00834CDC">
              <w:rPr>
                <w:sz w:val="18"/>
                <w:szCs w:val="18"/>
              </w:rPr>
              <w:t>15–24</w:t>
            </w:r>
          </w:p>
        </w:tc>
        <w:tc>
          <w:tcPr>
            <w:tcW w:w="37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39E3225" w14:textId="77777777" w:rsidR="00716D44" w:rsidRPr="00834CDC" w:rsidRDefault="00716D44" w:rsidP="000937C8">
            <w:pPr>
              <w:pStyle w:val="NormalWeb"/>
              <w:jc w:val="left"/>
              <w:rPr>
                <w:sz w:val="18"/>
                <w:szCs w:val="18"/>
              </w:rPr>
            </w:pPr>
            <w:r w:rsidRPr="00834CDC">
              <w:rPr>
                <w:sz w:val="18"/>
                <w:szCs w:val="18"/>
              </w:rPr>
              <w:t>Aboriginal and Torres Strait Islander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6F69533" w14:textId="0F182B78" w:rsidR="00716D44" w:rsidRPr="00834CDC" w:rsidRDefault="00716D44" w:rsidP="00457617">
            <w:pPr>
              <w:pStyle w:val="NormalWeb"/>
              <w:rPr>
                <w:sz w:val="18"/>
                <w:szCs w:val="18"/>
              </w:rPr>
            </w:pPr>
            <w:r w:rsidRPr="00834CDC">
              <w:rPr>
                <w:sz w:val="18"/>
                <w:szCs w:val="18"/>
              </w:rPr>
              <w:t>1–4</w:t>
            </w:r>
            <w:r w:rsidR="003144DE" w:rsidRPr="00834CDC">
              <w:rPr>
                <w:sz w:val="18"/>
                <w:szCs w:val="18"/>
              </w:rPr>
              <w:t xml:space="preserve"> </w:t>
            </w:r>
            <w:r w:rsidRPr="00834CDC">
              <w:rPr>
                <w:sz w:val="18"/>
                <w:szCs w:val="18"/>
                <w:vertAlign w:val="superscript"/>
              </w:rPr>
              <w:t>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CC6A49C" w14:textId="77777777" w:rsidR="00716D44" w:rsidRPr="00834CDC" w:rsidRDefault="00716D44" w:rsidP="00457617">
            <w:pPr>
              <w:pStyle w:val="NormalWeb"/>
              <w:rPr>
                <w:sz w:val="18"/>
                <w:szCs w:val="18"/>
              </w:rPr>
            </w:pPr>
            <w:r w:rsidRPr="00834CDC">
              <w:rPr>
                <w:sz w:val="18"/>
                <w:szCs w:val="18"/>
              </w:rPr>
              <w:t>0.18</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BA5E1C4" w14:textId="77777777" w:rsidR="00716D44" w:rsidRPr="00834CDC" w:rsidRDefault="00716D44" w:rsidP="00457617">
            <w:pPr>
              <w:pStyle w:val="NormalWeb"/>
              <w:rPr>
                <w:sz w:val="18"/>
                <w:szCs w:val="18"/>
              </w:rPr>
            </w:pPr>
            <w:r w:rsidRPr="00834CDC">
              <w:rPr>
                <w:sz w:val="18"/>
                <w:szCs w:val="18"/>
              </w:rPr>
              <w:t>0</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5D30806" w14:textId="77777777" w:rsidR="00716D44" w:rsidRPr="00834CDC" w:rsidRDefault="00716D44" w:rsidP="00457617">
            <w:pPr>
              <w:pStyle w:val="NormalWeb"/>
              <w:rPr>
                <w:sz w:val="18"/>
                <w:szCs w:val="18"/>
              </w:rPr>
            </w:pPr>
            <w:r w:rsidRPr="00834CDC">
              <w:rPr>
                <w:sz w:val="18"/>
                <w:szCs w:val="18"/>
              </w:rPr>
              <w:t>0.00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BE7B6B5" w14:textId="77777777" w:rsidR="00716D44" w:rsidRPr="00834CDC" w:rsidRDefault="00716D44" w:rsidP="00457617">
            <w:pPr>
              <w:pStyle w:val="NormalWeb"/>
              <w:rPr>
                <w:sz w:val="18"/>
                <w:szCs w:val="18"/>
              </w:rPr>
            </w:pPr>
            <w:r w:rsidRPr="00834CDC">
              <w:rPr>
                <w:sz w:val="18"/>
                <w:szCs w:val="18"/>
              </w:rPr>
              <w:t>0</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3590024" w14:textId="77777777" w:rsidR="00716D44" w:rsidRPr="00834CDC" w:rsidRDefault="00716D44" w:rsidP="00457617">
            <w:pPr>
              <w:pStyle w:val="NormalWeb"/>
              <w:rPr>
                <w:sz w:val="18"/>
                <w:szCs w:val="18"/>
              </w:rPr>
            </w:pPr>
            <w:r w:rsidRPr="00834CDC">
              <w:rPr>
                <w:sz w:val="18"/>
                <w:szCs w:val="18"/>
              </w:rPr>
              <w:t>0.00</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8673C5F" w14:textId="13CEA33F" w:rsidR="00716D44" w:rsidRPr="00834CDC" w:rsidRDefault="00716D44" w:rsidP="00457617">
            <w:pPr>
              <w:pStyle w:val="NormalWeb"/>
              <w:rPr>
                <w:sz w:val="18"/>
                <w:szCs w:val="18"/>
              </w:rPr>
            </w:pPr>
            <w:r w:rsidRPr="00834CDC">
              <w:rPr>
                <w:sz w:val="18"/>
                <w:szCs w:val="18"/>
              </w:rPr>
              <w:t>1–4</w:t>
            </w:r>
            <w:r w:rsidR="003144DE" w:rsidRPr="00834CDC">
              <w:rPr>
                <w:sz w:val="18"/>
                <w:szCs w:val="18"/>
              </w:rPr>
              <w:t xml:space="preserve"> </w:t>
            </w:r>
            <w:r w:rsidRPr="00834CDC">
              <w:rPr>
                <w:sz w:val="18"/>
                <w:szCs w:val="18"/>
                <w:vertAlign w:val="superscript"/>
              </w:rPr>
              <w:t>e</w:t>
            </w:r>
          </w:p>
        </w:tc>
        <w:tc>
          <w:tcPr>
            <w:tcW w:w="11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B83D371" w14:textId="77777777" w:rsidR="00716D44" w:rsidRPr="00834CDC" w:rsidRDefault="00716D44" w:rsidP="00457617">
            <w:pPr>
              <w:pStyle w:val="NormalWeb"/>
              <w:rPr>
                <w:sz w:val="18"/>
                <w:szCs w:val="18"/>
              </w:rPr>
            </w:pPr>
            <w:r w:rsidRPr="00834CDC">
              <w:rPr>
                <w:sz w:val="18"/>
                <w:szCs w:val="18"/>
              </w:rPr>
              <w:t>0.18</w:t>
            </w:r>
          </w:p>
        </w:tc>
      </w:tr>
      <w:tr w:rsidR="00716D44" w:rsidRPr="00834CDC" w14:paraId="222138EE" w14:textId="77777777" w:rsidTr="0011571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8E7674C" w14:textId="77777777" w:rsidR="00716D44" w:rsidRPr="00834CDC" w:rsidRDefault="00716D44" w:rsidP="00457617">
            <w:pPr>
              <w:rPr>
                <w:sz w:val="18"/>
                <w:szCs w:val="18"/>
              </w:rPr>
            </w:pPr>
          </w:p>
        </w:tc>
        <w:tc>
          <w:tcPr>
            <w:tcW w:w="37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0729F02" w14:textId="77777777" w:rsidR="00716D44" w:rsidRPr="00834CDC" w:rsidRDefault="00716D44" w:rsidP="000937C8">
            <w:pPr>
              <w:pStyle w:val="NormalWeb"/>
              <w:jc w:val="left"/>
              <w:rPr>
                <w:sz w:val="18"/>
                <w:szCs w:val="18"/>
              </w:rPr>
            </w:pPr>
            <w:r w:rsidRPr="00834CDC">
              <w:rPr>
                <w:sz w:val="18"/>
                <w:szCs w:val="18"/>
              </w:rPr>
              <w:t>Other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84AE5BE" w14:textId="77777777" w:rsidR="00716D44" w:rsidRPr="00834CDC" w:rsidRDefault="00716D44" w:rsidP="00457617">
            <w:pPr>
              <w:pStyle w:val="NormalWeb"/>
              <w:rPr>
                <w:sz w:val="18"/>
                <w:szCs w:val="18"/>
              </w:rPr>
            </w:pPr>
            <w:r w:rsidRPr="00834CDC">
              <w:rPr>
                <w:sz w:val="18"/>
                <w:szCs w:val="18"/>
              </w:rPr>
              <w:t>5</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C5C97F2" w14:textId="77777777" w:rsidR="00716D44" w:rsidRPr="00834CDC" w:rsidRDefault="00716D44" w:rsidP="00457617">
            <w:pPr>
              <w:pStyle w:val="NormalWeb"/>
              <w:rPr>
                <w:sz w:val="18"/>
                <w:szCs w:val="18"/>
              </w:rPr>
            </w:pPr>
            <w:r w:rsidRPr="00834CDC">
              <w:rPr>
                <w:sz w:val="18"/>
                <w:szCs w:val="18"/>
              </w:rPr>
              <w:t>0.05</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73DE44D" w14:textId="77777777" w:rsidR="00716D44" w:rsidRPr="00834CDC" w:rsidRDefault="00716D44" w:rsidP="00457617">
            <w:pPr>
              <w:pStyle w:val="NormalWeb"/>
              <w:rPr>
                <w:sz w:val="18"/>
                <w:szCs w:val="18"/>
              </w:rPr>
            </w:pPr>
            <w:r w:rsidRPr="00834CDC">
              <w:rPr>
                <w:sz w:val="18"/>
                <w:szCs w:val="18"/>
              </w:rPr>
              <w:t>16</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C6C1918" w14:textId="77777777" w:rsidR="00716D44" w:rsidRPr="00834CDC" w:rsidRDefault="00716D44" w:rsidP="00457617">
            <w:pPr>
              <w:pStyle w:val="NormalWeb"/>
              <w:rPr>
                <w:sz w:val="18"/>
                <w:szCs w:val="18"/>
              </w:rPr>
            </w:pPr>
            <w:r w:rsidRPr="00834CDC">
              <w:rPr>
                <w:sz w:val="18"/>
                <w:szCs w:val="18"/>
              </w:rPr>
              <w:t>0.15</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A0B6D42" w14:textId="77777777" w:rsidR="00716D44" w:rsidRPr="00834CDC" w:rsidRDefault="00716D44" w:rsidP="00457617">
            <w:pPr>
              <w:pStyle w:val="NormalWeb"/>
              <w:rPr>
                <w:sz w:val="18"/>
                <w:szCs w:val="18"/>
              </w:rPr>
            </w:pPr>
            <w:r w:rsidRPr="00834CDC">
              <w:rPr>
                <w:sz w:val="18"/>
                <w:szCs w:val="18"/>
              </w:rPr>
              <w:t>0</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36B5804" w14:textId="77777777" w:rsidR="00716D44" w:rsidRPr="00834CDC" w:rsidRDefault="00716D44" w:rsidP="00457617">
            <w:pPr>
              <w:pStyle w:val="NormalWeb"/>
              <w:rPr>
                <w:sz w:val="18"/>
                <w:szCs w:val="18"/>
              </w:rPr>
            </w:pPr>
            <w:r w:rsidRPr="00834CDC">
              <w:rPr>
                <w:sz w:val="18"/>
                <w:szCs w:val="18"/>
              </w:rPr>
              <w:t>0.00</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81C5F88" w14:textId="77777777" w:rsidR="00716D44" w:rsidRPr="00834CDC" w:rsidRDefault="00716D44" w:rsidP="00457617">
            <w:pPr>
              <w:pStyle w:val="NormalWeb"/>
              <w:rPr>
                <w:sz w:val="18"/>
                <w:szCs w:val="18"/>
              </w:rPr>
            </w:pPr>
            <w:r w:rsidRPr="00834CDC">
              <w:rPr>
                <w:sz w:val="18"/>
                <w:szCs w:val="18"/>
              </w:rPr>
              <w:t>5</w:t>
            </w:r>
          </w:p>
        </w:tc>
        <w:tc>
          <w:tcPr>
            <w:tcW w:w="11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389A23A" w14:textId="77777777" w:rsidR="00716D44" w:rsidRPr="00834CDC" w:rsidRDefault="00716D44" w:rsidP="00457617">
            <w:pPr>
              <w:pStyle w:val="NormalWeb"/>
              <w:rPr>
                <w:sz w:val="18"/>
                <w:szCs w:val="18"/>
              </w:rPr>
            </w:pPr>
            <w:r w:rsidRPr="00834CDC">
              <w:rPr>
                <w:sz w:val="18"/>
                <w:szCs w:val="18"/>
              </w:rPr>
              <w:t>0.05</w:t>
            </w:r>
          </w:p>
        </w:tc>
      </w:tr>
      <w:tr w:rsidR="00716D44" w:rsidRPr="00834CDC" w14:paraId="132CBA63" w14:textId="77777777" w:rsidTr="00115711">
        <w:trPr>
          <w:divId w:val="1988506822"/>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F91BC3A" w14:textId="77777777" w:rsidR="00716D44" w:rsidRPr="00834CDC" w:rsidRDefault="00716D44" w:rsidP="00457617">
            <w:pPr>
              <w:pStyle w:val="NormalWeb"/>
              <w:rPr>
                <w:sz w:val="18"/>
                <w:szCs w:val="18"/>
              </w:rPr>
            </w:pPr>
            <w:r w:rsidRPr="00834CDC">
              <w:rPr>
                <w:sz w:val="18"/>
                <w:szCs w:val="18"/>
              </w:rPr>
              <w:t>25–49</w:t>
            </w:r>
          </w:p>
        </w:tc>
        <w:tc>
          <w:tcPr>
            <w:tcW w:w="37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4EEFEFF" w14:textId="77777777" w:rsidR="00716D44" w:rsidRPr="00834CDC" w:rsidRDefault="00716D44" w:rsidP="000937C8">
            <w:pPr>
              <w:pStyle w:val="NormalWeb"/>
              <w:jc w:val="left"/>
              <w:rPr>
                <w:sz w:val="18"/>
                <w:szCs w:val="18"/>
              </w:rPr>
            </w:pPr>
            <w:r w:rsidRPr="00834CDC">
              <w:rPr>
                <w:sz w:val="18"/>
                <w:szCs w:val="18"/>
              </w:rPr>
              <w:t>Aboriginal and Torres Strait Islander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FB95547" w14:textId="2D485C28" w:rsidR="00716D44" w:rsidRPr="00834CDC" w:rsidRDefault="00716D44" w:rsidP="00457617">
            <w:pPr>
              <w:pStyle w:val="NormalWeb"/>
              <w:rPr>
                <w:sz w:val="18"/>
                <w:szCs w:val="18"/>
              </w:rPr>
            </w:pPr>
            <w:r w:rsidRPr="00834CDC">
              <w:rPr>
                <w:sz w:val="18"/>
                <w:szCs w:val="18"/>
              </w:rPr>
              <w:t>1–4</w:t>
            </w:r>
            <w:r w:rsidR="003144DE" w:rsidRPr="00834CDC">
              <w:rPr>
                <w:sz w:val="18"/>
                <w:szCs w:val="18"/>
              </w:rPr>
              <w:t xml:space="preserve"> </w:t>
            </w:r>
            <w:r w:rsidRPr="00834CDC">
              <w:rPr>
                <w:sz w:val="18"/>
                <w:szCs w:val="18"/>
                <w:vertAlign w:val="superscript"/>
              </w:rPr>
              <w:t>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4095A10" w14:textId="77777777" w:rsidR="00716D44" w:rsidRPr="00834CDC" w:rsidRDefault="00716D44" w:rsidP="00457617">
            <w:pPr>
              <w:pStyle w:val="NormalWeb"/>
              <w:rPr>
                <w:sz w:val="18"/>
                <w:szCs w:val="18"/>
              </w:rPr>
            </w:pPr>
            <w:r w:rsidRPr="00834CDC">
              <w:rPr>
                <w:sz w:val="18"/>
                <w:szCs w:val="18"/>
              </w:rPr>
              <w:t>0.34</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5D0E66A" w14:textId="5275B812" w:rsidR="00716D44" w:rsidRPr="00834CDC" w:rsidRDefault="00716D44" w:rsidP="00457617">
            <w:pPr>
              <w:pStyle w:val="NormalWeb"/>
              <w:rPr>
                <w:sz w:val="18"/>
                <w:szCs w:val="18"/>
              </w:rPr>
            </w:pPr>
            <w:r w:rsidRPr="00834CDC">
              <w:rPr>
                <w:sz w:val="18"/>
                <w:szCs w:val="18"/>
              </w:rPr>
              <w:t>1–4</w:t>
            </w:r>
            <w:r w:rsidR="003144DE" w:rsidRPr="00834CDC">
              <w:rPr>
                <w:sz w:val="18"/>
                <w:szCs w:val="18"/>
              </w:rPr>
              <w:t xml:space="preserve"> </w:t>
            </w:r>
            <w:r w:rsidRPr="00834CDC">
              <w:rPr>
                <w:sz w:val="18"/>
                <w:szCs w:val="18"/>
                <w:vertAlign w:val="superscript"/>
              </w:rPr>
              <w:t>e</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A2438BE" w14:textId="77777777" w:rsidR="00716D44" w:rsidRPr="00834CDC" w:rsidRDefault="00716D44" w:rsidP="00457617">
            <w:pPr>
              <w:pStyle w:val="NormalWeb"/>
              <w:rPr>
                <w:sz w:val="18"/>
                <w:szCs w:val="18"/>
              </w:rPr>
            </w:pPr>
            <w:r w:rsidRPr="00834CDC">
              <w:rPr>
                <w:sz w:val="18"/>
                <w:szCs w:val="18"/>
              </w:rPr>
              <w:t>0.11</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AA18866" w14:textId="77777777" w:rsidR="00716D44" w:rsidRPr="00834CDC" w:rsidRDefault="00716D44" w:rsidP="00457617">
            <w:pPr>
              <w:pStyle w:val="NormalWeb"/>
              <w:rPr>
                <w:sz w:val="18"/>
                <w:szCs w:val="18"/>
              </w:rPr>
            </w:pPr>
            <w:r w:rsidRPr="00834CDC">
              <w:rPr>
                <w:sz w:val="18"/>
                <w:szCs w:val="18"/>
              </w:rPr>
              <w:t>0</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1FA6D73" w14:textId="77777777" w:rsidR="00716D44" w:rsidRPr="00834CDC" w:rsidRDefault="00716D44" w:rsidP="00457617">
            <w:pPr>
              <w:pStyle w:val="NormalWeb"/>
              <w:rPr>
                <w:sz w:val="18"/>
                <w:szCs w:val="18"/>
              </w:rPr>
            </w:pPr>
            <w:r w:rsidRPr="00834CDC">
              <w:rPr>
                <w:sz w:val="18"/>
                <w:szCs w:val="18"/>
              </w:rPr>
              <w:t>0.00</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F4597B0" w14:textId="77777777" w:rsidR="00716D44" w:rsidRPr="00834CDC" w:rsidRDefault="00716D44" w:rsidP="00457617">
            <w:pPr>
              <w:pStyle w:val="NormalWeb"/>
              <w:rPr>
                <w:sz w:val="18"/>
                <w:szCs w:val="18"/>
              </w:rPr>
            </w:pPr>
            <w:r w:rsidRPr="00834CDC">
              <w:rPr>
                <w:sz w:val="18"/>
                <w:szCs w:val="18"/>
              </w:rPr>
              <w:t>0</w:t>
            </w:r>
          </w:p>
        </w:tc>
        <w:tc>
          <w:tcPr>
            <w:tcW w:w="11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BD91CA5" w14:textId="77777777" w:rsidR="00716D44" w:rsidRPr="00834CDC" w:rsidRDefault="00716D44" w:rsidP="00457617">
            <w:pPr>
              <w:pStyle w:val="NormalWeb"/>
              <w:rPr>
                <w:sz w:val="18"/>
                <w:szCs w:val="18"/>
              </w:rPr>
            </w:pPr>
            <w:r w:rsidRPr="00834CDC">
              <w:rPr>
                <w:sz w:val="18"/>
                <w:szCs w:val="18"/>
              </w:rPr>
              <w:t>0.00</w:t>
            </w:r>
          </w:p>
        </w:tc>
      </w:tr>
      <w:tr w:rsidR="00716D44" w:rsidRPr="00834CDC" w14:paraId="35F1046A" w14:textId="77777777" w:rsidTr="0011571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5F736A4" w14:textId="77777777" w:rsidR="00716D44" w:rsidRPr="00834CDC" w:rsidRDefault="00716D44" w:rsidP="00457617">
            <w:pPr>
              <w:rPr>
                <w:sz w:val="18"/>
                <w:szCs w:val="18"/>
              </w:rPr>
            </w:pPr>
          </w:p>
        </w:tc>
        <w:tc>
          <w:tcPr>
            <w:tcW w:w="37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7F800C6" w14:textId="77777777" w:rsidR="00716D44" w:rsidRPr="00834CDC" w:rsidRDefault="00716D44" w:rsidP="000937C8">
            <w:pPr>
              <w:pStyle w:val="NormalWeb"/>
              <w:jc w:val="left"/>
              <w:rPr>
                <w:sz w:val="18"/>
                <w:szCs w:val="18"/>
              </w:rPr>
            </w:pPr>
            <w:r w:rsidRPr="00834CDC">
              <w:rPr>
                <w:sz w:val="18"/>
                <w:szCs w:val="18"/>
              </w:rPr>
              <w:t>Other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042ABE9" w14:textId="77777777" w:rsidR="00716D44" w:rsidRPr="00834CDC" w:rsidRDefault="00716D44" w:rsidP="00457617">
            <w:pPr>
              <w:pStyle w:val="NormalWeb"/>
              <w:rPr>
                <w:sz w:val="18"/>
                <w:szCs w:val="18"/>
              </w:rPr>
            </w:pPr>
            <w:r w:rsidRPr="00834CDC">
              <w:rPr>
                <w:sz w:val="18"/>
                <w:szCs w:val="18"/>
              </w:rPr>
              <w:t>10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8C9C66A" w14:textId="77777777" w:rsidR="00716D44" w:rsidRPr="00834CDC" w:rsidRDefault="00716D44" w:rsidP="00457617">
            <w:pPr>
              <w:pStyle w:val="NormalWeb"/>
              <w:rPr>
                <w:sz w:val="18"/>
                <w:szCs w:val="18"/>
              </w:rPr>
            </w:pPr>
            <w:r w:rsidRPr="00834CDC">
              <w:rPr>
                <w:sz w:val="18"/>
                <w:szCs w:val="18"/>
              </w:rPr>
              <w:t>0.03</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FCD8FE6" w14:textId="77777777" w:rsidR="00716D44" w:rsidRPr="00834CDC" w:rsidRDefault="00716D44" w:rsidP="00457617">
            <w:pPr>
              <w:pStyle w:val="NormalWeb"/>
              <w:rPr>
                <w:sz w:val="18"/>
                <w:szCs w:val="18"/>
              </w:rPr>
            </w:pPr>
            <w:r w:rsidRPr="00834CDC">
              <w:rPr>
                <w:sz w:val="18"/>
                <w:szCs w:val="18"/>
              </w:rPr>
              <w:t>21</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C1637A8" w14:textId="77777777" w:rsidR="00716D44" w:rsidRPr="00834CDC" w:rsidRDefault="00716D44" w:rsidP="00457617">
            <w:pPr>
              <w:pStyle w:val="NormalWeb"/>
              <w:rPr>
                <w:sz w:val="18"/>
                <w:szCs w:val="18"/>
              </w:rPr>
            </w:pPr>
            <w:r w:rsidRPr="00834CDC">
              <w:rPr>
                <w:sz w:val="18"/>
                <w:szCs w:val="18"/>
              </w:rPr>
              <w:t>0.07</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B61FE5A" w14:textId="21E8650B" w:rsidR="00716D44" w:rsidRPr="00834CDC" w:rsidRDefault="00716D44" w:rsidP="00457617">
            <w:pPr>
              <w:pStyle w:val="NormalWeb"/>
              <w:rPr>
                <w:sz w:val="18"/>
                <w:szCs w:val="18"/>
              </w:rPr>
            </w:pPr>
            <w:r w:rsidRPr="00834CDC">
              <w:rPr>
                <w:sz w:val="18"/>
                <w:szCs w:val="18"/>
              </w:rPr>
              <w:t>1–4</w:t>
            </w:r>
            <w:r w:rsidR="003144DE" w:rsidRPr="00834CDC">
              <w:rPr>
                <w:sz w:val="18"/>
                <w:szCs w:val="18"/>
              </w:rPr>
              <w:t xml:space="preserve"> </w:t>
            </w:r>
            <w:r w:rsidRPr="00834CDC">
              <w:rPr>
                <w:sz w:val="18"/>
                <w:szCs w:val="18"/>
                <w:vertAlign w:val="superscript"/>
              </w:rPr>
              <w:t>e</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9677FC3" w14:textId="77777777" w:rsidR="00716D44" w:rsidRPr="00834CDC" w:rsidRDefault="00716D44" w:rsidP="00457617">
            <w:pPr>
              <w:pStyle w:val="NormalWeb"/>
              <w:rPr>
                <w:sz w:val="18"/>
                <w:szCs w:val="18"/>
              </w:rPr>
            </w:pPr>
            <w:r w:rsidRPr="00834CDC">
              <w:rPr>
                <w:sz w:val="18"/>
                <w:szCs w:val="18"/>
              </w:rPr>
              <w:t>0.01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29D371B" w14:textId="77777777" w:rsidR="00716D44" w:rsidRPr="00834CDC" w:rsidRDefault="00716D44" w:rsidP="00457617">
            <w:pPr>
              <w:pStyle w:val="NormalWeb"/>
              <w:rPr>
                <w:sz w:val="18"/>
                <w:szCs w:val="18"/>
              </w:rPr>
            </w:pPr>
            <w:r w:rsidRPr="00834CDC">
              <w:rPr>
                <w:sz w:val="18"/>
                <w:szCs w:val="18"/>
              </w:rPr>
              <w:t>23</w:t>
            </w:r>
          </w:p>
        </w:tc>
        <w:tc>
          <w:tcPr>
            <w:tcW w:w="11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457C36E" w14:textId="77777777" w:rsidR="00716D44" w:rsidRPr="00834CDC" w:rsidRDefault="00716D44" w:rsidP="00457617">
            <w:pPr>
              <w:pStyle w:val="NormalWeb"/>
              <w:rPr>
                <w:sz w:val="18"/>
                <w:szCs w:val="18"/>
              </w:rPr>
            </w:pPr>
            <w:r w:rsidRPr="00834CDC">
              <w:rPr>
                <w:sz w:val="18"/>
                <w:szCs w:val="18"/>
              </w:rPr>
              <w:t>0.08</w:t>
            </w:r>
          </w:p>
        </w:tc>
      </w:tr>
      <w:tr w:rsidR="00716D44" w:rsidRPr="00834CDC" w14:paraId="67C22631" w14:textId="77777777" w:rsidTr="00115711">
        <w:trPr>
          <w:divId w:val="1988506822"/>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432BD9" w14:textId="77777777" w:rsidR="00716D44" w:rsidRPr="00834CDC" w:rsidRDefault="00716D44" w:rsidP="00457617">
            <w:pPr>
              <w:pStyle w:val="NormalWeb"/>
              <w:rPr>
                <w:sz w:val="18"/>
                <w:szCs w:val="18"/>
              </w:rPr>
            </w:pPr>
            <w:r w:rsidRPr="00834CDC">
              <w:rPr>
                <w:sz w:val="18"/>
                <w:szCs w:val="18"/>
              </w:rPr>
              <w:t>≥ 50</w:t>
            </w:r>
          </w:p>
        </w:tc>
        <w:tc>
          <w:tcPr>
            <w:tcW w:w="37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DF61FC3" w14:textId="77777777" w:rsidR="00716D44" w:rsidRPr="00834CDC" w:rsidRDefault="00716D44" w:rsidP="000937C8">
            <w:pPr>
              <w:pStyle w:val="NormalWeb"/>
              <w:jc w:val="left"/>
              <w:rPr>
                <w:sz w:val="18"/>
                <w:szCs w:val="18"/>
              </w:rPr>
            </w:pPr>
            <w:r w:rsidRPr="00834CDC">
              <w:rPr>
                <w:sz w:val="18"/>
                <w:szCs w:val="18"/>
              </w:rPr>
              <w:t>Aboriginal and Torres Strait Islander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62D6676" w14:textId="77777777" w:rsidR="00716D44" w:rsidRPr="00834CDC" w:rsidRDefault="00716D44" w:rsidP="00457617">
            <w:pPr>
              <w:pStyle w:val="NormalWeb"/>
              <w:rPr>
                <w:sz w:val="18"/>
                <w:szCs w:val="18"/>
              </w:rPr>
            </w:pPr>
            <w:r w:rsidRPr="00834CDC">
              <w:rPr>
                <w:sz w:val="18"/>
                <w:szCs w:val="18"/>
              </w:rPr>
              <w:t>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6C0A8FC" w14:textId="77777777" w:rsidR="00716D44" w:rsidRPr="00834CDC" w:rsidRDefault="00716D44" w:rsidP="00457617">
            <w:pPr>
              <w:pStyle w:val="NormalWeb"/>
              <w:rPr>
                <w:sz w:val="18"/>
                <w:szCs w:val="18"/>
              </w:rPr>
            </w:pPr>
            <w:r w:rsidRPr="00834CDC">
              <w:rPr>
                <w:sz w:val="18"/>
                <w:szCs w:val="18"/>
              </w:rPr>
              <w:t>0.00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81FCFDE" w14:textId="77777777" w:rsidR="00716D44" w:rsidRPr="00834CDC" w:rsidRDefault="00716D44" w:rsidP="00457617">
            <w:pPr>
              <w:pStyle w:val="NormalWeb"/>
              <w:rPr>
                <w:sz w:val="18"/>
                <w:szCs w:val="18"/>
              </w:rPr>
            </w:pPr>
            <w:r w:rsidRPr="00834CDC">
              <w:rPr>
                <w:sz w:val="18"/>
                <w:szCs w:val="18"/>
              </w:rPr>
              <w:t>0</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7766F75" w14:textId="77777777" w:rsidR="00716D44" w:rsidRPr="00834CDC" w:rsidRDefault="00716D44" w:rsidP="00457617">
            <w:pPr>
              <w:pStyle w:val="NormalWeb"/>
              <w:rPr>
                <w:sz w:val="18"/>
                <w:szCs w:val="18"/>
              </w:rPr>
            </w:pPr>
            <w:r w:rsidRPr="00834CDC">
              <w:rPr>
                <w:sz w:val="18"/>
                <w:szCs w:val="18"/>
              </w:rPr>
              <w:t>0.00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59EC659" w14:textId="77777777" w:rsidR="00716D44" w:rsidRPr="00834CDC" w:rsidRDefault="00716D44" w:rsidP="00457617">
            <w:pPr>
              <w:pStyle w:val="NormalWeb"/>
              <w:rPr>
                <w:sz w:val="18"/>
                <w:szCs w:val="18"/>
              </w:rPr>
            </w:pPr>
            <w:r w:rsidRPr="00834CDC">
              <w:rPr>
                <w:sz w:val="18"/>
                <w:szCs w:val="18"/>
              </w:rPr>
              <w:t>0</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72C4548" w14:textId="77777777" w:rsidR="00716D44" w:rsidRPr="00834CDC" w:rsidRDefault="00716D44" w:rsidP="00457617">
            <w:pPr>
              <w:pStyle w:val="NormalWeb"/>
              <w:rPr>
                <w:sz w:val="18"/>
                <w:szCs w:val="18"/>
              </w:rPr>
            </w:pPr>
            <w:r w:rsidRPr="00834CDC">
              <w:rPr>
                <w:sz w:val="18"/>
                <w:szCs w:val="18"/>
              </w:rPr>
              <w:t>0.00</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86ACC3A" w14:textId="77777777" w:rsidR="00716D44" w:rsidRPr="00834CDC" w:rsidRDefault="00716D44" w:rsidP="00457617">
            <w:pPr>
              <w:pStyle w:val="NormalWeb"/>
              <w:rPr>
                <w:sz w:val="18"/>
                <w:szCs w:val="18"/>
              </w:rPr>
            </w:pPr>
            <w:r w:rsidRPr="00834CDC">
              <w:rPr>
                <w:sz w:val="18"/>
                <w:szCs w:val="18"/>
              </w:rPr>
              <w:t>0</w:t>
            </w:r>
          </w:p>
        </w:tc>
        <w:tc>
          <w:tcPr>
            <w:tcW w:w="11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4298438" w14:textId="77777777" w:rsidR="00716D44" w:rsidRPr="00834CDC" w:rsidRDefault="00716D44" w:rsidP="00457617">
            <w:pPr>
              <w:pStyle w:val="NormalWeb"/>
              <w:rPr>
                <w:sz w:val="18"/>
                <w:szCs w:val="18"/>
              </w:rPr>
            </w:pPr>
            <w:r w:rsidRPr="00834CDC">
              <w:rPr>
                <w:sz w:val="18"/>
                <w:szCs w:val="18"/>
              </w:rPr>
              <w:t>0.00</w:t>
            </w:r>
          </w:p>
        </w:tc>
      </w:tr>
      <w:tr w:rsidR="00716D44" w:rsidRPr="00834CDC" w14:paraId="479F1838" w14:textId="77777777" w:rsidTr="0011571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E401B71" w14:textId="77777777" w:rsidR="00716D44" w:rsidRPr="00834CDC" w:rsidRDefault="00716D44" w:rsidP="00457617">
            <w:pPr>
              <w:rPr>
                <w:sz w:val="18"/>
                <w:szCs w:val="18"/>
              </w:rPr>
            </w:pPr>
          </w:p>
        </w:tc>
        <w:tc>
          <w:tcPr>
            <w:tcW w:w="37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C697846" w14:textId="77777777" w:rsidR="00716D44" w:rsidRPr="00834CDC" w:rsidRDefault="00716D44" w:rsidP="000937C8">
            <w:pPr>
              <w:pStyle w:val="NormalWeb"/>
              <w:jc w:val="left"/>
              <w:rPr>
                <w:sz w:val="18"/>
                <w:szCs w:val="18"/>
              </w:rPr>
            </w:pPr>
            <w:r w:rsidRPr="00834CDC">
              <w:rPr>
                <w:sz w:val="18"/>
                <w:szCs w:val="18"/>
              </w:rPr>
              <w:t>Other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537CE14" w14:textId="77777777" w:rsidR="00716D44" w:rsidRPr="00834CDC" w:rsidRDefault="00716D44" w:rsidP="00457617">
            <w:pPr>
              <w:pStyle w:val="NormalWeb"/>
              <w:rPr>
                <w:sz w:val="18"/>
                <w:szCs w:val="18"/>
              </w:rPr>
            </w:pPr>
            <w:r w:rsidRPr="00834CDC">
              <w:rPr>
                <w:sz w:val="18"/>
                <w:szCs w:val="18"/>
              </w:rPr>
              <w:t>27</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8E99508" w14:textId="77777777" w:rsidR="00716D44" w:rsidRPr="00834CDC" w:rsidRDefault="00716D44" w:rsidP="00457617">
            <w:pPr>
              <w:pStyle w:val="NormalWeb"/>
              <w:rPr>
                <w:sz w:val="18"/>
                <w:szCs w:val="18"/>
              </w:rPr>
            </w:pPr>
            <w:r w:rsidRPr="00834CDC">
              <w:rPr>
                <w:sz w:val="18"/>
                <w:szCs w:val="18"/>
              </w:rPr>
              <w:t>0.10</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4071D7C" w14:textId="77777777" w:rsidR="00716D44" w:rsidRPr="00834CDC" w:rsidRDefault="00716D44" w:rsidP="00457617">
            <w:pPr>
              <w:pStyle w:val="NormalWeb"/>
              <w:rPr>
                <w:sz w:val="18"/>
                <w:szCs w:val="18"/>
              </w:rPr>
            </w:pPr>
            <w:r w:rsidRPr="00834CDC">
              <w:rPr>
                <w:sz w:val="18"/>
                <w:szCs w:val="18"/>
              </w:rPr>
              <w:t>19</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0030620" w14:textId="77777777" w:rsidR="00716D44" w:rsidRPr="00834CDC" w:rsidRDefault="00716D44" w:rsidP="00457617">
            <w:pPr>
              <w:pStyle w:val="NormalWeb"/>
              <w:rPr>
                <w:sz w:val="18"/>
                <w:szCs w:val="18"/>
              </w:rPr>
            </w:pPr>
            <w:r w:rsidRPr="00834CDC">
              <w:rPr>
                <w:sz w:val="18"/>
                <w:szCs w:val="18"/>
              </w:rPr>
              <w:t>0.07</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F0EB890" w14:textId="6B79206C" w:rsidR="00716D44" w:rsidRPr="00834CDC" w:rsidRDefault="00716D44" w:rsidP="00457617">
            <w:pPr>
              <w:pStyle w:val="NormalWeb"/>
              <w:rPr>
                <w:sz w:val="18"/>
                <w:szCs w:val="18"/>
              </w:rPr>
            </w:pPr>
            <w:r w:rsidRPr="00834CDC">
              <w:rPr>
                <w:sz w:val="18"/>
                <w:szCs w:val="18"/>
              </w:rPr>
              <w:t>1–4</w:t>
            </w:r>
            <w:r w:rsidR="003144DE" w:rsidRPr="00834CDC">
              <w:rPr>
                <w:sz w:val="18"/>
                <w:szCs w:val="18"/>
              </w:rPr>
              <w:t xml:space="preserve"> </w:t>
            </w:r>
            <w:r w:rsidRPr="00834CDC">
              <w:rPr>
                <w:sz w:val="18"/>
                <w:szCs w:val="18"/>
                <w:vertAlign w:val="superscript"/>
              </w:rPr>
              <w:t>e</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2CB5C54" w14:textId="77777777" w:rsidR="00716D44" w:rsidRPr="00834CDC" w:rsidRDefault="00716D44" w:rsidP="00457617">
            <w:pPr>
              <w:pStyle w:val="NormalWeb"/>
              <w:rPr>
                <w:sz w:val="18"/>
                <w:szCs w:val="18"/>
              </w:rPr>
            </w:pPr>
            <w:r w:rsidRPr="00834CDC">
              <w:rPr>
                <w:sz w:val="18"/>
                <w:szCs w:val="18"/>
              </w:rPr>
              <w:t>0.01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EA1F1A1" w14:textId="77777777" w:rsidR="00716D44" w:rsidRPr="00834CDC" w:rsidRDefault="00716D44" w:rsidP="00457617">
            <w:pPr>
              <w:pStyle w:val="NormalWeb"/>
              <w:rPr>
                <w:sz w:val="18"/>
                <w:szCs w:val="18"/>
              </w:rPr>
            </w:pPr>
            <w:r w:rsidRPr="00834CDC">
              <w:rPr>
                <w:sz w:val="18"/>
                <w:szCs w:val="18"/>
              </w:rPr>
              <w:t>25</w:t>
            </w:r>
          </w:p>
        </w:tc>
        <w:tc>
          <w:tcPr>
            <w:tcW w:w="11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5BFBC14" w14:textId="77777777" w:rsidR="00716D44" w:rsidRPr="00834CDC" w:rsidRDefault="00716D44" w:rsidP="00457617">
            <w:pPr>
              <w:pStyle w:val="NormalWeb"/>
              <w:rPr>
                <w:sz w:val="18"/>
                <w:szCs w:val="18"/>
              </w:rPr>
            </w:pPr>
            <w:r w:rsidRPr="00834CDC">
              <w:rPr>
                <w:sz w:val="18"/>
                <w:szCs w:val="18"/>
              </w:rPr>
              <w:t>0.09</w:t>
            </w:r>
          </w:p>
        </w:tc>
      </w:tr>
      <w:tr w:rsidR="002A2298" w:rsidRPr="00834CDC" w14:paraId="6773B633" w14:textId="77777777" w:rsidTr="00115711">
        <w:trPr>
          <w:divId w:val="1988506822"/>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D70E4BA" w14:textId="79FFF884" w:rsidR="00716D44" w:rsidRPr="00834CDC" w:rsidRDefault="00716D44" w:rsidP="00457617">
            <w:pPr>
              <w:pStyle w:val="NormalWeb"/>
              <w:rPr>
                <w:b/>
                <w:bCs/>
                <w:sz w:val="18"/>
                <w:szCs w:val="18"/>
              </w:rPr>
            </w:pPr>
            <w:r w:rsidRPr="00834CDC">
              <w:rPr>
                <w:b/>
                <w:bCs/>
                <w:sz w:val="18"/>
                <w:szCs w:val="18"/>
              </w:rPr>
              <w:t xml:space="preserve">All ages </w:t>
            </w:r>
            <w:r w:rsidRPr="00834CDC">
              <w:rPr>
                <w:b/>
                <w:bCs/>
                <w:sz w:val="18"/>
                <w:szCs w:val="18"/>
                <w:vertAlign w:val="superscript"/>
              </w:rPr>
              <w:t>f</w:t>
            </w:r>
          </w:p>
        </w:tc>
        <w:tc>
          <w:tcPr>
            <w:tcW w:w="37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2F0378E1" w14:textId="77777777" w:rsidR="00716D44" w:rsidRPr="00834CDC" w:rsidRDefault="00716D44" w:rsidP="000937C8">
            <w:pPr>
              <w:pStyle w:val="NormalWeb"/>
              <w:jc w:val="left"/>
              <w:rPr>
                <w:b/>
                <w:bCs/>
                <w:sz w:val="18"/>
                <w:szCs w:val="18"/>
              </w:rPr>
            </w:pPr>
            <w:r w:rsidRPr="00834CDC">
              <w:rPr>
                <w:b/>
                <w:bCs/>
                <w:sz w:val="18"/>
                <w:szCs w:val="18"/>
              </w:rPr>
              <w:t>Aboriginal and Torres Strait Islander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3412A41" w14:textId="77777777" w:rsidR="00716D44" w:rsidRPr="00834CDC" w:rsidRDefault="00716D44" w:rsidP="00457617">
            <w:pPr>
              <w:pStyle w:val="NormalWeb"/>
              <w:rPr>
                <w:b/>
                <w:bCs/>
                <w:sz w:val="18"/>
                <w:szCs w:val="18"/>
              </w:rPr>
            </w:pPr>
            <w:r w:rsidRPr="00834CDC">
              <w:rPr>
                <w:b/>
                <w:bCs/>
                <w:sz w:val="18"/>
                <w:szCs w:val="18"/>
              </w:rPr>
              <w:t>6</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5FEC346" w14:textId="77777777" w:rsidR="00716D44" w:rsidRPr="00834CDC" w:rsidRDefault="00716D44" w:rsidP="00457617">
            <w:pPr>
              <w:pStyle w:val="NormalWeb"/>
              <w:rPr>
                <w:b/>
                <w:bCs/>
                <w:sz w:val="18"/>
                <w:szCs w:val="18"/>
              </w:rPr>
            </w:pPr>
            <w:r w:rsidRPr="00834CDC">
              <w:rPr>
                <w:b/>
                <w:bCs/>
                <w:sz w:val="18"/>
                <w:szCs w:val="18"/>
              </w:rPr>
              <w:t>0.18</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79962F17" w14:textId="092372C5" w:rsidR="00716D44" w:rsidRPr="00834CDC" w:rsidRDefault="00716D44" w:rsidP="00457617">
            <w:pPr>
              <w:pStyle w:val="NormalWeb"/>
              <w:rPr>
                <w:b/>
                <w:bCs/>
                <w:sz w:val="18"/>
                <w:szCs w:val="18"/>
              </w:rPr>
            </w:pPr>
            <w:r w:rsidRPr="00834CDC">
              <w:rPr>
                <w:b/>
                <w:bCs/>
                <w:sz w:val="18"/>
                <w:szCs w:val="18"/>
              </w:rPr>
              <w:t>1–4</w:t>
            </w:r>
            <w:r w:rsidR="003144DE" w:rsidRPr="00834CDC">
              <w:rPr>
                <w:b/>
                <w:bCs/>
                <w:sz w:val="18"/>
                <w:szCs w:val="18"/>
              </w:rPr>
              <w:t xml:space="preserve"> </w:t>
            </w:r>
            <w:r w:rsidRPr="00834CDC">
              <w:rPr>
                <w:b/>
                <w:bCs/>
                <w:sz w:val="18"/>
                <w:szCs w:val="18"/>
                <w:vertAlign w:val="superscript"/>
              </w:rPr>
              <w:t>e</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11997D52" w14:textId="77777777" w:rsidR="00716D44" w:rsidRPr="00834CDC" w:rsidRDefault="00716D44" w:rsidP="00457617">
            <w:pPr>
              <w:pStyle w:val="NormalWeb"/>
              <w:rPr>
                <w:b/>
                <w:bCs/>
                <w:sz w:val="18"/>
                <w:szCs w:val="18"/>
              </w:rPr>
            </w:pPr>
            <w:r w:rsidRPr="00834CDC">
              <w:rPr>
                <w:b/>
                <w:bCs/>
                <w:sz w:val="18"/>
                <w:szCs w:val="18"/>
              </w:rPr>
              <w:t>0.06</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48695EEC" w14:textId="77777777" w:rsidR="00716D44" w:rsidRPr="00834CDC" w:rsidRDefault="00716D44" w:rsidP="00457617">
            <w:pPr>
              <w:pStyle w:val="NormalWeb"/>
              <w:rPr>
                <w:b/>
                <w:bCs/>
                <w:sz w:val="18"/>
                <w:szCs w:val="18"/>
              </w:rPr>
            </w:pPr>
            <w:r w:rsidRPr="00834CDC">
              <w:rPr>
                <w:b/>
                <w:bCs/>
                <w:sz w:val="18"/>
                <w:szCs w:val="18"/>
              </w:rPr>
              <w:t>0</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0D6B5D0D" w14:textId="77777777" w:rsidR="00716D44" w:rsidRPr="00834CDC" w:rsidRDefault="00716D44" w:rsidP="00457617">
            <w:pPr>
              <w:pStyle w:val="NormalWeb"/>
              <w:rPr>
                <w:b/>
                <w:bCs/>
                <w:sz w:val="18"/>
                <w:szCs w:val="18"/>
              </w:rPr>
            </w:pPr>
            <w:r w:rsidRPr="00834CDC">
              <w:rPr>
                <w:b/>
                <w:bCs/>
                <w:sz w:val="18"/>
                <w:szCs w:val="18"/>
              </w:rPr>
              <w:t>0.00</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ADD82FA" w14:textId="795973A3" w:rsidR="00716D44" w:rsidRPr="00834CDC" w:rsidRDefault="00716D44" w:rsidP="00457617">
            <w:pPr>
              <w:pStyle w:val="NormalWeb"/>
              <w:rPr>
                <w:b/>
                <w:bCs/>
                <w:sz w:val="18"/>
                <w:szCs w:val="18"/>
              </w:rPr>
            </w:pPr>
            <w:r w:rsidRPr="00834CDC">
              <w:rPr>
                <w:b/>
                <w:bCs/>
                <w:sz w:val="18"/>
                <w:szCs w:val="18"/>
              </w:rPr>
              <w:t>1–4</w:t>
            </w:r>
            <w:r w:rsidR="003144DE" w:rsidRPr="00834CDC">
              <w:rPr>
                <w:b/>
                <w:bCs/>
                <w:sz w:val="18"/>
                <w:szCs w:val="18"/>
              </w:rPr>
              <w:t xml:space="preserve"> </w:t>
            </w:r>
            <w:r w:rsidRPr="00834CDC">
              <w:rPr>
                <w:b/>
                <w:bCs/>
                <w:sz w:val="18"/>
                <w:szCs w:val="18"/>
                <w:vertAlign w:val="superscript"/>
              </w:rPr>
              <w:t>e</w:t>
            </w:r>
          </w:p>
        </w:tc>
        <w:tc>
          <w:tcPr>
            <w:tcW w:w="11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4EF6A70E" w14:textId="77777777" w:rsidR="00716D44" w:rsidRPr="00834CDC" w:rsidRDefault="00716D44" w:rsidP="00457617">
            <w:pPr>
              <w:pStyle w:val="NormalWeb"/>
              <w:rPr>
                <w:b/>
                <w:bCs/>
                <w:sz w:val="18"/>
                <w:szCs w:val="18"/>
              </w:rPr>
            </w:pPr>
            <w:r w:rsidRPr="00834CDC">
              <w:rPr>
                <w:b/>
                <w:bCs/>
                <w:sz w:val="18"/>
                <w:szCs w:val="18"/>
              </w:rPr>
              <w:t>0.02</w:t>
            </w:r>
          </w:p>
        </w:tc>
      </w:tr>
      <w:tr w:rsidR="002A2298" w:rsidRPr="00834CDC" w14:paraId="0189A22A" w14:textId="77777777" w:rsidTr="0011571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5D21B4DE" w14:textId="77777777" w:rsidR="00716D44" w:rsidRPr="00834CDC" w:rsidRDefault="00716D44" w:rsidP="00457617">
            <w:pPr>
              <w:rPr>
                <w:b/>
                <w:bCs/>
                <w:sz w:val="18"/>
                <w:szCs w:val="18"/>
              </w:rPr>
            </w:pPr>
          </w:p>
        </w:tc>
        <w:tc>
          <w:tcPr>
            <w:tcW w:w="37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71248987" w14:textId="77777777" w:rsidR="00716D44" w:rsidRPr="00834CDC" w:rsidRDefault="00716D44" w:rsidP="000937C8">
            <w:pPr>
              <w:pStyle w:val="NormalWeb"/>
              <w:jc w:val="left"/>
              <w:rPr>
                <w:b/>
                <w:bCs/>
                <w:sz w:val="18"/>
                <w:szCs w:val="18"/>
              </w:rPr>
            </w:pPr>
            <w:r w:rsidRPr="00834CDC">
              <w:rPr>
                <w:b/>
                <w:bCs/>
                <w:sz w:val="18"/>
                <w:szCs w:val="18"/>
              </w:rPr>
              <w:t>Other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21BCFAED" w14:textId="77777777" w:rsidR="00716D44" w:rsidRPr="00834CDC" w:rsidRDefault="00716D44" w:rsidP="00457617">
            <w:pPr>
              <w:pStyle w:val="NormalWeb"/>
              <w:rPr>
                <w:b/>
                <w:bCs/>
                <w:sz w:val="18"/>
                <w:szCs w:val="18"/>
              </w:rPr>
            </w:pPr>
            <w:r w:rsidRPr="00834CDC">
              <w:rPr>
                <w:b/>
                <w:bCs/>
                <w:sz w:val="18"/>
                <w:szCs w:val="18"/>
              </w:rPr>
              <w:t>46</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9F32BBD" w14:textId="77777777" w:rsidR="00716D44" w:rsidRPr="00834CDC" w:rsidRDefault="00716D44" w:rsidP="00457617">
            <w:pPr>
              <w:pStyle w:val="NormalWeb"/>
              <w:rPr>
                <w:b/>
                <w:bCs/>
                <w:sz w:val="18"/>
                <w:szCs w:val="18"/>
              </w:rPr>
            </w:pPr>
            <w:r w:rsidRPr="00834CDC">
              <w:rPr>
                <w:b/>
                <w:bCs/>
                <w:sz w:val="18"/>
                <w:szCs w:val="18"/>
              </w:rPr>
              <w:t>0.05</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0E1E31A" w14:textId="77777777" w:rsidR="00716D44" w:rsidRPr="00834CDC" w:rsidRDefault="00716D44" w:rsidP="00457617">
            <w:pPr>
              <w:pStyle w:val="NormalWeb"/>
              <w:rPr>
                <w:b/>
                <w:bCs/>
                <w:sz w:val="18"/>
                <w:szCs w:val="18"/>
              </w:rPr>
            </w:pPr>
            <w:r w:rsidRPr="00834CDC">
              <w:rPr>
                <w:b/>
                <w:bCs/>
                <w:sz w:val="18"/>
                <w:szCs w:val="18"/>
              </w:rPr>
              <w:t>62</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4D2366F" w14:textId="77777777" w:rsidR="00716D44" w:rsidRPr="00834CDC" w:rsidRDefault="00716D44" w:rsidP="00457617">
            <w:pPr>
              <w:pStyle w:val="NormalWeb"/>
              <w:rPr>
                <w:b/>
                <w:bCs/>
                <w:sz w:val="18"/>
                <w:szCs w:val="18"/>
              </w:rPr>
            </w:pPr>
            <w:r w:rsidRPr="00834CDC">
              <w:rPr>
                <w:b/>
                <w:bCs/>
                <w:sz w:val="18"/>
                <w:szCs w:val="18"/>
              </w:rPr>
              <w:t>0.07</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F7F1FEE" w14:textId="77777777" w:rsidR="00716D44" w:rsidRPr="00834CDC" w:rsidRDefault="00716D44" w:rsidP="00457617">
            <w:pPr>
              <w:pStyle w:val="NormalWeb"/>
              <w:rPr>
                <w:b/>
                <w:bCs/>
                <w:sz w:val="18"/>
                <w:szCs w:val="18"/>
              </w:rPr>
            </w:pPr>
            <w:r w:rsidRPr="00834CDC">
              <w:rPr>
                <w:b/>
                <w:bCs/>
                <w:sz w:val="18"/>
                <w:szCs w:val="18"/>
              </w:rPr>
              <w:t>6</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7AF8E4F8" w14:textId="77777777" w:rsidR="00716D44" w:rsidRPr="00834CDC" w:rsidRDefault="00716D44" w:rsidP="00457617">
            <w:pPr>
              <w:pStyle w:val="NormalWeb"/>
              <w:rPr>
                <w:b/>
                <w:bCs/>
                <w:sz w:val="18"/>
                <w:szCs w:val="18"/>
              </w:rPr>
            </w:pPr>
            <w:r w:rsidRPr="00834CDC">
              <w:rPr>
                <w:b/>
                <w:bCs/>
                <w:sz w:val="18"/>
                <w:szCs w:val="18"/>
              </w:rPr>
              <w:t>0.007</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974F382" w14:textId="77777777" w:rsidR="00716D44" w:rsidRPr="00834CDC" w:rsidRDefault="00716D44" w:rsidP="00457617">
            <w:pPr>
              <w:pStyle w:val="NormalWeb"/>
              <w:rPr>
                <w:b/>
                <w:bCs/>
                <w:sz w:val="18"/>
                <w:szCs w:val="18"/>
              </w:rPr>
            </w:pPr>
            <w:r w:rsidRPr="00834CDC">
              <w:rPr>
                <w:b/>
                <w:bCs/>
                <w:sz w:val="18"/>
                <w:szCs w:val="18"/>
              </w:rPr>
              <w:t>56</w:t>
            </w:r>
          </w:p>
        </w:tc>
        <w:tc>
          <w:tcPr>
            <w:tcW w:w="11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56AE8DFA" w14:textId="77777777" w:rsidR="00716D44" w:rsidRPr="00834CDC" w:rsidRDefault="00716D44" w:rsidP="00457617">
            <w:pPr>
              <w:pStyle w:val="NormalWeb"/>
              <w:rPr>
                <w:b/>
                <w:bCs/>
                <w:sz w:val="18"/>
                <w:szCs w:val="18"/>
              </w:rPr>
            </w:pPr>
            <w:r w:rsidRPr="00834CDC">
              <w:rPr>
                <w:b/>
                <w:bCs/>
                <w:sz w:val="18"/>
                <w:szCs w:val="18"/>
              </w:rPr>
              <w:t>0.07</w:t>
            </w:r>
          </w:p>
        </w:tc>
      </w:tr>
    </w:tbl>
    <w:p w14:paraId="181EDFC8" w14:textId="77777777" w:rsidR="00716D44" w:rsidRPr="00834CDC" w:rsidRDefault="00716D44" w:rsidP="002A2298">
      <w:pPr>
        <w:pStyle w:val="CDIfootnotes"/>
        <w:divId w:val="1988506822"/>
      </w:pPr>
      <w:r w:rsidRPr="00834CDC">
        <w:t>a</w:t>
      </w:r>
      <w:r w:rsidRPr="00834CDC">
        <w:tab/>
      </w:r>
      <w:proofErr w:type="gramStart"/>
      <w:r w:rsidRPr="00834CDC">
        <w:t>Hospital admissions</w:t>
      </w:r>
      <w:proofErr w:type="gramEnd"/>
      <w:r w:rsidRPr="00834CDC">
        <w:t xml:space="preserve"> where the date of admission was between 1 January 2016 and 30 June 2019. 2019 hospitalisation data was annualised.</w:t>
      </w:r>
    </w:p>
    <w:p w14:paraId="737BA9CF" w14:textId="77777777" w:rsidR="00716D44" w:rsidRPr="00834CDC" w:rsidRDefault="00716D44" w:rsidP="002A2298">
      <w:pPr>
        <w:pStyle w:val="CDIfootnotes"/>
        <w:divId w:val="1988506822"/>
      </w:pPr>
      <w:r w:rsidRPr="00834CDC">
        <w:t>b</w:t>
      </w:r>
      <w:r w:rsidRPr="00834CDC">
        <w:tab/>
        <w:t>Principal and associated cause of admission.</w:t>
      </w:r>
    </w:p>
    <w:p w14:paraId="6A2E71B4" w14:textId="77777777" w:rsidR="00716D44" w:rsidRPr="00834CDC" w:rsidRDefault="00716D44" w:rsidP="002A2298">
      <w:pPr>
        <w:pStyle w:val="CDIfootnotes"/>
        <w:divId w:val="1988506822"/>
      </w:pPr>
      <w:r w:rsidRPr="00834CDC">
        <w:t>c</w:t>
      </w:r>
      <w:r w:rsidRPr="00834CDC">
        <w:tab/>
        <w:t>Poliomyelitis as the principal cause of admission only.</w:t>
      </w:r>
    </w:p>
    <w:p w14:paraId="12CD0699" w14:textId="77777777" w:rsidR="00716D44" w:rsidRPr="00834CDC" w:rsidRDefault="00716D44" w:rsidP="002A2298">
      <w:pPr>
        <w:pStyle w:val="CDIfootnotes"/>
        <w:divId w:val="1988506822"/>
      </w:pPr>
      <w:r w:rsidRPr="00834CDC">
        <w:t>d</w:t>
      </w:r>
      <w:r w:rsidRPr="00834CDC">
        <w:tab/>
        <w:t>Average annual age-specific rate per 100,000 population.</w:t>
      </w:r>
    </w:p>
    <w:p w14:paraId="5E82C6E4" w14:textId="77777777" w:rsidR="00716D44" w:rsidRPr="00834CDC" w:rsidRDefault="00716D44" w:rsidP="002A2298">
      <w:pPr>
        <w:pStyle w:val="CDIfootnotes"/>
        <w:divId w:val="1988506822"/>
      </w:pPr>
      <w:r w:rsidRPr="00834CDC">
        <w:t>e</w:t>
      </w:r>
      <w:r w:rsidRPr="00834CDC">
        <w:tab/>
      </w:r>
      <w:proofErr w:type="gramStart"/>
      <w:r w:rsidRPr="00834CDC">
        <w:t>To</w:t>
      </w:r>
      <w:proofErr w:type="gramEnd"/>
      <w:r w:rsidRPr="00834CDC">
        <w:t xml:space="preserve"> comply with the AIHW’s data release condition that hospitalisation counts &lt; 5 be suppressed in published reports, counts between 1 and 4 are reported as a range; other cell counts may be reported as NP (not published) to avoid potential for back calculation of counts &lt; 5.</w:t>
      </w:r>
    </w:p>
    <w:p w14:paraId="5A14F237" w14:textId="77777777" w:rsidR="00716D44" w:rsidRPr="00834CDC" w:rsidRDefault="00716D44" w:rsidP="002A2298">
      <w:pPr>
        <w:pStyle w:val="CDIfootnotes"/>
        <w:divId w:val="1988506822"/>
      </w:pPr>
      <w:r w:rsidRPr="00834CDC">
        <w:t>f</w:t>
      </w:r>
      <w:r w:rsidRPr="00834CDC">
        <w:tab/>
        <w:t>Rates for all ages combined are age-standardised in standard population following the Australian Bureau of Statistics 2016 Census.</w:t>
      </w:r>
    </w:p>
    <w:p w14:paraId="7315FCFE" w14:textId="729C1101" w:rsidR="00170857" w:rsidRPr="00834CDC" w:rsidRDefault="00170857" w:rsidP="000937C8">
      <w:pPr>
        <w:pStyle w:val="CDIfootnotes"/>
        <w:pBdr>
          <w:top w:val="single" w:sz="4" w:space="1" w:color="auto"/>
        </w:pBdr>
        <w:ind w:left="0" w:firstLine="0"/>
      </w:pPr>
      <w:r w:rsidRPr="00834CDC">
        <w:br w:type="page"/>
      </w:r>
    </w:p>
    <w:p w14:paraId="2F420C08" w14:textId="553BD2E2" w:rsidR="0033445F" w:rsidRPr="00834CDC" w:rsidRDefault="0033445F" w:rsidP="0033445F">
      <w:pPr>
        <w:pStyle w:val="Heading2"/>
        <w:divId w:val="1988506822"/>
      </w:pPr>
      <w:r w:rsidRPr="00834CDC">
        <w:lastRenderedPageBreak/>
        <w:t xml:space="preserve">Tetanus </w:t>
      </w:r>
    </w:p>
    <w:p w14:paraId="13D46BF8" w14:textId="77777777" w:rsidR="0033445F" w:rsidRPr="00834CDC" w:rsidRDefault="0033445F" w:rsidP="0033445F">
      <w:pPr>
        <w:divId w:val="1988506822"/>
      </w:pPr>
      <w:r w:rsidRPr="00834CDC">
        <w:t xml:space="preserve">Tetanus is unique among vaccine preventable diseases in that it is not communicable. It </w:t>
      </w:r>
      <w:proofErr w:type="gramStart"/>
      <w:r w:rsidRPr="00834CDC">
        <w:t>is caused</w:t>
      </w:r>
      <w:proofErr w:type="gramEnd"/>
      <w:r w:rsidRPr="00834CDC">
        <w:t xml:space="preserve"> by </w:t>
      </w:r>
      <w:r w:rsidRPr="00834CDC">
        <w:rPr>
          <w:rStyle w:val="Emphasis"/>
          <w:b w:val="0"/>
          <w:bCs w:val="0"/>
        </w:rPr>
        <w:t>Clostridium tetani</w:t>
      </w:r>
      <w:r w:rsidRPr="00834CDC">
        <w:t>, a spore-forming, anaerobic bacterium that grows at the site of injury and produces toxin with local and systemic neuromuscular effects.</w:t>
      </w:r>
      <w:r w:rsidRPr="00834CDC">
        <w:rPr>
          <w:vertAlign w:val="superscript"/>
        </w:rPr>
        <w:t>226</w:t>
      </w:r>
      <w:r w:rsidRPr="00834CDC">
        <w:t xml:space="preserve"> </w:t>
      </w:r>
    </w:p>
    <w:p w14:paraId="573ED37F" w14:textId="0CC1D04B" w:rsidR="0033445F" w:rsidRPr="00834CDC" w:rsidRDefault="0033445F" w:rsidP="0033445F">
      <w:pPr>
        <w:divId w:val="1988506822"/>
      </w:pPr>
      <w:r w:rsidRPr="00834CDC">
        <w:t xml:space="preserve">There was a total of </w:t>
      </w:r>
      <w:proofErr w:type="gramStart"/>
      <w:r w:rsidRPr="00834CDC">
        <w:t>17</w:t>
      </w:r>
      <w:proofErr w:type="gramEnd"/>
      <w:r w:rsidRPr="00834CDC">
        <w:t xml:space="preserve"> tetanus notifications in the 2016–2019 period, none of which were recorded as being in Aboriginal and Torres Strait Islander people (Table 23). There were 1–4</w:t>
      </w:r>
      <w:r w:rsidR="00D24B47">
        <w:t xml:space="preserve"> </w:t>
      </w:r>
      <w:r w:rsidR="00D24B47" w:rsidRPr="00834CDC">
        <w:t>tetanus hospitalisations</w:t>
      </w:r>
      <w:r w:rsidR="00D24B47">
        <w:rPr>
          <w:rStyle w:val="FootnoteReference"/>
        </w:rPr>
        <w:t xml:space="preserve"> </w:t>
      </w:r>
      <w:r w:rsidR="00D24B47">
        <w:rPr>
          <w:rStyle w:val="FootnoteReference"/>
        </w:rPr>
        <w:footnoteReference w:id="5"/>
      </w:r>
      <w:r w:rsidRPr="00834CDC">
        <w:t xml:space="preserve"> recorded as being in Aboriginal and Torres Strait Islander people during the reporting period, and </w:t>
      </w:r>
      <w:proofErr w:type="gramStart"/>
      <w:r w:rsidRPr="00834CDC">
        <w:t>62</w:t>
      </w:r>
      <w:proofErr w:type="gramEnd"/>
      <w:r w:rsidRPr="00834CDC">
        <w:t xml:space="preserve"> in other Australians (Table 24). There were 1–5 deaths</w:t>
      </w:r>
      <w:r w:rsidR="00D24B47">
        <w:rPr>
          <w:rStyle w:val="FootnoteReference"/>
        </w:rPr>
        <w:footnoteReference w:id="6"/>
      </w:r>
      <w:r w:rsidRPr="00834CDC">
        <w:t xml:space="preserve"> for which tetanus </w:t>
      </w:r>
      <w:proofErr w:type="gramStart"/>
      <w:r w:rsidRPr="00834CDC">
        <w:t>was recorded</w:t>
      </w:r>
      <w:proofErr w:type="gramEnd"/>
      <w:r w:rsidRPr="00834CDC">
        <w:t xml:space="preserve"> as underlying or associated cause between 2016 and 2019, with none reported in Aboriginal or Torres Strait Islander people. </w:t>
      </w:r>
    </w:p>
    <w:p w14:paraId="20449724" w14:textId="77777777" w:rsidR="0033445F" w:rsidRPr="00834CDC" w:rsidRDefault="0033445F" w:rsidP="0033445F">
      <w:pPr>
        <w:divId w:val="1988506822"/>
      </w:pPr>
      <w:r w:rsidRPr="00834CDC">
        <w:t xml:space="preserve">Tetanus is rare in Australia, due to long-standing immunisation programs. </w:t>
      </w:r>
      <w:proofErr w:type="gramStart"/>
      <w:r w:rsidRPr="00834CDC">
        <w:t>However</w:t>
      </w:r>
      <w:proofErr w:type="gramEnd"/>
      <w:r w:rsidRPr="00834CDC">
        <w:t xml:space="preserve"> it is likely to be under-notified, as with other diseases relying primarily on clinical notification in the absence of reliable laboratory confirmation.</w:t>
      </w:r>
      <w:r w:rsidRPr="00834CDC">
        <w:rPr>
          <w:vertAlign w:val="superscript"/>
        </w:rPr>
        <w:t>227</w:t>
      </w:r>
      <w:r w:rsidRPr="00834CDC">
        <w:t xml:space="preserve"> In contrast, hospitalisations may be over-counted due to inter-hospital transfers and coding errors. Maintaining high childhood vaccination coverage and improving coverage in adults would help prevent unnecessary hospitalisations and deaths from tetanus.</w:t>
      </w:r>
    </w:p>
    <w:p w14:paraId="1D7BD038" w14:textId="77777777" w:rsidR="00831844" w:rsidRPr="00834CDC" w:rsidRDefault="00831844">
      <w:pPr>
        <w:rPr>
          <w:rFonts w:asciiTheme="majorHAnsi" w:eastAsiaTheme="majorEastAsia" w:hAnsiTheme="majorHAnsi" w:cstheme="majorBidi"/>
          <w:b/>
          <w:bCs/>
          <w:sz w:val="26"/>
          <w:szCs w:val="26"/>
        </w:rPr>
      </w:pPr>
      <w:r w:rsidRPr="00834CDC">
        <w:br w:type="page"/>
      </w:r>
    </w:p>
    <w:p w14:paraId="0266F80E" w14:textId="36740F4D" w:rsidR="0033445F" w:rsidRPr="00834CDC" w:rsidRDefault="0033445F" w:rsidP="0041057B">
      <w:pPr>
        <w:pStyle w:val="Heading2"/>
        <w:divId w:val="1988506822"/>
      </w:pPr>
      <w:r w:rsidRPr="00834CDC">
        <w:lastRenderedPageBreak/>
        <w:t xml:space="preserve">Poliomyelitis </w:t>
      </w:r>
    </w:p>
    <w:p w14:paraId="4346D880" w14:textId="77777777" w:rsidR="0033445F" w:rsidRPr="00834CDC" w:rsidRDefault="0033445F" w:rsidP="0033445F">
      <w:pPr>
        <w:divId w:val="1988506822"/>
      </w:pPr>
      <w:r w:rsidRPr="00834CDC">
        <w:t>Poliovirus infection involves the gastrointestinal tract and may progress to the central nervous system. Poliovirus exposure in a susceptible person can lead to asymptomatic infection, minor illness, non-paralytic poliomyelitis (aseptic meningitis) or paralytic poliomyelitis. Post-polio syndrome, which encompasses the late manifestations of acute paralytic polio, occurs in 25–40% of paralytic cases.</w:t>
      </w:r>
      <w:r w:rsidRPr="00834CDC">
        <w:rPr>
          <w:vertAlign w:val="superscript"/>
        </w:rPr>
        <w:t>228</w:t>
      </w:r>
      <w:r w:rsidRPr="00834CDC">
        <w:t xml:space="preserve"> </w:t>
      </w:r>
    </w:p>
    <w:p w14:paraId="0FEC6ED0" w14:textId="23A2FFD5" w:rsidR="0033445F" w:rsidRPr="00834CDC" w:rsidRDefault="0033445F" w:rsidP="0041057B">
      <w:pPr>
        <w:pStyle w:val="Heading3"/>
        <w:divId w:val="1988506822"/>
      </w:pPr>
      <w:r w:rsidRPr="00834CDC">
        <w:t>Relevant vaccine history</w:t>
      </w:r>
      <w:r w:rsidR="00971569" w:rsidRPr="00834CDC">
        <w:br/>
      </w:r>
    </w:p>
    <w:p w14:paraId="461B7F43" w14:textId="496EDC1D" w:rsidR="0041057B" w:rsidRPr="00834CDC" w:rsidRDefault="00BC6879" w:rsidP="0041057B">
      <w:pPr>
        <w:divId w:val="1988506822"/>
      </w:pPr>
      <w:r w:rsidRPr="00834CDC">
        <w:rPr>
          <w:noProof/>
        </w:rPr>
        <mc:AlternateContent>
          <mc:Choice Requires="wps">
            <w:drawing>
              <wp:inline distT="0" distB="0" distL="0" distR="0" wp14:anchorId="3CFF1DC6" wp14:editId="679B0EB5">
                <wp:extent cx="6625742" cy="1404620"/>
                <wp:effectExtent l="0" t="0" r="3810" b="571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1404620"/>
                        </a:xfrm>
                        <a:prstGeom prst="rect">
                          <a:avLst/>
                        </a:prstGeom>
                        <a:solidFill>
                          <a:srgbClr val="F7ECDD"/>
                        </a:solidFill>
                        <a:ln w="9525">
                          <a:noFill/>
                          <a:miter lim="800000"/>
                          <a:headEnd/>
                          <a:tailEnd/>
                        </a:ln>
                      </wps:spPr>
                      <wps:txbx>
                        <w:txbxContent>
                          <w:p w14:paraId="474A994D" w14:textId="77777777" w:rsidR="00BC6879" w:rsidRPr="00BC6879" w:rsidRDefault="00BC6879" w:rsidP="00BC6879">
                            <w:pPr>
                              <w:pStyle w:val="NormalWeb"/>
                              <w:spacing w:before="0" w:beforeAutospacing="0" w:after="0" w:afterAutospacing="0" w:line="240" w:lineRule="auto"/>
                              <w:rPr>
                                <w:b/>
                                <w:bCs/>
                                <w:lang w:val="en-GB"/>
                              </w:rPr>
                            </w:pPr>
                            <w:r w:rsidRPr="00BC6879">
                              <w:rPr>
                                <w:b/>
                                <w:bCs/>
                                <w:lang w:val="en-GB"/>
                              </w:rPr>
                              <w:t>1956</w:t>
                            </w:r>
                          </w:p>
                          <w:p w14:paraId="13E8033B" w14:textId="17D74E21" w:rsidR="00BC6879" w:rsidRDefault="00BC6879" w:rsidP="00BC6879">
                            <w:pPr>
                              <w:numPr>
                                <w:ilvl w:val="0"/>
                                <w:numId w:val="73"/>
                              </w:numPr>
                              <w:spacing w:after="0" w:line="240" w:lineRule="auto"/>
                              <w:rPr>
                                <w:rFonts w:eastAsia="Times New Roman"/>
                                <w:lang w:val="en-GB"/>
                              </w:rPr>
                            </w:pPr>
                            <w:r>
                              <w:rPr>
                                <w:rFonts w:eastAsia="Times New Roman"/>
                                <w:lang w:val="en-GB"/>
                              </w:rPr>
                              <w:t>IPV</w:t>
                            </w:r>
                            <w:r w:rsidR="008F744A">
                              <w:rPr>
                                <w:rFonts w:eastAsia="Times New Roman"/>
                                <w:lang w:val="en-GB"/>
                              </w:rPr>
                              <w:t xml:space="preserve"> </w:t>
                            </w:r>
                            <w:r w:rsidRPr="00BC6879">
                              <w:rPr>
                                <w:rFonts w:eastAsia="Times New Roman"/>
                                <w:vertAlign w:val="superscript"/>
                                <w:lang w:val="en-GB"/>
                              </w:rPr>
                              <w:t>vii</w:t>
                            </w:r>
                            <w:r>
                              <w:rPr>
                                <w:rFonts w:eastAsia="Times New Roman"/>
                                <w:lang w:val="en-GB"/>
                              </w:rPr>
                              <w:t xml:space="preserve"> programs commenced in individual jurisdictions</w:t>
                            </w:r>
                          </w:p>
                          <w:p w14:paraId="46D0A342" w14:textId="77777777" w:rsidR="00BC6879" w:rsidRPr="00BC6879" w:rsidRDefault="00BC6879" w:rsidP="00BC6879">
                            <w:pPr>
                              <w:pStyle w:val="NormalWeb"/>
                              <w:spacing w:before="0" w:beforeAutospacing="0" w:after="0" w:afterAutospacing="0" w:line="240" w:lineRule="auto"/>
                              <w:rPr>
                                <w:b/>
                                <w:bCs/>
                                <w:lang w:val="en-GB"/>
                              </w:rPr>
                            </w:pPr>
                            <w:r w:rsidRPr="00BC6879">
                              <w:rPr>
                                <w:b/>
                                <w:bCs/>
                                <w:lang w:val="en-GB"/>
                              </w:rPr>
                              <w:t>1966</w:t>
                            </w:r>
                          </w:p>
                          <w:p w14:paraId="4D13F6FD" w14:textId="39DCF7DE" w:rsidR="00BC6879" w:rsidRDefault="00BC6879" w:rsidP="00BC6879">
                            <w:pPr>
                              <w:numPr>
                                <w:ilvl w:val="0"/>
                                <w:numId w:val="74"/>
                              </w:numPr>
                              <w:spacing w:after="0" w:line="240" w:lineRule="auto"/>
                              <w:rPr>
                                <w:rFonts w:eastAsia="Times New Roman"/>
                                <w:lang w:val="en-GB"/>
                              </w:rPr>
                            </w:pPr>
                            <w:r>
                              <w:rPr>
                                <w:rFonts w:eastAsia="Times New Roman"/>
                                <w:lang w:val="en-GB"/>
                              </w:rPr>
                              <w:t>IPV replaced by OPV</w:t>
                            </w:r>
                            <w:r w:rsidR="008F744A">
                              <w:rPr>
                                <w:rFonts w:eastAsia="Times New Roman"/>
                                <w:lang w:val="en-GB"/>
                              </w:rPr>
                              <w:t xml:space="preserve"> </w:t>
                            </w:r>
                            <w:r w:rsidRPr="00BC6879">
                              <w:rPr>
                                <w:rFonts w:eastAsia="Times New Roman"/>
                                <w:vertAlign w:val="superscript"/>
                                <w:lang w:val="en-GB"/>
                              </w:rPr>
                              <w:t>viii</w:t>
                            </w:r>
                          </w:p>
                          <w:p w14:paraId="11F723DA" w14:textId="77777777" w:rsidR="00BC6879" w:rsidRPr="00BC6879" w:rsidRDefault="00BC6879" w:rsidP="00BC6879">
                            <w:pPr>
                              <w:pStyle w:val="NormalWeb"/>
                              <w:spacing w:before="0" w:beforeAutospacing="0" w:after="0" w:afterAutospacing="0" w:line="240" w:lineRule="auto"/>
                              <w:rPr>
                                <w:b/>
                                <w:bCs/>
                                <w:lang w:val="en-GB"/>
                              </w:rPr>
                            </w:pPr>
                            <w:r w:rsidRPr="00BC6879">
                              <w:rPr>
                                <w:b/>
                                <w:bCs/>
                                <w:lang w:val="en-GB"/>
                              </w:rPr>
                              <w:t>1975</w:t>
                            </w:r>
                          </w:p>
                          <w:p w14:paraId="512710CD" w14:textId="77777777" w:rsidR="00BC6879" w:rsidRDefault="00BC6879" w:rsidP="00BC6879">
                            <w:pPr>
                              <w:numPr>
                                <w:ilvl w:val="0"/>
                                <w:numId w:val="75"/>
                              </w:numPr>
                              <w:spacing w:after="0" w:line="240" w:lineRule="auto"/>
                              <w:rPr>
                                <w:rFonts w:eastAsia="Times New Roman"/>
                                <w:lang w:val="en-GB"/>
                              </w:rPr>
                            </w:pPr>
                            <w:r>
                              <w:rPr>
                                <w:rFonts w:eastAsia="Times New Roman"/>
                                <w:lang w:val="en-GB"/>
                              </w:rPr>
                              <w:t>First national vaccination schedule recommended and funded for infants aged 6, 8 and 10 months</w:t>
                            </w:r>
                          </w:p>
                          <w:p w14:paraId="62BC6190" w14:textId="77777777" w:rsidR="00BC6879" w:rsidRPr="00BC6879" w:rsidRDefault="00BC6879" w:rsidP="00BC6879">
                            <w:pPr>
                              <w:pStyle w:val="NormalWeb"/>
                              <w:spacing w:before="0" w:beforeAutospacing="0" w:after="0" w:afterAutospacing="0" w:line="240" w:lineRule="auto"/>
                              <w:rPr>
                                <w:b/>
                                <w:bCs/>
                                <w:lang w:val="en-GB"/>
                              </w:rPr>
                            </w:pPr>
                            <w:r w:rsidRPr="00BC6879">
                              <w:rPr>
                                <w:b/>
                                <w:bCs/>
                                <w:lang w:val="en-GB"/>
                              </w:rPr>
                              <w:t>1982</w:t>
                            </w:r>
                          </w:p>
                          <w:p w14:paraId="6FF7AA06" w14:textId="77777777" w:rsidR="00BC6879" w:rsidRDefault="00BC6879" w:rsidP="00BC6879">
                            <w:pPr>
                              <w:numPr>
                                <w:ilvl w:val="0"/>
                                <w:numId w:val="76"/>
                              </w:numPr>
                              <w:spacing w:after="0" w:line="240" w:lineRule="auto"/>
                              <w:rPr>
                                <w:rFonts w:eastAsia="Times New Roman"/>
                                <w:lang w:val="en-GB"/>
                              </w:rPr>
                            </w:pPr>
                            <w:r>
                              <w:rPr>
                                <w:rFonts w:eastAsia="Times New Roman"/>
                                <w:lang w:val="en-GB"/>
                              </w:rPr>
                              <w:t>Fourth dose of OPV vaccine recommended and funded at 5 years of age or prior to school entry</w:t>
                            </w:r>
                          </w:p>
                          <w:p w14:paraId="0B42AAC9" w14:textId="77777777" w:rsidR="00BC6879" w:rsidRPr="00BC6879" w:rsidRDefault="00BC6879" w:rsidP="00BC6879">
                            <w:pPr>
                              <w:pStyle w:val="NormalWeb"/>
                              <w:spacing w:before="0" w:beforeAutospacing="0" w:after="0" w:afterAutospacing="0" w:line="240" w:lineRule="auto"/>
                              <w:rPr>
                                <w:b/>
                                <w:bCs/>
                                <w:lang w:val="en-GB"/>
                              </w:rPr>
                            </w:pPr>
                            <w:r w:rsidRPr="00BC6879">
                              <w:rPr>
                                <w:b/>
                                <w:bCs/>
                                <w:lang w:val="en-GB"/>
                              </w:rPr>
                              <w:t>2005</w:t>
                            </w:r>
                          </w:p>
                          <w:p w14:paraId="179E8536" w14:textId="77777777" w:rsidR="00BC6879" w:rsidRDefault="00BC6879" w:rsidP="00BC6879">
                            <w:pPr>
                              <w:numPr>
                                <w:ilvl w:val="0"/>
                                <w:numId w:val="77"/>
                              </w:numPr>
                              <w:spacing w:after="0" w:line="240" w:lineRule="auto"/>
                              <w:rPr>
                                <w:rFonts w:eastAsia="Times New Roman"/>
                                <w:lang w:val="en-GB"/>
                              </w:rPr>
                            </w:pPr>
                            <w:r>
                              <w:rPr>
                                <w:rFonts w:eastAsia="Times New Roman"/>
                                <w:lang w:val="en-GB"/>
                              </w:rPr>
                              <w:t>IPV funded to replace OPV for children in combination vaccine formulations</w:t>
                            </w:r>
                          </w:p>
                          <w:p w14:paraId="37693831" w14:textId="77777777" w:rsidR="00BC6879" w:rsidRPr="00BC6879" w:rsidRDefault="00BC6879" w:rsidP="00BC6879">
                            <w:pPr>
                              <w:pStyle w:val="NormalWeb"/>
                              <w:spacing w:before="0" w:beforeAutospacing="0" w:after="0" w:afterAutospacing="0" w:line="240" w:lineRule="auto"/>
                              <w:rPr>
                                <w:b/>
                                <w:bCs/>
                                <w:lang w:val="en-GB"/>
                              </w:rPr>
                            </w:pPr>
                            <w:r w:rsidRPr="00BC6879">
                              <w:rPr>
                                <w:b/>
                                <w:bCs/>
                                <w:lang w:val="en-GB"/>
                              </w:rPr>
                              <w:t>2011</w:t>
                            </w:r>
                          </w:p>
                          <w:p w14:paraId="7EA07B64" w14:textId="2D91FD8F" w:rsidR="00BC6879" w:rsidRPr="00BC6879" w:rsidRDefault="00BC6879" w:rsidP="00BC6879">
                            <w:pPr>
                              <w:numPr>
                                <w:ilvl w:val="0"/>
                                <w:numId w:val="78"/>
                              </w:numPr>
                              <w:spacing w:after="0" w:line="240" w:lineRule="auto"/>
                              <w:rPr>
                                <w:rFonts w:eastAsia="Times New Roman"/>
                                <w:lang w:val="en-GB"/>
                              </w:rPr>
                            </w:pPr>
                            <w:r>
                              <w:rPr>
                                <w:rFonts w:eastAsia="Times New Roman"/>
                                <w:lang w:val="en-GB"/>
                              </w:rPr>
                              <w:t>Advice provided nationally that first dose of DTPa-hepB-IPV-Hib vaccine could be given as early as 6</w:t>
                            </w:r>
                            <w:r w:rsidR="008F744A">
                              <w:rPr>
                                <w:rFonts w:eastAsia="Times New Roman"/>
                                <w:lang w:val="en-GB"/>
                              </w:rPr>
                              <w:t> </w:t>
                            </w:r>
                            <w:r>
                              <w:rPr>
                                <w:rFonts w:eastAsia="Times New Roman"/>
                                <w:lang w:val="en-GB"/>
                              </w:rPr>
                              <w:t>weeks of age</w:t>
                            </w:r>
                          </w:p>
                        </w:txbxContent>
                      </wps:txbx>
                      <wps:bodyPr rot="0" vert="horz" wrap="square" lIns="91440" tIns="45720" rIns="91440" bIns="45720" anchor="t" anchorCtr="0">
                        <a:spAutoFit/>
                      </wps:bodyPr>
                    </wps:wsp>
                  </a:graphicData>
                </a:graphic>
              </wp:inline>
            </w:drawing>
          </mc:Choice>
          <mc:Fallback>
            <w:pict>
              <v:shape w14:anchorId="3CFF1DC6" id="_x0000_s1040"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" fillcolor="#f7ecdd" stroked="f">
                <v:textbox style="mso-fit-shape-to-text:t">
                  <w:txbxContent>
                    <w:p w14:paraId="474A994D" w14:textId="77777777" w:rsidR="00BC6879" w:rsidRPr="00BC6879" w:rsidRDefault="00BC6879" w:rsidP="00BC6879">
                      <w:pPr>
                        <w:pStyle w:val="NormalWeb"/>
                        <w:spacing w:before="0" w:beforeAutospacing="0" w:after="0" w:afterAutospacing="0" w:line="240" w:lineRule="auto"/>
                        <w:rPr>
                          <w:b/>
                          <w:bCs/>
                          <w:lang w:val="en-GB"/>
                        </w:rPr>
                      </w:pPr>
                      <w:r w:rsidRPr="00BC6879">
                        <w:rPr>
                          <w:b/>
                          <w:bCs/>
                          <w:lang w:val="en-GB"/>
                        </w:rPr>
                        <w:t>1956</w:t>
                      </w:r>
                    </w:p>
                    <w:p w14:paraId="13E8033B" w14:textId="17D74E21" w:rsidR="00BC6879" w:rsidRDefault="00BC6879" w:rsidP="00BC6879">
                      <w:pPr>
                        <w:numPr>
                          <w:ilvl w:val="0"/>
                          <w:numId w:val="73"/>
                        </w:numPr>
                        <w:spacing w:after="0" w:line="240" w:lineRule="auto"/>
                        <w:rPr>
                          <w:rFonts w:eastAsia="Times New Roman"/>
                          <w:lang w:val="en-GB"/>
                        </w:rPr>
                      </w:pPr>
                      <w:r>
                        <w:rPr>
                          <w:rFonts w:eastAsia="Times New Roman"/>
                          <w:lang w:val="en-GB"/>
                        </w:rPr>
                        <w:t>IPV</w:t>
                      </w:r>
                      <w:r w:rsidR="008F744A">
                        <w:rPr>
                          <w:rFonts w:eastAsia="Times New Roman"/>
                          <w:lang w:val="en-GB"/>
                        </w:rPr>
                        <w:t xml:space="preserve"> </w:t>
                      </w:r>
                      <w:r w:rsidRPr="00BC6879">
                        <w:rPr>
                          <w:rFonts w:eastAsia="Times New Roman"/>
                          <w:vertAlign w:val="superscript"/>
                          <w:lang w:val="en-GB"/>
                        </w:rPr>
                        <w:t>vii</w:t>
                      </w:r>
                      <w:r>
                        <w:rPr>
                          <w:rFonts w:eastAsia="Times New Roman"/>
                          <w:lang w:val="en-GB"/>
                        </w:rPr>
                        <w:t xml:space="preserve"> programs commenced in individual jurisdictions</w:t>
                      </w:r>
                    </w:p>
                    <w:p w14:paraId="46D0A342" w14:textId="77777777" w:rsidR="00BC6879" w:rsidRPr="00BC6879" w:rsidRDefault="00BC6879" w:rsidP="00BC6879">
                      <w:pPr>
                        <w:pStyle w:val="NormalWeb"/>
                        <w:spacing w:before="0" w:beforeAutospacing="0" w:after="0" w:afterAutospacing="0" w:line="240" w:lineRule="auto"/>
                        <w:rPr>
                          <w:b/>
                          <w:bCs/>
                          <w:lang w:val="en-GB"/>
                        </w:rPr>
                      </w:pPr>
                      <w:r w:rsidRPr="00BC6879">
                        <w:rPr>
                          <w:b/>
                          <w:bCs/>
                          <w:lang w:val="en-GB"/>
                        </w:rPr>
                        <w:t>1966</w:t>
                      </w:r>
                    </w:p>
                    <w:p w14:paraId="4D13F6FD" w14:textId="39DCF7DE" w:rsidR="00BC6879" w:rsidRDefault="00BC6879" w:rsidP="00BC6879">
                      <w:pPr>
                        <w:numPr>
                          <w:ilvl w:val="0"/>
                          <w:numId w:val="74"/>
                        </w:numPr>
                        <w:spacing w:after="0" w:line="240" w:lineRule="auto"/>
                        <w:rPr>
                          <w:rFonts w:eastAsia="Times New Roman"/>
                          <w:lang w:val="en-GB"/>
                        </w:rPr>
                      </w:pPr>
                      <w:r>
                        <w:rPr>
                          <w:rFonts w:eastAsia="Times New Roman"/>
                          <w:lang w:val="en-GB"/>
                        </w:rPr>
                        <w:t>IPV replaced by OPV</w:t>
                      </w:r>
                      <w:r w:rsidR="008F744A">
                        <w:rPr>
                          <w:rFonts w:eastAsia="Times New Roman"/>
                          <w:lang w:val="en-GB"/>
                        </w:rPr>
                        <w:t xml:space="preserve"> </w:t>
                      </w:r>
                      <w:r w:rsidRPr="00BC6879">
                        <w:rPr>
                          <w:rFonts w:eastAsia="Times New Roman"/>
                          <w:vertAlign w:val="superscript"/>
                          <w:lang w:val="en-GB"/>
                        </w:rPr>
                        <w:t>viii</w:t>
                      </w:r>
                    </w:p>
                    <w:p w14:paraId="11F723DA" w14:textId="77777777" w:rsidR="00BC6879" w:rsidRPr="00BC6879" w:rsidRDefault="00BC6879" w:rsidP="00BC6879">
                      <w:pPr>
                        <w:pStyle w:val="NormalWeb"/>
                        <w:spacing w:before="0" w:beforeAutospacing="0" w:after="0" w:afterAutospacing="0" w:line="240" w:lineRule="auto"/>
                        <w:rPr>
                          <w:b/>
                          <w:bCs/>
                          <w:lang w:val="en-GB"/>
                        </w:rPr>
                      </w:pPr>
                      <w:r w:rsidRPr="00BC6879">
                        <w:rPr>
                          <w:b/>
                          <w:bCs/>
                          <w:lang w:val="en-GB"/>
                        </w:rPr>
                        <w:t>1975</w:t>
                      </w:r>
                    </w:p>
                    <w:p w14:paraId="512710CD" w14:textId="77777777" w:rsidR="00BC6879" w:rsidRDefault="00BC6879" w:rsidP="00BC6879">
                      <w:pPr>
                        <w:numPr>
                          <w:ilvl w:val="0"/>
                          <w:numId w:val="75"/>
                        </w:numPr>
                        <w:spacing w:after="0" w:line="240" w:lineRule="auto"/>
                        <w:rPr>
                          <w:rFonts w:eastAsia="Times New Roman"/>
                          <w:lang w:val="en-GB"/>
                        </w:rPr>
                      </w:pPr>
                      <w:r>
                        <w:rPr>
                          <w:rFonts w:eastAsia="Times New Roman"/>
                          <w:lang w:val="en-GB"/>
                        </w:rPr>
                        <w:t>First national vaccination schedule recommended and funded for infants aged 6, 8 and 10 months</w:t>
                      </w:r>
                    </w:p>
                    <w:p w14:paraId="62BC6190" w14:textId="77777777" w:rsidR="00BC6879" w:rsidRPr="00BC6879" w:rsidRDefault="00BC6879" w:rsidP="00BC6879">
                      <w:pPr>
                        <w:pStyle w:val="NormalWeb"/>
                        <w:spacing w:before="0" w:beforeAutospacing="0" w:after="0" w:afterAutospacing="0" w:line="240" w:lineRule="auto"/>
                        <w:rPr>
                          <w:b/>
                          <w:bCs/>
                          <w:lang w:val="en-GB"/>
                        </w:rPr>
                      </w:pPr>
                      <w:r w:rsidRPr="00BC6879">
                        <w:rPr>
                          <w:b/>
                          <w:bCs/>
                          <w:lang w:val="en-GB"/>
                        </w:rPr>
                        <w:t>1982</w:t>
                      </w:r>
                    </w:p>
                    <w:p w14:paraId="6FF7AA06" w14:textId="77777777" w:rsidR="00BC6879" w:rsidRDefault="00BC6879" w:rsidP="00BC6879">
                      <w:pPr>
                        <w:numPr>
                          <w:ilvl w:val="0"/>
                          <w:numId w:val="76"/>
                        </w:numPr>
                        <w:spacing w:after="0" w:line="240" w:lineRule="auto"/>
                        <w:rPr>
                          <w:rFonts w:eastAsia="Times New Roman"/>
                          <w:lang w:val="en-GB"/>
                        </w:rPr>
                      </w:pPr>
                      <w:r>
                        <w:rPr>
                          <w:rFonts w:eastAsia="Times New Roman"/>
                          <w:lang w:val="en-GB"/>
                        </w:rPr>
                        <w:t>Fourth dose of OPV vaccine recommended and funded at 5 years of age or prior to school entry</w:t>
                      </w:r>
                    </w:p>
                    <w:p w14:paraId="0B42AAC9" w14:textId="77777777" w:rsidR="00BC6879" w:rsidRPr="00BC6879" w:rsidRDefault="00BC6879" w:rsidP="00BC6879">
                      <w:pPr>
                        <w:pStyle w:val="NormalWeb"/>
                        <w:spacing w:before="0" w:beforeAutospacing="0" w:after="0" w:afterAutospacing="0" w:line="240" w:lineRule="auto"/>
                        <w:rPr>
                          <w:b/>
                          <w:bCs/>
                          <w:lang w:val="en-GB"/>
                        </w:rPr>
                      </w:pPr>
                      <w:r w:rsidRPr="00BC6879">
                        <w:rPr>
                          <w:b/>
                          <w:bCs/>
                          <w:lang w:val="en-GB"/>
                        </w:rPr>
                        <w:t>2005</w:t>
                      </w:r>
                    </w:p>
                    <w:p w14:paraId="179E8536" w14:textId="77777777" w:rsidR="00BC6879" w:rsidRDefault="00BC6879" w:rsidP="00BC6879">
                      <w:pPr>
                        <w:numPr>
                          <w:ilvl w:val="0"/>
                          <w:numId w:val="77"/>
                        </w:numPr>
                        <w:spacing w:after="0" w:line="240" w:lineRule="auto"/>
                        <w:rPr>
                          <w:rFonts w:eastAsia="Times New Roman"/>
                          <w:lang w:val="en-GB"/>
                        </w:rPr>
                      </w:pPr>
                      <w:r>
                        <w:rPr>
                          <w:rFonts w:eastAsia="Times New Roman"/>
                          <w:lang w:val="en-GB"/>
                        </w:rPr>
                        <w:t>IPV funded to replace OPV for children in combination vaccine formulations</w:t>
                      </w:r>
                    </w:p>
                    <w:p w14:paraId="37693831" w14:textId="77777777" w:rsidR="00BC6879" w:rsidRPr="00BC6879" w:rsidRDefault="00BC6879" w:rsidP="00BC6879">
                      <w:pPr>
                        <w:pStyle w:val="NormalWeb"/>
                        <w:spacing w:before="0" w:beforeAutospacing="0" w:after="0" w:afterAutospacing="0" w:line="240" w:lineRule="auto"/>
                        <w:rPr>
                          <w:b/>
                          <w:bCs/>
                          <w:lang w:val="en-GB"/>
                        </w:rPr>
                      </w:pPr>
                      <w:r w:rsidRPr="00BC6879">
                        <w:rPr>
                          <w:b/>
                          <w:bCs/>
                          <w:lang w:val="en-GB"/>
                        </w:rPr>
                        <w:t>2011</w:t>
                      </w:r>
                    </w:p>
                    <w:p w14:paraId="7EA07B64" w14:textId="2D91FD8F" w:rsidR="00BC6879" w:rsidRPr="00BC6879" w:rsidRDefault="00BC6879" w:rsidP="00BC6879">
                      <w:pPr>
                        <w:numPr>
                          <w:ilvl w:val="0"/>
                          <w:numId w:val="78"/>
                        </w:numPr>
                        <w:spacing w:after="0" w:line="240" w:lineRule="auto"/>
                        <w:rPr>
                          <w:rFonts w:eastAsia="Times New Roman"/>
                          <w:lang w:val="en-GB"/>
                        </w:rPr>
                      </w:pPr>
                      <w:r>
                        <w:rPr>
                          <w:rFonts w:eastAsia="Times New Roman"/>
                          <w:lang w:val="en-GB"/>
                        </w:rPr>
                        <w:t>Advice provided nationally that first dose of DTPa-hepB-IPV-Hib vaccine could be given as early as 6</w:t>
                      </w:r>
                      <w:r w:rsidR="008F744A">
                        <w:rPr>
                          <w:rFonts w:eastAsia="Times New Roman"/>
                          <w:lang w:val="en-GB"/>
                        </w:rPr>
                        <w:t> </w:t>
                      </w:r>
                      <w:r>
                        <w:rPr>
                          <w:rFonts w:eastAsia="Times New Roman"/>
                          <w:lang w:val="en-GB"/>
                        </w:rPr>
                        <w:t>weeks of age</w:t>
                      </w:r>
                    </w:p>
                  </w:txbxContent>
                </v:textbox>
                <w10:anchorlock/>
              </v:shape>
            </w:pict>
          </mc:Fallback>
        </mc:AlternateContent>
      </w:r>
    </w:p>
    <w:p w14:paraId="7C63D08A" w14:textId="250008AC" w:rsidR="0033445F" w:rsidRPr="00834CDC" w:rsidRDefault="0033445F" w:rsidP="0033445F">
      <w:pPr>
        <w:divId w:val="1988506822"/>
      </w:pPr>
      <w:r w:rsidRPr="00834CDC">
        <w:t xml:space="preserve">There were no notifications (Table 23) and six hospitalisations for acute poliomyelitis (recorded as the principal cause) between 2016 and 2019 (Table 24), with none of the hospitalisations recorded as being in Aboriginal or Torres Strait Islander people. Given the absence of notifications, these hospitalisations likely </w:t>
      </w:r>
      <w:proofErr w:type="gramStart"/>
      <w:r w:rsidRPr="00834CDC">
        <w:t>represents</w:t>
      </w:r>
      <w:proofErr w:type="gramEnd"/>
      <w:r w:rsidRPr="00834CDC">
        <w:t xml:space="preserve"> coding error. There were no deaths reported in Australia in the 2016–2019 period with polio recorded as the underlying cause of death. </w:t>
      </w:r>
    </w:p>
    <w:p w14:paraId="1C443A11" w14:textId="77777777" w:rsidR="0033445F" w:rsidRPr="00834CDC" w:rsidRDefault="0033445F" w:rsidP="0033445F">
      <w:pPr>
        <w:divId w:val="1988506822"/>
      </w:pPr>
      <w:r w:rsidRPr="00834CDC">
        <w:t xml:space="preserve">Australia </w:t>
      </w:r>
      <w:proofErr w:type="gramStart"/>
      <w:r w:rsidRPr="00834CDC">
        <w:t>was declared</w:t>
      </w:r>
      <w:proofErr w:type="gramEnd"/>
      <w:r w:rsidRPr="00834CDC">
        <w:t xml:space="preserve"> polio-free in October 2000. National polio surveillance occurs via </w:t>
      </w:r>
      <w:proofErr w:type="gramStart"/>
      <w:r w:rsidRPr="00834CDC">
        <w:t>several</w:t>
      </w:r>
      <w:proofErr w:type="gramEnd"/>
      <w:r w:rsidRPr="00834CDC">
        <w:t xml:space="preserve"> pathways: cases of acute flaccid paralysis in children are notified to the Australian Paediatric Surveillance Unit or the Paediatric Active Enhanced Disease Surveillance System and faecal specimens are referred for virological investigation to the National Enterovirus Reference Laboratory. National enterovirus and environmental surveillance </w:t>
      </w:r>
      <w:proofErr w:type="gramStart"/>
      <w:r w:rsidRPr="00834CDC">
        <w:t>is</w:t>
      </w:r>
      <w:proofErr w:type="gramEnd"/>
      <w:r w:rsidRPr="00834CDC">
        <w:t xml:space="preserve"> also undertaken. </w:t>
      </w:r>
    </w:p>
    <w:p w14:paraId="00746271" w14:textId="77777777" w:rsidR="0033445F" w:rsidRPr="00834CDC" w:rsidRDefault="0033445F" w:rsidP="0033445F">
      <w:pPr>
        <w:divId w:val="1988506822"/>
      </w:pPr>
      <w:r w:rsidRPr="00834CDC">
        <w:t xml:space="preserve">Vaccination coverage rates for polio in Australia are high, with 97% of Aboriginal and Torres Strait Islander children and 94% of other children having had dose </w:t>
      </w:r>
      <w:proofErr w:type="gramStart"/>
      <w:r w:rsidRPr="00834CDC">
        <w:t>4</w:t>
      </w:r>
      <w:proofErr w:type="gramEnd"/>
      <w:r w:rsidRPr="00834CDC">
        <w:t xml:space="preserve"> of a polio-containing vaccine in 2019 (refer to vaccination coverage chapter). However, until polio has been globally eradicated, there is still a (low) risk of reintroduction, particularly in relation to outbreaks in neighbouring countries, such as the vaccine-derived poliovirus type 1 outbreak which occurred in Papua New Guinea in 2018.</w:t>
      </w:r>
      <w:r w:rsidRPr="00834CDC">
        <w:rPr>
          <w:vertAlign w:val="superscript"/>
        </w:rPr>
        <w:t>229,230</w:t>
      </w:r>
    </w:p>
    <w:p w14:paraId="44AB49B2" w14:textId="77777777" w:rsidR="0062082B" w:rsidRPr="00834CDC" w:rsidRDefault="0062082B" w:rsidP="0062082B">
      <w:pPr>
        <w:pStyle w:val="CDIfootnotes"/>
      </w:pPr>
    </w:p>
    <w:p w14:paraId="2F6D46C2" w14:textId="77777777" w:rsidR="0062082B" w:rsidRPr="00834CDC" w:rsidRDefault="0062082B" w:rsidP="0062082B">
      <w:pPr>
        <w:pStyle w:val="CDIfootnotes"/>
      </w:pPr>
    </w:p>
    <w:p w14:paraId="5282CD61" w14:textId="77777777" w:rsidR="0062082B" w:rsidRPr="00834CDC" w:rsidRDefault="0062082B" w:rsidP="0062082B">
      <w:pPr>
        <w:pStyle w:val="CDIfootnotes"/>
      </w:pPr>
    </w:p>
    <w:p w14:paraId="50848B2A" w14:textId="77777777" w:rsidR="0062082B" w:rsidRPr="00834CDC" w:rsidRDefault="0062082B" w:rsidP="0062082B">
      <w:pPr>
        <w:pStyle w:val="CDIfootnotes"/>
      </w:pPr>
    </w:p>
    <w:p w14:paraId="0F13B1B1" w14:textId="77777777" w:rsidR="0062082B" w:rsidRPr="00834CDC" w:rsidRDefault="0062082B" w:rsidP="0062082B">
      <w:pPr>
        <w:pStyle w:val="CDIfootnotes"/>
      </w:pPr>
    </w:p>
    <w:p w14:paraId="3876A3D0" w14:textId="77777777" w:rsidR="0062082B" w:rsidRPr="00834CDC" w:rsidRDefault="0062082B" w:rsidP="0062082B">
      <w:pPr>
        <w:pStyle w:val="CDIfootnotes"/>
      </w:pPr>
    </w:p>
    <w:p w14:paraId="0A4124F9" w14:textId="77777777" w:rsidR="0062082B" w:rsidRPr="00834CDC" w:rsidRDefault="0062082B" w:rsidP="0062082B">
      <w:pPr>
        <w:pStyle w:val="CDIfootnotes"/>
      </w:pPr>
    </w:p>
    <w:p w14:paraId="6A0E176A" w14:textId="77777777" w:rsidR="0062082B" w:rsidRPr="00834CDC" w:rsidRDefault="0062082B" w:rsidP="0062082B">
      <w:pPr>
        <w:pStyle w:val="CDIfootnotes"/>
      </w:pPr>
    </w:p>
    <w:p w14:paraId="12E43330" w14:textId="77777777" w:rsidR="0062082B" w:rsidRPr="00834CDC" w:rsidRDefault="0062082B" w:rsidP="0062082B">
      <w:pPr>
        <w:pStyle w:val="CDIfootnotes"/>
      </w:pPr>
    </w:p>
    <w:p w14:paraId="4C5DE149" w14:textId="51178CA1" w:rsidR="0062082B" w:rsidRPr="00834CDC" w:rsidRDefault="0062082B" w:rsidP="0062082B">
      <w:pPr>
        <w:pStyle w:val="CDIfootnotes"/>
      </w:pPr>
    </w:p>
    <w:p w14:paraId="48989DD6" w14:textId="77777777" w:rsidR="0062082B" w:rsidRPr="00834CDC" w:rsidRDefault="0062082B" w:rsidP="0062082B">
      <w:pPr>
        <w:pStyle w:val="CDIfootnotes"/>
        <w:ind w:left="0" w:firstLine="0"/>
      </w:pPr>
      <w:r w:rsidRPr="00834CDC">
        <w:t>vii</w:t>
      </w:r>
      <w:r w:rsidRPr="00834CDC">
        <w:tab/>
        <w:t>IPV: inactivated poliomyelitis vaccine.</w:t>
      </w:r>
    </w:p>
    <w:p w14:paraId="21EBFF4C" w14:textId="77777777" w:rsidR="0062082B" w:rsidRPr="00834CDC" w:rsidRDefault="0062082B" w:rsidP="0062082B">
      <w:pPr>
        <w:pStyle w:val="CDIfootnotes"/>
        <w:ind w:left="0" w:firstLine="0"/>
      </w:pPr>
      <w:r w:rsidRPr="00834CDC">
        <w:t>viii</w:t>
      </w:r>
      <w:r w:rsidRPr="00834CDC">
        <w:tab/>
        <w:t>OPV: live attenuated oral poliomyelitis vaccine.</w:t>
      </w:r>
    </w:p>
    <w:p w14:paraId="01980C7B" w14:textId="77777777" w:rsidR="00D24B47" w:rsidRDefault="00D24B47">
      <w:pPr>
        <w:rPr>
          <w:rFonts w:asciiTheme="majorHAnsi" w:eastAsiaTheme="majorEastAsia" w:hAnsiTheme="majorHAnsi" w:cstheme="majorBidi"/>
          <w:b/>
          <w:bCs/>
          <w:sz w:val="26"/>
          <w:szCs w:val="26"/>
        </w:rPr>
      </w:pPr>
      <w:r>
        <w:br w:type="page"/>
      </w:r>
    </w:p>
    <w:p w14:paraId="0BF12860" w14:textId="2DFA97A3" w:rsidR="0033445F" w:rsidRPr="00834CDC" w:rsidRDefault="0033445F" w:rsidP="0033445F">
      <w:pPr>
        <w:pStyle w:val="Heading2"/>
        <w:divId w:val="1988506822"/>
      </w:pPr>
      <w:r w:rsidRPr="00834CDC">
        <w:lastRenderedPageBreak/>
        <w:t xml:space="preserve">Rubella </w:t>
      </w:r>
    </w:p>
    <w:p w14:paraId="3DA69B81" w14:textId="77777777" w:rsidR="0033445F" w:rsidRPr="00834CDC" w:rsidRDefault="0033445F" w:rsidP="0033445F">
      <w:pPr>
        <w:divId w:val="1988506822"/>
      </w:pPr>
      <w:r w:rsidRPr="00834CDC">
        <w:t xml:space="preserve">Rubella </w:t>
      </w:r>
      <w:proofErr w:type="gramStart"/>
      <w:r w:rsidRPr="00834CDC">
        <w:t>is caused</w:t>
      </w:r>
      <w:proofErr w:type="gramEnd"/>
      <w:r w:rsidRPr="00834CDC">
        <w:t xml:space="preserve"> by the rubella virus. The most common symptoms and signs (rash and lymphadenopathy) are usually transient and benign, and up to 50% of infections are asymptomatic.</w:t>
      </w:r>
      <w:r w:rsidRPr="00834CDC">
        <w:rPr>
          <w:vertAlign w:val="superscript"/>
        </w:rPr>
        <w:t>231</w:t>
      </w:r>
      <w:r w:rsidRPr="00834CDC">
        <w:t xml:space="preserve"> The severity of the disease increases with age,</w:t>
      </w:r>
      <w:r w:rsidRPr="00834CDC">
        <w:rPr>
          <w:vertAlign w:val="superscript"/>
        </w:rPr>
        <w:t>232</w:t>
      </w:r>
      <w:r w:rsidRPr="00834CDC">
        <w:t xml:space="preserve"> as does the risk of complications such as thrombocytopenia, </w:t>
      </w:r>
      <w:proofErr w:type="gramStart"/>
      <w:r w:rsidRPr="00834CDC">
        <w:t>encephalitis</w:t>
      </w:r>
      <w:proofErr w:type="gramEnd"/>
      <w:r w:rsidRPr="00834CDC">
        <w:t xml:space="preserve"> and a late syndrome of progressive rubella panencephalitis. Rubella is of particular importance when </w:t>
      </w:r>
      <w:proofErr w:type="gramStart"/>
      <w:r w:rsidRPr="00834CDC">
        <w:t>acquired</w:t>
      </w:r>
      <w:proofErr w:type="gramEnd"/>
      <w:r w:rsidRPr="00834CDC">
        <w:t xml:space="preserve"> in the first trimester of pregnancy because it is associated with spontaneous abortion or abnormalities of congenital rubella syndrome (CRS) in surviving babies, including cataracts, retinopathy, deafness, heart defects and neurological deficits.</w:t>
      </w:r>
      <w:r w:rsidRPr="00834CDC">
        <w:rPr>
          <w:vertAlign w:val="superscript"/>
        </w:rPr>
        <w:t>233</w:t>
      </w:r>
      <w:r w:rsidRPr="00834CDC">
        <w:t xml:space="preserve"> </w:t>
      </w:r>
    </w:p>
    <w:p w14:paraId="3BA884C9" w14:textId="00836FB1" w:rsidR="0033445F" w:rsidRPr="00834CDC" w:rsidRDefault="0033445F" w:rsidP="0033445F">
      <w:pPr>
        <w:pStyle w:val="Heading3"/>
        <w:divId w:val="1988506822"/>
      </w:pPr>
      <w:r w:rsidRPr="00834CDC">
        <w:t>Relevant vaccine history</w:t>
      </w:r>
      <w:r w:rsidR="0043312B" w:rsidRPr="00834CDC">
        <w:br/>
      </w:r>
    </w:p>
    <w:p w14:paraId="704A1976" w14:textId="5986BDE5" w:rsidR="0043312B" w:rsidRPr="00834CDC" w:rsidRDefault="0043312B" w:rsidP="0043312B">
      <w:pPr>
        <w:divId w:val="1988506822"/>
      </w:pPr>
      <w:r w:rsidRPr="00834CDC">
        <w:rPr>
          <w:noProof/>
        </w:rPr>
        <mc:AlternateContent>
          <mc:Choice Requires="wps">
            <w:drawing>
              <wp:inline distT="0" distB="0" distL="0" distR="0" wp14:anchorId="212FEC9C" wp14:editId="5B479A3C">
                <wp:extent cx="6625742" cy="1404620"/>
                <wp:effectExtent l="0" t="0" r="3810" b="698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1404620"/>
                        </a:xfrm>
                        <a:prstGeom prst="rect">
                          <a:avLst/>
                        </a:prstGeom>
                        <a:solidFill>
                          <a:srgbClr val="F7ECDD"/>
                        </a:solidFill>
                        <a:ln w="9525">
                          <a:noFill/>
                          <a:miter lim="800000"/>
                          <a:headEnd/>
                          <a:tailEnd/>
                        </a:ln>
                      </wps:spPr>
                      <wps:txbx>
                        <w:txbxContent>
                          <w:p w14:paraId="18B6BDF1" w14:textId="77777777" w:rsidR="0043312B" w:rsidRPr="0043312B" w:rsidRDefault="0043312B" w:rsidP="0043312B">
                            <w:pPr>
                              <w:pStyle w:val="NormalWeb"/>
                              <w:spacing w:before="0" w:beforeAutospacing="0" w:after="0" w:afterAutospacing="0" w:line="240" w:lineRule="auto"/>
                              <w:rPr>
                                <w:b/>
                                <w:bCs/>
                                <w:lang w:val="en-GB"/>
                              </w:rPr>
                            </w:pPr>
                            <w:r w:rsidRPr="0043312B">
                              <w:rPr>
                                <w:b/>
                                <w:bCs/>
                                <w:lang w:val="en-GB"/>
                              </w:rPr>
                              <w:t>1971</w:t>
                            </w:r>
                          </w:p>
                          <w:p w14:paraId="35A184E4" w14:textId="77777777" w:rsidR="0043312B" w:rsidRDefault="0043312B" w:rsidP="0043312B">
                            <w:pPr>
                              <w:numPr>
                                <w:ilvl w:val="0"/>
                                <w:numId w:val="79"/>
                              </w:numPr>
                              <w:spacing w:after="0" w:line="240" w:lineRule="auto"/>
                              <w:rPr>
                                <w:rFonts w:eastAsia="Times New Roman"/>
                                <w:lang w:val="en-GB"/>
                              </w:rPr>
                            </w:pPr>
                            <w:r>
                              <w:rPr>
                                <w:rFonts w:eastAsia="Times New Roman"/>
                                <w:lang w:val="en-GB"/>
                              </w:rPr>
                              <w:t>Rubella vaccine funded for females aged 12–14 years (school-based program) and for susceptible women prior to pregnancy</w:t>
                            </w:r>
                          </w:p>
                          <w:p w14:paraId="1073FD77" w14:textId="77777777" w:rsidR="0043312B" w:rsidRPr="0043312B" w:rsidRDefault="0043312B" w:rsidP="0043312B">
                            <w:pPr>
                              <w:pStyle w:val="NormalWeb"/>
                              <w:spacing w:before="0" w:beforeAutospacing="0" w:after="0" w:afterAutospacing="0" w:line="240" w:lineRule="auto"/>
                              <w:rPr>
                                <w:b/>
                                <w:bCs/>
                                <w:lang w:val="en-GB"/>
                              </w:rPr>
                            </w:pPr>
                            <w:r w:rsidRPr="0043312B">
                              <w:rPr>
                                <w:b/>
                                <w:bCs/>
                                <w:lang w:val="en-GB"/>
                              </w:rPr>
                              <w:t>1989</w:t>
                            </w:r>
                          </w:p>
                          <w:p w14:paraId="4CCF8184" w14:textId="13460ED5" w:rsidR="0043312B" w:rsidRDefault="0043312B" w:rsidP="0043312B">
                            <w:pPr>
                              <w:numPr>
                                <w:ilvl w:val="0"/>
                                <w:numId w:val="80"/>
                              </w:numPr>
                              <w:spacing w:after="0" w:line="240" w:lineRule="auto"/>
                              <w:rPr>
                                <w:rFonts w:eastAsia="Times New Roman"/>
                                <w:lang w:val="en-GB"/>
                              </w:rPr>
                            </w:pPr>
                            <w:r>
                              <w:rPr>
                                <w:rFonts w:eastAsia="Times New Roman"/>
                                <w:lang w:val="en-GB"/>
                              </w:rPr>
                              <w:t>MMR</w:t>
                            </w:r>
                            <w:r w:rsidR="003901FE">
                              <w:rPr>
                                <w:rFonts w:eastAsia="Times New Roman"/>
                                <w:lang w:val="en-GB"/>
                              </w:rPr>
                              <w:t xml:space="preserve"> </w:t>
                            </w:r>
                            <w:r w:rsidRPr="0043312B">
                              <w:rPr>
                                <w:rFonts w:eastAsia="Times New Roman"/>
                                <w:vertAlign w:val="superscript"/>
                                <w:lang w:val="en-GB"/>
                              </w:rPr>
                              <w:t>ix</w:t>
                            </w:r>
                            <w:r>
                              <w:rPr>
                                <w:rFonts w:eastAsia="Times New Roman"/>
                                <w:lang w:val="en-GB"/>
                              </w:rPr>
                              <w:t xml:space="preserve"> vaccine recommended and funded on the national schedule at 12 months of age (9 months for Aboriginal and Torres Strait Islander infants in the Northern Territory)</w:t>
                            </w:r>
                          </w:p>
                          <w:p w14:paraId="4FA88323" w14:textId="77777777" w:rsidR="0043312B" w:rsidRPr="0043312B" w:rsidRDefault="0043312B" w:rsidP="0043312B">
                            <w:pPr>
                              <w:pStyle w:val="NormalWeb"/>
                              <w:spacing w:before="0" w:beforeAutospacing="0" w:after="0" w:afterAutospacing="0" w:line="240" w:lineRule="auto"/>
                              <w:rPr>
                                <w:b/>
                                <w:bCs/>
                                <w:lang w:val="en-GB"/>
                              </w:rPr>
                            </w:pPr>
                            <w:r w:rsidRPr="0043312B">
                              <w:rPr>
                                <w:b/>
                                <w:bCs/>
                                <w:lang w:val="en-GB"/>
                              </w:rPr>
                              <w:t>1996</w:t>
                            </w:r>
                          </w:p>
                          <w:p w14:paraId="0EBBBBEC" w14:textId="77777777" w:rsidR="0043312B" w:rsidRDefault="0043312B" w:rsidP="0043312B">
                            <w:pPr>
                              <w:numPr>
                                <w:ilvl w:val="0"/>
                                <w:numId w:val="81"/>
                              </w:numPr>
                              <w:spacing w:after="0" w:line="240" w:lineRule="auto"/>
                              <w:rPr>
                                <w:rFonts w:eastAsia="Times New Roman"/>
                                <w:lang w:val="en-GB"/>
                              </w:rPr>
                            </w:pPr>
                            <w:r>
                              <w:rPr>
                                <w:rFonts w:eastAsia="Times New Roman"/>
                                <w:lang w:val="en-GB"/>
                              </w:rPr>
                              <w:t>MMR vaccine funded as second dose of rubella-containing vaccine for all adolescents</w:t>
                            </w:r>
                          </w:p>
                          <w:p w14:paraId="5324F6EB" w14:textId="77777777" w:rsidR="0043312B" w:rsidRPr="0043312B" w:rsidRDefault="0043312B" w:rsidP="0043312B">
                            <w:pPr>
                              <w:pStyle w:val="NormalWeb"/>
                              <w:spacing w:before="0" w:beforeAutospacing="0" w:after="0" w:afterAutospacing="0" w:line="240" w:lineRule="auto"/>
                              <w:rPr>
                                <w:b/>
                                <w:bCs/>
                                <w:lang w:val="en-GB"/>
                              </w:rPr>
                            </w:pPr>
                            <w:r w:rsidRPr="0043312B">
                              <w:rPr>
                                <w:b/>
                                <w:bCs/>
                                <w:lang w:val="en-GB"/>
                              </w:rPr>
                              <w:t>1998</w:t>
                            </w:r>
                          </w:p>
                          <w:p w14:paraId="4C217953" w14:textId="77777777" w:rsidR="0043312B" w:rsidRDefault="0043312B" w:rsidP="0043312B">
                            <w:pPr>
                              <w:numPr>
                                <w:ilvl w:val="0"/>
                                <w:numId w:val="82"/>
                              </w:numPr>
                              <w:spacing w:after="0" w:line="240" w:lineRule="auto"/>
                              <w:rPr>
                                <w:rFonts w:eastAsia="Times New Roman"/>
                                <w:lang w:val="en-GB"/>
                              </w:rPr>
                            </w:pPr>
                            <w:r>
                              <w:rPr>
                                <w:rFonts w:eastAsia="Times New Roman"/>
                                <w:lang w:val="en-GB"/>
                              </w:rPr>
                              <w:t>Recommended age for first dose of MMR vaccine for Aboriginal and Torres Strait Islander children in the Northern Territory increased from 9 months to 12 months of age</w:t>
                            </w:r>
                          </w:p>
                          <w:p w14:paraId="3B384AD5" w14:textId="77777777" w:rsidR="0043312B" w:rsidRDefault="0043312B" w:rsidP="0043312B">
                            <w:pPr>
                              <w:numPr>
                                <w:ilvl w:val="0"/>
                                <w:numId w:val="82"/>
                              </w:numPr>
                              <w:spacing w:after="0" w:line="240" w:lineRule="auto"/>
                              <w:rPr>
                                <w:rFonts w:eastAsia="Times New Roman"/>
                                <w:lang w:val="en-GB"/>
                              </w:rPr>
                            </w:pPr>
                            <w:r>
                              <w:rPr>
                                <w:rFonts w:eastAsia="Times New Roman"/>
                                <w:lang w:val="en-GB"/>
                              </w:rPr>
                              <w:t>Recommended age for second dose of MMR vaccine lowered to 4–5 years</w:t>
                            </w:r>
                          </w:p>
                          <w:p w14:paraId="799B9382" w14:textId="77777777" w:rsidR="0043312B" w:rsidRPr="0043312B" w:rsidRDefault="0043312B" w:rsidP="0043312B">
                            <w:pPr>
                              <w:pStyle w:val="NormalWeb"/>
                              <w:spacing w:before="0" w:beforeAutospacing="0" w:after="0" w:afterAutospacing="0" w:line="240" w:lineRule="auto"/>
                              <w:rPr>
                                <w:b/>
                                <w:bCs/>
                                <w:lang w:val="en-GB"/>
                              </w:rPr>
                            </w:pPr>
                            <w:r w:rsidRPr="0043312B">
                              <w:rPr>
                                <w:b/>
                                <w:bCs/>
                                <w:lang w:val="en-GB"/>
                              </w:rPr>
                              <w:t>2013</w:t>
                            </w:r>
                          </w:p>
                          <w:p w14:paraId="65BFAD70" w14:textId="01B3CC50" w:rsidR="0043312B" w:rsidRPr="0043312B" w:rsidRDefault="0043312B" w:rsidP="0043312B">
                            <w:pPr>
                              <w:numPr>
                                <w:ilvl w:val="0"/>
                                <w:numId w:val="83"/>
                              </w:numPr>
                              <w:spacing w:after="0" w:line="240" w:lineRule="auto"/>
                              <w:rPr>
                                <w:rFonts w:eastAsia="Times New Roman"/>
                                <w:lang w:val="en-GB"/>
                              </w:rPr>
                            </w:pPr>
                            <w:r>
                              <w:rPr>
                                <w:rFonts w:eastAsia="Times New Roman"/>
                                <w:lang w:val="en-GB"/>
                              </w:rPr>
                              <w:t>Second dose moved to 18 months of age, given as MMRV</w:t>
                            </w:r>
                            <w:r w:rsidR="003901FE">
                              <w:rPr>
                                <w:rFonts w:eastAsia="Times New Roman"/>
                                <w:lang w:val="en-GB"/>
                              </w:rPr>
                              <w:t xml:space="preserve"> </w:t>
                            </w:r>
                            <w:r w:rsidRPr="00893CE5">
                              <w:rPr>
                                <w:rFonts w:eastAsia="Times New Roman"/>
                                <w:vertAlign w:val="superscript"/>
                                <w:lang w:val="en-GB"/>
                              </w:rPr>
                              <w:t>x</w:t>
                            </w:r>
                          </w:p>
                        </w:txbxContent>
                      </wps:txbx>
                      <wps:bodyPr rot="0" vert="horz" wrap="square" lIns="91440" tIns="45720" rIns="91440" bIns="45720" anchor="t" anchorCtr="0">
                        <a:spAutoFit/>
                      </wps:bodyPr>
                    </wps:wsp>
                  </a:graphicData>
                </a:graphic>
              </wp:inline>
            </w:drawing>
          </mc:Choice>
          <mc:Fallback>
            <w:pict>
              <v:shape w14:anchorId="212FEC9C" id="_x0000_s1041"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" fillcolor="#f7ecdd" stroked="f">
                <v:textbox style="mso-fit-shape-to-text:t">
                  <w:txbxContent>
                    <w:p w14:paraId="18B6BDF1" w14:textId="77777777" w:rsidR="0043312B" w:rsidRPr="0043312B" w:rsidRDefault="0043312B" w:rsidP="0043312B">
                      <w:pPr>
                        <w:pStyle w:val="NormalWeb"/>
                        <w:spacing w:before="0" w:beforeAutospacing="0" w:after="0" w:afterAutospacing="0" w:line="240" w:lineRule="auto"/>
                        <w:rPr>
                          <w:b/>
                          <w:bCs/>
                          <w:lang w:val="en-GB"/>
                        </w:rPr>
                      </w:pPr>
                      <w:r w:rsidRPr="0043312B">
                        <w:rPr>
                          <w:b/>
                          <w:bCs/>
                          <w:lang w:val="en-GB"/>
                        </w:rPr>
                        <w:t>1971</w:t>
                      </w:r>
                    </w:p>
                    <w:p w14:paraId="35A184E4" w14:textId="77777777" w:rsidR="0043312B" w:rsidRDefault="0043312B" w:rsidP="0043312B">
                      <w:pPr>
                        <w:numPr>
                          <w:ilvl w:val="0"/>
                          <w:numId w:val="79"/>
                        </w:numPr>
                        <w:spacing w:after="0" w:line="240" w:lineRule="auto"/>
                        <w:rPr>
                          <w:rFonts w:eastAsia="Times New Roman"/>
                          <w:lang w:val="en-GB"/>
                        </w:rPr>
                      </w:pPr>
                      <w:r>
                        <w:rPr>
                          <w:rFonts w:eastAsia="Times New Roman"/>
                          <w:lang w:val="en-GB"/>
                        </w:rPr>
                        <w:t>Rubella vaccine funded for females aged 12–14 years (school-based program) and for susceptible women prior to pregnancy</w:t>
                      </w:r>
                    </w:p>
                    <w:p w14:paraId="1073FD77" w14:textId="77777777" w:rsidR="0043312B" w:rsidRPr="0043312B" w:rsidRDefault="0043312B" w:rsidP="0043312B">
                      <w:pPr>
                        <w:pStyle w:val="NormalWeb"/>
                        <w:spacing w:before="0" w:beforeAutospacing="0" w:after="0" w:afterAutospacing="0" w:line="240" w:lineRule="auto"/>
                        <w:rPr>
                          <w:b/>
                          <w:bCs/>
                          <w:lang w:val="en-GB"/>
                        </w:rPr>
                      </w:pPr>
                      <w:r w:rsidRPr="0043312B">
                        <w:rPr>
                          <w:b/>
                          <w:bCs/>
                          <w:lang w:val="en-GB"/>
                        </w:rPr>
                        <w:t>1989</w:t>
                      </w:r>
                    </w:p>
                    <w:p w14:paraId="4CCF8184" w14:textId="13460ED5" w:rsidR="0043312B" w:rsidRDefault="0043312B" w:rsidP="0043312B">
                      <w:pPr>
                        <w:numPr>
                          <w:ilvl w:val="0"/>
                          <w:numId w:val="80"/>
                        </w:numPr>
                        <w:spacing w:after="0" w:line="240" w:lineRule="auto"/>
                        <w:rPr>
                          <w:rFonts w:eastAsia="Times New Roman"/>
                          <w:lang w:val="en-GB"/>
                        </w:rPr>
                      </w:pPr>
                      <w:r>
                        <w:rPr>
                          <w:rFonts w:eastAsia="Times New Roman"/>
                          <w:lang w:val="en-GB"/>
                        </w:rPr>
                        <w:t>MMR</w:t>
                      </w:r>
                      <w:r w:rsidR="003901FE">
                        <w:rPr>
                          <w:rFonts w:eastAsia="Times New Roman"/>
                          <w:lang w:val="en-GB"/>
                        </w:rPr>
                        <w:t xml:space="preserve"> </w:t>
                      </w:r>
                      <w:r w:rsidRPr="0043312B">
                        <w:rPr>
                          <w:rFonts w:eastAsia="Times New Roman"/>
                          <w:vertAlign w:val="superscript"/>
                          <w:lang w:val="en-GB"/>
                        </w:rPr>
                        <w:t>ix</w:t>
                      </w:r>
                      <w:r>
                        <w:rPr>
                          <w:rFonts w:eastAsia="Times New Roman"/>
                          <w:lang w:val="en-GB"/>
                        </w:rPr>
                        <w:t xml:space="preserve"> vaccine recommended and funded on the national schedule at 12 months of age (9 months for Aboriginal and Torres Strait Islander infants in the Northern Territory)</w:t>
                      </w:r>
                    </w:p>
                    <w:p w14:paraId="4FA88323" w14:textId="77777777" w:rsidR="0043312B" w:rsidRPr="0043312B" w:rsidRDefault="0043312B" w:rsidP="0043312B">
                      <w:pPr>
                        <w:pStyle w:val="NormalWeb"/>
                        <w:spacing w:before="0" w:beforeAutospacing="0" w:after="0" w:afterAutospacing="0" w:line="240" w:lineRule="auto"/>
                        <w:rPr>
                          <w:b/>
                          <w:bCs/>
                          <w:lang w:val="en-GB"/>
                        </w:rPr>
                      </w:pPr>
                      <w:r w:rsidRPr="0043312B">
                        <w:rPr>
                          <w:b/>
                          <w:bCs/>
                          <w:lang w:val="en-GB"/>
                        </w:rPr>
                        <w:t>1996</w:t>
                      </w:r>
                    </w:p>
                    <w:p w14:paraId="0EBBBBEC" w14:textId="77777777" w:rsidR="0043312B" w:rsidRDefault="0043312B" w:rsidP="0043312B">
                      <w:pPr>
                        <w:numPr>
                          <w:ilvl w:val="0"/>
                          <w:numId w:val="81"/>
                        </w:numPr>
                        <w:spacing w:after="0" w:line="240" w:lineRule="auto"/>
                        <w:rPr>
                          <w:rFonts w:eastAsia="Times New Roman"/>
                          <w:lang w:val="en-GB"/>
                        </w:rPr>
                      </w:pPr>
                      <w:r>
                        <w:rPr>
                          <w:rFonts w:eastAsia="Times New Roman"/>
                          <w:lang w:val="en-GB"/>
                        </w:rPr>
                        <w:t>MMR vaccine funded as second dose of rubella-containing vaccine for all adolescents</w:t>
                      </w:r>
                    </w:p>
                    <w:p w14:paraId="5324F6EB" w14:textId="77777777" w:rsidR="0043312B" w:rsidRPr="0043312B" w:rsidRDefault="0043312B" w:rsidP="0043312B">
                      <w:pPr>
                        <w:pStyle w:val="NormalWeb"/>
                        <w:spacing w:before="0" w:beforeAutospacing="0" w:after="0" w:afterAutospacing="0" w:line="240" w:lineRule="auto"/>
                        <w:rPr>
                          <w:b/>
                          <w:bCs/>
                          <w:lang w:val="en-GB"/>
                        </w:rPr>
                      </w:pPr>
                      <w:r w:rsidRPr="0043312B">
                        <w:rPr>
                          <w:b/>
                          <w:bCs/>
                          <w:lang w:val="en-GB"/>
                        </w:rPr>
                        <w:t>1998</w:t>
                      </w:r>
                    </w:p>
                    <w:p w14:paraId="4C217953" w14:textId="77777777" w:rsidR="0043312B" w:rsidRDefault="0043312B" w:rsidP="0043312B">
                      <w:pPr>
                        <w:numPr>
                          <w:ilvl w:val="0"/>
                          <w:numId w:val="82"/>
                        </w:numPr>
                        <w:spacing w:after="0" w:line="240" w:lineRule="auto"/>
                        <w:rPr>
                          <w:rFonts w:eastAsia="Times New Roman"/>
                          <w:lang w:val="en-GB"/>
                        </w:rPr>
                      </w:pPr>
                      <w:r>
                        <w:rPr>
                          <w:rFonts w:eastAsia="Times New Roman"/>
                          <w:lang w:val="en-GB"/>
                        </w:rPr>
                        <w:t>Recommended age for first dose of MMR vaccine for Aboriginal and Torres Strait Islander children in the Northern Territory increased from 9 months to 12 months of age</w:t>
                      </w:r>
                    </w:p>
                    <w:p w14:paraId="3B384AD5" w14:textId="77777777" w:rsidR="0043312B" w:rsidRDefault="0043312B" w:rsidP="0043312B">
                      <w:pPr>
                        <w:numPr>
                          <w:ilvl w:val="0"/>
                          <w:numId w:val="82"/>
                        </w:numPr>
                        <w:spacing w:after="0" w:line="240" w:lineRule="auto"/>
                        <w:rPr>
                          <w:rFonts w:eastAsia="Times New Roman"/>
                          <w:lang w:val="en-GB"/>
                        </w:rPr>
                      </w:pPr>
                      <w:r>
                        <w:rPr>
                          <w:rFonts w:eastAsia="Times New Roman"/>
                          <w:lang w:val="en-GB"/>
                        </w:rPr>
                        <w:t>Recommended age for second dose of MMR vaccine lowered to 4–5 years</w:t>
                      </w:r>
                    </w:p>
                    <w:p w14:paraId="799B9382" w14:textId="77777777" w:rsidR="0043312B" w:rsidRPr="0043312B" w:rsidRDefault="0043312B" w:rsidP="0043312B">
                      <w:pPr>
                        <w:pStyle w:val="NormalWeb"/>
                        <w:spacing w:before="0" w:beforeAutospacing="0" w:after="0" w:afterAutospacing="0" w:line="240" w:lineRule="auto"/>
                        <w:rPr>
                          <w:b/>
                          <w:bCs/>
                          <w:lang w:val="en-GB"/>
                        </w:rPr>
                      </w:pPr>
                      <w:r w:rsidRPr="0043312B">
                        <w:rPr>
                          <w:b/>
                          <w:bCs/>
                          <w:lang w:val="en-GB"/>
                        </w:rPr>
                        <w:t>2013</w:t>
                      </w:r>
                    </w:p>
                    <w:p w14:paraId="65BFAD70" w14:textId="01B3CC50" w:rsidR="0043312B" w:rsidRPr="0043312B" w:rsidRDefault="0043312B" w:rsidP="0043312B">
                      <w:pPr>
                        <w:numPr>
                          <w:ilvl w:val="0"/>
                          <w:numId w:val="83"/>
                        </w:numPr>
                        <w:spacing w:after="0" w:line="240" w:lineRule="auto"/>
                        <w:rPr>
                          <w:rFonts w:eastAsia="Times New Roman"/>
                          <w:lang w:val="en-GB"/>
                        </w:rPr>
                      </w:pPr>
                      <w:r>
                        <w:rPr>
                          <w:rFonts w:eastAsia="Times New Roman"/>
                          <w:lang w:val="en-GB"/>
                        </w:rPr>
                        <w:t>Second dose moved to 18 months of age, given as MMRV</w:t>
                      </w:r>
                      <w:r w:rsidR="003901FE">
                        <w:rPr>
                          <w:rFonts w:eastAsia="Times New Roman"/>
                          <w:lang w:val="en-GB"/>
                        </w:rPr>
                        <w:t xml:space="preserve"> </w:t>
                      </w:r>
                      <w:r w:rsidRPr="00893CE5">
                        <w:rPr>
                          <w:rFonts w:eastAsia="Times New Roman"/>
                          <w:vertAlign w:val="superscript"/>
                          <w:lang w:val="en-GB"/>
                        </w:rPr>
                        <w:t>x</w:t>
                      </w:r>
                    </w:p>
                  </w:txbxContent>
                </v:textbox>
                <w10:anchorlock/>
              </v:shape>
            </w:pict>
          </mc:Fallback>
        </mc:AlternateContent>
      </w:r>
    </w:p>
    <w:p w14:paraId="4BC059E0" w14:textId="77777777" w:rsidR="001901CC" w:rsidRPr="00834CDC" w:rsidRDefault="001901CC" w:rsidP="001901CC">
      <w:pPr>
        <w:pStyle w:val="CDIfootnotes"/>
        <w:divId w:val="1988506822"/>
      </w:pPr>
      <w:r w:rsidRPr="00834CDC">
        <w:t>ix</w:t>
      </w:r>
      <w:r w:rsidRPr="00834CDC">
        <w:tab/>
        <w:t xml:space="preserve"> MMR: measles, </w:t>
      </w:r>
      <w:proofErr w:type="gramStart"/>
      <w:r w:rsidRPr="00834CDC">
        <w:t>mumps</w:t>
      </w:r>
      <w:proofErr w:type="gramEnd"/>
      <w:r w:rsidRPr="00834CDC">
        <w:t xml:space="preserve"> and rubella.</w:t>
      </w:r>
    </w:p>
    <w:p w14:paraId="1791B458" w14:textId="3004968C" w:rsidR="001901CC" w:rsidRPr="00834CDC" w:rsidRDefault="001901CC" w:rsidP="001901CC">
      <w:pPr>
        <w:pStyle w:val="CDIfootnotes"/>
        <w:divId w:val="1988506822"/>
      </w:pPr>
      <w:r w:rsidRPr="00834CDC">
        <w:t>x</w:t>
      </w:r>
      <w:r w:rsidRPr="00834CDC">
        <w:tab/>
        <w:t xml:space="preserve"> MMRV: measles, mumps, </w:t>
      </w:r>
      <w:proofErr w:type="gramStart"/>
      <w:r w:rsidRPr="00834CDC">
        <w:t>rubella</w:t>
      </w:r>
      <w:proofErr w:type="gramEnd"/>
      <w:r w:rsidRPr="00834CDC">
        <w:t xml:space="preserve"> and varicella.</w:t>
      </w:r>
    </w:p>
    <w:p w14:paraId="4E06E0C0" w14:textId="77777777" w:rsidR="00D24B47" w:rsidRDefault="00D24B47">
      <w:r>
        <w:br w:type="page"/>
      </w:r>
    </w:p>
    <w:p w14:paraId="4AFAD7CE" w14:textId="3C240CAB" w:rsidR="0033445F" w:rsidRPr="00834CDC" w:rsidRDefault="0033445F" w:rsidP="0033445F">
      <w:pPr>
        <w:divId w:val="1988506822"/>
      </w:pPr>
      <w:r w:rsidRPr="00834CDC">
        <w:lastRenderedPageBreak/>
        <w:t xml:space="preserve">There were </w:t>
      </w:r>
      <w:proofErr w:type="gramStart"/>
      <w:r w:rsidRPr="00834CDC">
        <w:t>58</w:t>
      </w:r>
      <w:proofErr w:type="gramEnd"/>
      <w:r w:rsidRPr="00834CDC">
        <w:t xml:space="preserve"> notifications of rubella, but none of CRS, between 2016 and 2019. Only one rubella notification </w:t>
      </w:r>
      <w:proofErr w:type="gramStart"/>
      <w:r w:rsidRPr="00834CDC">
        <w:t>was recorded</w:t>
      </w:r>
      <w:proofErr w:type="gramEnd"/>
      <w:r w:rsidRPr="00834CDC">
        <w:t xml:space="preserve"> as being in an Aboriginal and Torres Strait Islander person (Table 23). There were 1–4</w:t>
      </w:r>
      <w:r w:rsidR="00D24B47">
        <w:t xml:space="preserve"> </w:t>
      </w:r>
      <w:r w:rsidRPr="00834CDC">
        <w:rPr>
          <w:vertAlign w:val="superscript"/>
        </w:rPr>
        <w:t>xi</w:t>
      </w:r>
      <w:r w:rsidRPr="00834CDC">
        <w:t xml:space="preserve"> rubella hospitalisations recorded in Aboriginal and Torres Strait Islander people and </w:t>
      </w:r>
      <w:proofErr w:type="gramStart"/>
      <w:r w:rsidRPr="00834CDC">
        <w:t>19</w:t>
      </w:r>
      <w:proofErr w:type="gramEnd"/>
      <w:r w:rsidRPr="00834CDC">
        <w:t xml:space="preserve"> among other Australians. There were </w:t>
      </w:r>
      <w:proofErr w:type="gramStart"/>
      <w:r w:rsidRPr="00834CDC">
        <w:t>37</w:t>
      </w:r>
      <w:proofErr w:type="gramEnd"/>
      <w:r w:rsidRPr="00834CDC">
        <w:t xml:space="preserve"> hospitalisations for CRS between 2016 and 2019, all in adults aged 25 years and older, with none recorded as being among Aboriginal and Torres Strait Islander people (Table 24). These CRS hospitalisations are likely to </w:t>
      </w:r>
      <w:proofErr w:type="gramStart"/>
      <w:r w:rsidRPr="00834CDC">
        <w:t>represent</w:t>
      </w:r>
      <w:proofErr w:type="gramEnd"/>
      <w:r w:rsidRPr="00834CDC">
        <w:t xml:space="preserve"> admissions in individuals who acquired CRS in utero many years ago when vaccination coverage was lower. There were eight deaths in Australia in the 2016–2019 period with rubella recorded as underlying or associated cause of death (none in Aboriginal and Torres Strait Islander people) and </w:t>
      </w:r>
      <w:proofErr w:type="gramStart"/>
      <w:r w:rsidRPr="00834CDC">
        <w:t>28</w:t>
      </w:r>
      <w:proofErr w:type="gramEnd"/>
      <w:r w:rsidRPr="00834CDC">
        <w:t xml:space="preserve"> deaths with CRS as underlying or associated cause of death (1–5</w:t>
      </w:r>
      <w:r w:rsidRPr="00834CDC">
        <w:rPr>
          <w:vertAlign w:val="superscript"/>
        </w:rPr>
        <w:t>xii</w:t>
      </w:r>
      <w:r w:rsidRPr="00834CDC">
        <w:t xml:space="preserve"> deaths among Aboriginal and Torres Strait Islander people). All deaths were in adults aged ≥ 30 years. </w:t>
      </w:r>
    </w:p>
    <w:p w14:paraId="1435C9F0" w14:textId="77777777" w:rsidR="0033445F" w:rsidRPr="00834CDC" w:rsidRDefault="0033445F" w:rsidP="0033445F">
      <w:pPr>
        <w:divId w:val="1988506822"/>
      </w:pPr>
      <w:r w:rsidRPr="00834CDC">
        <w:t xml:space="preserve">No notifications of CRS have </w:t>
      </w:r>
      <w:proofErr w:type="gramStart"/>
      <w:r w:rsidRPr="00834CDC">
        <w:t>been reported</w:t>
      </w:r>
      <w:proofErr w:type="gramEnd"/>
      <w:r w:rsidRPr="00834CDC">
        <w:t xml:space="preserve"> to the Australian Paediatric Surveillance Unit (APSU) since 2015,</w:t>
      </w:r>
      <w:r w:rsidRPr="00834CDC">
        <w:rPr>
          <w:vertAlign w:val="superscript"/>
        </w:rPr>
        <w:t>218</w:t>
      </w:r>
      <w:r w:rsidRPr="00834CDC">
        <w:t xml:space="preserve"> compared to three cases of CRS reported to APSU over the period 2011–2015, all of them in children of overseas-born (Thailand and Indonesia) mothers.</w:t>
      </w:r>
      <w:r w:rsidRPr="00834CDC">
        <w:rPr>
          <w:vertAlign w:val="superscript"/>
        </w:rPr>
        <w:t>234</w:t>
      </w:r>
      <w:r w:rsidRPr="00834CDC">
        <w:t xml:space="preserve"> </w:t>
      </w:r>
    </w:p>
    <w:p w14:paraId="6E90B654" w14:textId="17FBDCDA" w:rsidR="0033445F" w:rsidRPr="00834CDC" w:rsidRDefault="0033445F" w:rsidP="0033445F">
      <w:pPr>
        <w:divId w:val="1988506822"/>
      </w:pPr>
      <w:r w:rsidRPr="00834CDC">
        <w:t>In October 2018, the World Health Organization certified that Australia had eliminated rubella as a public health problem;</w:t>
      </w:r>
      <w:r w:rsidRPr="00834CDC">
        <w:rPr>
          <w:vertAlign w:val="superscript"/>
        </w:rPr>
        <w:t>235</w:t>
      </w:r>
      <w:r w:rsidRPr="00834CDC">
        <w:t xml:space="preserve"> </w:t>
      </w:r>
      <w:proofErr w:type="spellStart"/>
      <w:r w:rsidRPr="00834CDC">
        <w:t>serosurveillance</w:t>
      </w:r>
      <w:proofErr w:type="spellEnd"/>
      <w:r w:rsidRPr="00834CDC">
        <w:t>, vaccine coverage and notification data all attest to this elimination of endemic transmission in Australia.</w:t>
      </w:r>
      <w:r w:rsidRPr="00834CDC">
        <w:rPr>
          <w:vertAlign w:val="superscript"/>
        </w:rPr>
        <w:t>232,236</w:t>
      </w:r>
      <w:r w:rsidRPr="00834CDC">
        <w:t xml:space="preserve"> Sporadic cases continue to occur, although notified cases may underestimate the true number of cases given the high proportion of asymptomatic or mild cases and the need for laboratory confirmation. The level of laboratory confirmation of hospitalisations is not known. While CRS is now rare, there </w:t>
      </w:r>
      <w:proofErr w:type="gramStart"/>
      <w:r w:rsidRPr="00834CDC">
        <w:t>remains</w:t>
      </w:r>
      <w:proofErr w:type="gramEnd"/>
      <w:r w:rsidRPr="00834CDC">
        <w:t xml:space="preserve"> an ongoing burden of hospitalisation and death in adults related to disease acquired congenitally in the past.</w:t>
      </w:r>
    </w:p>
    <w:p w14:paraId="7B64FF77" w14:textId="6CA97775" w:rsidR="00784BC3" w:rsidRPr="00834CDC" w:rsidRDefault="00784BC3" w:rsidP="0033445F">
      <w:pPr>
        <w:divId w:val="1988506822"/>
      </w:pPr>
    </w:p>
    <w:p w14:paraId="3C58ADD4" w14:textId="31116E44" w:rsidR="00784BC3" w:rsidRPr="00834CDC" w:rsidRDefault="00784BC3" w:rsidP="0033445F">
      <w:pPr>
        <w:divId w:val="1988506822"/>
      </w:pPr>
    </w:p>
    <w:p w14:paraId="04BFEECA" w14:textId="523864D1" w:rsidR="00784BC3" w:rsidRPr="00834CDC" w:rsidRDefault="00784BC3" w:rsidP="0033445F">
      <w:pPr>
        <w:divId w:val="1988506822"/>
      </w:pPr>
    </w:p>
    <w:p w14:paraId="588090EC" w14:textId="57449642" w:rsidR="00784BC3" w:rsidRPr="00834CDC" w:rsidRDefault="00784BC3" w:rsidP="0033445F">
      <w:pPr>
        <w:divId w:val="1988506822"/>
      </w:pPr>
    </w:p>
    <w:p w14:paraId="7D454AB9" w14:textId="665098DC" w:rsidR="00784BC3" w:rsidRPr="00834CDC" w:rsidRDefault="00784BC3" w:rsidP="0033445F">
      <w:pPr>
        <w:divId w:val="1988506822"/>
      </w:pPr>
    </w:p>
    <w:p w14:paraId="3D05214A" w14:textId="08DAE6E8" w:rsidR="00784BC3" w:rsidRPr="00834CDC" w:rsidRDefault="00784BC3" w:rsidP="0033445F">
      <w:pPr>
        <w:divId w:val="1988506822"/>
      </w:pPr>
    </w:p>
    <w:p w14:paraId="50D90FA6" w14:textId="323A2414" w:rsidR="00784BC3" w:rsidRPr="00834CDC" w:rsidRDefault="00784BC3" w:rsidP="0033445F">
      <w:pPr>
        <w:divId w:val="1988506822"/>
      </w:pPr>
    </w:p>
    <w:p w14:paraId="7B86E5C2" w14:textId="01294329" w:rsidR="00784BC3" w:rsidRPr="00834CDC" w:rsidRDefault="00784BC3" w:rsidP="0033445F">
      <w:pPr>
        <w:divId w:val="1988506822"/>
      </w:pPr>
    </w:p>
    <w:p w14:paraId="27021CCA" w14:textId="17174143" w:rsidR="00784BC3" w:rsidRPr="00834CDC" w:rsidRDefault="00784BC3" w:rsidP="0033445F">
      <w:pPr>
        <w:divId w:val="1988506822"/>
      </w:pPr>
    </w:p>
    <w:p w14:paraId="722F5814" w14:textId="1D52EA52" w:rsidR="00784BC3" w:rsidRPr="00834CDC" w:rsidRDefault="00784BC3" w:rsidP="0033445F">
      <w:pPr>
        <w:divId w:val="1988506822"/>
      </w:pPr>
    </w:p>
    <w:p w14:paraId="10F40F01" w14:textId="7DF04A37" w:rsidR="00784BC3" w:rsidRPr="00834CDC" w:rsidRDefault="00784BC3" w:rsidP="0033445F">
      <w:pPr>
        <w:divId w:val="1988506822"/>
      </w:pPr>
    </w:p>
    <w:p w14:paraId="065C0A4F" w14:textId="34F6307D" w:rsidR="00784BC3" w:rsidRDefault="00784BC3" w:rsidP="0033445F">
      <w:pPr>
        <w:divId w:val="1988506822"/>
      </w:pPr>
    </w:p>
    <w:p w14:paraId="7C5C608C" w14:textId="77777777" w:rsidR="004E44A3" w:rsidRPr="00834CDC" w:rsidRDefault="004E44A3" w:rsidP="0033445F">
      <w:pPr>
        <w:divId w:val="1988506822"/>
      </w:pPr>
    </w:p>
    <w:p w14:paraId="5BB42699" w14:textId="77777777" w:rsidR="00784BC3" w:rsidRPr="00834CDC" w:rsidRDefault="00784BC3" w:rsidP="0033445F">
      <w:pPr>
        <w:divId w:val="1988506822"/>
      </w:pPr>
    </w:p>
    <w:p w14:paraId="4CC0744A" w14:textId="77777777" w:rsidR="00BD531D" w:rsidRPr="00834CDC" w:rsidRDefault="00BD531D" w:rsidP="009B1774">
      <w:pPr>
        <w:pStyle w:val="CDIfootnotes"/>
        <w:pBdr>
          <w:top w:val="single" w:sz="4" w:space="1" w:color="808080" w:themeColor="background1" w:themeShade="80"/>
        </w:pBdr>
        <w:divId w:val="1988506822"/>
      </w:pPr>
      <w:r w:rsidRPr="00834CDC">
        <w:t>xi</w:t>
      </w:r>
      <w:r w:rsidRPr="00834CDC">
        <w:tab/>
      </w:r>
      <w:proofErr w:type="gramStart"/>
      <w:r w:rsidRPr="00834CDC">
        <w:t>To</w:t>
      </w:r>
      <w:proofErr w:type="gramEnd"/>
      <w:r w:rsidRPr="00834CDC">
        <w:t xml:space="preserve"> comply with the AIHW’s data release condition that hospitalisation counts &lt; 5 be suppressed in published reports, counts between 1 and 4 are reported as a range.</w:t>
      </w:r>
    </w:p>
    <w:p w14:paraId="17199D9E" w14:textId="2939AB14" w:rsidR="00A96803" w:rsidRPr="00834CDC" w:rsidRDefault="00BD531D" w:rsidP="00784BC3">
      <w:pPr>
        <w:pStyle w:val="CDIfootnotes"/>
        <w:pBdr>
          <w:top w:val="single" w:sz="4" w:space="1" w:color="808080" w:themeColor="background1" w:themeShade="80"/>
        </w:pBdr>
        <w:divId w:val="1988506822"/>
      </w:pPr>
      <w:r w:rsidRPr="00834CDC">
        <w:t>xii</w:t>
      </w:r>
      <w:r w:rsidRPr="00834CDC">
        <w:tab/>
      </w:r>
      <w:proofErr w:type="gramStart"/>
      <w:r w:rsidRPr="00834CDC">
        <w:t>To</w:t>
      </w:r>
      <w:proofErr w:type="gramEnd"/>
      <w:r w:rsidRPr="00834CDC">
        <w:t xml:space="preserve"> comply with the Australian Coordinating Registry data release condition, death counts between 1 and 5 are reported as a range.</w:t>
      </w:r>
      <w:r w:rsidR="00A96803" w:rsidRPr="00834CDC">
        <w:br w:type="page"/>
      </w:r>
    </w:p>
    <w:p w14:paraId="11926839" w14:textId="77777777" w:rsidR="0033445F" w:rsidRPr="00834CDC" w:rsidRDefault="0033445F" w:rsidP="0033445F">
      <w:pPr>
        <w:pStyle w:val="Heading1"/>
        <w:divId w:val="1988506822"/>
      </w:pPr>
      <w:r w:rsidRPr="00834CDC">
        <w:lastRenderedPageBreak/>
        <w:t xml:space="preserve">15. Vaccination coverage </w:t>
      </w:r>
    </w:p>
    <w:p w14:paraId="38B50057" w14:textId="2CD3BB12" w:rsidR="0033445F" w:rsidRPr="00834CDC" w:rsidRDefault="0033445F" w:rsidP="0033445F">
      <w:pPr>
        <w:pStyle w:val="Heading2"/>
        <w:divId w:val="1988506822"/>
      </w:pPr>
      <w:r w:rsidRPr="00834CDC">
        <w:t xml:space="preserve">Key points </w:t>
      </w:r>
    </w:p>
    <w:p w14:paraId="51BC7D7A" w14:textId="77777777" w:rsidR="00032A05" w:rsidRPr="00834CDC" w:rsidRDefault="00032A05" w:rsidP="00032A05">
      <w:pPr>
        <w:divId w:val="1988506822"/>
      </w:pPr>
    </w:p>
    <w:p w14:paraId="64B15EE7" w14:textId="4835C9F9" w:rsidR="005E3015" w:rsidRPr="00834CDC" w:rsidRDefault="00032A05" w:rsidP="005E3015">
      <w:pPr>
        <w:divId w:val="1988506822"/>
      </w:pPr>
      <w:r w:rsidRPr="00834CDC">
        <w:rPr>
          <w:noProof/>
        </w:rPr>
        <mc:AlternateContent>
          <mc:Choice Requires="wps">
            <w:drawing>
              <wp:inline distT="0" distB="0" distL="0" distR="0" wp14:anchorId="5292319E" wp14:editId="15E8C819">
                <wp:extent cx="6625424" cy="1404620"/>
                <wp:effectExtent l="0" t="0" r="4445" b="190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1404620"/>
                        </a:xfrm>
                        <a:prstGeom prst="rect">
                          <a:avLst/>
                        </a:prstGeom>
                        <a:solidFill>
                          <a:srgbClr val="F7ECDD"/>
                        </a:solidFill>
                        <a:ln w="9525">
                          <a:noFill/>
                          <a:miter lim="800000"/>
                          <a:headEnd/>
                          <a:tailEnd/>
                        </a:ln>
                      </wps:spPr>
                      <wps:txbx>
                        <w:txbxContent>
                          <w:p w14:paraId="451EA31D" w14:textId="77777777" w:rsidR="00704E11" w:rsidRDefault="00704E11" w:rsidP="00704E11">
                            <w:pPr>
                              <w:pStyle w:val="NormalWeb"/>
                              <w:rPr>
                                <w:lang w:val="en-GB"/>
                              </w:rPr>
                            </w:pPr>
                            <w:r>
                              <w:rPr>
                                <w:lang w:val="en-GB"/>
                              </w:rPr>
                              <w:t>By 12 months of age, 92.9% of Aboriginal and Torres Strait Islander children were ‘fully vaccinated’ in 2019. This is 2.6 percentage point higher than the previous report period and is now only 1.5 percentage points lower than that of other children, a halving of the gap in coverage at 12 months since the previous report.</w:t>
                            </w:r>
                          </w:p>
                          <w:p w14:paraId="43647643" w14:textId="77777777" w:rsidR="00704E11" w:rsidRDefault="00704E11" w:rsidP="00704E11">
                            <w:pPr>
                              <w:pStyle w:val="NormalWeb"/>
                              <w:rPr>
                                <w:lang w:val="en-GB"/>
                              </w:rPr>
                            </w:pPr>
                            <w:r>
                              <w:rPr>
                                <w:lang w:val="en-GB"/>
                              </w:rPr>
                              <w:t>By 24 months of age, 90.0% of Aboriginal and Torres Strait Islander children were ‘fully vaccinated’ in 2019 compared with 91.1% of other children. These rates for both groups have increased since the previous report, with the differential reducing to 1.1 percentage points.</w:t>
                            </w:r>
                          </w:p>
                          <w:p w14:paraId="0019C34F" w14:textId="77777777" w:rsidR="00704E11" w:rsidRDefault="00704E11" w:rsidP="00704E11">
                            <w:pPr>
                              <w:pStyle w:val="NormalWeb"/>
                              <w:rPr>
                                <w:lang w:val="en-GB"/>
                              </w:rPr>
                            </w:pPr>
                            <w:r>
                              <w:rPr>
                                <w:lang w:val="en-GB"/>
                              </w:rPr>
                              <w:t>By 60 months of age, 96.9% of Aboriginal and Torres Strait Islander children were ‘fully vaccinated’ in 2019. This is 2.5 percentage point higher than the previous report period and almost 3 percentage points higher than that for other children.</w:t>
                            </w:r>
                          </w:p>
                          <w:p w14:paraId="77664E71" w14:textId="77777777" w:rsidR="00704E11" w:rsidRDefault="00704E11" w:rsidP="00704E11">
                            <w:pPr>
                              <w:pStyle w:val="NormalWeb"/>
                              <w:rPr>
                                <w:lang w:val="en-GB"/>
                              </w:rPr>
                            </w:pPr>
                            <w:r>
                              <w:rPr>
                                <w:lang w:val="en-GB"/>
                              </w:rPr>
                              <w:t>At the sub-jurisdictional level, there was considerable variation in the percentage of Aboriginal and Torres Strait Islander children assessed as ‘fully vaccinated’ at 12 months of age. While there were a number of SA4s (n = 18) with ‘fully vaccinated’ coverage below 90%, there were 24 SA4s with coverage in Aboriginal and Torres Strait Islander children higher than the national figure in other children at the same milestone.</w:t>
                            </w:r>
                          </w:p>
                          <w:p w14:paraId="2ADC2D5B" w14:textId="77777777" w:rsidR="00704E11" w:rsidRDefault="00704E11" w:rsidP="00704E11">
                            <w:pPr>
                              <w:pStyle w:val="NormalWeb"/>
                              <w:rPr>
                                <w:lang w:val="en-GB"/>
                              </w:rPr>
                            </w:pPr>
                            <w:r>
                              <w:rPr>
                                <w:lang w:val="en-GB"/>
                              </w:rPr>
                              <w:t>Although coverage estimates of vaccines specifically recommended and funded for Aboriginal and Torres Strait Islander children improved, they remained suboptimal.</w:t>
                            </w:r>
                          </w:p>
                          <w:p w14:paraId="5BC4B753" w14:textId="77777777" w:rsidR="00704E11" w:rsidRDefault="00704E11" w:rsidP="00704E11">
                            <w:pPr>
                              <w:pStyle w:val="NormalWeb"/>
                              <w:rPr>
                                <w:lang w:val="en-GB"/>
                              </w:rPr>
                            </w:pPr>
                            <w:r>
                              <w:rPr>
                                <w:lang w:val="en-GB"/>
                              </w:rPr>
                              <w:t>The percentage of Aboriginal and Torres Strait Islander children vaccinated on time improved between 2016 and 2019, but delayed vaccination remained more common than for other children.</w:t>
                            </w:r>
                          </w:p>
                          <w:p w14:paraId="24B9DEFE" w14:textId="77777777" w:rsidR="00704E11" w:rsidRDefault="00704E11" w:rsidP="00704E11">
                            <w:pPr>
                              <w:pStyle w:val="NormalWeb"/>
                              <w:rPr>
                                <w:lang w:val="en-GB"/>
                              </w:rPr>
                            </w:pPr>
                            <w:r>
                              <w:rPr>
                                <w:lang w:val="en-GB"/>
                              </w:rPr>
                              <w:t>While most delayed vaccinations were given only 1 –≤ 2 months after the schedule point, a higher percentage of Aboriginal and Torres Strait Islander children were vaccinated very late (≥ 7 months after the schedule point).</w:t>
                            </w:r>
                          </w:p>
                          <w:p w14:paraId="09AC8913" w14:textId="77777777" w:rsidR="00704E11" w:rsidRDefault="00704E11" w:rsidP="00704E11">
                            <w:pPr>
                              <w:pStyle w:val="NormalWeb"/>
                              <w:rPr>
                                <w:lang w:val="en-GB"/>
                              </w:rPr>
                            </w:pPr>
                            <w:r>
                              <w:rPr>
                                <w:lang w:val="en-GB"/>
                              </w:rPr>
                              <w:t>Adolescent and adult vaccination coverage estimates were reported for the first time in this report.</w:t>
                            </w:r>
                          </w:p>
                          <w:p w14:paraId="3B13465D" w14:textId="77777777" w:rsidR="00704E11" w:rsidRDefault="00704E11" w:rsidP="00704E11">
                            <w:pPr>
                              <w:pStyle w:val="NormalWeb"/>
                              <w:rPr>
                                <w:lang w:val="en-GB"/>
                              </w:rPr>
                            </w:pPr>
                            <w:r>
                              <w:rPr>
                                <w:lang w:val="en-GB"/>
                              </w:rPr>
                              <w:t>Vaccination coverage for meningococcal and HPV vaccines among Aboriginal and Torres Strait Islander adolescents was lower than that in other adolescents in 2019.</w:t>
                            </w:r>
                          </w:p>
                          <w:p w14:paraId="6D7F3AEB" w14:textId="77777777" w:rsidR="00704E11" w:rsidRDefault="00704E11" w:rsidP="00704E11">
                            <w:pPr>
                              <w:pStyle w:val="NormalWeb"/>
                              <w:rPr>
                                <w:lang w:val="en-GB"/>
                              </w:rPr>
                            </w:pPr>
                            <w:r>
                              <w:rPr>
                                <w:lang w:val="en-GB"/>
                              </w:rPr>
                              <w:t>Influenza vaccination coverage was higher among Aboriginal and Torres Strait Islander people than other Australians in all age groups and increased with age, reaching 83.5% among Aboriginal and Torres Strait Islander adults aged ≥ 75 years, 21.1 percentage points higher than for other adults in 2019.</w:t>
                            </w:r>
                          </w:p>
                          <w:p w14:paraId="1027B4BA" w14:textId="78C3F056" w:rsidR="00032A05" w:rsidRPr="00704E11" w:rsidRDefault="00704E11" w:rsidP="00704E11">
                            <w:pPr>
                              <w:pStyle w:val="NormalWeb"/>
                              <w:rPr>
                                <w:lang w:val="en-GB"/>
                              </w:rPr>
                            </w:pPr>
                            <w:r>
                              <w:rPr>
                                <w:lang w:val="en-GB"/>
                              </w:rPr>
                              <w:t>Zoster vaccine coverage estimates for adults aged 70 years in 2019 were 33.2% among Aboriginal and Torres Strait Islander people, 2.7 percentage points higher than estimates for other people.</w:t>
                            </w:r>
                          </w:p>
                        </w:txbxContent>
                      </wps:txbx>
                      <wps:bodyPr rot="0" vert="horz" wrap="square" lIns="91440" tIns="45720" rIns="91440" bIns="45720" anchor="t" anchorCtr="0">
                        <a:spAutoFit/>
                      </wps:bodyPr>
                    </wps:wsp>
                  </a:graphicData>
                </a:graphic>
              </wp:inline>
            </w:drawing>
          </mc:Choice>
          <mc:Fallback>
            <w:pict>
              <v:shape w14:anchorId="5292319E" id="_x0000_s1042"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" fillcolor="#f7ecdd" stroked="f">
                <v:textbox style="mso-fit-shape-to-text:t">
                  <w:txbxContent>
                    <w:p w14:paraId="451EA31D" w14:textId="77777777" w:rsidR="00704E11" w:rsidRDefault="00704E11" w:rsidP="00704E11">
                      <w:pPr>
                        <w:pStyle w:val="NormalWeb"/>
                        <w:rPr>
                          <w:lang w:val="en-GB"/>
                        </w:rPr>
                      </w:pPr>
                      <w:r>
                        <w:rPr>
                          <w:lang w:val="en-GB"/>
                        </w:rPr>
                        <w:t>By 12 months of age, 92.9% of Aboriginal and Torres Strait Islander children were ‘fully vaccinated’ in 2019. This is 2.6 percentage point higher than the previous report period and is now only 1.5 percentage points lower than that of other children, a halving of the gap in coverage at 12 months since the previous report.</w:t>
                      </w:r>
                    </w:p>
                    <w:p w14:paraId="43647643" w14:textId="77777777" w:rsidR="00704E11" w:rsidRDefault="00704E11" w:rsidP="00704E11">
                      <w:pPr>
                        <w:pStyle w:val="NormalWeb"/>
                        <w:rPr>
                          <w:lang w:val="en-GB"/>
                        </w:rPr>
                      </w:pPr>
                      <w:r>
                        <w:rPr>
                          <w:lang w:val="en-GB"/>
                        </w:rPr>
                        <w:t>By 24 months of age, 90.0% of Aboriginal and Torres Strait Islander children were ‘fully vaccinated’ in 2019 compared with 91.1% of other children. These rates for both groups have increased since the previous report, with the differential reducing to 1.1 percentage points.</w:t>
                      </w:r>
                    </w:p>
                    <w:p w14:paraId="0019C34F" w14:textId="77777777" w:rsidR="00704E11" w:rsidRDefault="00704E11" w:rsidP="00704E11">
                      <w:pPr>
                        <w:pStyle w:val="NormalWeb"/>
                        <w:rPr>
                          <w:lang w:val="en-GB"/>
                        </w:rPr>
                      </w:pPr>
                      <w:r>
                        <w:rPr>
                          <w:lang w:val="en-GB"/>
                        </w:rPr>
                        <w:t>By 60 months of age, 96.9% of Aboriginal and Torres Strait Islander children were ‘fully vaccinated’ in 2019. This is 2.5 percentage point higher than the previous report period and almost 3 percentage points higher than that for other children.</w:t>
                      </w:r>
                    </w:p>
                    <w:p w14:paraId="77664E71" w14:textId="77777777" w:rsidR="00704E11" w:rsidRDefault="00704E11" w:rsidP="00704E11">
                      <w:pPr>
                        <w:pStyle w:val="NormalWeb"/>
                        <w:rPr>
                          <w:lang w:val="en-GB"/>
                        </w:rPr>
                      </w:pPr>
                      <w:r>
                        <w:rPr>
                          <w:lang w:val="en-GB"/>
                        </w:rPr>
                        <w:t>At the sub-jurisdictional level, there was considerable variation in the percentage of Aboriginal and Torres Strait Islander children assessed as ‘fully vaccinated’ at 12 months of age. While there were a number of SA4s (n = 18) with ‘fully vaccinated’ coverage below 90%, there were 24 SA4s with coverage in Aboriginal and Torres Strait Islander children higher than the national figure in other children at the same milestone.</w:t>
                      </w:r>
                    </w:p>
                    <w:p w14:paraId="2ADC2D5B" w14:textId="77777777" w:rsidR="00704E11" w:rsidRDefault="00704E11" w:rsidP="00704E11">
                      <w:pPr>
                        <w:pStyle w:val="NormalWeb"/>
                        <w:rPr>
                          <w:lang w:val="en-GB"/>
                        </w:rPr>
                      </w:pPr>
                      <w:r>
                        <w:rPr>
                          <w:lang w:val="en-GB"/>
                        </w:rPr>
                        <w:t>Although coverage estimates of vaccines specifically recommended and funded for Aboriginal and Torres Strait Islander children improved, they remained suboptimal.</w:t>
                      </w:r>
                    </w:p>
                    <w:p w14:paraId="5BC4B753" w14:textId="77777777" w:rsidR="00704E11" w:rsidRDefault="00704E11" w:rsidP="00704E11">
                      <w:pPr>
                        <w:pStyle w:val="NormalWeb"/>
                        <w:rPr>
                          <w:lang w:val="en-GB"/>
                        </w:rPr>
                      </w:pPr>
                      <w:r>
                        <w:rPr>
                          <w:lang w:val="en-GB"/>
                        </w:rPr>
                        <w:t>The percentage of Aboriginal and Torres Strait Islander children vaccinated on time improved between 2016 and 2019, but delayed vaccination remained more common than for other children.</w:t>
                      </w:r>
                    </w:p>
                    <w:p w14:paraId="24B9DEFE" w14:textId="77777777" w:rsidR="00704E11" w:rsidRDefault="00704E11" w:rsidP="00704E11">
                      <w:pPr>
                        <w:pStyle w:val="NormalWeb"/>
                        <w:rPr>
                          <w:lang w:val="en-GB"/>
                        </w:rPr>
                      </w:pPr>
                      <w:r>
                        <w:rPr>
                          <w:lang w:val="en-GB"/>
                        </w:rPr>
                        <w:t>While most delayed vaccinations were given only 1 –≤ 2 months after the schedule point, a higher percentage of Aboriginal and Torres Strait Islander children were vaccinated very late (≥ 7 months after the schedule point).</w:t>
                      </w:r>
                    </w:p>
                    <w:p w14:paraId="09AC8913" w14:textId="77777777" w:rsidR="00704E11" w:rsidRDefault="00704E11" w:rsidP="00704E11">
                      <w:pPr>
                        <w:pStyle w:val="NormalWeb"/>
                        <w:rPr>
                          <w:lang w:val="en-GB"/>
                        </w:rPr>
                      </w:pPr>
                      <w:r>
                        <w:rPr>
                          <w:lang w:val="en-GB"/>
                        </w:rPr>
                        <w:t>Adolescent and adult vaccination coverage estimates were reported for the first time in this report.</w:t>
                      </w:r>
                    </w:p>
                    <w:p w14:paraId="3B13465D" w14:textId="77777777" w:rsidR="00704E11" w:rsidRDefault="00704E11" w:rsidP="00704E11">
                      <w:pPr>
                        <w:pStyle w:val="NormalWeb"/>
                        <w:rPr>
                          <w:lang w:val="en-GB"/>
                        </w:rPr>
                      </w:pPr>
                      <w:r>
                        <w:rPr>
                          <w:lang w:val="en-GB"/>
                        </w:rPr>
                        <w:t>Vaccination coverage for meningococcal and HPV vaccines among Aboriginal and Torres Strait Islander adolescents was lower than that in other adolescents in 2019.</w:t>
                      </w:r>
                    </w:p>
                    <w:p w14:paraId="6D7F3AEB" w14:textId="77777777" w:rsidR="00704E11" w:rsidRDefault="00704E11" w:rsidP="00704E11">
                      <w:pPr>
                        <w:pStyle w:val="NormalWeb"/>
                        <w:rPr>
                          <w:lang w:val="en-GB"/>
                        </w:rPr>
                      </w:pPr>
                      <w:r>
                        <w:rPr>
                          <w:lang w:val="en-GB"/>
                        </w:rPr>
                        <w:t>Influenza vaccination coverage was higher among Aboriginal and Torres Strait Islander people than other Australians in all age groups and increased with age, reaching 83.5% among Aboriginal and Torres Strait Islander adults aged ≥ 75 years, 21.1 percentage points higher than for other adults in 2019.</w:t>
                      </w:r>
                    </w:p>
                    <w:p w14:paraId="1027B4BA" w14:textId="78C3F056" w:rsidR="00032A05" w:rsidRPr="00704E11" w:rsidRDefault="00704E11" w:rsidP="00704E11">
                      <w:pPr>
                        <w:pStyle w:val="NormalWeb"/>
                        <w:rPr>
                          <w:lang w:val="en-GB"/>
                        </w:rPr>
                      </w:pPr>
                      <w:r>
                        <w:rPr>
                          <w:lang w:val="en-GB"/>
                        </w:rPr>
                        <w:t>Zoster vaccine coverage estimates for adults aged 70 years in 2019 were 33.2% among Aboriginal and Torres Strait Islander people, 2.7 percentage points higher than estimates for other people.</w:t>
                      </w:r>
                    </w:p>
                  </w:txbxContent>
                </v:textbox>
                <w10:anchorlock/>
              </v:shape>
            </w:pict>
          </mc:Fallback>
        </mc:AlternateContent>
      </w:r>
    </w:p>
    <w:p w14:paraId="4F56844F" w14:textId="77777777" w:rsidR="00704E11" w:rsidRPr="00834CDC" w:rsidRDefault="00704E11">
      <w:pPr>
        <w:rPr>
          <w:rFonts w:asciiTheme="majorHAnsi" w:eastAsia="Times New Roman" w:hAnsiTheme="majorHAnsi" w:cstheme="majorBidi"/>
          <w:b/>
          <w:bCs/>
        </w:rPr>
      </w:pPr>
      <w:r w:rsidRPr="00834CDC">
        <w:rPr>
          <w:rFonts w:eastAsia="Times New Roman"/>
        </w:rPr>
        <w:br w:type="page"/>
      </w:r>
    </w:p>
    <w:p w14:paraId="12DAD4D6" w14:textId="3AE070DC" w:rsidR="0033445F" w:rsidRPr="00834CDC" w:rsidRDefault="0033445F" w:rsidP="0033445F">
      <w:pPr>
        <w:pStyle w:val="Heading3"/>
        <w:divId w:val="1988506822"/>
        <w:rPr>
          <w:rFonts w:eastAsia="Times New Roman"/>
        </w:rPr>
      </w:pPr>
      <w:r w:rsidRPr="00834CDC">
        <w:rPr>
          <w:rFonts w:eastAsia="Times New Roman"/>
        </w:rPr>
        <w:lastRenderedPageBreak/>
        <w:t xml:space="preserve">The Australian National Immunisation Program </w:t>
      </w:r>
    </w:p>
    <w:p w14:paraId="2A07A2B4" w14:textId="4C239B42" w:rsidR="0033445F" w:rsidRPr="00834CDC" w:rsidRDefault="0033445F" w:rsidP="00383634">
      <w:pPr>
        <w:divId w:val="1988506822"/>
        <w:rPr>
          <w:rFonts w:eastAsia="Times New Roman"/>
        </w:rPr>
      </w:pPr>
      <w:r w:rsidRPr="00834CDC">
        <w:t xml:space="preserve">Significant changes to the NIP, immunisation incentives and coverage calculation algorithms between 2016 and 2019 are summarised in Box 1. In addition to the routine vaccines available for all Australians, Aboriginal and Torres Strait Islander children, adolescents and adults are eligible for </w:t>
      </w:r>
      <w:proofErr w:type="gramStart"/>
      <w:r w:rsidRPr="00834CDC">
        <w:t>additional</w:t>
      </w:r>
      <w:proofErr w:type="gramEnd"/>
      <w:r w:rsidRPr="00834CDC">
        <w:t xml:space="preserve"> vaccines funded under the NIP. The 2019 NIP schedule </w:t>
      </w:r>
      <w:proofErr w:type="gramStart"/>
      <w:r w:rsidRPr="00834CDC">
        <w:t>is presented</w:t>
      </w:r>
      <w:proofErr w:type="gramEnd"/>
      <w:r w:rsidRPr="00834CDC">
        <w:t xml:space="preserve"> in Table 25.</w:t>
      </w:r>
      <w:r w:rsidRPr="00834CDC">
        <w:rPr>
          <w:rFonts w:eastAsia="Times New Roman"/>
        </w:rPr>
        <w:t xml:space="preserve"> </w:t>
      </w:r>
    </w:p>
    <w:p w14:paraId="74416EA6" w14:textId="77777777" w:rsidR="00383634" w:rsidRPr="00834CDC" w:rsidRDefault="00383634" w:rsidP="00383634">
      <w:pPr>
        <w:pStyle w:val="CDIFigures"/>
        <w:divId w:val="1988506822"/>
      </w:pPr>
      <w:r w:rsidRPr="00834CDC">
        <w:rPr>
          <w:rStyle w:val="Strong"/>
          <w:b/>
          <w:bCs w:val="0"/>
        </w:rPr>
        <w:t>Box 1: Significant changes in immunisation policy, immunisation incentives and coverage calculation algorithms, Australia, 2016–2019</w:t>
      </w:r>
      <w:r w:rsidRPr="00834CDC">
        <w:rPr>
          <w:rStyle w:val="Strong"/>
          <w:b/>
          <w:bCs w:val="0"/>
          <w:vertAlign w:val="superscript"/>
        </w:rPr>
        <w:t>a</w:t>
      </w:r>
    </w:p>
    <w:p w14:paraId="0D0816C9" w14:textId="11E4CE93" w:rsidR="00383634" w:rsidRPr="00834CDC" w:rsidRDefault="007E3F70" w:rsidP="00383634">
      <w:pPr>
        <w:divId w:val="1988506822"/>
        <w:rPr>
          <w:rFonts w:eastAsia="Times New Roman"/>
        </w:rPr>
      </w:pPr>
      <w:r w:rsidRPr="00834CDC">
        <w:rPr>
          <w:rFonts w:eastAsia="Times New Roman"/>
          <w:noProof/>
        </w:rPr>
        <mc:AlternateContent>
          <mc:Choice Requires="wps">
            <w:drawing>
              <wp:inline distT="0" distB="0" distL="0" distR="0" wp14:anchorId="11D59A3F" wp14:editId="045D3D32">
                <wp:extent cx="6625424" cy="1404620"/>
                <wp:effectExtent l="0" t="0" r="4445" b="4445"/>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1404620"/>
                        </a:xfrm>
                        <a:prstGeom prst="rect">
                          <a:avLst/>
                        </a:prstGeom>
                        <a:solidFill>
                          <a:srgbClr val="F7ECDD"/>
                        </a:solidFill>
                        <a:ln w="9525">
                          <a:noFill/>
                          <a:miter lim="800000"/>
                          <a:headEnd/>
                          <a:tailEnd/>
                        </a:ln>
                      </wps:spPr>
                      <wps:txbx>
                        <w:txbxContent>
                          <w:p w14:paraId="198F6CBA"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January 2016 – New immunisation requirements for federal government family assistance payments (‘No Jab, No Pay’) come into effect. Only parents of children (aged &lt; 20 years, up from &lt; 7 years previously) who are ‘fully vaccinated’ or on a recognised catch-up schedule are eligible to receive the Child Care Benefit, Child Care Rebate and/or the Family Tax Benefit Part A end-of-year supplement. Children with medical contraindications or natural immunity for certain diseases continue to be exempt from the requirements; however, objection on non-medical grounds is no longer a valid exemption.</w:t>
                            </w:r>
                          </w:p>
                          <w:p w14:paraId="2E4AD3FE"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March 2016 – Booster dose of DTPa vaccine funded at 18 months of age.</w:t>
                            </w:r>
                          </w:p>
                          <w:p w14:paraId="07B38880"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November 2016 – National herpes zoster (HZ) vaccination program commenced with a single dose of HZ vaccine funded for all people aged 70 years old, with a five year catch-up program implemented for people aged 71–79 years old.</w:t>
                            </w:r>
                          </w:p>
                          <w:p w14:paraId="0D884615"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December 2016 – Vaccination coverage assessment algorithm for ‘fully vaccinated’ at the 24-month milestone amended to require four doses of DTPa-containing vaccine.</w:t>
                            </w:r>
                          </w:p>
                          <w:p w14:paraId="3FF55438"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July 2017 – Queensland, South Australia, Victoria and Western Australia changed from three-dose RotaTeq® rotavirus vaccine schedule to two-dose Rotarix® schedule (in line with other jurisdictions).</w:t>
                            </w:r>
                          </w:p>
                          <w:p w14:paraId="41ACB1D9"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Coverage for the second dose of MMR-containing vaccine no longer assessed at 60 months of age.</w:t>
                            </w:r>
                          </w:p>
                          <w:p w14:paraId="192FB2F1"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December 2017 – Funded adolescent school-based Varicella vaccination program ceased.</w:t>
                            </w:r>
                          </w:p>
                          <w:p w14:paraId="55F08A9C"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February 2018 – A two-dose schedule of 9vHPV vaccine recommended and funded under NIP for female and male adolescents aged 12–14 years, delivered through a school-based program (changed from a three-dose schedule of 4vHPV avaccine in place since 2007 for females and 2013 for males).</w:t>
                            </w:r>
                          </w:p>
                          <w:p w14:paraId="08027252"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April 2018 – Enhanced trivalent influenza vaccines (high-dose and adjuvanted) funded nationally for all adults aged 65 years and over.</w:t>
                            </w:r>
                          </w:p>
                          <w:p w14:paraId="60E859A0"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May 2018 – ACT, NSW, Qld, SA, Tas., Vic.: annual seasonal influenza vaccination program funded for all children aged 6 months to &lt; 5 years (in place in WA since 2008).</w:t>
                            </w:r>
                          </w:p>
                          <w:p w14:paraId="4CC344E9"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July 2018 – Schedule for routine childhood vaccination with 13vPCV changed from 2, 4 and 6 months of age to 2, 4 and 12 months of age. Vaccination coverage assessment algorithm for ‘fully vaccinated’ at the 12-month milestone amended to require either two or three doses of 13vPCV. Vaccination coverage assessment algorithm for ‘fully vaccinated’ at the 24-month milestone amended to require three doses of 13vPCV.</w:t>
                            </w:r>
                          </w:p>
                          <w:p w14:paraId="7A378D29"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Meningococcal ACWY conjugate vaccine funded for all children at 12 months of age, replacing combined Hib and MenC-containing, with the Hib dose moved to 18 months and given as monovalent Hib vaccine.</w:t>
                            </w:r>
                          </w:p>
                          <w:p w14:paraId="402F5B06"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February 2019 – Aboriginal and Torres Strait Islander children and adolescents aged 5–14 years of age funded for influenza vaccine under NIP (all Aboriginal and Torres Strait Islander people aged 6 months and older now eligible for a funded annual influenza vaccine).</w:t>
                            </w:r>
                          </w:p>
                          <w:p w14:paraId="73C3DC34"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March 2019 – NT: annual seasonal influenza vaccination program funded for all children aged 6 months to &lt; 5 years.</w:t>
                            </w:r>
                          </w:p>
                          <w:p w14:paraId="1735DE75" w14:textId="7AD84FA2" w:rsidR="007E3F70" w:rsidRP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April 2019 - Meningococcal ACWY conjugate vaccine funded under the NIP for adolescents aged 14–16 years delivered through a school-based program and adolescents aged 15 to 19 years delivered through primary care providers as part of an ongoing catch-up program.</w:t>
                            </w:r>
                          </w:p>
                        </w:txbxContent>
                      </wps:txbx>
                      <wps:bodyPr rot="0" vert="horz" wrap="square" lIns="91440" tIns="45720" rIns="91440" bIns="45720" anchor="t" anchorCtr="0">
                        <a:spAutoFit/>
                      </wps:bodyPr>
                    </wps:wsp>
                  </a:graphicData>
                </a:graphic>
              </wp:inline>
            </w:drawing>
          </mc:Choice>
          <mc:Fallback>
            <w:pict>
              <v:shape w14:anchorId="11D59A3F" id="_x0000_s1043"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" fillcolor="#f7ecdd" stroked="f">
                <v:textbox style="mso-fit-shape-to-text:t">
                  <w:txbxContent>
                    <w:p w14:paraId="198F6CBA"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January 2016 – New immunisation requirements for federal government family assistance payments (‘No Jab, No Pay’) come into effect. Only parents of children (aged &lt; 20 years, up from &lt; 7 years previously) who are ‘fully vaccinated’ or on a recognised catch-up schedule are eligible to receive the Child Care Benefit, Child Care Rebate and/or the Family Tax Benefit Part A end-of-year supplement. Children with medical contraindications or natural immunity for certain diseases continue to be exempt from the requirements; however, objection on non-medical grounds is no longer a valid exemption.</w:t>
                      </w:r>
                    </w:p>
                    <w:p w14:paraId="2E4AD3FE"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March 2016 – Booster dose of DTPa vaccine funded at 18 months of age.</w:t>
                      </w:r>
                    </w:p>
                    <w:p w14:paraId="07B38880"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November 2016 – National herpes zoster (HZ) vaccination program commenced with a single dose of HZ vaccine funded for all people aged 70 years old, with a five year catch-up program implemented for people aged 71–79 years old.</w:t>
                      </w:r>
                    </w:p>
                    <w:p w14:paraId="0D884615"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December 2016 – Vaccination coverage assessment algorithm for ‘fully vaccinated’ at the 24-month milestone amended to require four doses of DTPa-containing vaccine.</w:t>
                      </w:r>
                    </w:p>
                    <w:p w14:paraId="3FF55438"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July 2017 – Queensland, South Australia, Victoria and Western Australia changed from three-dose RotaTeq® rotavirus vaccine schedule to two-dose Rotarix® schedule (in line with other jurisdictions).</w:t>
                      </w:r>
                    </w:p>
                    <w:p w14:paraId="41ACB1D9"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Coverage for the second dose of MMR-containing vaccine no longer assessed at 60 months of age.</w:t>
                      </w:r>
                    </w:p>
                    <w:p w14:paraId="192FB2F1"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December 2017 – Funded adolescent school-based Varicella vaccination program ceased.</w:t>
                      </w:r>
                    </w:p>
                    <w:p w14:paraId="55F08A9C"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February 2018 – A two-dose schedule of 9vHPV vaccine recommended and funded under NIP for female and male adolescents aged 12–14 years, delivered through a school-based program (changed from a three-dose schedule of 4vHPV avaccine in place since 2007 for females and 2013 for males).</w:t>
                      </w:r>
                    </w:p>
                    <w:p w14:paraId="08027252"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April 2018 – Enhanced trivalent influenza vaccines (high-dose and adjuvanted) funded nationally for all adults aged 65 years and over.</w:t>
                      </w:r>
                    </w:p>
                    <w:p w14:paraId="60E859A0"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May 2018 – ACT, NSW, Qld, SA, Tas., Vic.: annual seasonal influenza vaccination program funded for all children aged 6 months to &lt; 5 years (in place in WA since 2008).</w:t>
                      </w:r>
                    </w:p>
                    <w:p w14:paraId="4CC344E9"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July 2018 – Schedule for routine childhood vaccination with 13vPCV changed from 2, 4 and 6 months of age to 2, 4 and 12 months of age. Vaccination coverage assessment algorithm for ‘fully vaccinated’ at the 12-month milestone amended to require either two or three doses of 13vPCV. Vaccination coverage assessment algorithm for ‘fully vaccinated’ at the 24-month milestone amended to require three doses of 13vPCV.</w:t>
                      </w:r>
                    </w:p>
                    <w:p w14:paraId="7A378D29"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Meningococcal ACWY conjugate vaccine funded for all children at 12 months of age, replacing combined Hib and MenC-containing, with the Hib dose moved to 18 months and given as monovalent Hib vaccine.</w:t>
                      </w:r>
                    </w:p>
                    <w:p w14:paraId="402F5B06"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February 2019 – Aboriginal and Torres Strait Islander children and adolescents aged 5–14 years of age funded for influenza vaccine under NIP (all Aboriginal and Torres Strait Islander people aged 6 months and older now eligible for a funded annual influenza vaccine).</w:t>
                      </w:r>
                    </w:p>
                    <w:p w14:paraId="73C3DC34" w14:textId="77777777" w:rsid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March 2019 – NT: annual seasonal influenza vaccination program funded for all children aged 6 months to &lt; 5 years.</w:t>
                      </w:r>
                    </w:p>
                    <w:p w14:paraId="1735DE75" w14:textId="7AD84FA2" w:rsidR="007E3F70" w:rsidRPr="007E3F70" w:rsidRDefault="007E3F70" w:rsidP="007E3F70">
                      <w:pPr>
                        <w:numPr>
                          <w:ilvl w:val="0"/>
                          <w:numId w:val="84"/>
                        </w:numPr>
                        <w:spacing w:before="100" w:beforeAutospacing="1" w:after="100" w:afterAutospacing="1" w:line="240" w:lineRule="auto"/>
                        <w:rPr>
                          <w:rFonts w:eastAsia="Times New Roman"/>
                          <w:lang w:val="en-GB"/>
                        </w:rPr>
                      </w:pPr>
                      <w:r>
                        <w:rPr>
                          <w:rFonts w:eastAsia="Times New Roman"/>
                          <w:lang w:val="en-GB"/>
                        </w:rPr>
                        <w:t>April 2019 - Meningococcal ACWY conjugate vaccine funded under the NIP for adolescents aged 14–16 years delivered through a school-based program and adolescents aged 15 to 19 years delivered through primary care providers as part of an ongoing catch-up program.</w:t>
                      </w:r>
                    </w:p>
                  </w:txbxContent>
                </v:textbox>
                <w10:anchorlock/>
              </v:shape>
            </w:pict>
          </mc:Fallback>
        </mc:AlternateContent>
      </w:r>
    </w:p>
    <w:p w14:paraId="04D20EE9" w14:textId="77777777" w:rsidR="007E3F70" w:rsidRPr="00834CDC" w:rsidRDefault="007E3F70" w:rsidP="007E3F70">
      <w:pPr>
        <w:pStyle w:val="CDIfootnotes"/>
      </w:pPr>
      <w:r w:rsidRPr="00834CDC">
        <w:t>a</w:t>
      </w:r>
      <w:r w:rsidRPr="00834CDC">
        <w:tab/>
        <w:t>Source: NCIRS History of Vaccination.</w:t>
      </w:r>
      <w:r w:rsidRPr="00834CDC">
        <w:rPr>
          <w:vertAlign w:val="superscript"/>
        </w:rPr>
        <w:t>125</w:t>
      </w:r>
    </w:p>
    <w:p w14:paraId="329632CC" w14:textId="77777777" w:rsidR="000D277F" w:rsidRPr="00834CDC" w:rsidRDefault="000D277F">
      <w:pPr>
        <w:rPr>
          <w:rFonts w:asciiTheme="majorHAnsi" w:eastAsiaTheme="majorEastAsia" w:hAnsiTheme="majorHAnsi" w:cstheme="majorBidi"/>
          <w:b/>
          <w:bCs/>
          <w:sz w:val="26"/>
          <w:szCs w:val="26"/>
        </w:rPr>
        <w:sectPr w:rsidR="000D277F" w:rsidRPr="00834CDC" w:rsidSect="00513744">
          <w:footnotePr>
            <w:numFmt w:val="lowerRoman"/>
            <w:numStart w:val="2"/>
          </w:footnotePr>
          <w:pgSz w:w="11906" w:h="16838"/>
          <w:pgMar w:top="720" w:right="720" w:bottom="1134" w:left="720" w:header="709" w:footer="284" w:gutter="0"/>
          <w:cols w:space="708"/>
          <w:titlePg/>
          <w:docGrid w:linePitch="360"/>
        </w:sectPr>
      </w:pPr>
    </w:p>
    <w:p w14:paraId="0ED3CAEA" w14:textId="77777777" w:rsidR="000D277F" w:rsidRPr="00834CDC" w:rsidRDefault="000D277F" w:rsidP="00CF037E">
      <w:pPr>
        <w:pStyle w:val="NormalWeb"/>
        <w:spacing w:before="0" w:beforeAutospacing="0" w:line="240" w:lineRule="auto"/>
      </w:pPr>
      <w:r w:rsidRPr="00834CDC">
        <w:rPr>
          <w:rStyle w:val="Strong"/>
        </w:rPr>
        <w:lastRenderedPageBreak/>
        <w:t>Table 25: The Australian National Immunisation Program Schedule in 2019</w:t>
      </w:r>
    </w:p>
    <w:tbl>
      <w:tblPr>
        <w:tblStyle w:val="CDI-StandardTable"/>
        <w:tblW w:w="0" w:type="auto"/>
        <w:tblCellMar>
          <w:top w:w="28" w:type="dxa"/>
          <w:left w:w="28" w:type="dxa"/>
          <w:bottom w:w="28" w:type="dxa"/>
          <w:right w:w="28" w:type="dxa"/>
        </w:tblCellMar>
        <w:tblLook w:val="04A0" w:firstRow="1" w:lastRow="0" w:firstColumn="1" w:lastColumn="0" w:noHBand="0" w:noVBand="1"/>
        <w:tblDescription w:val="Table 25 shows the Australian National Immunisation Program Schedule in 2019.&#10;"/>
      </w:tblPr>
      <w:tblGrid>
        <w:gridCol w:w="1534"/>
        <w:gridCol w:w="1031"/>
        <w:gridCol w:w="1032"/>
        <w:gridCol w:w="1032"/>
        <w:gridCol w:w="1032"/>
        <w:gridCol w:w="1031"/>
        <w:gridCol w:w="1031"/>
        <w:gridCol w:w="1031"/>
        <w:gridCol w:w="1031"/>
        <w:gridCol w:w="1031"/>
        <w:gridCol w:w="1031"/>
        <w:gridCol w:w="1031"/>
        <w:gridCol w:w="1031"/>
        <w:gridCol w:w="1031"/>
      </w:tblGrid>
      <w:tr w:rsidR="00EC6410" w:rsidRPr="00834CDC" w14:paraId="7FAF8DFA" w14:textId="77777777" w:rsidTr="00CF037E">
        <w:trPr>
          <w:cnfStyle w:val="100000000000" w:firstRow="1" w:lastRow="0" w:firstColumn="0" w:lastColumn="0" w:oddVBand="0" w:evenVBand="0" w:oddHBand="0" w:evenHBand="0"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tcBorders>
            <w:hideMark/>
          </w:tcPr>
          <w:p w14:paraId="6E1C26B5" w14:textId="77777777" w:rsidR="000D277F" w:rsidRPr="00834CDC" w:rsidRDefault="000D277F" w:rsidP="00457617">
            <w:pPr>
              <w:pStyle w:val="NormalWeb"/>
              <w:rPr>
                <w:sz w:val="18"/>
                <w:szCs w:val="18"/>
              </w:rPr>
            </w:pPr>
            <w:r w:rsidRPr="00834CDC">
              <w:rPr>
                <w:sz w:val="18"/>
                <w:szCs w:val="18"/>
              </w:rPr>
              <w:t>Age</w:t>
            </w:r>
          </w:p>
        </w:tc>
        <w:tc>
          <w:tcPr>
            <w:tcW w:w="13402" w:type="dxa"/>
            <w:gridSpan w:val="13"/>
            <w:tcBorders>
              <w:top w:val="single" w:sz="2" w:space="0" w:color="808080" w:themeColor="background1" w:themeShade="80"/>
              <w:bottom w:val="single" w:sz="2" w:space="0" w:color="808080" w:themeColor="background1" w:themeShade="80"/>
              <w:right w:val="single" w:sz="2" w:space="0" w:color="808080" w:themeColor="background1" w:themeShade="80"/>
            </w:tcBorders>
            <w:hideMark/>
          </w:tcPr>
          <w:p w14:paraId="4905D455" w14:textId="1DF505F9" w:rsidR="000D277F" w:rsidRPr="00834CDC" w:rsidRDefault="000D277F" w:rsidP="00457617">
            <w:pPr>
              <w:pStyle w:val="NormalWeb"/>
              <w:rPr>
                <w:sz w:val="18"/>
                <w:szCs w:val="18"/>
              </w:rPr>
            </w:pPr>
            <w:r w:rsidRPr="00834CDC">
              <w:rPr>
                <w:sz w:val="18"/>
                <w:szCs w:val="18"/>
              </w:rPr>
              <w:t>Vaccine/antigen</w:t>
            </w:r>
            <w:r w:rsidR="00EC6410" w:rsidRPr="00834CDC">
              <w:rPr>
                <w:sz w:val="18"/>
                <w:szCs w:val="18"/>
              </w:rPr>
              <w:t xml:space="preserve"> </w:t>
            </w:r>
            <w:r w:rsidRPr="00834CDC">
              <w:rPr>
                <w:sz w:val="18"/>
                <w:szCs w:val="18"/>
                <w:vertAlign w:val="superscript"/>
              </w:rPr>
              <w:t>a</w:t>
            </w:r>
          </w:p>
        </w:tc>
      </w:tr>
      <w:tr w:rsidR="000D277F" w:rsidRPr="00834CDC" w14:paraId="08748DEF" w14:textId="77777777" w:rsidTr="00CF037E">
        <w:tc>
          <w:tcPr>
            <w:tcW w:w="14940"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CE6AC81" w14:textId="77777777" w:rsidR="000D277F" w:rsidRPr="00834CDC" w:rsidRDefault="000D277F" w:rsidP="00DB18DC">
            <w:pPr>
              <w:pStyle w:val="NormalWeb"/>
              <w:jc w:val="left"/>
              <w:rPr>
                <w:b/>
                <w:bCs/>
                <w:sz w:val="18"/>
                <w:szCs w:val="18"/>
              </w:rPr>
            </w:pPr>
            <w:r w:rsidRPr="00834CDC">
              <w:rPr>
                <w:b/>
                <w:bCs/>
                <w:sz w:val="18"/>
                <w:szCs w:val="18"/>
              </w:rPr>
              <w:t>Children</w:t>
            </w:r>
          </w:p>
        </w:tc>
      </w:tr>
      <w:tr w:rsidR="00FB10C6" w:rsidRPr="00834CDC" w14:paraId="3389BB71" w14:textId="77777777" w:rsidTr="00CF037E">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75BEB8" w14:textId="77777777" w:rsidR="000D277F" w:rsidRPr="00834CDC" w:rsidRDefault="000D277F" w:rsidP="00DB18DC">
            <w:pPr>
              <w:pStyle w:val="NormalWeb"/>
              <w:jc w:val="left"/>
              <w:rPr>
                <w:sz w:val="18"/>
                <w:szCs w:val="18"/>
              </w:rPr>
            </w:pPr>
            <w:r w:rsidRPr="00834CDC">
              <w:rPr>
                <w:sz w:val="18"/>
                <w:szCs w:val="18"/>
              </w:rPr>
              <w:t>Birth</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222A231" w14:textId="77777777" w:rsidR="000D277F" w:rsidRPr="00834CDC" w:rsidRDefault="000D277F" w:rsidP="00457617">
            <w:pPr>
              <w:pStyle w:val="NormalWeb"/>
              <w:rPr>
                <w:sz w:val="18"/>
                <w:szCs w:val="18"/>
              </w:rPr>
            </w:pPr>
            <w:r w:rsidRPr="00834CDC">
              <w:rPr>
                <w:sz w:val="18"/>
                <w:szCs w:val="18"/>
              </w:rPr>
              <w:t>Hep B</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5B4E354"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781E9D4"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DF43B76"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9A08B7"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94D2F38"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1194FEA"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1B6BF3"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E08F5A3"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8C43612"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5B31CB"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792301C"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4C6348" w14:textId="77777777" w:rsidR="000D277F" w:rsidRPr="00834CDC" w:rsidRDefault="000D277F" w:rsidP="00457617">
            <w:pPr>
              <w:rPr>
                <w:rFonts w:eastAsia="Times New Roman"/>
                <w:sz w:val="18"/>
                <w:szCs w:val="18"/>
              </w:rPr>
            </w:pPr>
          </w:p>
        </w:tc>
      </w:tr>
      <w:tr w:rsidR="00CF037E" w:rsidRPr="00834CDC" w14:paraId="48789285" w14:textId="77777777" w:rsidTr="00CF037E">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E8A24F" w14:textId="77777777" w:rsidR="000D277F" w:rsidRPr="00834CDC" w:rsidRDefault="000D277F" w:rsidP="00DB18DC">
            <w:pPr>
              <w:pStyle w:val="NormalWeb"/>
              <w:jc w:val="left"/>
              <w:rPr>
                <w:sz w:val="18"/>
                <w:szCs w:val="18"/>
              </w:rPr>
            </w:pPr>
            <w:r w:rsidRPr="00834CDC">
              <w:rPr>
                <w:sz w:val="18"/>
                <w:szCs w:val="18"/>
              </w:rPr>
              <w:t>2 months</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8A79CC0" w14:textId="77777777" w:rsidR="000D277F" w:rsidRPr="00834CDC" w:rsidRDefault="000D277F" w:rsidP="00457617">
            <w:pPr>
              <w:pStyle w:val="NormalWeb"/>
              <w:rPr>
                <w:sz w:val="18"/>
                <w:szCs w:val="18"/>
              </w:rPr>
            </w:pPr>
            <w:r w:rsidRPr="00834CDC">
              <w:rPr>
                <w:sz w:val="18"/>
                <w:szCs w:val="18"/>
              </w:rPr>
              <w:t>Hep B</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1352261" w14:textId="75265BB2" w:rsidR="000D277F" w:rsidRPr="00834CDC" w:rsidRDefault="000D277F" w:rsidP="00457617">
            <w:pPr>
              <w:pStyle w:val="NormalWeb"/>
              <w:rPr>
                <w:sz w:val="18"/>
                <w:szCs w:val="18"/>
              </w:rPr>
            </w:pPr>
            <w:proofErr w:type="spellStart"/>
            <w:r w:rsidRPr="00834CDC">
              <w:rPr>
                <w:sz w:val="18"/>
                <w:szCs w:val="18"/>
              </w:rPr>
              <w:t>DTPa</w:t>
            </w:r>
            <w:proofErr w:type="spellEnd"/>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74B8A9" w14:textId="77777777" w:rsidR="000D277F" w:rsidRPr="00834CDC" w:rsidRDefault="000D277F" w:rsidP="00457617">
            <w:pPr>
              <w:pStyle w:val="NormalWeb"/>
              <w:rPr>
                <w:sz w:val="18"/>
                <w:szCs w:val="18"/>
              </w:rPr>
            </w:pPr>
            <w:r w:rsidRPr="00834CDC">
              <w:rPr>
                <w:sz w:val="18"/>
                <w:szCs w:val="18"/>
              </w:rPr>
              <w:t>Hib</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EDCE192" w14:textId="77777777" w:rsidR="000D277F" w:rsidRPr="00834CDC" w:rsidRDefault="000D277F" w:rsidP="00457617">
            <w:pPr>
              <w:pStyle w:val="NormalWeb"/>
              <w:rPr>
                <w:sz w:val="18"/>
                <w:szCs w:val="18"/>
              </w:rPr>
            </w:pPr>
            <w:r w:rsidRPr="00834CDC">
              <w:rPr>
                <w:sz w:val="18"/>
                <w:szCs w:val="18"/>
              </w:rPr>
              <w:t>Polio</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C65E07"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7121107"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241554"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25324E9"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ABBDFFA" w14:textId="77777777" w:rsidR="000D277F" w:rsidRPr="00834CDC" w:rsidRDefault="000D277F" w:rsidP="00457617">
            <w:pPr>
              <w:pStyle w:val="NormalWeb"/>
              <w:rPr>
                <w:sz w:val="18"/>
                <w:szCs w:val="18"/>
              </w:rPr>
            </w:pPr>
            <w:r w:rsidRPr="00834CDC">
              <w:rPr>
                <w:sz w:val="18"/>
                <w:szCs w:val="18"/>
              </w:rPr>
              <w:t>13vPCV</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8C51CA"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2A6F4D" w14:textId="77777777" w:rsidR="000D277F" w:rsidRPr="00834CDC" w:rsidRDefault="000D277F" w:rsidP="00457617">
            <w:pPr>
              <w:pStyle w:val="NormalWeb"/>
              <w:rPr>
                <w:sz w:val="18"/>
                <w:szCs w:val="18"/>
              </w:rPr>
            </w:pPr>
            <w:r w:rsidRPr="00834CDC">
              <w:rPr>
                <w:sz w:val="18"/>
                <w:szCs w:val="18"/>
              </w:rPr>
              <w:t>Rotavirus</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FCAA4C"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1E10D6" w14:textId="77777777" w:rsidR="000D277F" w:rsidRPr="00834CDC" w:rsidRDefault="000D277F" w:rsidP="00457617">
            <w:pPr>
              <w:rPr>
                <w:rFonts w:eastAsia="Times New Roman"/>
                <w:sz w:val="18"/>
                <w:szCs w:val="18"/>
              </w:rPr>
            </w:pPr>
          </w:p>
        </w:tc>
      </w:tr>
      <w:tr w:rsidR="00FB10C6" w:rsidRPr="00834CDC" w14:paraId="4FAD1173" w14:textId="77777777" w:rsidTr="00CF037E">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499DBAC" w14:textId="77777777" w:rsidR="000D277F" w:rsidRPr="00834CDC" w:rsidRDefault="000D277F" w:rsidP="00DB18DC">
            <w:pPr>
              <w:pStyle w:val="NormalWeb"/>
              <w:jc w:val="left"/>
              <w:rPr>
                <w:sz w:val="18"/>
                <w:szCs w:val="18"/>
              </w:rPr>
            </w:pPr>
            <w:r w:rsidRPr="00834CDC">
              <w:rPr>
                <w:sz w:val="18"/>
                <w:szCs w:val="18"/>
              </w:rPr>
              <w:t>4 months</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8D29C8" w14:textId="77777777" w:rsidR="000D277F" w:rsidRPr="00834CDC" w:rsidRDefault="000D277F" w:rsidP="00457617">
            <w:pPr>
              <w:pStyle w:val="NormalWeb"/>
              <w:rPr>
                <w:sz w:val="18"/>
                <w:szCs w:val="18"/>
              </w:rPr>
            </w:pPr>
            <w:r w:rsidRPr="00834CDC">
              <w:rPr>
                <w:sz w:val="18"/>
                <w:szCs w:val="18"/>
              </w:rPr>
              <w:t>Hep B</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B889E66" w14:textId="5B98C4B5" w:rsidR="000D277F" w:rsidRPr="00834CDC" w:rsidRDefault="000D277F" w:rsidP="00457617">
            <w:pPr>
              <w:pStyle w:val="NormalWeb"/>
              <w:rPr>
                <w:sz w:val="18"/>
                <w:szCs w:val="18"/>
              </w:rPr>
            </w:pPr>
            <w:proofErr w:type="spellStart"/>
            <w:r w:rsidRPr="00834CDC">
              <w:rPr>
                <w:sz w:val="18"/>
                <w:szCs w:val="18"/>
              </w:rPr>
              <w:t>DTPa</w:t>
            </w:r>
            <w:proofErr w:type="spellEnd"/>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3316022" w14:textId="77777777" w:rsidR="000D277F" w:rsidRPr="00834CDC" w:rsidRDefault="000D277F" w:rsidP="00457617">
            <w:pPr>
              <w:pStyle w:val="NormalWeb"/>
              <w:rPr>
                <w:sz w:val="18"/>
                <w:szCs w:val="18"/>
              </w:rPr>
            </w:pPr>
            <w:r w:rsidRPr="00834CDC">
              <w:rPr>
                <w:sz w:val="18"/>
                <w:szCs w:val="18"/>
              </w:rPr>
              <w:t>Hib</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41D137" w14:textId="77777777" w:rsidR="000D277F" w:rsidRPr="00834CDC" w:rsidRDefault="000D277F" w:rsidP="00457617">
            <w:pPr>
              <w:pStyle w:val="NormalWeb"/>
              <w:rPr>
                <w:sz w:val="18"/>
                <w:szCs w:val="18"/>
              </w:rPr>
            </w:pPr>
            <w:r w:rsidRPr="00834CDC">
              <w:rPr>
                <w:sz w:val="18"/>
                <w:szCs w:val="18"/>
              </w:rPr>
              <w:t>Polio</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041528"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7AC61D9"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B326BCA"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85E19CB"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1072DD" w14:textId="77777777" w:rsidR="000D277F" w:rsidRPr="00834CDC" w:rsidRDefault="000D277F" w:rsidP="00457617">
            <w:pPr>
              <w:pStyle w:val="NormalWeb"/>
              <w:rPr>
                <w:sz w:val="18"/>
                <w:szCs w:val="18"/>
              </w:rPr>
            </w:pPr>
            <w:r w:rsidRPr="00834CDC">
              <w:rPr>
                <w:sz w:val="18"/>
                <w:szCs w:val="18"/>
              </w:rPr>
              <w:t>13vPCV</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135443"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946F38" w14:textId="77777777" w:rsidR="000D277F" w:rsidRPr="00834CDC" w:rsidRDefault="000D277F" w:rsidP="00457617">
            <w:pPr>
              <w:pStyle w:val="NormalWeb"/>
              <w:rPr>
                <w:sz w:val="18"/>
                <w:szCs w:val="18"/>
              </w:rPr>
            </w:pPr>
            <w:r w:rsidRPr="00834CDC">
              <w:rPr>
                <w:sz w:val="18"/>
                <w:szCs w:val="18"/>
              </w:rPr>
              <w:t>Rotavirus</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7BB24D"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741096" w14:textId="77777777" w:rsidR="000D277F" w:rsidRPr="00834CDC" w:rsidRDefault="000D277F" w:rsidP="00457617">
            <w:pPr>
              <w:rPr>
                <w:rFonts w:eastAsia="Times New Roman"/>
                <w:sz w:val="18"/>
                <w:szCs w:val="18"/>
              </w:rPr>
            </w:pPr>
          </w:p>
        </w:tc>
      </w:tr>
      <w:tr w:rsidR="00CF037E" w:rsidRPr="00834CDC" w14:paraId="1CF5FBD8" w14:textId="77777777" w:rsidTr="00CF037E">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D834324" w14:textId="77777777" w:rsidR="000D277F" w:rsidRPr="00834CDC" w:rsidRDefault="000D277F" w:rsidP="00DB18DC">
            <w:pPr>
              <w:pStyle w:val="NormalWeb"/>
              <w:jc w:val="left"/>
              <w:rPr>
                <w:sz w:val="18"/>
                <w:szCs w:val="18"/>
              </w:rPr>
            </w:pPr>
            <w:r w:rsidRPr="00834CDC">
              <w:rPr>
                <w:sz w:val="18"/>
                <w:szCs w:val="18"/>
              </w:rPr>
              <w:t>6 months</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FB3982A" w14:textId="77777777" w:rsidR="000D277F" w:rsidRPr="00834CDC" w:rsidRDefault="000D277F" w:rsidP="00457617">
            <w:pPr>
              <w:pStyle w:val="NormalWeb"/>
              <w:rPr>
                <w:sz w:val="18"/>
                <w:szCs w:val="18"/>
              </w:rPr>
            </w:pPr>
            <w:r w:rsidRPr="00834CDC">
              <w:rPr>
                <w:sz w:val="18"/>
                <w:szCs w:val="18"/>
              </w:rPr>
              <w:t>Hep B</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7E16629" w14:textId="0EBF3623" w:rsidR="000D277F" w:rsidRPr="00834CDC" w:rsidRDefault="000D277F" w:rsidP="00457617">
            <w:pPr>
              <w:pStyle w:val="NormalWeb"/>
              <w:rPr>
                <w:sz w:val="18"/>
                <w:szCs w:val="18"/>
              </w:rPr>
            </w:pPr>
            <w:proofErr w:type="spellStart"/>
            <w:r w:rsidRPr="00834CDC">
              <w:rPr>
                <w:sz w:val="18"/>
                <w:szCs w:val="18"/>
              </w:rPr>
              <w:t>DTPa</w:t>
            </w:r>
            <w:proofErr w:type="spellEnd"/>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192A1A" w14:textId="77777777" w:rsidR="000D277F" w:rsidRPr="00834CDC" w:rsidRDefault="000D277F" w:rsidP="00457617">
            <w:pPr>
              <w:pStyle w:val="NormalWeb"/>
              <w:rPr>
                <w:sz w:val="18"/>
                <w:szCs w:val="18"/>
              </w:rPr>
            </w:pPr>
            <w:r w:rsidRPr="00834CDC">
              <w:rPr>
                <w:sz w:val="18"/>
                <w:szCs w:val="18"/>
              </w:rPr>
              <w:t>Hib</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9712746" w14:textId="77777777" w:rsidR="000D277F" w:rsidRPr="00834CDC" w:rsidRDefault="000D277F" w:rsidP="00457617">
            <w:pPr>
              <w:pStyle w:val="NormalWeb"/>
              <w:rPr>
                <w:sz w:val="18"/>
                <w:szCs w:val="18"/>
              </w:rPr>
            </w:pPr>
            <w:r w:rsidRPr="00834CDC">
              <w:rPr>
                <w:sz w:val="18"/>
                <w:szCs w:val="18"/>
              </w:rPr>
              <w:t>Polio</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4FC7DC7"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571EA80"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E3DF49B"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9DDE2C8"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51F1E4" w14:textId="0FFA28C5" w:rsidR="000D277F" w:rsidRPr="00834CDC" w:rsidRDefault="000D277F" w:rsidP="00457617">
            <w:pPr>
              <w:pStyle w:val="NormalWeb"/>
              <w:rPr>
                <w:sz w:val="18"/>
                <w:szCs w:val="18"/>
              </w:rPr>
            </w:pPr>
            <w:r w:rsidRPr="00834CDC">
              <w:rPr>
                <w:sz w:val="18"/>
                <w:szCs w:val="18"/>
              </w:rPr>
              <w:t>13vPCV</w:t>
            </w:r>
            <w:r w:rsidR="00DB18DC" w:rsidRPr="00834CDC">
              <w:rPr>
                <w:sz w:val="18"/>
                <w:szCs w:val="18"/>
              </w:rPr>
              <w:t xml:space="preserve"> </w:t>
            </w:r>
            <w:r w:rsidRPr="00834CDC">
              <w:rPr>
                <w:sz w:val="18"/>
                <w:szCs w:val="18"/>
                <w:vertAlign w:val="superscript"/>
              </w:rPr>
              <w:t>b</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2B98C7F"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34FC7B8"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ADA0AF"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FA0DF4" w14:textId="77777777" w:rsidR="000D277F" w:rsidRPr="00834CDC" w:rsidRDefault="000D277F" w:rsidP="00457617">
            <w:pPr>
              <w:rPr>
                <w:rFonts w:eastAsia="Times New Roman"/>
                <w:sz w:val="18"/>
                <w:szCs w:val="18"/>
              </w:rPr>
            </w:pPr>
          </w:p>
        </w:tc>
      </w:tr>
      <w:tr w:rsidR="00FB10C6" w:rsidRPr="00834CDC" w14:paraId="18AB0D22" w14:textId="77777777" w:rsidTr="00CF037E">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3CB5BC5" w14:textId="77777777" w:rsidR="000D277F" w:rsidRPr="00834CDC" w:rsidRDefault="000D277F" w:rsidP="00DB18DC">
            <w:pPr>
              <w:pStyle w:val="NormalWeb"/>
              <w:jc w:val="left"/>
              <w:rPr>
                <w:sz w:val="18"/>
                <w:szCs w:val="18"/>
              </w:rPr>
            </w:pPr>
            <w:r w:rsidRPr="00834CDC">
              <w:rPr>
                <w:sz w:val="18"/>
                <w:szCs w:val="18"/>
              </w:rPr>
              <w:t>12 months</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B8C6749"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46349BD"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010B8EB"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C92E05F"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9B65D8D" w14:textId="77777777" w:rsidR="000D277F" w:rsidRPr="00834CDC" w:rsidRDefault="000D277F" w:rsidP="00457617">
            <w:pPr>
              <w:pStyle w:val="NormalWeb"/>
              <w:rPr>
                <w:sz w:val="18"/>
                <w:szCs w:val="18"/>
              </w:rPr>
            </w:pPr>
            <w:r w:rsidRPr="00834CDC">
              <w:rPr>
                <w:sz w:val="18"/>
                <w:szCs w:val="18"/>
              </w:rPr>
              <w:t>MMR</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2FB72E"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59301BB" w14:textId="77777777" w:rsidR="000D277F" w:rsidRPr="00834CDC" w:rsidRDefault="000D277F" w:rsidP="00457617">
            <w:pPr>
              <w:pStyle w:val="NormalWeb"/>
              <w:rPr>
                <w:sz w:val="18"/>
                <w:szCs w:val="18"/>
              </w:rPr>
            </w:pPr>
            <w:proofErr w:type="spellStart"/>
            <w:r w:rsidRPr="00834CDC">
              <w:rPr>
                <w:sz w:val="18"/>
                <w:szCs w:val="18"/>
              </w:rPr>
              <w:t>MenACWY</w:t>
            </w:r>
            <w:proofErr w:type="spellEnd"/>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3B6283E" w14:textId="676C5E17" w:rsidR="000D277F" w:rsidRPr="00834CDC" w:rsidRDefault="000D277F" w:rsidP="00457617">
            <w:pPr>
              <w:pStyle w:val="NormalWeb"/>
              <w:rPr>
                <w:sz w:val="18"/>
                <w:szCs w:val="18"/>
              </w:rPr>
            </w:pPr>
            <w:r w:rsidRPr="00834CDC">
              <w:rPr>
                <w:sz w:val="18"/>
                <w:szCs w:val="18"/>
              </w:rPr>
              <w:t>Hep A</w:t>
            </w:r>
            <w:r w:rsidR="00DB18DC" w:rsidRPr="00834CDC">
              <w:rPr>
                <w:sz w:val="18"/>
                <w:szCs w:val="18"/>
              </w:rPr>
              <w:t xml:space="preserve"> </w:t>
            </w:r>
            <w:r w:rsidRPr="00834CDC">
              <w:rPr>
                <w:sz w:val="18"/>
                <w:szCs w:val="18"/>
                <w:vertAlign w:val="superscript"/>
              </w:rPr>
              <w:t>c</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32AD09" w14:textId="77777777" w:rsidR="000D277F" w:rsidRPr="00834CDC" w:rsidRDefault="000D277F" w:rsidP="00457617">
            <w:pPr>
              <w:pStyle w:val="NormalWeb"/>
              <w:rPr>
                <w:sz w:val="18"/>
                <w:szCs w:val="18"/>
              </w:rPr>
            </w:pPr>
            <w:r w:rsidRPr="00834CDC">
              <w:rPr>
                <w:sz w:val="18"/>
                <w:szCs w:val="18"/>
              </w:rPr>
              <w:t>13vPCV</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9251C4B"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FBB43E8"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E29133E"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8D40406" w14:textId="77777777" w:rsidR="000D277F" w:rsidRPr="00834CDC" w:rsidRDefault="000D277F" w:rsidP="00457617">
            <w:pPr>
              <w:rPr>
                <w:rFonts w:eastAsia="Times New Roman"/>
                <w:sz w:val="18"/>
                <w:szCs w:val="18"/>
              </w:rPr>
            </w:pPr>
          </w:p>
        </w:tc>
      </w:tr>
      <w:tr w:rsidR="00CF037E" w:rsidRPr="00834CDC" w14:paraId="32AE0881" w14:textId="77777777" w:rsidTr="00CF037E">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523989B" w14:textId="77777777" w:rsidR="000D277F" w:rsidRPr="00834CDC" w:rsidRDefault="000D277F" w:rsidP="00DB18DC">
            <w:pPr>
              <w:pStyle w:val="NormalWeb"/>
              <w:jc w:val="left"/>
              <w:rPr>
                <w:sz w:val="18"/>
                <w:szCs w:val="18"/>
              </w:rPr>
            </w:pPr>
            <w:r w:rsidRPr="00834CDC">
              <w:rPr>
                <w:sz w:val="18"/>
                <w:szCs w:val="18"/>
              </w:rPr>
              <w:t>18 months</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A2688B"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E918E9C" w14:textId="588CA325" w:rsidR="000D277F" w:rsidRPr="00834CDC" w:rsidRDefault="000D277F" w:rsidP="00457617">
            <w:pPr>
              <w:pStyle w:val="NormalWeb"/>
              <w:rPr>
                <w:sz w:val="18"/>
                <w:szCs w:val="18"/>
              </w:rPr>
            </w:pPr>
            <w:proofErr w:type="spellStart"/>
            <w:r w:rsidRPr="00834CDC">
              <w:rPr>
                <w:sz w:val="18"/>
                <w:szCs w:val="18"/>
              </w:rPr>
              <w:t>DTPa</w:t>
            </w:r>
            <w:proofErr w:type="spellEnd"/>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118E917" w14:textId="77777777" w:rsidR="000D277F" w:rsidRPr="00834CDC" w:rsidRDefault="000D277F" w:rsidP="00457617">
            <w:pPr>
              <w:pStyle w:val="NormalWeb"/>
              <w:rPr>
                <w:sz w:val="18"/>
                <w:szCs w:val="18"/>
              </w:rPr>
            </w:pPr>
            <w:r w:rsidRPr="00834CDC">
              <w:rPr>
                <w:sz w:val="18"/>
                <w:szCs w:val="18"/>
              </w:rPr>
              <w:t>Hib</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3B2D8EB"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3886BD"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695D28E" w14:textId="77777777" w:rsidR="000D277F" w:rsidRPr="00834CDC" w:rsidRDefault="000D277F" w:rsidP="00457617">
            <w:pPr>
              <w:pStyle w:val="NormalWeb"/>
              <w:rPr>
                <w:sz w:val="18"/>
                <w:szCs w:val="18"/>
              </w:rPr>
            </w:pPr>
            <w:r w:rsidRPr="00834CDC">
              <w:rPr>
                <w:sz w:val="18"/>
                <w:szCs w:val="18"/>
              </w:rPr>
              <w:t>MMRV</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CBB7FE1"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025C2F6" w14:textId="43627857" w:rsidR="000D277F" w:rsidRPr="00834CDC" w:rsidRDefault="000D277F" w:rsidP="00457617">
            <w:pPr>
              <w:pStyle w:val="NormalWeb"/>
              <w:rPr>
                <w:sz w:val="18"/>
                <w:szCs w:val="18"/>
              </w:rPr>
            </w:pPr>
            <w:r w:rsidRPr="00834CDC">
              <w:rPr>
                <w:sz w:val="18"/>
                <w:szCs w:val="18"/>
              </w:rPr>
              <w:t>Hep A</w:t>
            </w:r>
            <w:r w:rsidR="00DB18DC" w:rsidRPr="00834CDC">
              <w:rPr>
                <w:sz w:val="18"/>
                <w:szCs w:val="18"/>
              </w:rPr>
              <w:t xml:space="preserve"> </w:t>
            </w:r>
            <w:r w:rsidRPr="00834CDC">
              <w:rPr>
                <w:sz w:val="18"/>
                <w:szCs w:val="18"/>
                <w:vertAlign w:val="superscript"/>
              </w:rPr>
              <w:t>c</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B54A9B"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CFC0415"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B35896D"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FE5CE5F"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2B000E" w14:textId="77777777" w:rsidR="000D277F" w:rsidRPr="00834CDC" w:rsidRDefault="000D277F" w:rsidP="00457617">
            <w:pPr>
              <w:rPr>
                <w:rFonts w:eastAsia="Times New Roman"/>
                <w:sz w:val="18"/>
                <w:szCs w:val="18"/>
              </w:rPr>
            </w:pPr>
          </w:p>
        </w:tc>
      </w:tr>
      <w:tr w:rsidR="00FB10C6" w:rsidRPr="00834CDC" w14:paraId="53C81AC6" w14:textId="77777777" w:rsidTr="00CF037E">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9891A86" w14:textId="77777777" w:rsidR="000D277F" w:rsidRPr="00834CDC" w:rsidRDefault="000D277F" w:rsidP="00DB18DC">
            <w:pPr>
              <w:pStyle w:val="NormalWeb"/>
              <w:jc w:val="left"/>
              <w:rPr>
                <w:sz w:val="18"/>
                <w:szCs w:val="18"/>
              </w:rPr>
            </w:pPr>
            <w:r w:rsidRPr="00834CDC">
              <w:rPr>
                <w:sz w:val="18"/>
                <w:szCs w:val="18"/>
              </w:rPr>
              <w:t>48 months</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BCB6277"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8D5CA0" w14:textId="1FABD41C" w:rsidR="000D277F" w:rsidRPr="00834CDC" w:rsidRDefault="000D277F" w:rsidP="00457617">
            <w:pPr>
              <w:pStyle w:val="NormalWeb"/>
              <w:rPr>
                <w:sz w:val="18"/>
                <w:szCs w:val="18"/>
              </w:rPr>
            </w:pPr>
            <w:proofErr w:type="spellStart"/>
            <w:r w:rsidRPr="00834CDC">
              <w:rPr>
                <w:sz w:val="18"/>
                <w:szCs w:val="18"/>
              </w:rPr>
              <w:t>DTPa</w:t>
            </w:r>
            <w:proofErr w:type="spellEnd"/>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E274774"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3ED2B78" w14:textId="77777777" w:rsidR="000D277F" w:rsidRPr="00834CDC" w:rsidRDefault="000D277F" w:rsidP="00457617">
            <w:pPr>
              <w:pStyle w:val="NormalWeb"/>
              <w:rPr>
                <w:sz w:val="18"/>
                <w:szCs w:val="18"/>
              </w:rPr>
            </w:pPr>
            <w:r w:rsidRPr="00834CDC">
              <w:rPr>
                <w:sz w:val="18"/>
                <w:szCs w:val="18"/>
              </w:rPr>
              <w:t>Polio</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CA97E05"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D548772"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EDCDD2D"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1E1376"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EDD897B" w14:textId="0AFAC026" w:rsidR="000D277F" w:rsidRPr="00834CDC" w:rsidRDefault="000D277F" w:rsidP="00457617">
            <w:pPr>
              <w:pStyle w:val="NormalWeb"/>
              <w:rPr>
                <w:sz w:val="18"/>
                <w:szCs w:val="18"/>
              </w:rPr>
            </w:pPr>
            <w:r w:rsidRPr="00834CDC">
              <w:rPr>
                <w:sz w:val="18"/>
                <w:szCs w:val="18"/>
              </w:rPr>
              <w:t>23vPPV</w:t>
            </w:r>
            <w:r w:rsidR="00DB18DC" w:rsidRPr="00834CDC">
              <w:rPr>
                <w:sz w:val="18"/>
                <w:szCs w:val="18"/>
              </w:rPr>
              <w:t xml:space="preserve"> </w:t>
            </w:r>
            <w:r w:rsidRPr="00834CDC">
              <w:rPr>
                <w:sz w:val="18"/>
                <w:szCs w:val="18"/>
                <w:vertAlign w:val="superscript"/>
              </w:rPr>
              <w:t>d</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3F01803"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CD60D52"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C9E1A5"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E275A5" w14:textId="77777777" w:rsidR="000D277F" w:rsidRPr="00834CDC" w:rsidRDefault="000D277F" w:rsidP="00457617">
            <w:pPr>
              <w:rPr>
                <w:rFonts w:eastAsia="Times New Roman"/>
                <w:sz w:val="18"/>
                <w:szCs w:val="18"/>
              </w:rPr>
            </w:pPr>
          </w:p>
        </w:tc>
      </w:tr>
      <w:tr w:rsidR="00CF037E" w:rsidRPr="00834CDC" w14:paraId="3F83A65F" w14:textId="77777777" w:rsidTr="00CF037E">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B803FC" w14:textId="77777777" w:rsidR="000D277F" w:rsidRPr="00834CDC" w:rsidRDefault="000D277F" w:rsidP="00DB18DC">
            <w:pPr>
              <w:pStyle w:val="NormalWeb"/>
              <w:jc w:val="left"/>
              <w:rPr>
                <w:sz w:val="18"/>
                <w:szCs w:val="18"/>
              </w:rPr>
            </w:pPr>
            <w:r w:rsidRPr="00834CDC">
              <w:rPr>
                <w:sz w:val="18"/>
                <w:szCs w:val="18"/>
              </w:rPr>
              <w:t>6 months – 12 years</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47D9D29"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202F3BA"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64D0B7F"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4BEFAAD"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DA39C23"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8A9A3A9"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EF86607"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6F205E"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4397983"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BF75562"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934C51"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FE3B6B5" w14:textId="0CC86127" w:rsidR="000D277F" w:rsidRPr="00834CDC" w:rsidRDefault="000D277F" w:rsidP="00457617">
            <w:pPr>
              <w:pStyle w:val="NormalWeb"/>
              <w:rPr>
                <w:sz w:val="18"/>
                <w:szCs w:val="18"/>
              </w:rPr>
            </w:pPr>
            <w:r w:rsidRPr="00834CDC">
              <w:rPr>
                <w:sz w:val="18"/>
                <w:szCs w:val="18"/>
              </w:rPr>
              <w:t>Flu</w:t>
            </w:r>
            <w:r w:rsidR="00DB18DC" w:rsidRPr="00834CDC">
              <w:rPr>
                <w:sz w:val="18"/>
                <w:szCs w:val="18"/>
              </w:rPr>
              <w:t xml:space="preserve"> </w:t>
            </w:r>
            <w:r w:rsidRPr="00834CDC">
              <w:rPr>
                <w:sz w:val="18"/>
                <w:szCs w:val="18"/>
                <w:vertAlign w:val="superscript"/>
              </w:rPr>
              <w:t>e</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E5448C" w14:textId="77777777" w:rsidR="000D277F" w:rsidRPr="00834CDC" w:rsidRDefault="000D277F" w:rsidP="00457617">
            <w:pPr>
              <w:rPr>
                <w:sz w:val="18"/>
                <w:szCs w:val="18"/>
              </w:rPr>
            </w:pPr>
          </w:p>
        </w:tc>
      </w:tr>
      <w:tr w:rsidR="000D277F" w:rsidRPr="00834CDC" w14:paraId="617FD51E" w14:textId="77777777" w:rsidTr="00CF037E">
        <w:trPr>
          <w:cnfStyle w:val="000000010000" w:firstRow="0" w:lastRow="0" w:firstColumn="0" w:lastColumn="0" w:oddVBand="0" w:evenVBand="0" w:oddHBand="0" w:evenHBand="1" w:firstRowFirstColumn="0" w:firstRowLastColumn="0" w:lastRowFirstColumn="0" w:lastRowLastColumn="0"/>
        </w:trPr>
        <w:tc>
          <w:tcPr>
            <w:tcW w:w="14940"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892597D" w14:textId="77777777" w:rsidR="000D277F" w:rsidRPr="00834CDC" w:rsidRDefault="000D277F" w:rsidP="00DB18DC">
            <w:pPr>
              <w:pStyle w:val="NormalWeb"/>
              <w:jc w:val="left"/>
              <w:rPr>
                <w:b/>
                <w:bCs/>
                <w:sz w:val="18"/>
                <w:szCs w:val="18"/>
              </w:rPr>
            </w:pPr>
            <w:r w:rsidRPr="00834CDC">
              <w:rPr>
                <w:b/>
                <w:bCs/>
                <w:sz w:val="18"/>
                <w:szCs w:val="18"/>
              </w:rPr>
              <w:t>Adolescents</w:t>
            </w:r>
          </w:p>
        </w:tc>
      </w:tr>
      <w:tr w:rsidR="00CF037E" w:rsidRPr="00834CDC" w14:paraId="63899CE2" w14:textId="77777777" w:rsidTr="00CF037E">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01FCF65" w14:textId="77777777" w:rsidR="000D277F" w:rsidRPr="00834CDC" w:rsidRDefault="000D277F" w:rsidP="00DB18DC">
            <w:pPr>
              <w:pStyle w:val="NormalWeb"/>
              <w:jc w:val="left"/>
              <w:rPr>
                <w:sz w:val="18"/>
                <w:szCs w:val="18"/>
              </w:rPr>
            </w:pPr>
            <w:r w:rsidRPr="00834CDC">
              <w:rPr>
                <w:sz w:val="18"/>
                <w:szCs w:val="18"/>
              </w:rPr>
              <w:t>13-19 years</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6413F5"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5E75AD"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BD51D47"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9D105CF"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D8A7F1"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CAFCF45"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FAF7AAE"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A0265B7"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904E4BD"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C7F688"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49B15F"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3266DFE" w14:textId="50AA1638" w:rsidR="000D277F" w:rsidRPr="00834CDC" w:rsidRDefault="000D277F" w:rsidP="00457617">
            <w:pPr>
              <w:pStyle w:val="NormalWeb"/>
              <w:rPr>
                <w:sz w:val="18"/>
                <w:szCs w:val="18"/>
              </w:rPr>
            </w:pPr>
            <w:r w:rsidRPr="00834CDC">
              <w:rPr>
                <w:sz w:val="18"/>
                <w:szCs w:val="18"/>
              </w:rPr>
              <w:t>Flu</w:t>
            </w:r>
            <w:r w:rsidR="00DB18DC" w:rsidRPr="00834CDC">
              <w:rPr>
                <w:sz w:val="18"/>
                <w:szCs w:val="18"/>
              </w:rPr>
              <w:t xml:space="preserve"> </w:t>
            </w:r>
            <w:r w:rsidRPr="00834CDC">
              <w:rPr>
                <w:sz w:val="18"/>
                <w:szCs w:val="18"/>
                <w:vertAlign w:val="superscript"/>
              </w:rPr>
              <w:t>e</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4567313" w14:textId="77777777" w:rsidR="000D277F" w:rsidRPr="00834CDC" w:rsidRDefault="000D277F" w:rsidP="00457617">
            <w:pPr>
              <w:rPr>
                <w:sz w:val="18"/>
                <w:szCs w:val="18"/>
              </w:rPr>
            </w:pPr>
          </w:p>
        </w:tc>
      </w:tr>
      <w:tr w:rsidR="00FB10C6" w:rsidRPr="00834CDC" w14:paraId="33DBDB9E" w14:textId="77777777" w:rsidTr="00CF037E">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154630B" w14:textId="77777777" w:rsidR="000D277F" w:rsidRPr="00834CDC" w:rsidRDefault="000D277F" w:rsidP="00DB18DC">
            <w:pPr>
              <w:pStyle w:val="NormalWeb"/>
              <w:jc w:val="left"/>
              <w:rPr>
                <w:sz w:val="18"/>
                <w:szCs w:val="18"/>
              </w:rPr>
            </w:pPr>
            <w:r w:rsidRPr="00834CDC">
              <w:rPr>
                <w:sz w:val="18"/>
                <w:szCs w:val="18"/>
              </w:rPr>
              <w:t>12 –&lt; 15 years</w:t>
            </w:r>
          </w:p>
          <w:p w14:paraId="0D6867C7" w14:textId="0525AB3F" w:rsidR="000D277F" w:rsidRPr="00834CDC" w:rsidRDefault="000D277F" w:rsidP="00DB18DC">
            <w:pPr>
              <w:pStyle w:val="NormalWeb"/>
              <w:jc w:val="left"/>
              <w:rPr>
                <w:sz w:val="18"/>
                <w:szCs w:val="18"/>
              </w:rPr>
            </w:pPr>
            <w:r w:rsidRPr="00834CDC">
              <w:rPr>
                <w:sz w:val="18"/>
                <w:szCs w:val="18"/>
              </w:rPr>
              <w:t>(</w:t>
            </w:r>
            <w:proofErr w:type="gramStart"/>
            <w:r w:rsidRPr="00834CDC">
              <w:rPr>
                <w:sz w:val="18"/>
                <w:szCs w:val="18"/>
              </w:rPr>
              <w:t>school</w:t>
            </w:r>
            <w:proofErr w:type="gramEnd"/>
            <w:r w:rsidRPr="00834CDC">
              <w:rPr>
                <w:sz w:val="18"/>
                <w:szCs w:val="18"/>
              </w:rPr>
              <w:t xml:space="preserve"> programs)</w:t>
            </w:r>
            <w:r w:rsidR="007E643F" w:rsidRPr="00834CDC">
              <w:rPr>
                <w:sz w:val="18"/>
                <w:szCs w:val="18"/>
              </w:rPr>
              <w:t xml:space="preserve"> </w:t>
            </w:r>
            <w:r w:rsidRPr="00834CDC">
              <w:rPr>
                <w:sz w:val="18"/>
                <w:szCs w:val="18"/>
                <w:vertAlign w:val="superscript"/>
              </w:rPr>
              <w:t>f</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961FB68"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F6B4E0" w14:textId="451F938D" w:rsidR="000D277F" w:rsidRPr="00834CDC" w:rsidRDefault="000D277F" w:rsidP="00457617">
            <w:pPr>
              <w:pStyle w:val="NormalWeb"/>
              <w:rPr>
                <w:sz w:val="18"/>
                <w:szCs w:val="18"/>
              </w:rPr>
            </w:pPr>
            <w:proofErr w:type="spellStart"/>
            <w:r w:rsidRPr="00834CDC">
              <w:rPr>
                <w:sz w:val="18"/>
                <w:szCs w:val="18"/>
              </w:rPr>
              <w:t>dTp</w:t>
            </w:r>
            <w:proofErr w:type="spellEnd"/>
            <w:r w:rsidR="00DB18DC" w:rsidRPr="00834CDC">
              <w:rPr>
                <w:sz w:val="18"/>
                <w:szCs w:val="18"/>
              </w:rPr>
              <w:t xml:space="preserve"> </w:t>
            </w:r>
            <w:r w:rsidRPr="00834CDC">
              <w:rPr>
                <w:sz w:val="18"/>
                <w:szCs w:val="18"/>
                <w:vertAlign w:val="superscript"/>
              </w:rPr>
              <w:t>a</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985C507"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BE4543E"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18098ED"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77A418"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DF316A"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77A3B9"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D0BF8E"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5519223"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6023C1"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4487131"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A2B229F" w14:textId="77777777" w:rsidR="000D277F" w:rsidRPr="00834CDC" w:rsidRDefault="000D277F" w:rsidP="00457617">
            <w:pPr>
              <w:pStyle w:val="NormalWeb"/>
              <w:rPr>
                <w:sz w:val="18"/>
                <w:szCs w:val="18"/>
              </w:rPr>
            </w:pPr>
            <w:r w:rsidRPr="00834CDC">
              <w:rPr>
                <w:sz w:val="18"/>
                <w:szCs w:val="18"/>
              </w:rPr>
              <w:t>HPV</w:t>
            </w:r>
          </w:p>
        </w:tc>
      </w:tr>
      <w:tr w:rsidR="00CF037E" w:rsidRPr="00834CDC" w14:paraId="1E311A7A" w14:textId="77777777" w:rsidTr="00CF037E">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4851C89" w14:textId="77777777" w:rsidR="000D277F" w:rsidRPr="00834CDC" w:rsidRDefault="000D277F" w:rsidP="00DB18DC">
            <w:pPr>
              <w:pStyle w:val="NormalWeb"/>
              <w:jc w:val="left"/>
              <w:rPr>
                <w:sz w:val="18"/>
                <w:szCs w:val="18"/>
              </w:rPr>
            </w:pPr>
            <w:r w:rsidRPr="00834CDC">
              <w:rPr>
                <w:sz w:val="18"/>
                <w:szCs w:val="18"/>
              </w:rPr>
              <w:t>14 –&lt; 16 years</w:t>
            </w:r>
          </w:p>
          <w:p w14:paraId="51A468F8" w14:textId="11273A60" w:rsidR="000D277F" w:rsidRPr="00834CDC" w:rsidRDefault="000D277F" w:rsidP="00DB18DC">
            <w:pPr>
              <w:pStyle w:val="NormalWeb"/>
              <w:jc w:val="left"/>
              <w:rPr>
                <w:sz w:val="18"/>
                <w:szCs w:val="18"/>
              </w:rPr>
            </w:pPr>
            <w:r w:rsidRPr="00834CDC">
              <w:rPr>
                <w:sz w:val="18"/>
                <w:szCs w:val="18"/>
              </w:rPr>
              <w:t>(</w:t>
            </w:r>
            <w:proofErr w:type="gramStart"/>
            <w:r w:rsidRPr="00834CDC">
              <w:rPr>
                <w:sz w:val="18"/>
                <w:szCs w:val="18"/>
              </w:rPr>
              <w:t>school</w:t>
            </w:r>
            <w:proofErr w:type="gramEnd"/>
            <w:r w:rsidRPr="00834CDC">
              <w:rPr>
                <w:sz w:val="18"/>
                <w:szCs w:val="18"/>
              </w:rPr>
              <w:t xml:space="preserve"> programs)</w:t>
            </w:r>
            <w:r w:rsidR="007E643F" w:rsidRPr="00834CDC">
              <w:rPr>
                <w:sz w:val="18"/>
                <w:szCs w:val="18"/>
              </w:rPr>
              <w:t xml:space="preserve"> </w:t>
            </w:r>
            <w:r w:rsidRPr="00834CDC">
              <w:rPr>
                <w:sz w:val="18"/>
                <w:szCs w:val="18"/>
                <w:vertAlign w:val="superscript"/>
              </w:rPr>
              <w:t>f</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B5BCA96"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B77A3D2"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7D4AC7F"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EA4BB1"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66B10C"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DA2FAFF"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083AFC0" w14:textId="77777777" w:rsidR="000D277F" w:rsidRPr="00834CDC" w:rsidRDefault="000D277F" w:rsidP="00457617">
            <w:pPr>
              <w:pStyle w:val="NormalWeb"/>
              <w:rPr>
                <w:sz w:val="18"/>
                <w:szCs w:val="18"/>
              </w:rPr>
            </w:pPr>
            <w:proofErr w:type="spellStart"/>
            <w:r w:rsidRPr="00834CDC">
              <w:rPr>
                <w:sz w:val="18"/>
                <w:szCs w:val="18"/>
              </w:rPr>
              <w:t>MenACWY</w:t>
            </w:r>
            <w:proofErr w:type="spellEnd"/>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FA2B8C"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6568B0"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B6DDEB6"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105BD7D"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443484A"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391D99" w14:textId="77777777" w:rsidR="000D277F" w:rsidRPr="00834CDC" w:rsidRDefault="000D277F" w:rsidP="00457617">
            <w:pPr>
              <w:rPr>
                <w:rFonts w:eastAsia="Times New Roman"/>
                <w:sz w:val="18"/>
                <w:szCs w:val="18"/>
              </w:rPr>
            </w:pPr>
          </w:p>
        </w:tc>
      </w:tr>
      <w:tr w:rsidR="00FB10C6" w:rsidRPr="00834CDC" w14:paraId="3A8C6E06" w14:textId="77777777" w:rsidTr="00CF037E">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D16E05" w14:textId="77777777" w:rsidR="000D277F" w:rsidRPr="00834CDC" w:rsidRDefault="000D277F" w:rsidP="00DB18DC">
            <w:pPr>
              <w:pStyle w:val="NormalWeb"/>
              <w:jc w:val="left"/>
              <w:rPr>
                <w:sz w:val="18"/>
                <w:szCs w:val="18"/>
              </w:rPr>
            </w:pPr>
            <w:r w:rsidRPr="00834CDC">
              <w:rPr>
                <w:sz w:val="18"/>
                <w:szCs w:val="18"/>
              </w:rPr>
              <w:t>15–19 years</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9769C64"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65A9BB9"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14B131"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DE8C59"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BB3395"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B6C1B4"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B3209C9"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9AE0D02"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35C6EA"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B1CD9E5" w14:textId="28FB19CB" w:rsidR="000D277F" w:rsidRPr="00834CDC" w:rsidRDefault="000D277F" w:rsidP="00457617">
            <w:pPr>
              <w:pStyle w:val="NormalWeb"/>
              <w:rPr>
                <w:sz w:val="18"/>
                <w:szCs w:val="18"/>
              </w:rPr>
            </w:pPr>
            <w:r w:rsidRPr="00834CDC">
              <w:rPr>
                <w:sz w:val="18"/>
                <w:szCs w:val="18"/>
              </w:rPr>
              <w:t>23vPPV</w:t>
            </w:r>
            <w:r w:rsidR="007E643F" w:rsidRPr="00834CDC">
              <w:rPr>
                <w:sz w:val="18"/>
                <w:szCs w:val="18"/>
              </w:rPr>
              <w:t xml:space="preserve"> </w:t>
            </w:r>
            <w:r w:rsidRPr="00834CDC">
              <w:rPr>
                <w:sz w:val="18"/>
                <w:szCs w:val="18"/>
                <w:vertAlign w:val="superscript"/>
              </w:rPr>
              <w:t>g</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E00CB1"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53CEBA"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2E62AE" w14:textId="77777777" w:rsidR="000D277F" w:rsidRPr="00834CDC" w:rsidRDefault="000D277F" w:rsidP="00457617">
            <w:pPr>
              <w:rPr>
                <w:rFonts w:eastAsia="Times New Roman"/>
                <w:sz w:val="18"/>
                <w:szCs w:val="18"/>
              </w:rPr>
            </w:pPr>
          </w:p>
        </w:tc>
      </w:tr>
      <w:tr w:rsidR="000D277F" w:rsidRPr="00834CDC" w14:paraId="31B4079A" w14:textId="77777777" w:rsidTr="00CF037E">
        <w:tc>
          <w:tcPr>
            <w:tcW w:w="14940"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865BA97" w14:textId="77777777" w:rsidR="000D277F" w:rsidRPr="00834CDC" w:rsidRDefault="000D277F" w:rsidP="00DB18DC">
            <w:pPr>
              <w:pStyle w:val="NormalWeb"/>
              <w:jc w:val="left"/>
              <w:rPr>
                <w:b/>
                <w:bCs/>
                <w:sz w:val="18"/>
                <w:szCs w:val="18"/>
              </w:rPr>
            </w:pPr>
            <w:r w:rsidRPr="00834CDC">
              <w:rPr>
                <w:b/>
                <w:bCs/>
                <w:sz w:val="18"/>
                <w:szCs w:val="18"/>
              </w:rPr>
              <w:t>Adults</w:t>
            </w:r>
          </w:p>
        </w:tc>
      </w:tr>
      <w:tr w:rsidR="00FB10C6" w:rsidRPr="00834CDC" w14:paraId="432645EC" w14:textId="77777777" w:rsidTr="00CF037E">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2946321" w14:textId="77777777" w:rsidR="000D277F" w:rsidRPr="00834CDC" w:rsidRDefault="000D277F" w:rsidP="00DB18DC">
            <w:pPr>
              <w:pStyle w:val="NormalWeb"/>
              <w:jc w:val="left"/>
              <w:rPr>
                <w:sz w:val="18"/>
                <w:szCs w:val="18"/>
              </w:rPr>
            </w:pPr>
            <w:r w:rsidRPr="00834CDC">
              <w:rPr>
                <w:sz w:val="18"/>
                <w:szCs w:val="18"/>
              </w:rPr>
              <w:t>≥ 20 years</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ABCE10"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0D3D49"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1F514EE"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30A828"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FAFDB22"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8764E3D"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A45E6B"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C6E3B2"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19FFAC"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2726BC9" w14:textId="6EBC1A8E" w:rsidR="000D277F" w:rsidRPr="00834CDC" w:rsidRDefault="000D277F" w:rsidP="00457617">
            <w:pPr>
              <w:pStyle w:val="NormalWeb"/>
              <w:rPr>
                <w:sz w:val="18"/>
                <w:szCs w:val="18"/>
              </w:rPr>
            </w:pPr>
            <w:r w:rsidRPr="00834CDC">
              <w:rPr>
                <w:sz w:val="18"/>
                <w:szCs w:val="18"/>
              </w:rPr>
              <w:t>23vPPV</w:t>
            </w:r>
            <w:r w:rsidR="00FB10C6" w:rsidRPr="00834CDC">
              <w:rPr>
                <w:sz w:val="18"/>
                <w:szCs w:val="18"/>
              </w:rPr>
              <w:t xml:space="preserve"> </w:t>
            </w:r>
            <w:r w:rsidRPr="00834CDC">
              <w:rPr>
                <w:sz w:val="18"/>
                <w:szCs w:val="18"/>
                <w:vertAlign w:val="superscript"/>
              </w:rPr>
              <w:t>g</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A9DD311"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3B6ECDE" w14:textId="42C39ADF" w:rsidR="000D277F" w:rsidRPr="00834CDC" w:rsidRDefault="000D277F" w:rsidP="00457617">
            <w:pPr>
              <w:pStyle w:val="NormalWeb"/>
              <w:rPr>
                <w:sz w:val="18"/>
                <w:szCs w:val="18"/>
              </w:rPr>
            </w:pPr>
            <w:r w:rsidRPr="00834CDC">
              <w:rPr>
                <w:sz w:val="18"/>
                <w:szCs w:val="18"/>
              </w:rPr>
              <w:t>Flu</w:t>
            </w:r>
            <w:r w:rsidR="00FB10C6" w:rsidRPr="00834CDC">
              <w:rPr>
                <w:sz w:val="18"/>
                <w:szCs w:val="18"/>
              </w:rPr>
              <w:t xml:space="preserve"> </w:t>
            </w:r>
            <w:r w:rsidRPr="00834CDC">
              <w:rPr>
                <w:sz w:val="18"/>
                <w:szCs w:val="18"/>
                <w:vertAlign w:val="superscript"/>
              </w:rPr>
              <w:t>e</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BA9FB9A" w14:textId="77777777" w:rsidR="000D277F" w:rsidRPr="00834CDC" w:rsidRDefault="000D277F" w:rsidP="00457617">
            <w:pPr>
              <w:rPr>
                <w:sz w:val="18"/>
                <w:szCs w:val="18"/>
              </w:rPr>
            </w:pPr>
          </w:p>
        </w:tc>
      </w:tr>
      <w:tr w:rsidR="00CF037E" w:rsidRPr="00834CDC" w14:paraId="736C955C" w14:textId="77777777" w:rsidTr="00CF037E">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E5535B1" w14:textId="77777777" w:rsidR="000D277F" w:rsidRPr="00834CDC" w:rsidRDefault="000D277F" w:rsidP="00DB18DC">
            <w:pPr>
              <w:pStyle w:val="NormalWeb"/>
              <w:jc w:val="left"/>
              <w:rPr>
                <w:sz w:val="18"/>
                <w:szCs w:val="18"/>
              </w:rPr>
            </w:pPr>
            <w:r w:rsidRPr="00834CDC">
              <w:rPr>
                <w:sz w:val="18"/>
                <w:szCs w:val="18"/>
              </w:rPr>
              <w:t>65 years</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F9A1AB"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4BBD2D9"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4948B60"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1B3B2B9"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DC3CAC"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1067AE"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96645D7"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923BD3"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C0DC4A6"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3DFA94" w14:textId="4153B13F" w:rsidR="000D277F" w:rsidRPr="00834CDC" w:rsidRDefault="000D277F" w:rsidP="00457617">
            <w:pPr>
              <w:pStyle w:val="NormalWeb"/>
              <w:rPr>
                <w:sz w:val="18"/>
                <w:szCs w:val="18"/>
              </w:rPr>
            </w:pPr>
            <w:r w:rsidRPr="00834CDC">
              <w:rPr>
                <w:sz w:val="18"/>
                <w:szCs w:val="18"/>
              </w:rPr>
              <w:t>23vPPV</w:t>
            </w:r>
            <w:r w:rsidR="00FB10C6" w:rsidRPr="00834CDC">
              <w:rPr>
                <w:sz w:val="18"/>
                <w:szCs w:val="18"/>
              </w:rPr>
              <w:t xml:space="preserve"> </w:t>
            </w:r>
            <w:r w:rsidRPr="00834CDC">
              <w:rPr>
                <w:sz w:val="18"/>
                <w:szCs w:val="18"/>
                <w:vertAlign w:val="superscript"/>
              </w:rPr>
              <w:t>h</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FC2FDB8"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68C62A6" w14:textId="45EBEF34" w:rsidR="000D277F" w:rsidRPr="00834CDC" w:rsidRDefault="000D277F" w:rsidP="00457617">
            <w:pPr>
              <w:pStyle w:val="NormalWeb"/>
              <w:rPr>
                <w:sz w:val="18"/>
                <w:szCs w:val="18"/>
              </w:rPr>
            </w:pPr>
            <w:r w:rsidRPr="00834CDC">
              <w:rPr>
                <w:sz w:val="18"/>
                <w:szCs w:val="18"/>
              </w:rPr>
              <w:t>Flu</w:t>
            </w:r>
            <w:r w:rsidR="000F6CEE" w:rsidRPr="00834CDC">
              <w:rPr>
                <w:sz w:val="18"/>
                <w:szCs w:val="18"/>
              </w:rPr>
              <w:t xml:space="preserve"> </w:t>
            </w:r>
            <w:r w:rsidRPr="00834CDC">
              <w:rPr>
                <w:sz w:val="18"/>
                <w:szCs w:val="18"/>
                <w:vertAlign w:val="superscript"/>
              </w:rPr>
              <w:t>h</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2B135DF" w14:textId="77777777" w:rsidR="000D277F" w:rsidRPr="00834CDC" w:rsidRDefault="000D277F" w:rsidP="00457617">
            <w:pPr>
              <w:rPr>
                <w:sz w:val="18"/>
                <w:szCs w:val="18"/>
              </w:rPr>
            </w:pPr>
          </w:p>
        </w:tc>
      </w:tr>
      <w:tr w:rsidR="00FB10C6" w:rsidRPr="00834CDC" w14:paraId="242923D6" w14:textId="77777777" w:rsidTr="00CF037E">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7AAD319" w14:textId="77777777" w:rsidR="000D277F" w:rsidRPr="00834CDC" w:rsidRDefault="000D277F" w:rsidP="00DB18DC">
            <w:pPr>
              <w:pStyle w:val="NormalWeb"/>
              <w:jc w:val="left"/>
              <w:rPr>
                <w:sz w:val="18"/>
                <w:szCs w:val="18"/>
              </w:rPr>
            </w:pPr>
            <w:r w:rsidRPr="00834CDC">
              <w:rPr>
                <w:sz w:val="18"/>
                <w:szCs w:val="18"/>
              </w:rPr>
              <w:t>70–79 years</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71367A"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43E2B4"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85CDAF2"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4861A9"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CD771E0"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0388448" w14:textId="28F727FA" w:rsidR="000D277F" w:rsidRPr="00834CDC" w:rsidRDefault="000D277F" w:rsidP="00457617">
            <w:pPr>
              <w:pStyle w:val="NormalWeb"/>
              <w:rPr>
                <w:sz w:val="18"/>
                <w:szCs w:val="18"/>
              </w:rPr>
            </w:pPr>
            <w:r w:rsidRPr="00834CDC">
              <w:rPr>
                <w:sz w:val="18"/>
                <w:szCs w:val="18"/>
              </w:rPr>
              <w:t>HZ</w:t>
            </w:r>
            <w:r w:rsidR="007E643F" w:rsidRPr="00834CDC">
              <w:rPr>
                <w:sz w:val="18"/>
                <w:szCs w:val="18"/>
              </w:rPr>
              <w:t xml:space="preserve"> </w:t>
            </w:r>
            <w:proofErr w:type="spellStart"/>
            <w:r w:rsidRPr="00834CDC">
              <w:rPr>
                <w:sz w:val="18"/>
                <w:szCs w:val="18"/>
                <w:vertAlign w:val="superscript"/>
              </w:rPr>
              <w:t>i</w:t>
            </w:r>
            <w:proofErr w:type="spellEnd"/>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33772D5"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3D2374"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185FD52"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540716"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A097BB"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1E9B860"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5313BE" w14:textId="77777777" w:rsidR="000D277F" w:rsidRPr="00834CDC" w:rsidRDefault="000D277F" w:rsidP="00457617">
            <w:pPr>
              <w:rPr>
                <w:rFonts w:eastAsia="Times New Roman"/>
                <w:sz w:val="18"/>
                <w:szCs w:val="18"/>
              </w:rPr>
            </w:pPr>
          </w:p>
        </w:tc>
      </w:tr>
      <w:tr w:rsidR="00CF037E" w:rsidRPr="00834CDC" w14:paraId="39BB3EE5" w14:textId="77777777" w:rsidTr="00CF037E">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9508AFA" w14:textId="77777777" w:rsidR="000D277F" w:rsidRPr="00834CDC" w:rsidRDefault="000D277F" w:rsidP="00DB18DC">
            <w:pPr>
              <w:pStyle w:val="NormalWeb"/>
              <w:jc w:val="left"/>
              <w:rPr>
                <w:sz w:val="18"/>
                <w:szCs w:val="18"/>
              </w:rPr>
            </w:pPr>
            <w:r w:rsidRPr="00834CDC">
              <w:rPr>
                <w:sz w:val="18"/>
                <w:szCs w:val="18"/>
              </w:rPr>
              <w:t>Pregnant women</w:t>
            </w:r>
          </w:p>
        </w:tc>
        <w:tc>
          <w:tcPr>
            <w:tcW w:w="10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1F0888B"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3B2E94F" w14:textId="3B7E136D" w:rsidR="000D277F" w:rsidRPr="00834CDC" w:rsidRDefault="000D277F" w:rsidP="00457617">
            <w:pPr>
              <w:pStyle w:val="NormalWeb"/>
              <w:rPr>
                <w:sz w:val="18"/>
                <w:szCs w:val="18"/>
              </w:rPr>
            </w:pPr>
            <w:proofErr w:type="spellStart"/>
            <w:r w:rsidRPr="00834CDC">
              <w:rPr>
                <w:sz w:val="18"/>
                <w:szCs w:val="18"/>
              </w:rPr>
              <w:t>dTpa</w:t>
            </w:r>
            <w:proofErr w:type="spellEnd"/>
            <w:r w:rsidR="00FB10C6" w:rsidRPr="00834CDC">
              <w:rPr>
                <w:sz w:val="18"/>
                <w:szCs w:val="18"/>
              </w:rPr>
              <w:t xml:space="preserve"> </w:t>
            </w:r>
            <w:r w:rsidRPr="00834CDC">
              <w:rPr>
                <w:sz w:val="18"/>
                <w:szCs w:val="18"/>
                <w:vertAlign w:val="superscript"/>
              </w:rPr>
              <w:t>j</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1AD20A5" w14:textId="77777777" w:rsidR="000D277F" w:rsidRPr="00834CDC" w:rsidRDefault="000D277F" w:rsidP="00457617">
            <w:pPr>
              <w:rPr>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9CA131A"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84BADBD"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A54CE5A"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27D305C"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7B4EED9"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3BC1DF"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89339E"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88E29AA" w14:textId="77777777" w:rsidR="000D277F" w:rsidRPr="00834CDC" w:rsidRDefault="000D277F" w:rsidP="00457617">
            <w:pPr>
              <w:rPr>
                <w:rFonts w:eastAsia="Times New Roman"/>
                <w:sz w:val="18"/>
                <w:szCs w:val="18"/>
              </w:rPr>
            </w:pP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0E11C93" w14:textId="651946CF" w:rsidR="000D277F" w:rsidRPr="00834CDC" w:rsidRDefault="000D277F" w:rsidP="00457617">
            <w:pPr>
              <w:pStyle w:val="NormalWeb"/>
              <w:rPr>
                <w:sz w:val="18"/>
                <w:szCs w:val="18"/>
              </w:rPr>
            </w:pPr>
            <w:r w:rsidRPr="00834CDC">
              <w:rPr>
                <w:sz w:val="18"/>
                <w:szCs w:val="18"/>
              </w:rPr>
              <w:t>Flu</w:t>
            </w:r>
            <w:r w:rsidR="00FB10C6" w:rsidRPr="00834CDC">
              <w:rPr>
                <w:sz w:val="18"/>
                <w:szCs w:val="18"/>
              </w:rPr>
              <w:t xml:space="preserve"> </w:t>
            </w:r>
            <w:r w:rsidRPr="00834CDC">
              <w:rPr>
                <w:sz w:val="18"/>
                <w:szCs w:val="18"/>
                <w:vertAlign w:val="superscript"/>
              </w:rPr>
              <w:t>j</w:t>
            </w:r>
          </w:p>
        </w:tc>
        <w:tc>
          <w:tcPr>
            <w:tcW w:w="1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12079F" w14:textId="77777777" w:rsidR="000D277F" w:rsidRPr="00834CDC" w:rsidRDefault="000D277F" w:rsidP="00457617">
            <w:pPr>
              <w:rPr>
                <w:sz w:val="18"/>
                <w:szCs w:val="18"/>
              </w:rPr>
            </w:pPr>
          </w:p>
        </w:tc>
      </w:tr>
    </w:tbl>
    <w:p w14:paraId="5F68B2C1" w14:textId="77777777" w:rsidR="000D277F" w:rsidRPr="00834CDC" w:rsidRDefault="000D277F" w:rsidP="003A27EF">
      <w:pPr>
        <w:pStyle w:val="CDIfootnotes"/>
      </w:pPr>
      <w:r w:rsidRPr="00834CDC">
        <w:t>a</w:t>
      </w:r>
      <w:r w:rsidRPr="00834CDC">
        <w:tab/>
        <w:t xml:space="preserve">Hep B: hepatitis B; </w:t>
      </w:r>
      <w:proofErr w:type="spellStart"/>
      <w:r w:rsidRPr="00834CDC">
        <w:t>DTPa</w:t>
      </w:r>
      <w:proofErr w:type="spellEnd"/>
      <w:r w:rsidRPr="00834CDC">
        <w:t xml:space="preserve">: diphtheria–tetanus–pertussis (acellular) – paediatric formulation; Hib: Haemophilus influenzae type b; Polio: inactivated polio vaccine; 13vPCV: 13-valent pneumococcal conjugate vaccine; Flu: influenza; MMR: measles-mumps-rubella; Men ACWY: meningococcal ACWY conjugate vaccine; </w:t>
      </w:r>
      <w:proofErr w:type="spellStart"/>
      <w:r w:rsidRPr="00834CDC">
        <w:t>MenB</w:t>
      </w:r>
      <w:proofErr w:type="spellEnd"/>
      <w:r w:rsidRPr="00834CDC">
        <w:t xml:space="preserve">: meningococcal B vaccine; MMRV: measles-mumps-rubella-varicella; </w:t>
      </w:r>
      <w:proofErr w:type="spellStart"/>
      <w:r w:rsidRPr="00834CDC">
        <w:t>dTpa</w:t>
      </w:r>
      <w:proofErr w:type="spellEnd"/>
      <w:r w:rsidRPr="00834CDC">
        <w:t>: diphtheria–tetanus–pertussis (acellular) – adolescent/adult formulation; HPV: human papilloma virus; 23vPPV: Pneumovax 23 vaccine; HZ: herpes zoster.</w:t>
      </w:r>
    </w:p>
    <w:p w14:paraId="4E9E6E9A" w14:textId="77777777" w:rsidR="000D277F" w:rsidRPr="00834CDC" w:rsidRDefault="000D277F" w:rsidP="003A27EF">
      <w:pPr>
        <w:pStyle w:val="CDIfootnotes"/>
      </w:pPr>
      <w:r w:rsidRPr="00834CDC">
        <w:t>b</w:t>
      </w:r>
      <w:r w:rsidRPr="00834CDC">
        <w:tab/>
        <w:t>Aboriginal and Torres Strait Islander children living in Northern Territory, South Australia, Queensland and Western Australia, and children with specified underlying medical conditions that predispose them to invasive pneumococcal disease.</w:t>
      </w:r>
    </w:p>
    <w:p w14:paraId="2F05F7A4" w14:textId="77777777" w:rsidR="000D277F" w:rsidRPr="00834CDC" w:rsidRDefault="000D277F" w:rsidP="003A27EF">
      <w:pPr>
        <w:pStyle w:val="CDIfootnotes"/>
      </w:pPr>
      <w:r w:rsidRPr="00834CDC">
        <w:t>c</w:t>
      </w:r>
      <w:r w:rsidRPr="00834CDC">
        <w:tab/>
        <w:t>Aboriginal and Torres Strait Islander children – doses at 12 months and 18 months of age in the Northern Territory, Western Australia, Queensland, and South Australia.</w:t>
      </w:r>
    </w:p>
    <w:p w14:paraId="12FA256C" w14:textId="77777777" w:rsidR="000D277F" w:rsidRPr="00834CDC" w:rsidRDefault="000D277F" w:rsidP="003A27EF">
      <w:pPr>
        <w:pStyle w:val="CDIfootnotes"/>
      </w:pPr>
      <w:r w:rsidRPr="00834CDC">
        <w:t>d</w:t>
      </w:r>
      <w:r w:rsidRPr="00834CDC">
        <w:tab/>
        <w:t>Medically at-risk children.</w:t>
      </w:r>
    </w:p>
    <w:p w14:paraId="217A67B8" w14:textId="77777777" w:rsidR="000D277F" w:rsidRPr="00834CDC" w:rsidRDefault="000D277F" w:rsidP="003A27EF">
      <w:pPr>
        <w:pStyle w:val="CDIfootnotes"/>
      </w:pPr>
      <w:r w:rsidRPr="00834CDC">
        <w:t>e</w:t>
      </w:r>
      <w:r w:rsidRPr="00834CDC">
        <w:tab/>
        <w:t>Annual vaccination for Aboriginal and Torres Strait Islander children (aged ≥ 6 months), adolescents and adults and all children ≥ 6 months, adolescents, and adults with medical risk factors.</w:t>
      </w:r>
    </w:p>
    <w:p w14:paraId="6FE9BC42" w14:textId="77777777" w:rsidR="000D277F" w:rsidRPr="00834CDC" w:rsidRDefault="000D277F" w:rsidP="003A27EF">
      <w:pPr>
        <w:pStyle w:val="CDIfootnotes"/>
      </w:pPr>
      <w:r w:rsidRPr="00834CDC">
        <w:t>f</w:t>
      </w:r>
      <w:r w:rsidRPr="00834CDC">
        <w:tab/>
        <w:t xml:space="preserve">Eligible school grades vary between states and territories. </w:t>
      </w:r>
      <w:proofErr w:type="spellStart"/>
      <w:r w:rsidRPr="00834CDC">
        <w:t>MenACWY</w:t>
      </w:r>
      <w:proofErr w:type="spellEnd"/>
      <w:r w:rsidRPr="00834CDC">
        <w:t xml:space="preserve"> delivered by health care providers for adolescents aged 16-19 years in a </w:t>
      </w:r>
      <w:proofErr w:type="gramStart"/>
      <w:r w:rsidRPr="00834CDC">
        <w:t>catch up</w:t>
      </w:r>
      <w:proofErr w:type="gramEnd"/>
      <w:r w:rsidRPr="00834CDC">
        <w:t xml:space="preserve"> program.</w:t>
      </w:r>
    </w:p>
    <w:p w14:paraId="74E81594" w14:textId="77777777" w:rsidR="000D277F" w:rsidRPr="00834CDC" w:rsidRDefault="000D277F" w:rsidP="003A27EF">
      <w:pPr>
        <w:pStyle w:val="CDIfootnotes"/>
      </w:pPr>
      <w:r w:rsidRPr="00834CDC">
        <w:t>g</w:t>
      </w:r>
      <w:r w:rsidRPr="00834CDC">
        <w:tab/>
        <w:t>Aboriginal and Torres Strait Islander adolescents and adults aged 15–49 year with medical risk factors.</w:t>
      </w:r>
    </w:p>
    <w:p w14:paraId="0690B44C" w14:textId="77777777" w:rsidR="000D277F" w:rsidRPr="00834CDC" w:rsidRDefault="000D277F" w:rsidP="003A27EF">
      <w:pPr>
        <w:pStyle w:val="CDIfootnotes"/>
      </w:pPr>
      <w:r w:rsidRPr="00834CDC">
        <w:t>h</w:t>
      </w:r>
      <w:r w:rsidRPr="00834CDC">
        <w:tab/>
        <w:t>All people 65 years and over.</w:t>
      </w:r>
    </w:p>
    <w:p w14:paraId="78617FE1" w14:textId="77777777" w:rsidR="000D277F" w:rsidRPr="00834CDC" w:rsidRDefault="000D277F" w:rsidP="003A27EF">
      <w:pPr>
        <w:pStyle w:val="CDIfootnotes"/>
      </w:pPr>
      <w:proofErr w:type="spellStart"/>
      <w:r w:rsidRPr="00834CDC">
        <w:t>i</w:t>
      </w:r>
      <w:proofErr w:type="spellEnd"/>
      <w:r w:rsidRPr="00834CDC">
        <w:tab/>
        <w:t xml:space="preserve">All people aged 70 years old, with a </w:t>
      </w:r>
      <w:proofErr w:type="gramStart"/>
      <w:r w:rsidRPr="00834CDC">
        <w:t>five year</w:t>
      </w:r>
      <w:proofErr w:type="gramEnd"/>
      <w:r w:rsidRPr="00834CDC">
        <w:t xml:space="preserve"> catch-up program for people aged 71–79 years old until 31 October 2021.</w:t>
      </w:r>
    </w:p>
    <w:p w14:paraId="4F73C463" w14:textId="77777777" w:rsidR="000D277F" w:rsidRPr="00834CDC" w:rsidRDefault="000D277F" w:rsidP="003A27EF">
      <w:pPr>
        <w:pStyle w:val="CDIfootnotes"/>
      </w:pPr>
      <w:r w:rsidRPr="00834CDC">
        <w:t>j</w:t>
      </w:r>
      <w:r w:rsidRPr="00834CDC">
        <w:tab/>
        <w:t xml:space="preserve">During the third trimester for </w:t>
      </w:r>
      <w:proofErr w:type="spellStart"/>
      <w:r w:rsidRPr="00834CDC">
        <w:t>dTpa</w:t>
      </w:r>
      <w:proofErr w:type="spellEnd"/>
      <w:r w:rsidRPr="00834CDC">
        <w:t xml:space="preserve"> vaccine. At any stage of pregnancy for flu vaccine.</w:t>
      </w:r>
    </w:p>
    <w:p w14:paraId="47278756" w14:textId="77777777" w:rsidR="000D277F" w:rsidRPr="00834CDC" w:rsidRDefault="000D277F">
      <w:pPr>
        <w:rPr>
          <w:rFonts w:asciiTheme="majorHAnsi" w:eastAsiaTheme="majorEastAsia" w:hAnsiTheme="majorHAnsi" w:cstheme="majorBidi"/>
          <w:b/>
          <w:bCs/>
          <w:sz w:val="26"/>
          <w:szCs w:val="26"/>
        </w:rPr>
        <w:sectPr w:rsidR="000D277F" w:rsidRPr="00834CDC" w:rsidSect="000D277F">
          <w:footnotePr>
            <w:numFmt w:val="lowerRoman"/>
          </w:footnotePr>
          <w:pgSz w:w="16838" w:h="11906" w:orient="landscape"/>
          <w:pgMar w:top="720" w:right="720" w:bottom="720" w:left="1134" w:header="709" w:footer="284" w:gutter="0"/>
          <w:cols w:space="708"/>
          <w:titlePg/>
          <w:docGrid w:linePitch="360"/>
        </w:sectPr>
      </w:pPr>
    </w:p>
    <w:p w14:paraId="01F9A571" w14:textId="1CC550C7" w:rsidR="0033445F" w:rsidRPr="00834CDC" w:rsidRDefault="0033445F" w:rsidP="0033445F">
      <w:pPr>
        <w:pStyle w:val="Heading2"/>
        <w:divId w:val="1988506822"/>
      </w:pPr>
      <w:r w:rsidRPr="00834CDC">
        <w:lastRenderedPageBreak/>
        <w:t xml:space="preserve">The Australian Immunisation Register </w:t>
      </w:r>
    </w:p>
    <w:p w14:paraId="614C8F8E" w14:textId="77777777" w:rsidR="0033445F" w:rsidRPr="00834CDC" w:rsidRDefault="0033445F" w:rsidP="0033445F">
      <w:pPr>
        <w:divId w:val="1988506822"/>
      </w:pPr>
      <w:r w:rsidRPr="00834CDC">
        <w:t xml:space="preserve">The Australian Childhood Immunisation Register (ACIR) was </w:t>
      </w:r>
      <w:proofErr w:type="gramStart"/>
      <w:r w:rsidRPr="00834CDC">
        <w:t>established</w:t>
      </w:r>
      <w:proofErr w:type="gramEnd"/>
      <w:r w:rsidRPr="00834CDC">
        <w:t xml:space="preserve"> on 1 January 1996, incorporating demographic data from Medicare on all enrolled children aged ˂ 7 years.</w:t>
      </w:r>
      <w:r w:rsidRPr="00834CDC">
        <w:rPr>
          <w:vertAlign w:val="superscript"/>
        </w:rPr>
        <w:t>237</w:t>
      </w:r>
      <w:r w:rsidRPr="00834CDC">
        <w:t xml:space="preserve"> Up until 31 December 2015, no new vaccination records were added after the child had turned 7 years of age. As of 1 January 2016, new vaccination records </w:t>
      </w:r>
      <w:proofErr w:type="gramStart"/>
      <w:r w:rsidRPr="00834CDC">
        <w:t>were added</w:t>
      </w:r>
      <w:proofErr w:type="gramEnd"/>
      <w:r w:rsidRPr="00834CDC">
        <w:t xml:space="preserve"> up until the child had turned 20 years of age. From 30 September 2016, the register </w:t>
      </w:r>
      <w:proofErr w:type="gramStart"/>
      <w:r w:rsidRPr="00834CDC">
        <w:t>was expanded</w:t>
      </w:r>
      <w:proofErr w:type="gramEnd"/>
      <w:r w:rsidRPr="00834CDC">
        <w:t xml:space="preserve"> further to become the Australian Immunisation Register (AIR), a ‘whole-of-life’ register, collecting data on vaccinations given at any age in life.</w:t>
      </w:r>
      <w:r w:rsidRPr="00834CDC">
        <w:rPr>
          <w:vertAlign w:val="superscript"/>
        </w:rPr>
        <w:t>238</w:t>
      </w:r>
      <w:r w:rsidRPr="00834CDC">
        <w:t xml:space="preserve"> </w:t>
      </w:r>
    </w:p>
    <w:p w14:paraId="512C1A92" w14:textId="77777777" w:rsidR="0033445F" w:rsidRPr="00834CDC" w:rsidRDefault="0033445F" w:rsidP="0033445F">
      <w:pPr>
        <w:divId w:val="1988506822"/>
      </w:pPr>
      <w:r w:rsidRPr="00834CDC">
        <w:t xml:space="preserve">All individuals registered with Medicare </w:t>
      </w:r>
      <w:proofErr w:type="gramStart"/>
      <w:r w:rsidRPr="00834CDC">
        <w:t>are automatically added</w:t>
      </w:r>
      <w:proofErr w:type="gramEnd"/>
      <w:r w:rsidRPr="00834CDC">
        <w:t xml:space="preserve"> to AIR. Participation in the AIR is ‘opt-out’ and so it </w:t>
      </w:r>
      <w:proofErr w:type="gramStart"/>
      <w:r w:rsidRPr="00834CDC">
        <w:t>constitutes</w:t>
      </w:r>
      <w:proofErr w:type="gramEnd"/>
      <w:r w:rsidRPr="00834CDC">
        <w:t xml:space="preserve"> a nearly complete population register for Australian residents.</w:t>
      </w:r>
      <w:r w:rsidRPr="00834CDC">
        <w:rPr>
          <w:vertAlign w:val="superscript"/>
        </w:rPr>
        <w:t>237</w:t>
      </w:r>
      <w:r w:rsidRPr="00834CDC">
        <w:t xml:space="preserve"> Individuals not enrolled in Medicare can also be added to the AIR via a supplementary number. </w:t>
      </w:r>
    </w:p>
    <w:p w14:paraId="240437AB" w14:textId="77777777" w:rsidR="0033445F" w:rsidRPr="00834CDC" w:rsidRDefault="0033445F" w:rsidP="0033445F">
      <w:pPr>
        <w:divId w:val="1988506822"/>
      </w:pPr>
      <w:r w:rsidRPr="00834CDC">
        <w:t xml:space="preserve">Since 2001, vaccinations given overseas may </w:t>
      </w:r>
      <w:proofErr w:type="gramStart"/>
      <w:r w:rsidRPr="00834CDC">
        <w:t>be recorded</w:t>
      </w:r>
      <w:proofErr w:type="gramEnd"/>
      <w:r w:rsidRPr="00834CDC">
        <w:t xml:space="preserve"> on the immunisation register if a provider endorses their validity. Data </w:t>
      </w:r>
      <w:proofErr w:type="gramStart"/>
      <w:r w:rsidRPr="00834CDC">
        <w:t>are transferred</w:t>
      </w:r>
      <w:proofErr w:type="gramEnd"/>
      <w:r w:rsidRPr="00834CDC">
        <w:t xml:space="preserve"> to the AIR when a recognised immunisation provider supplies details of an eligible vaccination. This can occur automatically from medical practice software; through direct data entry on the AIR website; or by </w:t>
      </w:r>
      <w:proofErr w:type="gramStart"/>
      <w:r w:rsidRPr="00834CDC">
        <w:t>submitting</w:t>
      </w:r>
      <w:proofErr w:type="gramEnd"/>
      <w:r w:rsidRPr="00834CDC">
        <w:t xml:space="preserve"> paper encounter or history forms. </w:t>
      </w:r>
      <w:proofErr w:type="gramStart"/>
      <w:r w:rsidRPr="00834CDC">
        <w:t>High levels</w:t>
      </w:r>
      <w:proofErr w:type="gramEnd"/>
      <w:r w:rsidRPr="00834CDC">
        <w:t xml:space="preserve"> of reporting to AIR for child vaccinations are maintained by a system of incentive payments for immunisation providers and carers, as described elsewhere.</w:t>
      </w:r>
      <w:r w:rsidRPr="00834CDC">
        <w:rPr>
          <w:vertAlign w:val="superscript"/>
        </w:rPr>
        <w:t>239,240</w:t>
      </w:r>
      <w:r w:rsidRPr="00834CDC">
        <w:t xml:space="preserve"> All vaccination records for an individual remain on the register indefinitely. </w:t>
      </w:r>
    </w:p>
    <w:p w14:paraId="50D872C9" w14:textId="77777777" w:rsidR="0033445F" w:rsidRPr="00834CDC" w:rsidRDefault="0033445F" w:rsidP="0033445F">
      <w:pPr>
        <w:divId w:val="1988506822"/>
      </w:pPr>
      <w:r w:rsidRPr="00834CDC">
        <w:t xml:space="preserve">Vaccinations recorded on the immunisation register must be given </w:t>
      </w:r>
      <w:proofErr w:type="gramStart"/>
      <w:r w:rsidRPr="00834CDC">
        <w:t>in accordance with</w:t>
      </w:r>
      <w:proofErr w:type="gramEnd"/>
      <w:r w:rsidRPr="00834CDC">
        <w:t xml:space="preserve"> the guidelines issued by the Australian Technical Advisory Group on Immunisation (ATAGI).</w:t>
      </w:r>
      <w:r w:rsidRPr="00834CDC">
        <w:rPr>
          <w:vertAlign w:val="superscript"/>
        </w:rPr>
        <w:t>63</w:t>
      </w:r>
      <w:r w:rsidRPr="00834CDC">
        <w:t xml:space="preserve"> Notifications falling outside these guidelines, or duplicate notifications, prompt an enquiry with the provider and, if their validity cannot be established, they are rejected. The existence of medical contraindications </w:t>
      </w:r>
      <w:proofErr w:type="gramStart"/>
      <w:r w:rsidRPr="00834CDC">
        <w:t>is also recorded</w:t>
      </w:r>
      <w:proofErr w:type="gramEnd"/>
      <w:r w:rsidRPr="00834CDC">
        <w:t xml:space="preserve"> on the register. ‘Conscientious’ objection to vaccination was recorded on the ACIR until 1 January 2016, when the ‘No Jab No Pay’ policy removed objection to vaccination as a valid exemption to vaccinations linked to family payments; as a result, there was no further need to report objection.</w:t>
      </w:r>
      <w:r w:rsidRPr="00834CDC">
        <w:rPr>
          <w:vertAlign w:val="superscript"/>
        </w:rPr>
        <w:t>241,242</w:t>
      </w:r>
      <w:r w:rsidRPr="00834CDC">
        <w:t xml:space="preserve"> </w:t>
      </w:r>
    </w:p>
    <w:p w14:paraId="1AB876CB" w14:textId="77777777" w:rsidR="0033445F" w:rsidRPr="00834CDC" w:rsidRDefault="0033445F" w:rsidP="0033445F">
      <w:pPr>
        <w:divId w:val="1988506822"/>
      </w:pPr>
      <w:r w:rsidRPr="00834CDC">
        <w:t xml:space="preserve">This report is the first in the series to present ‘whole-of-life’ coverage data from the AIR for children, </w:t>
      </w:r>
      <w:proofErr w:type="gramStart"/>
      <w:r w:rsidRPr="00834CDC">
        <w:t>adolescents</w:t>
      </w:r>
      <w:proofErr w:type="gramEnd"/>
      <w:r w:rsidRPr="00834CDC">
        <w:t xml:space="preserve"> and adults, following the expansion of the AIR in 2016. For detailed description of methods, refer to Appendix A. </w:t>
      </w:r>
    </w:p>
    <w:p w14:paraId="31B20132" w14:textId="77777777" w:rsidR="0033445F" w:rsidRPr="00834CDC" w:rsidRDefault="0033445F" w:rsidP="0033445F">
      <w:pPr>
        <w:pStyle w:val="Heading2"/>
        <w:divId w:val="1988506822"/>
      </w:pPr>
      <w:r w:rsidRPr="00834CDC">
        <w:t xml:space="preserve">Children </w:t>
      </w:r>
    </w:p>
    <w:p w14:paraId="14E49E87" w14:textId="77777777" w:rsidR="0033445F" w:rsidRPr="00834CDC" w:rsidRDefault="0033445F" w:rsidP="0033445F">
      <w:pPr>
        <w:pStyle w:val="Heading3"/>
        <w:divId w:val="1988506822"/>
      </w:pPr>
      <w:r w:rsidRPr="00834CDC">
        <w:t xml:space="preserve">‘Fully vaccinated’ coverage </w:t>
      </w:r>
    </w:p>
    <w:p w14:paraId="21A25FD6" w14:textId="77777777" w:rsidR="0033445F" w:rsidRPr="00834CDC" w:rsidRDefault="0033445F" w:rsidP="0033445F">
      <w:pPr>
        <w:divId w:val="1988506822"/>
      </w:pPr>
      <w:r w:rsidRPr="00834CDC">
        <w:t xml:space="preserve">Time trends in ‘fully vaccinated’ coverage for Aboriginal and Torres Strait Islander and other children in Australia, assessed at 12 months, 24 </w:t>
      </w:r>
      <w:proofErr w:type="gramStart"/>
      <w:r w:rsidRPr="00834CDC">
        <w:t>months</w:t>
      </w:r>
      <w:proofErr w:type="gramEnd"/>
      <w:r w:rsidRPr="00834CDC">
        <w:t xml:space="preserve"> and 60 months of age between 2016 and 2019, are shown in Figure 20. Between 2016 and 2019, the percentage of children ‘fully vaccinated’ by 12 months of age was lower for Aboriginal and Torres Strait Islander children than that for other children. However, during the four-year reporting period, ‘fully vaccinated’ coverage at 12 months of age increased by 3.3 percentage points among Aboriginal and Torres Strait Islander children (compared with a 1.8 percentage point increase for other children), and the coverage differential between Aboriginal and Torres Strait Islander and other children decreased by more than half (Figure 20). </w:t>
      </w:r>
    </w:p>
    <w:p w14:paraId="6D435075" w14:textId="77777777" w:rsidR="0033445F" w:rsidRPr="00834CDC" w:rsidRDefault="0033445F" w:rsidP="0033445F">
      <w:pPr>
        <w:divId w:val="1988506822"/>
      </w:pPr>
      <w:r w:rsidRPr="00834CDC">
        <w:t xml:space="preserve">‘Fully vaccinated’ coverage by 24 months of age decreased for both Aboriginal and Torres Strait Islander and other children between September 2016 and December 2016 following the amendment of the </w:t>
      </w:r>
      <w:proofErr w:type="gramStart"/>
      <w:r w:rsidRPr="00834CDC">
        <w:t>24 month</w:t>
      </w:r>
      <w:proofErr w:type="gramEnd"/>
      <w:r w:rsidRPr="00834CDC">
        <w:t xml:space="preserve"> coverage assessment algorithm for ‘fully vaccinated’ in December 2016 to include four doses of </w:t>
      </w:r>
      <w:proofErr w:type="spellStart"/>
      <w:r w:rsidRPr="00834CDC">
        <w:t>DTPa</w:t>
      </w:r>
      <w:proofErr w:type="spellEnd"/>
      <w:r w:rsidRPr="00834CDC">
        <w:t xml:space="preserve">-containing vaccine (Figure 20). ‘Fully vaccinated’ coverage by 24 months of age, then increased steadily for both Aboriginal and Torres Strait Islander children and other children, reaching 88.8% and 91.1%, respectively, in December 2019. </w:t>
      </w:r>
    </w:p>
    <w:p w14:paraId="4A728FCA" w14:textId="4BC66A68" w:rsidR="0033445F" w:rsidRPr="00834CDC" w:rsidRDefault="0033445F" w:rsidP="0033445F">
      <w:pPr>
        <w:divId w:val="1988506822"/>
      </w:pPr>
      <w:r w:rsidRPr="00834CDC">
        <w:t xml:space="preserve">Between 2016 and 2019, the percentage of Aboriginal and Torres Strait Islander and other children ‘fully vaccinated’ by 60 months of age increased by 2.2 and 1.8 percentage points, respectively, with coverage higher in Aboriginal and Torres Strait Islander children than in other children over the full reporting period (Figure 20). In December 2019, </w:t>
      </w:r>
      <w:r w:rsidRPr="00834CDC">
        <w:lastRenderedPageBreak/>
        <w:t xml:space="preserve">‘fully vaccinated’ coverage by 60 months of age among Aboriginal and Torres Strait Islander children was 96.8%, 2.1 percentage points higher than in other children. </w:t>
      </w:r>
    </w:p>
    <w:p w14:paraId="3D3D9B19" w14:textId="209234CC" w:rsidR="00F77A73" w:rsidRPr="00834CDC" w:rsidRDefault="00F77A73" w:rsidP="00F77A73">
      <w:pPr>
        <w:pStyle w:val="CDIFigures"/>
        <w:divId w:val="1988506822"/>
      </w:pPr>
      <w:r w:rsidRPr="00834CDC">
        <w:rPr>
          <w:rStyle w:val="Strong"/>
          <w:b/>
          <w:bCs w:val="0"/>
        </w:rPr>
        <w:t xml:space="preserve">Figure 20: Trends in 12-, 24- and 60-month ‘fully vaccinated’ vaccination coverage estimates </w:t>
      </w:r>
      <w:proofErr w:type="spellStart"/>
      <w:proofErr w:type="gramStart"/>
      <w:r w:rsidRPr="00834CDC">
        <w:rPr>
          <w:rStyle w:val="Strong"/>
          <w:b/>
          <w:bCs w:val="0"/>
          <w:vertAlign w:val="superscript"/>
        </w:rPr>
        <w:t>a,b</w:t>
      </w:r>
      <w:proofErr w:type="gramEnd"/>
      <w:r w:rsidRPr="00834CDC">
        <w:rPr>
          <w:rStyle w:val="Strong"/>
          <w:b/>
          <w:bCs w:val="0"/>
          <w:vertAlign w:val="superscript"/>
        </w:rPr>
        <w:t>,c</w:t>
      </w:r>
      <w:proofErr w:type="spellEnd"/>
      <w:r w:rsidRPr="00834CDC">
        <w:rPr>
          <w:rStyle w:val="Strong"/>
          <w:b/>
          <w:bCs w:val="0"/>
        </w:rPr>
        <w:t xml:space="preserve"> by quarter and Aboriginal and Torres Strait Islander status, Australia, 2016–2019</w:t>
      </w:r>
    </w:p>
    <w:p w14:paraId="7F73EF09" w14:textId="77777777" w:rsidR="00F77A73" w:rsidRPr="00834CDC" w:rsidRDefault="00F77A73" w:rsidP="00F77A73">
      <w:pPr>
        <w:pStyle w:val="NormalWeb"/>
        <w:divId w:val="1988506822"/>
      </w:pPr>
      <w:r w:rsidRPr="00834CDC">
        <w:rPr>
          <w:noProof/>
        </w:rPr>
        <w:drawing>
          <wp:inline distT="0" distB="0" distL="0" distR="0" wp14:anchorId="47BAF051" wp14:editId="3C899ACE">
            <wp:extent cx="6550316" cy="4234218"/>
            <wp:effectExtent l="0" t="0" r="3175" b="0"/>
            <wp:docPr id="193" name="Picture 193" descr="Line graph showing trends in 12, 24 and 60 month ‘fully vaccinated’ vaccination coverage for the period 2016 to 2019. Rates generally improved steadily over the period. Coverage at 12 and 24 months of age was lower for Aboriginal and Torres Strait Islander children than for other children, but coverage at 60 months of age was higher in Aboriginal and Torres Strait Islander children across the 4 year perio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ine graph showing trends in 12, 24 and 60 month ‘fully vaccinated’ vaccination coverage for the period 2016 to 2019. Rates generally improved steadily over the period. Coverage at 12 and 24 months of age was lower for Aboriginal and Torres Strait Islander children than for other children, but coverage at 60 months of age was higher in Aboriginal and Torres Strait Islander children across the 4 year period. &#10;"/>
                    <pic:cNvPicPr>
                      <a:picLocks noChangeAspect="1" noChangeArrowheads="1"/>
                    </pic:cNvPicPr>
                  </pic:nvPicPr>
                  <pic:blipFill>
                    <a:blip r:link="rId31">
                      <a:extLst>
                        <a:ext uri="{28A0092B-C50C-407E-A947-70E740481C1C}">
                          <a14:useLocalDpi xmlns:a14="http://schemas.microsoft.com/office/drawing/2010/main" val="0"/>
                        </a:ext>
                      </a:extLst>
                    </a:blip>
                    <a:stretch>
                      <a:fillRect/>
                    </a:stretch>
                  </pic:blipFill>
                  <pic:spPr bwMode="auto">
                    <a:xfrm>
                      <a:off x="0" y="0"/>
                      <a:ext cx="6565290" cy="4243897"/>
                    </a:xfrm>
                    <a:prstGeom prst="rect">
                      <a:avLst/>
                    </a:prstGeom>
                  </pic:spPr>
                </pic:pic>
              </a:graphicData>
            </a:graphic>
          </wp:inline>
        </w:drawing>
      </w:r>
    </w:p>
    <w:p w14:paraId="1DA62E1F" w14:textId="77777777" w:rsidR="00F77A73" w:rsidRPr="00834CDC" w:rsidRDefault="00F77A73" w:rsidP="00F77A73">
      <w:pPr>
        <w:pStyle w:val="CDIfootnotes"/>
        <w:divId w:val="1988506822"/>
      </w:pPr>
      <w:r w:rsidRPr="00834CDC">
        <w:t>a</w:t>
      </w:r>
      <w:r w:rsidRPr="00834CDC">
        <w:tab/>
      </w:r>
      <w:proofErr w:type="gramStart"/>
      <w:r w:rsidRPr="00834CDC">
        <w:t>By</w:t>
      </w:r>
      <w:proofErr w:type="gramEnd"/>
      <w:r w:rsidRPr="00834CDC">
        <w:t xml:space="preserve"> 3-month birth cohorts born between 1 January 2011 and 31 December 2018. Coverage assessment date was 12, 24 or 60 months after the last birth date of each cohort. Vaccination coverage estimates </w:t>
      </w:r>
      <w:proofErr w:type="gramStart"/>
      <w:r w:rsidRPr="00834CDC">
        <w:t>are calculated</w:t>
      </w:r>
      <w:proofErr w:type="gramEnd"/>
      <w:r w:rsidRPr="00834CDC">
        <w:t xml:space="preserve"> by quarter and may differ slightly from estimates published elsewhere using rolling annualised data.</w:t>
      </w:r>
    </w:p>
    <w:p w14:paraId="0B442CDD" w14:textId="77777777" w:rsidR="00F77A73" w:rsidRPr="00834CDC" w:rsidRDefault="00F77A73" w:rsidP="00F77A73">
      <w:pPr>
        <w:pStyle w:val="CDIfootnotes"/>
        <w:divId w:val="1988506822"/>
      </w:pPr>
      <w:r w:rsidRPr="00834CDC">
        <w:t>b</w:t>
      </w:r>
      <w:r w:rsidRPr="00834CDC">
        <w:tab/>
        <w:t xml:space="preserve">MMR: measles-mumps-rubella; </w:t>
      </w:r>
      <w:proofErr w:type="spellStart"/>
      <w:r w:rsidRPr="00834CDC">
        <w:t>DTPa</w:t>
      </w:r>
      <w:proofErr w:type="spellEnd"/>
      <w:r w:rsidRPr="00834CDC">
        <w:t>: diphtheria-tetanus-acellular pertussis.</w:t>
      </w:r>
    </w:p>
    <w:p w14:paraId="15ECEC9A" w14:textId="060497F2" w:rsidR="00F77A73" w:rsidRPr="00834CDC" w:rsidRDefault="00F77A73" w:rsidP="00F77A73">
      <w:pPr>
        <w:pStyle w:val="CDIfootnotes"/>
        <w:divId w:val="1988506822"/>
      </w:pPr>
      <w:r w:rsidRPr="00834CDC">
        <w:t>c</w:t>
      </w:r>
      <w:r w:rsidRPr="00834CDC">
        <w:tab/>
        <w:t xml:space="preserve">Source: Australian Immunisation Register, data as </w:t>
      </w:r>
      <w:proofErr w:type="gramStart"/>
      <w:r w:rsidRPr="00834CDC">
        <w:t>at</w:t>
      </w:r>
      <w:proofErr w:type="gramEnd"/>
      <w:r w:rsidRPr="00834CDC">
        <w:t xml:space="preserve"> 31 March 2020.</w:t>
      </w:r>
    </w:p>
    <w:p w14:paraId="280318D1" w14:textId="77777777" w:rsidR="0033445F" w:rsidRPr="00834CDC" w:rsidRDefault="0033445F" w:rsidP="0033445F">
      <w:pPr>
        <w:pStyle w:val="Heading3"/>
        <w:divId w:val="1988506822"/>
      </w:pPr>
      <w:r w:rsidRPr="00834CDC">
        <w:t xml:space="preserve">Geographic variations of vaccination coverage </w:t>
      </w:r>
    </w:p>
    <w:p w14:paraId="19DBDB00" w14:textId="77777777" w:rsidR="0033445F" w:rsidRPr="00834CDC" w:rsidRDefault="0033445F" w:rsidP="0033445F">
      <w:pPr>
        <w:divId w:val="1988506822"/>
      </w:pPr>
      <w:r w:rsidRPr="00834CDC">
        <w:t xml:space="preserve">Annualised immunisation coverage estimates for 2019 for each of the three milestone ages by Aboriginal and Torres Strait Islander status and </w:t>
      </w:r>
      <w:proofErr w:type="gramStart"/>
      <w:r w:rsidRPr="00834CDC">
        <w:t>jurisdiction</w:t>
      </w:r>
      <w:proofErr w:type="gramEnd"/>
      <w:r w:rsidRPr="00834CDC">
        <w:t xml:space="preserve"> are provided in Table 26. </w:t>
      </w:r>
    </w:p>
    <w:p w14:paraId="742B227E" w14:textId="77777777" w:rsidR="003057F3" w:rsidRPr="00834CDC" w:rsidRDefault="003057F3">
      <w:pPr>
        <w:rPr>
          <w:rStyle w:val="Strong"/>
          <w:bCs w:val="0"/>
        </w:rPr>
      </w:pPr>
      <w:r w:rsidRPr="00834CDC">
        <w:rPr>
          <w:rStyle w:val="Strong"/>
          <w:b w:val="0"/>
          <w:bCs w:val="0"/>
        </w:rPr>
        <w:br w:type="page"/>
      </w:r>
    </w:p>
    <w:p w14:paraId="0B6A7FA2" w14:textId="3459CD70" w:rsidR="003057F3" w:rsidRPr="00834CDC" w:rsidRDefault="003057F3" w:rsidP="003057F3">
      <w:pPr>
        <w:pStyle w:val="CDIFigures"/>
        <w:divId w:val="1988506822"/>
      </w:pPr>
      <w:r w:rsidRPr="00834CDC">
        <w:rPr>
          <w:rStyle w:val="Strong"/>
          <w:b/>
          <w:bCs w:val="0"/>
        </w:rPr>
        <w:lastRenderedPageBreak/>
        <w:t xml:space="preserve">Table 26: Percentage of children ‘fully vaccinated’ by 12-, 24- and 60-months of </w:t>
      </w:r>
      <w:proofErr w:type="spellStart"/>
      <w:proofErr w:type="gramStart"/>
      <w:r w:rsidRPr="00834CDC">
        <w:rPr>
          <w:rStyle w:val="Strong"/>
          <w:b/>
          <w:bCs w:val="0"/>
        </w:rPr>
        <w:t>age,</w:t>
      </w:r>
      <w:r w:rsidRPr="00834CDC">
        <w:rPr>
          <w:rStyle w:val="Strong"/>
          <w:b/>
          <w:bCs w:val="0"/>
          <w:vertAlign w:val="superscript"/>
        </w:rPr>
        <w:t>a</w:t>
      </w:r>
      <w:proofErr w:type="spellEnd"/>
      <w:proofErr w:type="gramEnd"/>
      <w:r w:rsidRPr="00834CDC">
        <w:rPr>
          <w:rStyle w:val="Strong"/>
          <w:b/>
          <w:bCs w:val="0"/>
        </w:rPr>
        <w:t xml:space="preserve"> by Aboriginal and Torres Strait Islander status and jurisdiction, Australia, 2019</w:t>
      </w:r>
    </w:p>
    <w:tbl>
      <w:tblPr>
        <w:tblStyle w:val="CDI-StandardTable"/>
        <w:tblW w:w="0" w:type="auto"/>
        <w:tblLook w:val="04A0" w:firstRow="1" w:lastRow="0" w:firstColumn="1" w:lastColumn="0" w:noHBand="0" w:noVBand="1"/>
        <w:tblDescription w:val="Table 26 shows the percentage of children recorded as ‘fully immunised’ at 12, 24 and 60 months of age, by Aboriginal and Torres Strait Islander status and jurisdiction, Australia, 2019.&#10;"/>
      </w:tblPr>
      <w:tblGrid>
        <w:gridCol w:w="4111"/>
        <w:gridCol w:w="673"/>
        <w:gridCol w:w="673"/>
        <w:gridCol w:w="674"/>
        <w:gridCol w:w="673"/>
        <w:gridCol w:w="673"/>
        <w:gridCol w:w="674"/>
        <w:gridCol w:w="673"/>
        <w:gridCol w:w="674"/>
        <w:gridCol w:w="949"/>
      </w:tblGrid>
      <w:tr w:rsidR="003057F3" w:rsidRPr="00834CDC" w14:paraId="4B474A8E" w14:textId="77777777" w:rsidTr="003057F3">
        <w:trPr>
          <w:cnfStyle w:val="100000000000" w:firstRow="1" w:lastRow="0" w:firstColumn="0" w:lastColumn="0" w:oddVBand="0" w:evenVBand="0" w:oddHBand="0" w:evenHBand="0" w:firstRowFirstColumn="0" w:firstRowLastColumn="0" w:lastRowFirstColumn="0" w:lastRowLastColumn="0"/>
          <w:divId w:val="1988506822"/>
          <w:tblHeader/>
        </w:trPr>
        <w:tc>
          <w:tcPr>
            <w:tcW w:w="4111" w:type="dxa"/>
            <w:vMerge w:val="restart"/>
            <w:hideMark/>
          </w:tcPr>
          <w:p w14:paraId="0FAF1025" w14:textId="77777777" w:rsidR="003057F3" w:rsidRPr="00834CDC" w:rsidRDefault="003057F3" w:rsidP="003057F3">
            <w:pPr>
              <w:pStyle w:val="NormalWeb"/>
              <w:jc w:val="left"/>
              <w:rPr>
                <w:sz w:val="18"/>
                <w:szCs w:val="18"/>
              </w:rPr>
            </w:pPr>
            <w:r w:rsidRPr="00834CDC">
              <w:rPr>
                <w:sz w:val="18"/>
                <w:szCs w:val="18"/>
              </w:rPr>
              <w:t>Aboriginal and Torres Strait Islander status</w:t>
            </w:r>
          </w:p>
        </w:tc>
        <w:tc>
          <w:tcPr>
            <w:tcW w:w="5387" w:type="dxa"/>
            <w:gridSpan w:val="8"/>
            <w:hideMark/>
          </w:tcPr>
          <w:p w14:paraId="4A0B07F3" w14:textId="35D72FB0" w:rsidR="003057F3" w:rsidRPr="00834CDC" w:rsidRDefault="003057F3" w:rsidP="00457617">
            <w:pPr>
              <w:pStyle w:val="NormalWeb"/>
              <w:rPr>
                <w:sz w:val="18"/>
                <w:szCs w:val="18"/>
              </w:rPr>
            </w:pPr>
            <w:r w:rsidRPr="00834CDC">
              <w:rPr>
                <w:sz w:val="18"/>
                <w:szCs w:val="18"/>
              </w:rPr>
              <w:t xml:space="preserve">State or territory </w:t>
            </w:r>
            <w:r w:rsidRPr="00834CDC">
              <w:rPr>
                <w:sz w:val="18"/>
                <w:szCs w:val="18"/>
                <w:vertAlign w:val="superscript"/>
              </w:rPr>
              <w:t>b</w:t>
            </w:r>
          </w:p>
        </w:tc>
        <w:tc>
          <w:tcPr>
            <w:tcW w:w="949" w:type="dxa"/>
            <w:hideMark/>
          </w:tcPr>
          <w:p w14:paraId="243CCB12" w14:textId="77777777" w:rsidR="003057F3" w:rsidRPr="00834CDC" w:rsidRDefault="003057F3" w:rsidP="00457617">
            <w:pPr>
              <w:rPr>
                <w:sz w:val="18"/>
                <w:szCs w:val="18"/>
              </w:rPr>
            </w:pPr>
          </w:p>
        </w:tc>
      </w:tr>
      <w:tr w:rsidR="003057F3" w:rsidRPr="00834CDC" w14:paraId="13A749CE" w14:textId="77777777" w:rsidTr="003057F3">
        <w:trPr>
          <w:cnfStyle w:val="100000000000" w:firstRow="1" w:lastRow="0" w:firstColumn="0" w:lastColumn="0" w:oddVBand="0" w:evenVBand="0" w:oddHBand="0" w:evenHBand="0" w:firstRowFirstColumn="0" w:firstRowLastColumn="0" w:lastRowFirstColumn="0" w:lastRowLastColumn="0"/>
          <w:divId w:val="1988506822"/>
          <w:tblHeader/>
        </w:trPr>
        <w:tc>
          <w:tcPr>
            <w:tcW w:w="4111" w:type="dxa"/>
            <w:vMerge/>
            <w:tcBorders>
              <w:bottom w:val="single" w:sz="2" w:space="0" w:color="808080" w:themeColor="background1" w:themeShade="80"/>
            </w:tcBorders>
            <w:hideMark/>
          </w:tcPr>
          <w:p w14:paraId="0903FB56" w14:textId="77777777" w:rsidR="003057F3" w:rsidRPr="00834CDC" w:rsidRDefault="003057F3" w:rsidP="003057F3">
            <w:pPr>
              <w:jc w:val="left"/>
              <w:rPr>
                <w:sz w:val="18"/>
                <w:szCs w:val="18"/>
              </w:rPr>
            </w:pPr>
          </w:p>
        </w:tc>
        <w:tc>
          <w:tcPr>
            <w:tcW w:w="673" w:type="dxa"/>
            <w:tcBorders>
              <w:bottom w:val="single" w:sz="2" w:space="0" w:color="808080" w:themeColor="background1" w:themeShade="80"/>
            </w:tcBorders>
            <w:hideMark/>
          </w:tcPr>
          <w:p w14:paraId="78CDCC3C" w14:textId="77777777" w:rsidR="003057F3" w:rsidRPr="00834CDC" w:rsidRDefault="003057F3" w:rsidP="00457617">
            <w:pPr>
              <w:pStyle w:val="NormalWeb"/>
              <w:rPr>
                <w:sz w:val="18"/>
                <w:szCs w:val="18"/>
              </w:rPr>
            </w:pPr>
            <w:r w:rsidRPr="00834CDC">
              <w:rPr>
                <w:sz w:val="18"/>
                <w:szCs w:val="18"/>
              </w:rPr>
              <w:t>ACT</w:t>
            </w:r>
          </w:p>
        </w:tc>
        <w:tc>
          <w:tcPr>
            <w:tcW w:w="673" w:type="dxa"/>
            <w:tcBorders>
              <w:bottom w:val="single" w:sz="2" w:space="0" w:color="808080" w:themeColor="background1" w:themeShade="80"/>
            </w:tcBorders>
            <w:hideMark/>
          </w:tcPr>
          <w:p w14:paraId="0A210A45" w14:textId="77777777" w:rsidR="003057F3" w:rsidRPr="00834CDC" w:rsidRDefault="003057F3" w:rsidP="00457617">
            <w:pPr>
              <w:pStyle w:val="NormalWeb"/>
              <w:rPr>
                <w:sz w:val="18"/>
                <w:szCs w:val="18"/>
              </w:rPr>
            </w:pPr>
            <w:r w:rsidRPr="00834CDC">
              <w:rPr>
                <w:sz w:val="18"/>
                <w:szCs w:val="18"/>
              </w:rPr>
              <w:t>NSW</w:t>
            </w:r>
          </w:p>
        </w:tc>
        <w:tc>
          <w:tcPr>
            <w:tcW w:w="674" w:type="dxa"/>
            <w:tcBorders>
              <w:bottom w:val="single" w:sz="2" w:space="0" w:color="808080" w:themeColor="background1" w:themeShade="80"/>
            </w:tcBorders>
            <w:hideMark/>
          </w:tcPr>
          <w:p w14:paraId="30939EE8" w14:textId="77777777" w:rsidR="003057F3" w:rsidRPr="00834CDC" w:rsidRDefault="003057F3" w:rsidP="00457617">
            <w:pPr>
              <w:pStyle w:val="NormalWeb"/>
              <w:rPr>
                <w:sz w:val="18"/>
                <w:szCs w:val="18"/>
              </w:rPr>
            </w:pPr>
            <w:r w:rsidRPr="00834CDC">
              <w:rPr>
                <w:sz w:val="18"/>
                <w:szCs w:val="18"/>
              </w:rPr>
              <w:t>NT</w:t>
            </w:r>
          </w:p>
        </w:tc>
        <w:tc>
          <w:tcPr>
            <w:tcW w:w="673" w:type="dxa"/>
            <w:tcBorders>
              <w:bottom w:val="single" w:sz="2" w:space="0" w:color="808080" w:themeColor="background1" w:themeShade="80"/>
            </w:tcBorders>
            <w:hideMark/>
          </w:tcPr>
          <w:p w14:paraId="2A43F9B5" w14:textId="77777777" w:rsidR="003057F3" w:rsidRPr="00834CDC" w:rsidRDefault="003057F3" w:rsidP="00457617">
            <w:pPr>
              <w:pStyle w:val="NormalWeb"/>
              <w:rPr>
                <w:sz w:val="18"/>
                <w:szCs w:val="18"/>
              </w:rPr>
            </w:pPr>
            <w:r w:rsidRPr="00834CDC">
              <w:rPr>
                <w:sz w:val="18"/>
                <w:szCs w:val="18"/>
              </w:rPr>
              <w:t>Qld</w:t>
            </w:r>
          </w:p>
        </w:tc>
        <w:tc>
          <w:tcPr>
            <w:tcW w:w="673" w:type="dxa"/>
            <w:tcBorders>
              <w:bottom w:val="single" w:sz="2" w:space="0" w:color="808080" w:themeColor="background1" w:themeShade="80"/>
            </w:tcBorders>
            <w:hideMark/>
          </w:tcPr>
          <w:p w14:paraId="0CCF5CEA" w14:textId="77777777" w:rsidR="003057F3" w:rsidRPr="00834CDC" w:rsidRDefault="003057F3" w:rsidP="00457617">
            <w:pPr>
              <w:pStyle w:val="NormalWeb"/>
              <w:rPr>
                <w:sz w:val="18"/>
                <w:szCs w:val="18"/>
              </w:rPr>
            </w:pPr>
            <w:r w:rsidRPr="00834CDC">
              <w:rPr>
                <w:sz w:val="18"/>
                <w:szCs w:val="18"/>
              </w:rPr>
              <w:t>SA</w:t>
            </w:r>
          </w:p>
        </w:tc>
        <w:tc>
          <w:tcPr>
            <w:tcW w:w="674" w:type="dxa"/>
            <w:tcBorders>
              <w:bottom w:val="single" w:sz="2" w:space="0" w:color="808080" w:themeColor="background1" w:themeShade="80"/>
            </w:tcBorders>
            <w:hideMark/>
          </w:tcPr>
          <w:p w14:paraId="0A2C2D6A" w14:textId="77777777" w:rsidR="003057F3" w:rsidRPr="00834CDC" w:rsidRDefault="003057F3" w:rsidP="00457617">
            <w:pPr>
              <w:pStyle w:val="NormalWeb"/>
              <w:rPr>
                <w:sz w:val="18"/>
                <w:szCs w:val="18"/>
              </w:rPr>
            </w:pPr>
            <w:r w:rsidRPr="00834CDC">
              <w:rPr>
                <w:sz w:val="18"/>
                <w:szCs w:val="18"/>
              </w:rPr>
              <w:t>Tas.</w:t>
            </w:r>
          </w:p>
        </w:tc>
        <w:tc>
          <w:tcPr>
            <w:tcW w:w="673" w:type="dxa"/>
            <w:tcBorders>
              <w:bottom w:val="single" w:sz="2" w:space="0" w:color="808080" w:themeColor="background1" w:themeShade="80"/>
            </w:tcBorders>
            <w:hideMark/>
          </w:tcPr>
          <w:p w14:paraId="5BD6FC05" w14:textId="77777777" w:rsidR="003057F3" w:rsidRPr="00834CDC" w:rsidRDefault="003057F3" w:rsidP="00457617">
            <w:pPr>
              <w:pStyle w:val="NormalWeb"/>
              <w:rPr>
                <w:sz w:val="18"/>
                <w:szCs w:val="18"/>
              </w:rPr>
            </w:pPr>
            <w:r w:rsidRPr="00834CDC">
              <w:rPr>
                <w:sz w:val="18"/>
                <w:szCs w:val="18"/>
              </w:rPr>
              <w:t>Vic.</w:t>
            </w:r>
          </w:p>
        </w:tc>
        <w:tc>
          <w:tcPr>
            <w:tcW w:w="674" w:type="dxa"/>
            <w:tcBorders>
              <w:bottom w:val="single" w:sz="2" w:space="0" w:color="808080" w:themeColor="background1" w:themeShade="80"/>
            </w:tcBorders>
            <w:hideMark/>
          </w:tcPr>
          <w:p w14:paraId="618F34B7" w14:textId="77777777" w:rsidR="003057F3" w:rsidRPr="00834CDC" w:rsidRDefault="003057F3" w:rsidP="00457617">
            <w:pPr>
              <w:pStyle w:val="NormalWeb"/>
              <w:rPr>
                <w:sz w:val="18"/>
                <w:szCs w:val="18"/>
              </w:rPr>
            </w:pPr>
            <w:r w:rsidRPr="00834CDC">
              <w:rPr>
                <w:sz w:val="18"/>
                <w:szCs w:val="18"/>
              </w:rPr>
              <w:t>WA</w:t>
            </w:r>
          </w:p>
        </w:tc>
        <w:tc>
          <w:tcPr>
            <w:tcW w:w="949" w:type="dxa"/>
            <w:tcBorders>
              <w:bottom w:val="single" w:sz="2" w:space="0" w:color="808080" w:themeColor="background1" w:themeShade="80"/>
            </w:tcBorders>
            <w:hideMark/>
          </w:tcPr>
          <w:p w14:paraId="4DE635B5" w14:textId="77777777" w:rsidR="003057F3" w:rsidRPr="00834CDC" w:rsidRDefault="003057F3" w:rsidP="00457617">
            <w:pPr>
              <w:pStyle w:val="NormalWeb"/>
              <w:rPr>
                <w:sz w:val="18"/>
                <w:szCs w:val="18"/>
              </w:rPr>
            </w:pPr>
            <w:r w:rsidRPr="00834CDC">
              <w:rPr>
                <w:sz w:val="18"/>
                <w:szCs w:val="18"/>
              </w:rPr>
              <w:t>Australia</w:t>
            </w:r>
          </w:p>
        </w:tc>
      </w:tr>
      <w:tr w:rsidR="003057F3" w:rsidRPr="00834CDC" w14:paraId="5BA1BE05" w14:textId="77777777" w:rsidTr="00AB3706">
        <w:trPr>
          <w:divId w:val="1988506822"/>
        </w:trPr>
        <w:tc>
          <w:tcPr>
            <w:tcW w:w="10447"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3C730A4" w14:textId="47802636" w:rsidR="003057F3" w:rsidRPr="00834CDC" w:rsidRDefault="003057F3" w:rsidP="008D5935">
            <w:pPr>
              <w:pStyle w:val="NormalWeb"/>
              <w:jc w:val="left"/>
              <w:rPr>
                <w:b/>
                <w:bCs/>
                <w:sz w:val="18"/>
                <w:szCs w:val="18"/>
              </w:rPr>
            </w:pPr>
            <w:r w:rsidRPr="00834CDC">
              <w:rPr>
                <w:b/>
                <w:bCs/>
                <w:sz w:val="18"/>
                <w:szCs w:val="18"/>
              </w:rPr>
              <w:t>12 months – fully vaccinated</w:t>
            </w:r>
            <w:r w:rsidR="00AB3706" w:rsidRPr="00834CDC">
              <w:rPr>
                <w:b/>
                <w:bCs/>
                <w:sz w:val="18"/>
                <w:szCs w:val="18"/>
              </w:rPr>
              <w:t xml:space="preserve"> </w:t>
            </w:r>
            <w:r w:rsidRPr="00834CDC">
              <w:rPr>
                <w:b/>
                <w:bCs/>
                <w:sz w:val="18"/>
                <w:szCs w:val="18"/>
                <w:vertAlign w:val="superscript"/>
              </w:rPr>
              <w:t>c</w:t>
            </w:r>
          </w:p>
        </w:tc>
      </w:tr>
      <w:tr w:rsidR="003057F3" w:rsidRPr="00834CDC" w14:paraId="3E858D15" w14:textId="77777777" w:rsidTr="003057F3">
        <w:trPr>
          <w:cnfStyle w:val="000000010000" w:firstRow="0" w:lastRow="0" w:firstColumn="0" w:lastColumn="0" w:oddVBand="0" w:evenVBand="0" w:oddHBand="0" w:evenHBand="1" w:firstRowFirstColumn="0" w:firstRowLastColumn="0" w:lastRowFirstColumn="0" w:lastRowLastColumn="0"/>
          <w:divId w:val="1988506822"/>
        </w:trPr>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03B9BA" w14:textId="77777777" w:rsidR="003057F3" w:rsidRPr="00834CDC" w:rsidRDefault="003057F3" w:rsidP="003057F3">
            <w:pPr>
              <w:pStyle w:val="NormalWeb"/>
              <w:jc w:val="left"/>
              <w:rPr>
                <w:sz w:val="18"/>
                <w:szCs w:val="18"/>
              </w:rPr>
            </w:pPr>
            <w:r w:rsidRPr="00834CDC">
              <w:rPr>
                <w:sz w:val="18"/>
                <w:szCs w:val="18"/>
              </w:rPr>
              <w:t>Aboriginal and Torres Strait Islander</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F914B3" w14:textId="77777777" w:rsidR="003057F3" w:rsidRPr="00834CDC" w:rsidRDefault="003057F3" w:rsidP="00457617">
            <w:pPr>
              <w:pStyle w:val="NormalWeb"/>
              <w:rPr>
                <w:sz w:val="18"/>
                <w:szCs w:val="18"/>
              </w:rPr>
            </w:pPr>
            <w:r w:rsidRPr="00834CDC">
              <w:rPr>
                <w:sz w:val="18"/>
                <w:szCs w:val="18"/>
              </w:rPr>
              <w:t>97.5</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9BE1BB" w14:textId="77777777" w:rsidR="003057F3" w:rsidRPr="00834CDC" w:rsidRDefault="003057F3" w:rsidP="00457617">
            <w:pPr>
              <w:pStyle w:val="NormalWeb"/>
              <w:rPr>
                <w:sz w:val="18"/>
                <w:szCs w:val="18"/>
              </w:rPr>
            </w:pPr>
            <w:r w:rsidRPr="00834CDC">
              <w:rPr>
                <w:sz w:val="18"/>
                <w:szCs w:val="18"/>
              </w:rPr>
              <w:t>94.4</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2FA072" w14:textId="77777777" w:rsidR="003057F3" w:rsidRPr="00834CDC" w:rsidRDefault="003057F3" w:rsidP="00457617">
            <w:pPr>
              <w:pStyle w:val="NormalWeb"/>
              <w:rPr>
                <w:sz w:val="18"/>
                <w:szCs w:val="18"/>
              </w:rPr>
            </w:pPr>
            <w:r w:rsidRPr="00834CDC">
              <w:rPr>
                <w:sz w:val="18"/>
                <w:szCs w:val="18"/>
              </w:rPr>
              <w:t>92.9</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2B0344" w14:textId="77777777" w:rsidR="003057F3" w:rsidRPr="00834CDC" w:rsidRDefault="003057F3" w:rsidP="00457617">
            <w:pPr>
              <w:pStyle w:val="NormalWeb"/>
              <w:rPr>
                <w:sz w:val="18"/>
                <w:szCs w:val="18"/>
              </w:rPr>
            </w:pPr>
            <w:r w:rsidRPr="00834CDC">
              <w:rPr>
                <w:sz w:val="18"/>
                <w:szCs w:val="18"/>
              </w:rPr>
              <w:t>92.7</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2916F9" w14:textId="77777777" w:rsidR="003057F3" w:rsidRPr="00834CDC" w:rsidRDefault="003057F3" w:rsidP="00457617">
            <w:pPr>
              <w:pStyle w:val="NormalWeb"/>
              <w:rPr>
                <w:sz w:val="18"/>
                <w:szCs w:val="18"/>
              </w:rPr>
            </w:pPr>
            <w:r w:rsidRPr="00834CDC">
              <w:rPr>
                <w:sz w:val="18"/>
                <w:szCs w:val="18"/>
              </w:rPr>
              <w:t>90.8</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635567" w14:textId="77777777" w:rsidR="003057F3" w:rsidRPr="00834CDC" w:rsidRDefault="003057F3" w:rsidP="00457617">
            <w:pPr>
              <w:pStyle w:val="NormalWeb"/>
              <w:rPr>
                <w:sz w:val="18"/>
                <w:szCs w:val="18"/>
              </w:rPr>
            </w:pPr>
            <w:r w:rsidRPr="00834CDC">
              <w:rPr>
                <w:sz w:val="18"/>
                <w:szCs w:val="18"/>
              </w:rPr>
              <w:t>95.1</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D02F81" w14:textId="77777777" w:rsidR="003057F3" w:rsidRPr="00834CDC" w:rsidRDefault="003057F3" w:rsidP="00457617">
            <w:pPr>
              <w:pStyle w:val="NormalWeb"/>
              <w:rPr>
                <w:sz w:val="18"/>
                <w:szCs w:val="18"/>
              </w:rPr>
            </w:pPr>
            <w:r w:rsidRPr="00834CDC">
              <w:rPr>
                <w:sz w:val="18"/>
                <w:szCs w:val="18"/>
              </w:rPr>
              <w:t>94.4</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BB2E99" w14:textId="77777777" w:rsidR="003057F3" w:rsidRPr="00834CDC" w:rsidRDefault="003057F3" w:rsidP="00457617">
            <w:pPr>
              <w:pStyle w:val="NormalWeb"/>
              <w:rPr>
                <w:sz w:val="18"/>
                <w:szCs w:val="18"/>
              </w:rPr>
            </w:pPr>
            <w:r w:rsidRPr="00834CDC">
              <w:rPr>
                <w:sz w:val="18"/>
                <w:szCs w:val="18"/>
              </w:rPr>
              <w:t>88.3</w:t>
            </w:r>
          </w:p>
        </w:tc>
        <w:tc>
          <w:tcPr>
            <w:tcW w:w="9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F7690A" w14:textId="77777777" w:rsidR="003057F3" w:rsidRPr="00834CDC" w:rsidRDefault="003057F3" w:rsidP="00457617">
            <w:pPr>
              <w:pStyle w:val="NormalWeb"/>
              <w:rPr>
                <w:sz w:val="18"/>
                <w:szCs w:val="18"/>
              </w:rPr>
            </w:pPr>
            <w:r w:rsidRPr="00834CDC">
              <w:rPr>
                <w:sz w:val="18"/>
                <w:szCs w:val="18"/>
              </w:rPr>
              <w:t>92.9</w:t>
            </w:r>
          </w:p>
        </w:tc>
      </w:tr>
      <w:tr w:rsidR="003057F3" w:rsidRPr="00834CDC" w14:paraId="58B60A7D" w14:textId="77777777" w:rsidTr="003057F3">
        <w:trPr>
          <w:divId w:val="1988506822"/>
        </w:trPr>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82406A" w14:textId="77777777" w:rsidR="003057F3" w:rsidRPr="00834CDC" w:rsidRDefault="003057F3" w:rsidP="003057F3">
            <w:pPr>
              <w:pStyle w:val="NormalWeb"/>
              <w:jc w:val="left"/>
              <w:rPr>
                <w:sz w:val="18"/>
                <w:szCs w:val="18"/>
              </w:rPr>
            </w:pPr>
            <w:r w:rsidRPr="00834CDC">
              <w:rPr>
                <w:sz w:val="18"/>
                <w:szCs w:val="18"/>
              </w:rPr>
              <w:t>Other</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EDD78F" w14:textId="77777777" w:rsidR="003057F3" w:rsidRPr="00834CDC" w:rsidRDefault="003057F3" w:rsidP="00457617">
            <w:pPr>
              <w:pStyle w:val="NormalWeb"/>
              <w:rPr>
                <w:sz w:val="18"/>
                <w:szCs w:val="18"/>
              </w:rPr>
            </w:pPr>
            <w:r w:rsidRPr="00834CDC">
              <w:rPr>
                <w:sz w:val="18"/>
                <w:szCs w:val="18"/>
              </w:rPr>
              <w:t>96.0</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735381" w14:textId="77777777" w:rsidR="003057F3" w:rsidRPr="00834CDC" w:rsidRDefault="003057F3" w:rsidP="00457617">
            <w:pPr>
              <w:pStyle w:val="NormalWeb"/>
              <w:rPr>
                <w:sz w:val="18"/>
                <w:szCs w:val="18"/>
              </w:rPr>
            </w:pPr>
            <w:r w:rsidRPr="00834CDC">
              <w:rPr>
                <w:sz w:val="18"/>
                <w:szCs w:val="18"/>
              </w:rPr>
              <w:t>94.2</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574B70" w14:textId="77777777" w:rsidR="003057F3" w:rsidRPr="00834CDC" w:rsidRDefault="003057F3" w:rsidP="00457617">
            <w:pPr>
              <w:pStyle w:val="NormalWeb"/>
              <w:rPr>
                <w:sz w:val="18"/>
                <w:szCs w:val="18"/>
              </w:rPr>
            </w:pPr>
            <w:r w:rsidRPr="00834CDC">
              <w:rPr>
                <w:sz w:val="18"/>
                <w:szCs w:val="18"/>
              </w:rPr>
              <w:t>93.5</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F5DDC8" w14:textId="77777777" w:rsidR="003057F3" w:rsidRPr="00834CDC" w:rsidRDefault="003057F3" w:rsidP="00457617">
            <w:pPr>
              <w:pStyle w:val="NormalWeb"/>
              <w:rPr>
                <w:sz w:val="18"/>
                <w:szCs w:val="18"/>
              </w:rPr>
            </w:pPr>
            <w:r w:rsidRPr="00834CDC">
              <w:rPr>
                <w:sz w:val="18"/>
                <w:szCs w:val="18"/>
              </w:rPr>
              <w:t>94.0</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4A102F" w14:textId="77777777" w:rsidR="003057F3" w:rsidRPr="00834CDC" w:rsidRDefault="003057F3" w:rsidP="00457617">
            <w:pPr>
              <w:pStyle w:val="NormalWeb"/>
              <w:rPr>
                <w:sz w:val="18"/>
                <w:szCs w:val="18"/>
              </w:rPr>
            </w:pPr>
            <w:r w:rsidRPr="00834CDC">
              <w:rPr>
                <w:sz w:val="18"/>
                <w:szCs w:val="18"/>
              </w:rPr>
              <w:t>94.8</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5B9C55" w14:textId="77777777" w:rsidR="003057F3" w:rsidRPr="00834CDC" w:rsidRDefault="003057F3" w:rsidP="00457617">
            <w:pPr>
              <w:pStyle w:val="NormalWeb"/>
              <w:rPr>
                <w:sz w:val="18"/>
                <w:szCs w:val="18"/>
              </w:rPr>
            </w:pPr>
            <w:r w:rsidRPr="00834CDC">
              <w:rPr>
                <w:sz w:val="18"/>
                <w:szCs w:val="18"/>
              </w:rPr>
              <w:t>94.1</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89711A" w14:textId="77777777" w:rsidR="003057F3" w:rsidRPr="00834CDC" w:rsidRDefault="003057F3" w:rsidP="00457617">
            <w:pPr>
              <w:pStyle w:val="NormalWeb"/>
              <w:rPr>
                <w:sz w:val="18"/>
                <w:szCs w:val="18"/>
              </w:rPr>
            </w:pPr>
            <w:r w:rsidRPr="00834CDC">
              <w:rPr>
                <w:sz w:val="18"/>
                <w:szCs w:val="18"/>
              </w:rPr>
              <w:t>94.7</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C4AE9E" w14:textId="77777777" w:rsidR="003057F3" w:rsidRPr="00834CDC" w:rsidRDefault="003057F3" w:rsidP="00457617">
            <w:pPr>
              <w:pStyle w:val="NormalWeb"/>
              <w:rPr>
                <w:sz w:val="18"/>
                <w:szCs w:val="18"/>
              </w:rPr>
            </w:pPr>
            <w:r w:rsidRPr="00834CDC">
              <w:rPr>
                <w:sz w:val="18"/>
                <w:szCs w:val="18"/>
              </w:rPr>
              <w:t>94.3</w:t>
            </w:r>
          </w:p>
        </w:tc>
        <w:tc>
          <w:tcPr>
            <w:tcW w:w="9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6B9168" w14:textId="77777777" w:rsidR="003057F3" w:rsidRPr="00834CDC" w:rsidRDefault="003057F3" w:rsidP="00457617">
            <w:pPr>
              <w:pStyle w:val="NormalWeb"/>
              <w:rPr>
                <w:sz w:val="18"/>
                <w:szCs w:val="18"/>
              </w:rPr>
            </w:pPr>
            <w:r w:rsidRPr="00834CDC">
              <w:rPr>
                <w:sz w:val="18"/>
                <w:szCs w:val="18"/>
              </w:rPr>
              <w:t>94.4</w:t>
            </w:r>
          </w:p>
        </w:tc>
      </w:tr>
      <w:tr w:rsidR="003057F3" w:rsidRPr="00834CDC" w14:paraId="27034F2D" w14:textId="77777777" w:rsidTr="00AB3706">
        <w:trPr>
          <w:cnfStyle w:val="000000010000" w:firstRow="0" w:lastRow="0" w:firstColumn="0" w:lastColumn="0" w:oddVBand="0" w:evenVBand="0" w:oddHBand="0" w:evenHBand="1" w:firstRowFirstColumn="0" w:firstRowLastColumn="0" w:lastRowFirstColumn="0" w:lastRowLastColumn="0"/>
          <w:divId w:val="1988506822"/>
        </w:trPr>
        <w:tc>
          <w:tcPr>
            <w:tcW w:w="10447"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ABD30BB" w14:textId="1A46C9CD" w:rsidR="003057F3" w:rsidRPr="00834CDC" w:rsidRDefault="003057F3" w:rsidP="008D5935">
            <w:pPr>
              <w:pStyle w:val="NormalWeb"/>
              <w:jc w:val="left"/>
              <w:rPr>
                <w:b/>
                <w:bCs/>
                <w:sz w:val="18"/>
                <w:szCs w:val="18"/>
              </w:rPr>
            </w:pPr>
            <w:r w:rsidRPr="00834CDC">
              <w:rPr>
                <w:b/>
                <w:bCs/>
                <w:sz w:val="18"/>
                <w:szCs w:val="18"/>
              </w:rPr>
              <w:t>24 months – fully vaccinated</w:t>
            </w:r>
            <w:r w:rsidR="00AB3706" w:rsidRPr="00834CDC">
              <w:rPr>
                <w:b/>
                <w:bCs/>
                <w:sz w:val="18"/>
                <w:szCs w:val="18"/>
              </w:rPr>
              <w:t xml:space="preserve"> </w:t>
            </w:r>
            <w:r w:rsidRPr="00834CDC">
              <w:rPr>
                <w:b/>
                <w:bCs/>
                <w:sz w:val="18"/>
                <w:szCs w:val="18"/>
                <w:vertAlign w:val="superscript"/>
              </w:rPr>
              <w:t>d</w:t>
            </w:r>
          </w:p>
        </w:tc>
      </w:tr>
      <w:tr w:rsidR="003057F3" w:rsidRPr="00834CDC" w14:paraId="21A42282" w14:textId="77777777" w:rsidTr="003057F3">
        <w:trPr>
          <w:divId w:val="1988506822"/>
        </w:trPr>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0131A3" w14:textId="77777777" w:rsidR="003057F3" w:rsidRPr="00834CDC" w:rsidRDefault="003057F3" w:rsidP="003057F3">
            <w:pPr>
              <w:pStyle w:val="NormalWeb"/>
              <w:jc w:val="left"/>
              <w:rPr>
                <w:sz w:val="18"/>
                <w:szCs w:val="18"/>
              </w:rPr>
            </w:pPr>
            <w:r w:rsidRPr="00834CDC">
              <w:rPr>
                <w:sz w:val="18"/>
                <w:szCs w:val="18"/>
              </w:rPr>
              <w:t>Aboriginal and Torres Strait Islander</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DA0E35" w14:textId="77777777" w:rsidR="003057F3" w:rsidRPr="00834CDC" w:rsidRDefault="003057F3" w:rsidP="00457617">
            <w:pPr>
              <w:pStyle w:val="NormalWeb"/>
              <w:rPr>
                <w:sz w:val="18"/>
                <w:szCs w:val="18"/>
              </w:rPr>
            </w:pPr>
            <w:r w:rsidRPr="00834CDC">
              <w:rPr>
                <w:sz w:val="18"/>
                <w:szCs w:val="18"/>
              </w:rPr>
              <w:t>95.0</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5FF8D9" w14:textId="77777777" w:rsidR="003057F3" w:rsidRPr="00834CDC" w:rsidRDefault="003057F3" w:rsidP="00457617">
            <w:pPr>
              <w:pStyle w:val="NormalWeb"/>
              <w:rPr>
                <w:sz w:val="18"/>
                <w:szCs w:val="18"/>
              </w:rPr>
            </w:pPr>
            <w:r w:rsidRPr="00834CDC">
              <w:rPr>
                <w:sz w:val="18"/>
                <w:szCs w:val="18"/>
              </w:rPr>
              <w:t>92.3</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DA5E66" w14:textId="77777777" w:rsidR="003057F3" w:rsidRPr="00834CDC" w:rsidRDefault="003057F3" w:rsidP="00457617">
            <w:pPr>
              <w:pStyle w:val="NormalWeb"/>
              <w:rPr>
                <w:sz w:val="18"/>
                <w:szCs w:val="18"/>
              </w:rPr>
            </w:pPr>
            <w:r w:rsidRPr="00834CDC">
              <w:rPr>
                <w:sz w:val="18"/>
                <w:szCs w:val="18"/>
              </w:rPr>
              <w:t>89.7</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64200F" w14:textId="77777777" w:rsidR="003057F3" w:rsidRPr="00834CDC" w:rsidRDefault="003057F3" w:rsidP="00457617">
            <w:pPr>
              <w:pStyle w:val="NormalWeb"/>
              <w:rPr>
                <w:sz w:val="18"/>
                <w:szCs w:val="18"/>
              </w:rPr>
            </w:pPr>
            <w:r w:rsidRPr="00834CDC">
              <w:rPr>
                <w:sz w:val="18"/>
                <w:szCs w:val="18"/>
              </w:rPr>
              <w:t>89.9</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2EB159" w14:textId="77777777" w:rsidR="003057F3" w:rsidRPr="00834CDC" w:rsidRDefault="003057F3" w:rsidP="00457617">
            <w:pPr>
              <w:pStyle w:val="NormalWeb"/>
              <w:rPr>
                <w:sz w:val="18"/>
                <w:szCs w:val="18"/>
              </w:rPr>
            </w:pPr>
            <w:r w:rsidRPr="00834CDC">
              <w:rPr>
                <w:sz w:val="18"/>
                <w:szCs w:val="18"/>
              </w:rPr>
              <w:t>85.5</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566B43" w14:textId="77777777" w:rsidR="003057F3" w:rsidRPr="00834CDC" w:rsidRDefault="003057F3" w:rsidP="00457617">
            <w:pPr>
              <w:pStyle w:val="NormalWeb"/>
              <w:rPr>
                <w:sz w:val="18"/>
                <w:szCs w:val="18"/>
              </w:rPr>
            </w:pPr>
            <w:r w:rsidRPr="00834CDC">
              <w:rPr>
                <w:sz w:val="18"/>
                <w:szCs w:val="18"/>
              </w:rPr>
              <w:t>93.4</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5DD191" w14:textId="77777777" w:rsidR="003057F3" w:rsidRPr="00834CDC" w:rsidRDefault="003057F3" w:rsidP="00457617">
            <w:pPr>
              <w:pStyle w:val="NormalWeb"/>
              <w:rPr>
                <w:sz w:val="18"/>
                <w:szCs w:val="18"/>
              </w:rPr>
            </w:pPr>
            <w:r w:rsidRPr="00834CDC">
              <w:rPr>
                <w:sz w:val="18"/>
                <w:szCs w:val="18"/>
              </w:rPr>
              <w:t>92.6</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3D748D" w14:textId="77777777" w:rsidR="003057F3" w:rsidRPr="00834CDC" w:rsidRDefault="003057F3" w:rsidP="00457617">
            <w:pPr>
              <w:pStyle w:val="NormalWeb"/>
              <w:rPr>
                <w:sz w:val="18"/>
                <w:szCs w:val="18"/>
              </w:rPr>
            </w:pPr>
            <w:r w:rsidRPr="00834CDC">
              <w:rPr>
                <w:sz w:val="18"/>
                <w:szCs w:val="18"/>
              </w:rPr>
              <w:t>83.6</w:t>
            </w:r>
          </w:p>
        </w:tc>
        <w:tc>
          <w:tcPr>
            <w:tcW w:w="9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AD2D00" w14:textId="77777777" w:rsidR="003057F3" w:rsidRPr="00834CDC" w:rsidRDefault="003057F3" w:rsidP="00457617">
            <w:pPr>
              <w:pStyle w:val="NormalWeb"/>
              <w:rPr>
                <w:sz w:val="18"/>
                <w:szCs w:val="18"/>
              </w:rPr>
            </w:pPr>
            <w:r w:rsidRPr="00834CDC">
              <w:rPr>
                <w:sz w:val="18"/>
                <w:szCs w:val="18"/>
              </w:rPr>
              <w:t>90.0</w:t>
            </w:r>
          </w:p>
        </w:tc>
      </w:tr>
      <w:tr w:rsidR="003057F3" w:rsidRPr="00834CDC" w14:paraId="7B19F551" w14:textId="77777777" w:rsidTr="003057F3">
        <w:trPr>
          <w:cnfStyle w:val="000000010000" w:firstRow="0" w:lastRow="0" w:firstColumn="0" w:lastColumn="0" w:oddVBand="0" w:evenVBand="0" w:oddHBand="0" w:evenHBand="1" w:firstRowFirstColumn="0" w:firstRowLastColumn="0" w:lastRowFirstColumn="0" w:lastRowLastColumn="0"/>
          <w:divId w:val="1988506822"/>
        </w:trPr>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CC8FF9" w14:textId="77777777" w:rsidR="003057F3" w:rsidRPr="00834CDC" w:rsidRDefault="003057F3" w:rsidP="003057F3">
            <w:pPr>
              <w:pStyle w:val="NormalWeb"/>
              <w:jc w:val="left"/>
              <w:rPr>
                <w:sz w:val="18"/>
                <w:szCs w:val="18"/>
              </w:rPr>
            </w:pPr>
            <w:r w:rsidRPr="00834CDC">
              <w:rPr>
                <w:sz w:val="18"/>
                <w:szCs w:val="18"/>
              </w:rPr>
              <w:t>Other</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BC0685" w14:textId="77777777" w:rsidR="003057F3" w:rsidRPr="00834CDC" w:rsidRDefault="003057F3" w:rsidP="00457617">
            <w:pPr>
              <w:pStyle w:val="NormalWeb"/>
              <w:rPr>
                <w:sz w:val="18"/>
                <w:szCs w:val="18"/>
              </w:rPr>
            </w:pPr>
            <w:r w:rsidRPr="00834CDC">
              <w:rPr>
                <w:sz w:val="18"/>
                <w:szCs w:val="18"/>
              </w:rPr>
              <w:t>92.8</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52E598" w14:textId="77777777" w:rsidR="003057F3" w:rsidRPr="00834CDC" w:rsidRDefault="003057F3" w:rsidP="00457617">
            <w:pPr>
              <w:pStyle w:val="NormalWeb"/>
              <w:rPr>
                <w:sz w:val="18"/>
                <w:szCs w:val="18"/>
              </w:rPr>
            </w:pPr>
            <w:r w:rsidRPr="00834CDC">
              <w:rPr>
                <w:sz w:val="18"/>
                <w:szCs w:val="18"/>
              </w:rPr>
              <w:t>90.8</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3EEAC8" w14:textId="77777777" w:rsidR="003057F3" w:rsidRPr="00834CDC" w:rsidRDefault="003057F3" w:rsidP="00457617">
            <w:pPr>
              <w:pStyle w:val="NormalWeb"/>
              <w:rPr>
                <w:sz w:val="18"/>
                <w:szCs w:val="18"/>
              </w:rPr>
            </w:pPr>
            <w:r w:rsidRPr="00834CDC">
              <w:rPr>
                <w:sz w:val="18"/>
                <w:szCs w:val="18"/>
              </w:rPr>
              <w:t>90.8</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C1F085" w14:textId="77777777" w:rsidR="003057F3" w:rsidRPr="00834CDC" w:rsidRDefault="003057F3" w:rsidP="00457617">
            <w:pPr>
              <w:pStyle w:val="NormalWeb"/>
              <w:rPr>
                <w:sz w:val="18"/>
                <w:szCs w:val="18"/>
              </w:rPr>
            </w:pPr>
            <w:r w:rsidRPr="00834CDC">
              <w:rPr>
                <w:sz w:val="18"/>
                <w:szCs w:val="18"/>
              </w:rPr>
              <w:t>91.5</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34ED84" w14:textId="77777777" w:rsidR="003057F3" w:rsidRPr="00834CDC" w:rsidRDefault="003057F3" w:rsidP="00457617">
            <w:pPr>
              <w:pStyle w:val="NormalWeb"/>
              <w:rPr>
                <w:sz w:val="18"/>
                <w:szCs w:val="18"/>
              </w:rPr>
            </w:pPr>
            <w:r w:rsidRPr="00834CDC">
              <w:rPr>
                <w:sz w:val="18"/>
                <w:szCs w:val="18"/>
              </w:rPr>
              <w:t>91.7</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88BA92" w14:textId="77777777" w:rsidR="003057F3" w:rsidRPr="00834CDC" w:rsidRDefault="003057F3" w:rsidP="00457617">
            <w:pPr>
              <w:pStyle w:val="NormalWeb"/>
              <w:rPr>
                <w:sz w:val="18"/>
                <w:szCs w:val="18"/>
              </w:rPr>
            </w:pPr>
            <w:r w:rsidRPr="00834CDC">
              <w:rPr>
                <w:sz w:val="18"/>
                <w:szCs w:val="18"/>
              </w:rPr>
              <w:t>90.9</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6A2FCF" w14:textId="77777777" w:rsidR="003057F3" w:rsidRPr="00834CDC" w:rsidRDefault="003057F3" w:rsidP="00457617">
            <w:pPr>
              <w:pStyle w:val="NormalWeb"/>
              <w:rPr>
                <w:sz w:val="18"/>
                <w:szCs w:val="18"/>
              </w:rPr>
            </w:pPr>
            <w:r w:rsidRPr="00834CDC">
              <w:rPr>
                <w:sz w:val="18"/>
                <w:szCs w:val="18"/>
              </w:rPr>
              <w:t>91.9</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B8D797" w14:textId="77777777" w:rsidR="003057F3" w:rsidRPr="00834CDC" w:rsidRDefault="003057F3" w:rsidP="00457617">
            <w:pPr>
              <w:pStyle w:val="NormalWeb"/>
              <w:rPr>
                <w:sz w:val="18"/>
                <w:szCs w:val="18"/>
              </w:rPr>
            </w:pPr>
            <w:r w:rsidRPr="00834CDC">
              <w:rPr>
                <w:sz w:val="18"/>
                <w:szCs w:val="18"/>
              </w:rPr>
              <w:t>89.1</w:t>
            </w:r>
          </w:p>
        </w:tc>
        <w:tc>
          <w:tcPr>
            <w:tcW w:w="9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3388F5" w14:textId="77777777" w:rsidR="003057F3" w:rsidRPr="00834CDC" w:rsidRDefault="003057F3" w:rsidP="00457617">
            <w:pPr>
              <w:pStyle w:val="NormalWeb"/>
              <w:rPr>
                <w:sz w:val="18"/>
                <w:szCs w:val="18"/>
              </w:rPr>
            </w:pPr>
            <w:r w:rsidRPr="00834CDC">
              <w:rPr>
                <w:sz w:val="18"/>
                <w:szCs w:val="18"/>
              </w:rPr>
              <w:t>91.1</w:t>
            </w:r>
          </w:p>
        </w:tc>
      </w:tr>
      <w:tr w:rsidR="003057F3" w:rsidRPr="00834CDC" w14:paraId="4C2AF5AE" w14:textId="77777777" w:rsidTr="00AB3706">
        <w:trPr>
          <w:divId w:val="1988506822"/>
        </w:trPr>
        <w:tc>
          <w:tcPr>
            <w:tcW w:w="10447"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DE52E38" w14:textId="28B86B55" w:rsidR="003057F3" w:rsidRPr="00834CDC" w:rsidRDefault="003057F3" w:rsidP="008D5935">
            <w:pPr>
              <w:pStyle w:val="NormalWeb"/>
              <w:jc w:val="left"/>
              <w:rPr>
                <w:b/>
                <w:bCs/>
                <w:sz w:val="18"/>
                <w:szCs w:val="18"/>
              </w:rPr>
            </w:pPr>
            <w:r w:rsidRPr="00834CDC">
              <w:rPr>
                <w:b/>
                <w:bCs/>
                <w:sz w:val="18"/>
                <w:szCs w:val="18"/>
              </w:rPr>
              <w:t>60 months – fully vaccinated</w:t>
            </w:r>
            <w:r w:rsidR="00AB3706" w:rsidRPr="00834CDC">
              <w:rPr>
                <w:b/>
                <w:bCs/>
                <w:sz w:val="18"/>
                <w:szCs w:val="18"/>
              </w:rPr>
              <w:t xml:space="preserve"> </w:t>
            </w:r>
            <w:r w:rsidRPr="00834CDC">
              <w:rPr>
                <w:b/>
                <w:bCs/>
                <w:sz w:val="18"/>
                <w:szCs w:val="18"/>
                <w:vertAlign w:val="superscript"/>
              </w:rPr>
              <w:t>e</w:t>
            </w:r>
          </w:p>
        </w:tc>
      </w:tr>
      <w:tr w:rsidR="003057F3" w:rsidRPr="00834CDC" w14:paraId="50772D0F" w14:textId="77777777" w:rsidTr="003057F3">
        <w:trPr>
          <w:cnfStyle w:val="000000010000" w:firstRow="0" w:lastRow="0" w:firstColumn="0" w:lastColumn="0" w:oddVBand="0" w:evenVBand="0" w:oddHBand="0" w:evenHBand="1" w:firstRowFirstColumn="0" w:firstRowLastColumn="0" w:lastRowFirstColumn="0" w:lastRowLastColumn="0"/>
          <w:divId w:val="1988506822"/>
        </w:trPr>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1FFE29" w14:textId="77777777" w:rsidR="003057F3" w:rsidRPr="00834CDC" w:rsidRDefault="003057F3" w:rsidP="003057F3">
            <w:pPr>
              <w:pStyle w:val="NormalWeb"/>
              <w:jc w:val="left"/>
              <w:rPr>
                <w:sz w:val="18"/>
                <w:szCs w:val="18"/>
              </w:rPr>
            </w:pPr>
            <w:r w:rsidRPr="00834CDC">
              <w:rPr>
                <w:sz w:val="18"/>
                <w:szCs w:val="18"/>
              </w:rPr>
              <w:t>Aboriginal and Torres Strait Islander</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663E98" w14:textId="77777777" w:rsidR="003057F3" w:rsidRPr="00834CDC" w:rsidRDefault="003057F3" w:rsidP="00457617">
            <w:pPr>
              <w:pStyle w:val="NormalWeb"/>
              <w:rPr>
                <w:sz w:val="18"/>
                <w:szCs w:val="18"/>
              </w:rPr>
            </w:pPr>
            <w:r w:rsidRPr="00834CDC">
              <w:rPr>
                <w:sz w:val="18"/>
                <w:szCs w:val="18"/>
              </w:rPr>
              <w:t>96.6</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7BFC93" w14:textId="77777777" w:rsidR="003057F3" w:rsidRPr="00834CDC" w:rsidRDefault="003057F3" w:rsidP="00457617">
            <w:pPr>
              <w:pStyle w:val="NormalWeb"/>
              <w:rPr>
                <w:sz w:val="18"/>
                <w:szCs w:val="18"/>
              </w:rPr>
            </w:pPr>
            <w:r w:rsidRPr="00834CDC">
              <w:rPr>
                <w:sz w:val="18"/>
                <w:szCs w:val="18"/>
              </w:rPr>
              <w:t>97.6</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956573" w14:textId="77777777" w:rsidR="003057F3" w:rsidRPr="00834CDC" w:rsidRDefault="003057F3" w:rsidP="00457617">
            <w:pPr>
              <w:pStyle w:val="NormalWeb"/>
              <w:rPr>
                <w:sz w:val="18"/>
                <w:szCs w:val="18"/>
              </w:rPr>
            </w:pPr>
            <w:r w:rsidRPr="00834CDC">
              <w:rPr>
                <w:sz w:val="18"/>
                <w:szCs w:val="18"/>
              </w:rPr>
              <w:t>97.4</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61C2A4" w14:textId="77777777" w:rsidR="003057F3" w:rsidRPr="00834CDC" w:rsidRDefault="003057F3" w:rsidP="00457617">
            <w:pPr>
              <w:pStyle w:val="NormalWeb"/>
              <w:rPr>
                <w:sz w:val="18"/>
                <w:szCs w:val="18"/>
              </w:rPr>
            </w:pPr>
            <w:r w:rsidRPr="00834CDC">
              <w:rPr>
                <w:sz w:val="18"/>
                <w:szCs w:val="18"/>
              </w:rPr>
              <w:t>96.6</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7513EC" w14:textId="77777777" w:rsidR="003057F3" w:rsidRPr="00834CDC" w:rsidRDefault="003057F3" w:rsidP="00457617">
            <w:pPr>
              <w:pStyle w:val="NormalWeb"/>
              <w:rPr>
                <w:sz w:val="18"/>
                <w:szCs w:val="18"/>
              </w:rPr>
            </w:pPr>
            <w:r w:rsidRPr="00834CDC">
              <w:rPr>
                <w:sz w:val="18"/>
                <w:szCs w:val="18"/>
              </w:rPr>
              <w:t>95.7</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8A38CC" w14:textId="77777777" w:rsidR="003057F3" w:rsidRPr="00834CDC" w:rsidRDefault="003057F3" w:rsidP="00457617">
            <w:pPr>
              <w:pStyle w:val="NormalWeb"/>
              <w:rPr>
                <w:sz w:val="18"/>
                <w:szCs w:val="18"/>
              </w:rPr>
            </w:pPr>
            <w:r w:rsidRPr="00834CDC">
              <w:rPr>
                <w:sz w:val="18"/>
                <w:szCs w:val="18"/>
              </w:rPr>
              <w:t>97.2</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B1D1E3" w14:textId="77777777" w:rsidR="003057F3" w:rsidRPr="00834CDC" w:rsidRDefault="003057F3" w:rsidP="00457617">
            <w:pPr>
              <w:pStyle w:val="NormalWeb"/>
              <w:rPr>
                <w:sz w:val="18"/>
                <w:szCs w:val="18"/>
              </w:rPr>
            </w:pPr>
            <w:r w:rsidRPr="00834CDC">
              <w:rPr>
                <w:sz w:val="18"/>
                <w:szCs w:val="18"/>
              </w:rPr>
              <w:t>97.5</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CDBAE5" w14:textId="77777777" w:rsidR="003057F3" w:rsidRPr="00834CDC" w:rsidRDefault="003057F3" w:rsidP="00457617">
            <w:pPr>
              <w:pStyle w:val="NormalWeb"/>
              <w:rPr>
                <w:sz w:val="18"/>
                <w:szCs w:val="18"/>
              </w:rPr>
            </w:pPr>
            <w:r w:rsidRPr="00834CDC">
              <w:rPr>
                <w:sz w:val="18"/>
                <w:szCs w:val="18"/>
              </w:rPr>
              <w:t>96.1</w:t>
            </w:r>
          </w:p>
        </w:tc>
        <w:tc>
          <w:tcPr>
            <w:tcW w:w="9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87BD54" w14:textId="77777777" w:rsidR="003057F3" w:rsidRPr="00834CDC" w:rsidRDefault="003057F3" w:rsidP="00457617">
            <w:pPr>
              <w:pStyle w:val="NormalWeb"/>
              <w:rPr>
                <w:sz w:val="18"/>
                <w:szCs w:val="18"/>
              </w:rPr>
            </w:pPr>
            <w:r w:rsidRPr="00834CDC">
              <w:rPr>
                <w:sz w:val="18"/>
                <w:szCs w:val="18"/>
              </w:rPr>
              <w:t>96.9</w:t>
            </w:r>
          </w:p>
        </w:tc>
      </w:tr>
      <w:tr w:rsidR="003057F3" w:rsidRPr="00834CDC" w14:paraId="70F2E6AB" w14:textId="77777777" w:rsidTr="003057F3">
        <w:trPr>
          <w:divId w:val="1988506822"/>
        </w:trPr>
        <w:tc>
          <w:tcPr>
            <w:tcW w:w="41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0887DF" w14:textId="77777777" w:rsidR="003057F3" w:rsidRPr="00834CDC" w:rsidRDefault="003057F3" w:rsidP="003057F3">
            <w:pPr>
              <w:pStyle w:val="NormalWeb"/>
              <w:jc w:val="left"/>
              <w:rPr>
                <w:sz w:val="18"/>
                <w:szCs w:val="18"/>
              </w:rPr>
            </w:pPr>
            <w:r w:rsidRPr="00834CDC">
              <w:rPr>
                <w:sz w:val="18"/>
                <w:szCs w:val="18"/>
              </w:rPr>
              <w:t>Other</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512D4E" w14:textId="77777777" w:rsidR="003057F3" w:rsidRPr="00834CDC" w:rsidRDefault="003057F3" w:rsidP="00457617">
            <w:pPr>
              <w:pStyle w:val="NormalWeb"/>
              <w:rPr>
                <w:sz w:val="18"/>
                <w:szCs w:val="18"/>
              </w:rPr>
            </w:pPr>
            <w:r w:rsidRPr="00834CDC">
              <w:rPr>
                <w:sz w:val="18"/>
                <w:szCs w:val="18"/>
              </w:rPr>
              <w:t>94.9</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440B7C" w14:textId="77777777" w:rsidR="003057F3" w:rsidRPr="00834CDC" w:rsidRDefault="003057F3" w:rsidP="00457617">
            <w:pPr>
              <w:pStyle w:val="NormalWeb"/>
              <w:rPr>
                <w:sz w:val="18"/>
                <w:szCs w:val="18"/>
              </w:rPr>
            </w:pPr>
            <w:r w:rsidRPr="00834CDC">
              <w:rPr>
                <w:sz w:val="18"/>
                <w:szCs w:val="18"/>
              </w:rPr>
              <w:t>93.7</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798184" w14:textId="77777777" w:rsidR="003057F3" w:rsidRPr="00834CDC" w:rsidRDefault="003057F3" w:rsidP="00457617">
            <w:pPr>
              <w:pStyle w:val="NormalWeb"/>
              <w:rPr>
                <w:sz w:val="18"/>
                <w:szCs w:val="18"/>
              </w:rPr>
            </w:pPr>
            <w:r w:rsidRPr="00834CDC">
              <w:rPr>
                <w:sz w:val="18"/>
                <w:szCs w:val="18"/>
              </w:rPr>
              <w:t>92.4</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6A8D42" w14:textId="77777777" w:rsidR="003057F3" w:rsidRPr="00834CDC" w:rsidRDefault="003057F3" w:rsidP="00457617">
            <w:pPr>
              <w:pStyle w:val="NormalWeb"/>
              <w:rPr>
                <w:sz w:val="18"/>
                <w:szCs w:val="18"/>
              </w:rPr>
            </w:pPr>
            <w:r w:rsidRPr="00834CDC">
              <w:rPr>
                <w:sz w:val="18"/>
                <w:szCs w:val="18"/>
              </w:rPr>
              <w:t>93.6</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B9CA75" w14:textId="77777777" w:rsidR="003057F3" w:rsidRPr="00834CDC" w:rsidRDefault="003057F3" w:rsidP="00457617">
            <w:pPr>
              <w:pStyle w:val="NormalWeb"/>
              <w:rPr>
                <w:sz w:val="18"/>
                <w:szCs w:val="18"/>
              </w:rPr>
            </w:pPr>
            <w:r w:rsidRPr="00834CDC">
              <w:rPr>
                <w:sz w:val="18"/>
                <w:szCs w:val="18"/>
              </w:rPr>
              <w:t>94.1</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98CE29" w14:textId="77777777" w:rsidR="003057F3" w:rsidRPr="00834CDC" w:rsidRDefault="003057F3" w:rsidP="00457617">
            <w:pPr>
              <w:pStyle w:val="NormalWeb"/>
              <w:rPr>
                <w:sz w:val="18"/>
                <w:szCs w:val="18"/>
              </w:rPr>
            </w:pPr>
            <w:r w:rsidRPr="00834CDC">
              <w:rPr>
                <w:sz w:val="18"/>
                <w:szCs w:val="18"/>
              </w:rPr>
              <w:t>94.8</w:t>
            </w:r>
          </w:p>
        </w:tc>
        <w:tc>
          <w:tcPr>
            <w:tcW w:w="67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29C4DA" w14:textId="77777777" w:rsidR="003057F3" w:rsidRPr="00834CDC" w:rsidRDefault="003057F3" w:rsidP="00457617">
            <w:pPr>
              <w:pStyle w:val="NormalWeb"/>
              <w:rPr>
                <w:sz w:val="18"/>
                <w:szCs w:val="18"/>
              </w:rPr>
            </w:pPr>
            <w:r w:rsidRPr="00834CDC">
              <w:rPr>
                <w:sz w:val="18"/>
                <w:szCs w:val="18"/>
              </w:rPr>
              <w:t>95.2</w:t>
            </w:r>
          </w:p>
        </w:tc>
        <w:tc>
          <w:tcPr>
            <w:tcW w:w="6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719D62" w14:textId="77777777" w:rsidR="003057F3" w:rsidRPr="00834CDC" w:rsidRDefault="003057F3" w:rsidP="00457617">
            <w:pPr>
              <w:pStyle w:val="NormalWeb"/>
              <w:rPr>
                <w:sz w:val="18"/>
                <w:szCs w:val="18"/>
              </w:rPr>
            </w:pPr>
            <w:r w:rsidRPr="00834CDC">
              <w:rPr>
                <w:sz w:val="18"/>
                <w:szCs w:val="18"/>
              </w:rPr>
              <w:t>92.8</w:t>
            </w:r>
          </w:p>
        </w:tc>
        <w:tc>
          <w:tcPr>
            <w:tcW w:w="9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AFAFA9" w14:textId="77777777" w:rsidR="003057F3" w:rsidRPr="00834CDC" w:rsidRDefault="003057F3" w:rsidP="00457617">
            <w:pPr>
              <w:pStyle w:val="NormalWeb"/>
              <w:rPr>
                <w:sz w:val="18"/>
                <w:szCs w:val="18"/>
              </w:rPr>
            </w:pPr>
            <w:r w:rsidRPr="00834CDC">
              <w:rPr>
                <w:sz w:val="18"/>
                <w:szCs w:val="18"/>
              </w:rPr>
              <w:t>94.0</w:t>
            </w:r>
          </w:p>
        </w:tc>
      </w:tr>
    </w:tbl>
    <w:p w14:paraId="31882D20" w14:textId="77777777" w:rsidR="003057F3" w:rsidRPr="00834CDC" w:rsidRDefault="003057F3" w:rsidP="003057F3">
      <w:pPr>
        <w:pStyle w:val="CDIfootnotes"/>
        <w:divId w:val="1988506822"/>
      </w:pPr>
      <w:r w:rsidRPr="00834CDC">
        <w:t>a</w:t>
      </w:r>
      <w:r w:rsidRPr="00834CDC">
        <w:tab/>
        <w:t xml:space="preserve">Source: Australian Immunisation Register, data as </w:t>
      </w:r>
      <w:proofErr w:type="gramStart"/>
      <w:r w:rsidRPr="00834CDC">
        <w:t>at</w:t>
      </w:r>
      <w:proofErr w:type="gramEnd"/>
      <w:r w:rsidRPr="00834CDC">
        <w:t xml:space="preserve"> 31 March 2020.</w:t>
      </w:r>
    </w:p>
    <w:p w14:paraId="5037F9F8" w14:textId="77777777" w:rsidR="003057F3" w:rsidRPr="00834CDC" w:rsidRDefault="003057F3" w:rsidP="003057F3">
      <w:pPr>
        <w:pStyle w:val="CDIfootnotes"/>
        <w:divId w:val="1988506822"/>
      </w:pPr>
      <w:r w:rsidRPr="00834CDC">
        <w:t>b</w:t>
      </w:r>
      <w:r w:rsidRPr="00834CDC">
        <w:tab/>
        <w:t>ACT: Australian Capital Territory; NSW: New South Wales; NT: Northern Territory; Qld: Queensland; SA: South Australia; Tas.: Tasmania; Vic.: Victoria; WA: Western Australia.</w:t>
      </w:r>
    </w:p>
    <w:p w14:paraId="0E7D74AA" w14:textId="77777777" w:rsidR="003057F3" w:rsidRPr="00834CDC" w:rsidRDefault="003057F3" w:rsidP="003057F3">
      <w:pPr>
        <w:pStyle w:val="CDIfootnotes"/>
        <w:divId w:val="1988506822"/>
      </w:pPr>
      <w:r w:rsidRPr="00834CDC">
        <w:t>c</w:t>
      </w:r>
      <w:r w:rsidRPr="00834CDC">
        <w:tab/>
        <w:t>Cohort born 1 January 2018 – 31 December 2018 - ‘Fully vaccinated’ at 12 months defined as a child having a record on the AIR of 3 doses of a diphtheria-tetanus-pertussis (</w:t>
      </w:r>
      <w:proofErr w:type="spellStart"/>
      <w:r w:rsidRPr="00834CDC">
        <w:t>DTPa</w:t>
      </w:r>
      <w:proofErr w:type="spellEnd"/>
      <w:r w:rsidRPr="00834CDC">
        <w:t>)-containing vaccine; 3 doses of a polio vaccine; 2 or 3 doses of a PRP-OMP-containing Haemophilus influenzae type b (Hib) vaccine or 3 doses of any other Hib vaccine; 3 doses of a hepatitis B vaccine; and 2 or 3 doses of a pneumococcal conjugate vaccine.</w:t>
      </w:r>
    </w:p>
    <w:p w14:paraId="7DF161DD" w14:textId="77777777" w:rsidR="003057F3" w:rsidRPr="00834CDC" w:rsidRDefault="003057F3" w:rsidP="003057F3">
      <w:pPr>
        <w:pStyle w:val="CDIfootnotes"/>
        <w:divId w:val="1988506822"/>
      </w:pPr>
      <w:r w:rsidRPr="00834CDC">
        <w:t>d</w:t>
      </w:r>
      <w:r w:rsidRPr="00834CDC">
        <w:tab/>
        <w:t xml:space="preserve">Cohort born 1 January 2017 – 31 December 2017. ‘Fully vaccinated’ – 4 doses of a </w:t>
      </w:r>
      <w:proofErr w:type="spellStart"/>
      <w:r w:rsidRPr="00834CDC">
        <w:t>DTPa</w:t>
      </w:r>
      <w:proofErr w:type="spellEnd"/>
      <w:r w:rsidRPr="00834CDC">
        <w:t>-containing vaccine; 3 doses of a polio vaccine; 3 or 4 doses of a PRP-OMP-containing Hib vaccine or 4 doses of any other Hib vaccine; 3 doses of a hepatitis B vaccine; 2 doses of a measles-mumps-rubella (MMR)-containing vaccine; 1 dose of meningococcal C-containing vaccine; 1 dose of varicella vaccine and 3 doses of a pneumococcal conjugate vaccine.</w:t>
      </w:r>
    </w:p>
    <w:p w14:paraId="30445FC2" w14:textId="77777777" w:rsidR="003057F3" w:rsidRPr="00834CDC" w:rsidRDefault="003057F3" w:rsidP="003057F3">
      <w:pPr>
        <w:pStyle w:val="CDIfootnotes"/>
        <w:divId w:val="1988506822"/>
      </w:pPr>
      <w:r w:rsidRPr="00834CDC">
        <w:t>e</w:t>
      </w:r>
      <w:r w:rsidRPr="00834CDC">
        <w:tab/>
        <w:t xml:space="preserve">Cohort born 1 January 2014 – 31 December 2014. ‘Fully vaccinated’ – 4 or 5 doses of a </w:t>
      </w:r>
      <w:proofErr w:type="spellStart"/>
      <w:r w:rsidRPr="00834CDC">
        <w:t>DTPa</w:t>
      </w:r>
      <w:proofErr w:type="spellEnd"/>
      <w:r w:rsidRPr="00834CDC">
        <w:t xml:space="preserve">-containing vaccine and </w:t>
      </w:r>
      <w:proofErr w:type="gramStart"/>
      <w:r w:rsidRPr="00834CDC">
        <w:t>4</w:t>
      </w:r>
      <w:proofErr w:type="gramEnd"/>
      <w:r w:rsidRPr="00834CDC">
        <w:t xml:space="preserve"> doses of a polio vaccine.</w:t>
      </w:r>
    </w:p>
    <w:p w14:paraId="226D5702" w14:textId="77777777" w:rsidR="0033445F" w:rsidRPr="00834CDC" w:rsidRDefault="0033445F" w:rsidP="0033445F">
      <w:pPr>
        <w:divId w:val="1988506822"/>
      </w:pPr>
      <w:r w:rsidRPr="00834CDC">
        <w:t xml:space="preserve">‘Fully vaccinated’ coverage at 12 months of age in 2019 was 1.5 percentage points lower among Aboriginal and Torres Strait Islander children than other children in Australia, with the differential by </w:t>
      </w:r>
      <w:proofErr w:type="gramStart"/>
      <w:r w:rsidRPr="00834CDC">
        <w:t>jurisdiction</w:t>
      </w:r>
      <w:proofErr w:type="gramEnd"/>
      <w:r w:rsidRPr="00834CDC">
        <w:t xml:space="preserve"> varying from 6.0 percentage points lower in Western Australia to 1.5 percentage points higher in the Australian Capital Territory (Table 26). </w:t>
      </w:r>
    </w:p>
    <w:p w14:paraId="57AFB08E" w14:textId="77777777" w:rsidR="0033445F" w:rsidRPr="00834CDC" w:rsidRDefault="0033445F" w:rsidP="0033445F">
      <w:pPr>
        <w:divId w:val="1988506822"/>
      </w:pPr>
      <w:r w:rsidRPr="00834CDC">
        <w:t xml:space="preserve">In 2019, ‘fully vaccinated’ coverage at 24 months of age among Aboriginal and Torres Strait Islander children was 1.1 percentage points lower than that in other children in Australia, with the differential by </w:t>
      </w:r>
      <w:proofErr w:type="gramStart"/>
      <w:r w:rsidRPr="00834CDC">
        <w:t>jurisdiction</w:t>
      </w:r>
      <w:proofErr w:type="gramEnd"/>
      <w:r w:rsidRPr="00834CDC">
        <w:t xml:space="preserve"> varying from 6.2 percentage points lower in South Australia to 2.5 percentage points higher in Tasmania (Table 26). </w:t>
      </w:r>
    </w:p>
    <w:p w14:paraId="0A1526B5" w14:textId="77777777" w:rsidR="0033445F" w:rsidRPr="00834CDC" w:rsidRDefault="0033445F" w:rsidP="0033445F">
      <w:pPr>
        <w:divId w:val="1988506822"/>
      </w:pPr>
      <w:r w:rsidRPr="00834CDC">
        <w:t xml:space="preserve">‘Fully vaccinated’ coverage at 60 months of age in 2019 was 2.9 percentage points higher among Aboriginal and Torres Strait Islander children than that in other children in Australia and all jurisdictions, with the differential by </w:t>
      </w:r>
      <w:proofErr w:type="gramStart"/>
      <w:r w:rsidRPr="00834CDC">
        <w:t>jurisdiction</w:t>
      </w:r>
      <w:proofErr w:type="gramEnd"/>
      <w:r w:rsidRPr="00834CDC">
        <w:t xml:space="preserve"> varying from 1.6 percentage points higher in South Australia to 5.0 percentage points higher in the Northern Territory (Table 26). </w:t>
      </w:r>
    </w:p>
    <w:p w14:paraId="687AAF8A" w14:textId="77777777" w:rsidR="0033445F" w:rsidRPr="00834CDC" w:rsidRDefault="0033445F" w:rsidP="0033445F">
      <w:pPr>
        <w:divId w:val="1988506822"/>
      </w:pPr>
      <w:r w:rsidRPr="00834CDC">
        <w:t xml:space="preserve">‘Fully vaccinated’ coverage at 12 months of age for Aboriginal and Torres Strait Islander children </w:t>
      </w:r>
      <w:proofErr w:type="gramStart"/>
      <w:r w:rsidRPr="00834CDC">
        <w:t>is presented</w:t>
      </w:r>
      <w:proofErr w:type="gramEnd"/>
      <w:r w:rsidRPr="00834CDC">
        <w:t xml:space="preserve"> by SA4 in Figure 21. Throughout each </w:t>
      </w:r>
      <w:proofErr w:type="gramStart"/>
      <w:r w:rsidRPr="00834CDC">
        <w:t>jurisdiction</w:t>
      </w:r>
      <w:proofErr w:type="gramEnd"/>
      <w:r w:rsidRPr="00834CDC">
        <w:t xml:space="preserve"> there was considerable variation in the percentage of Aboriginal and Torres Strait Islander children assessed as ‘fully vaccinated’ at 12 months of age. While there were 18 SA4s with coverage below 90%, there were 24 SA4s with coverage in Aboriginal and Torres Strait Islander children at 12 months of age ≥ 95%, higher than the national figure for ‘fully vaccinated’ in other children at the same milestone (Figure 21). </w:t>
      </w:r>
    </w:p>
    <w:p w14:paraId="3609770F" w14:textId="77777777" w:rsidR="004B3D78" w:rsidRPr="00834CDC" w:rsidRDefault="004B3D78">
      <w:pPr>
        <w:rPr>
          <w:rFonts w:asciiTheme="majorHAnsi" w:eastAsiaTheme="majorEastAsia" w:hAnsiTheme="majorHAnsi" w:cstheme="majorBidi"/>
          <w:b/>
          <w:bCs/>
        </w:rPr>
      </w:pPr>
      <w:r w:rsidRPr="00834CDC">
        <w:br w:type="page"/>
      </w:r>
    </w:p>
    <w:p w14:paraId="2429442E" w14:textId="6A0F6106" w:rsidR="004B3D78" w:rsidRPr="00834CDC" w:rsidRDefault="004B3D78" w:rsidP="004B3D78">
      <w:pPr>
        <w:pStyle w:val="NormalWeb"/>
        <w:divId w:val="1988506822"/>
        <w:rPr>
          <w:rStyle w:val="Strong"/>
        </w:rPr>
      </w:pPr>
      <w:r w:rsidRPr="00834CDC">
        <w:rPr>
          <w:rStyle w:val="Strong"/>
        </w:rPr>
        <w:lastRenderedPageBreak/>
        <w:t>Figure 21: ‘Fully vaccinated’</w:t>
      </w:r>
      <w:r w:rsidR="00E13CB5" w:rsidRPr="00834CDC">
        <w:rPr>
          <w:rStyle w:val="Strong"/>
        </w:rPr>
        <w:t xml:space="preserve"> </w:t>
      </w:r>
      <w:r w:rsidRPr="00834CDC">
        <w:rPr>
          <w:rStyle w:val="Strong"/>
          <w:vertAlign w:val="superscript"/>
        </w:rPr>
        <w:t>a</w:t>
      </w:r>
      <w:r w:rsidRPr="00834CDC">
        <w:rPr>
          <w:rStyle w:val="Strong"/>
        </w:rPr>
        <w:t xml:space="preserve"> coverage at 12 months of age</w:t>
      </w:r>
      <w:r w:rsidR="009A1582" w:rsidRPr="00834CDC">
        <w:rPr>
          <w:rStyle w:val="Strong"/>
        </w:rPr>
        <w:t xml:space="preserve"> </w:t>
      </w:r>
      <w:r w:rsidRPr="00834CDC">
        <w:rPr>
          <w:rStyle w:val="Strong"/>
          <w:vertAlign w:val="superscript"/>
        </w:rPr>
        <w:t>b</w:t>
      </w:r>
      <w:r w:rsidRPr="00834CDC">
        <w:rPr>
          <w:rStyle w:val="Strong"/>
        </w:rPr>
        <w:t xml:space="preserve"> in Aboriginal and Torres Strait Islander children by Statistical Area 4 (SA4</w:t>
      </w:r>
      <w:proofErr w:type="gramStart"/>
      <w:r w:rsidRPr="00834CDC">
        <w:rPr>
          <w:rStyle w:val="Strong"/>
        </w:rPr>
        <w:t>),</w:t>
      </w:r>
      <w:r w:rsidRPr="006C707B">
        <w:rPr>
          <w:rStyle w:val="Strong"/>
          <w:vertAlign w:val="superscript"/>
        </w:rPr>
        <w:t>c</w:t>
      </w:r>
      <w:proofErr w:type="gramEnd"/>
      <w:r w:rsidRPr="00834CDC">
        <w:rPr>
          <w:rStyle w:val="Strong"/>
        </w:rPr>
        <w:t xml:space="preserve"> Australia, 2019</w:t>
      </w:r>
      <w:r w:rsidR="006C707B">
        <w:rPr>
          <w:rStyle w:val="Strong"/>
        </w:rPr>
        <w:t xml:space="preserve"> </w:t>
      </w:r>
      <w:r w:rsidRPr="006C707B">
        <w:rPr>
          <w:rStyle w:val="Strong"/>
          <w:vertAlign w:val="superscript"/>
        </w:rPr>
        <w:t>d</w:t>
      </w:r>
    </w:p>
    <w:p w14:paraId="542704DA" w14:textId="098B8503" w:rsidR="004B3D78" w:rsidRPr="00834CDC" w:rsidRDefault="004B3D78" w:rsidP="004B3D78">
      <w:pPr>
        <w:pStyle w:val="NormalWeb"/>
        <w:divId w:val="1988506822"/>
      </w:pPr>
      <w:r w:rsidRPr="00834CDC">
        <w:rPr>
          <w:noProof/>
        </w:rPr>
        <w:drawing>
          <wp:inline distT="0" distB="0" distL="0" distR="0" wp14:anchorId="546FE486" wp14:editId="29248329">
            <wp:extent cx="6637781" cy="5129195"/>
            <wp:effectExtent l="0" t="0" r="0" b="0"/>
            <wp:docPr id="194" name="Picture 194" descr="Map of ‘fully vaccinated’ coverage at 12 months of age in Aboriginal and Torres Strait Islander children by Statistical Area 4 (SA4) level in 2019. The map shows considerable variation in cover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Map of ‘fully vaccinated’ coverage at 12 months of age in Aboriginal and Torres Strait Islander children by Statistical Area 4 (SA4) level in 2019. The map shows considerable variation in coverage. &#10;"/>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6637781" cy="5129195"/>
                    </a:xfrm>
                    <a:prstGeom prst="rect">
                      <a:avLst/>
                    </a:prstGeom>
                  </pic:spPr>
                </pic:pic>
              </a:graphicData>
            </a:graphic>
          </wp:inline>
        </w:drawing>
      </w:r>
    </w:p>
    <w:p w14:paraId="51E65EC1" w14:textId="77777777" w:rsidR="004B3D78" w:rsidRPr="00834CDC" w:rsidRDefault="004B3D78" w:rsidP="004B3D78">
      <w:pPr>
        <w:pStyle w:val="CDIfootnotes"/>
        <w:divId w:val="1988506822"/>
      </w:pPr>
      <w:r w:rsidRPr="00834CDC">
        <w:t>a</w:t>
      </w:r>
      <w:r w:rsidRPr="00834CDC">
        <w:tab/>
        <w:t>‘Fully vaccinated’ at 12 months defined as a child having a record on the AIR of 3 doses of a diphtheria-tetanus-pertussis (</w:t>
      </w:r>
      <w:proofErr w:type="spellStart"/>
      <w:r w:rsidRPr="00834CDC">
        <w:t>DTPa</w:t>
      </w:r>
      <w:proofErr w:type="spellEnd"/>
      <w:r w:rsidRPr="00834CDC">
        <w:t>)-containing vaccine; 3 doses of a polio vaccine; 2 or 3 doses of a PRP-OMP-containing Haemophilus influenzae type b (Hib) vaccine or 3 doses of any other Hib vaccine; 3 doses of a hepatitis B vaccine; and 2 or 3 doses of a pneumococcal conjugate vaccine.</w:t>
      </w:r>
    </w:p>
    <w:p w14:paraId="0DCDE895" w14:textId="77777777" w:rsidR="004B3D78" w:rsidRPr="00834CDC" w:rsidRDefault="004B3D78" w:rsidP="004B3D78">
      <w:pPr>
        <w:pStyle w:val="CDIfootnotes"/>
        <w:divId w:val="1988506822"/>
      </w:pPr>
      <w:r w:rsidRPr="00834CDC">
        <w:t>b</w:t>
      </w:r>
      <w:r w:rsidRPr="00834CDC">
        <w:tab/>
        <w:t>Cohort born 1 January 2018 – 31 December 2018.</w:t>
      </w:r>
    </w:p>
    <w:p w14:paraId="2F606722" w14:textId="77777777" w:rsidR="004B3D78" w:rsidRPr="00834CDC" w:rsidRDefault="004B3D78" w:rsidP="004B3D78">
      <w:pPr>
        <w:pStyle w:val="CDIfootnotes"/>
        <w:divId w:val="1988506822"/>
      </w:pPr>
      <w:r w:rsidRPr="00834CDC">
        <w:t>c</w:t>
      </w:r>
      <w:r w:rsidRPr="00834CDC">
        <w:tab/>
        <w:t>Number of SA4s in each category in parentheses.</w:t>
      </w:r>
    </w:p>
    <w:p w14:paraId="487A68E1" w14:textId="6652182C" w:rsidR="004B3D78" w:rsidRPr="00834CDC" w:rsidRDefault="004B3D78" w:rsidP="004B3D78">
      <w:pPr>
        <w:pStyle w:val="CDIfootnotes"/>
        <w:divId w:val="1988506822"/>
      </w:pPr>
      <w:r w:rsidRPr="00834CDC">
        <w:t>d</w:t>
      </w:r>
      <w:r w:rsidRPr="00834CDC">
        <w:tab/>
        <w:t xml:space="preserve">Source: Australian Immunisation Register, data as </w:t>
      </w:r>
      <w:proofErr w:type="gramStart"/>
      <w:r w:rsidRPr="00834CDC">
        <w:t>at</w:t>
      </w:r>
      <w:proofErr w:type="gramEnd"/>
      <w:r w:rsidRPr="00834CDC">
        <w:t xml:space="preserve"> 31 March 2020.</w:t>
      </w:r>
    </w:p>
    <w:p w14:paraId="45AD2D67" w14:textId="2E560BA5" w:rsidR="0033445F" w:rsidRPr="00834CDC" w:rsidRDefault="0033445F" w:rsidP="0033445F">
      <w:pPr>
        <w:pStyle w:val="Heading3"/>
        <w:divId w:val="1988506822"/>
      </w:pPr>
      <w:r w:rsidRPr="00834CDC">
        <w:t xml:space="preserve">Individual vaccines </w:t>
      </w:r>
    </w:p>
    <w:p w14:paraId="1FB3B451" w14:textId="440C72D1" w:rsidR="0033445F" w:rsidRPr="00834CDC" w:rsidRDefault="0033445F" w:rsidP="0033445F">
      <w:pPr>
        <w:divId w:val="1988506822"/>
      </w:pPr>
      <w:r w:rsidRPr="00834CDC">
        <w:t xml:space="preserve">The national 2019 coverage estimates for each individual vaccine assessed at the three milestone ages </w:t>
      </w:r>
      <w:proofErr w:type="gramStart"/>
      <w:r w:rsidRPr="00834CDC">
        <w:t>are provided</w:t>
      </w:r>
      <w:proofErr w:type="gramEnd"/>
      <w:r w:rsidRPr="00834CDC">
        <w:t xml:space="preserve"> in Table 27 by Aboriginal and Torres Strait Islander status. Coverage was lower among Aboriginal and Torres Strait Islander children for all vaccines at 12 months of age than among other children, </w:t>
      </w:r>
      <w:proofErr w:type="gramStart"/>
      <w:r w:rsidRPr="00834CDC">
        <w:t>with the exception of</w:t>
      </w:r>
      <w:proofErr w:type="gramEnd"/>
      <w:r w:rsidRPr="00834CDC">
        <w:t xml:space="preserve"> the 13-valent pneumococcal conjugate vaccine which was 0.9 percentage points higher. For coverage of individual vaccines assessed at 12 months of age, the difference in the estimates for Aboriginal and Torres Strait Islander and other children was between 1.8% and 2.0%, </w:t>
      </w:r>
      <w:proofErr w:type="gramStart"/>
      <w:r w:rsidRPr="00834CDC">
        <w:t>similar to</w:t>
      </w:r>
      <w:proofErr w:type="gramEnd"/>
      <w:r w:rsidRPr="00834CDC">
        <w:t xml:space="preserve"> the difference in ‘fully vaccinated’ coverage at this milestone (1.5%), except for rotavirus vaccine coverage for which there is an upper age limit. Rotavirus coverage was 4.9 percentage points lower in Aboriginal and Torres Strait Islander children than in other children. At 24 months of age, coverage of the polio, </w:t>
      </w:r>
      <w:proofErr w:type="spellStart"/>
      <w:r w:rsidRPr="00834CDC">
        <w:t>HiB</w:t>
      </w:r>
      <w:proofErr w:type="spellEnd"/>
      <w:r w:rsidRPr="00834CDC">
        <w:t xml:space="preserve">, hepatitis B, MMR (first dose), meningococcal C vaccines and 13-valent pneumococcal conjugate vaccine was higher among Aboriginal and Torres Strait Islander children than in other children. Coverage for all </w:t>
      </w:r>
      <w:r w:rsidRPr="00834CDC">
        <w:lastRenderedPageBreak/>
        <w:t xml:space="preserve">vaccines assessed at the 60 months milestone was higher among Aboriginal and Torres Strait Islander children than among other children at 60 months of age. </w:t>
      </w:r>
    </w:p>
    <w:p w14:paraId="367B7B60" w14:textId="77777777" w:rsidR="008B7EBB" w:rsidRPr="00834CDC" w:rsidRDefault="008B7EBB" w:rsidP="008B7EBB">
      <w:pPr>
        <w:pStyle w:val="CDIFigures"/>
        <w:divId w:val="1988506822"/>
      </w:pPr>
      <w:r w:rsidRPr="00834CDC">
        <w:rPr>
          <w:rStyle w:val="Strong"/>
          <w:b/>
          <w:bCs w:val="0"/>
        </w:rPr>
        <w:t>Table 27: Vaccination coverage estimates (%) by age, vaccine and Aboriginal and Torres Strait Islander status, Australia, 2019</w:t>
      </w:r>
      <w:r w:rsidRPr="00834CDC">
        <w:rPr>
          <w:rStyle w:val="Strong"/>
          <w:b/>
          <w:bCs w:val="0"/>
          <w:vertAlign w:val="superscript"/>
        </w:rPr>
        <w:t>a</w:t>
      </w:r>
    </w:p>
    <w:tbl>
      <w:tblPr>
        <w:tblStyle w:val="CDI-StandardTable"/>
        <w:tblW w:w="0" w:type="auto"/>
        <w:tblLook w:val="04A0" w:firstRow="1" w:lastRow="0" w:firstColumn="1" w:lastColumn="0" w:noHBand="0" w:noVBand="1"/>
        <w:tblDescription w:val="Table 27 shows vaccination coverage estimates by age, vaccine and Aboriginal and Torres Strait Islander status, Australia, 2019.&#10;"/>
      </w:tblPr>
      <w:tblGrid>
        <w:gridCol w:w="2932"/>
        <w:gridCol w:w="1974"/>
        <w:gridCol w:w="3567"/>
        <w:gridCol w:w="1987"/>
      </w:tblGrid>
      <w:tr w:rsidR="008B7EBB" w:rsidRPr="00834CDC" w14:paraId="37D48343" w14:textId="77777777" w:rsidTr="00054F45">
        <w:trPr>
          <w:cnfStyle w:val="100000000000" w:firstRow="1" w:lastRow="0" w:firstColumn="0" w:lastColumn="0" w:oddVBand="0" w:evenVBand="0" w:oddHBand="0" w:evenHBand="0" w:firstRowFirstColumn="0" w:firstRowLastColumn="0" w:lastRowFirstColumn="0" w:lastRowLastColumn="0"/>
          <w:divId w:val="1988506822"/>
        </w:trPr>
        <w:tc>
          <w:tcPr>
            <w:tcW w:w="0" w:type="auto"/>
            <w:tcBorders>
              <w:bottom w:val="single" w:sz="2" w:space="0" w:color="808080" w:themeColor="background1" w:themeShade="80"/>
            </w:tcBorders>
            <w:hideMark/>
          </w:tcPr>
          <w:p w14:paraId="3A38D0BE" w14:textId="77777777" w:rsidR="008B7EBB" w:rsidRPr="00834CDC" w:rsidRDefault="008B7EBB" w:rsidP="007F501C">
            <w:pPr>
              <w:pStyle w:val="NormalWeb"/>
              <w:jc w:val="left"/>
              <w:rPr>
                <w:sz w:val="18"/>
                <w:szCs w:val="18"/>
              </w:rPr>
            </w:pPr>
            <w:r w:rsidRPr="00834CDC">
              <w:rPr>
                <w:sz w:val="18"/>
                <w:szCs w:val="18"/>
              </w:rPr>
              <w:t>Vaccine</w:t>
            </w:r>
          </w:p>
        </w:tc>
        <w:tc>
          <w:tcPr>
            <w:tcW w:w="0" w:type="auto"/>
            <w:tcBorders>
              <w:bottom w:val="single" w:sz="2" w:space="0" w:color="808080" w:themeColor="background1" w:themeShade="80"/>
            </w:tcBorders>
            <w:hideMark/>
          </w:tcPr>
          <w:p w14:paraId="30ACCBB6" w14:textId="77777777" w:rsidR="008B7EBB" w:rsidRPr="00834CDC" w:rsidRDefault="008B7EBB" w:rsidP="00457617">
            <w:pPr>
              <w:pStyle w:val="NormalWeb"/>
              <w:rPr>
                <w:sz w:val="18"/>
                <w:szCs w:val="18"/>
              </w:rPr>
            </w:pPr>
            <w:r w:rsidRPr="00834CDC">
              <w:rPr>
                <w:sz w:val="18"/>
                <w:szCs w:val="18"/>
              </w:rPr>
              <w:t>Milestone age</w:t>
            </w:r>
          </w:p>
        </w:tc>
        <w:tc>
          <w:tcPr>
            <w:tcW w:w="0" w:type="auto"/>
            <w:tcBorders>
              <w:bottom w:val="single" w:sz="2" w:space="0" w:color="808080" w:themeColor="background1" w:themeShade="80"/>
            </w:tcBorders>
            <w:hideMark/>
          </w:tcPr>
          <w:p w14:paraId="700FD1EB" w14:textId="79FD8838" w:rsidR="008B7EBB" w:rsidRPr="00834CDC" w:rsidRDefault="008B7EBB" w:rsidP="00457617">
            <w:pPr>
              <w:pStyle w:val="NormalWeb"/>
              <w:rPr>
                <w:sz w:val="18"/>
                <w:szCs w:val="18"/>
              </w:rPr>
            </w:pPr>
            <w:r w:rsidRPr="00834CDC">
              <w:rPr>
                <w:sz w:val="18"/>
                <w:szCs w:val="18"/>
              </w:rPr>
              <w:t>Aboriginal and Torres Strait Islander children</w:t>
            </w:r>
            <w:r w:rsidR="00054F45" w:rsidRPr="00834CDC">
              <w:rPr>
                <w:sz w:val="18"/>
                <w:szCs w:val="18"/>
              </w:rPr>
              <w:t xml:space="preserve"> </w:t>
            </w:r>
            <w:r w:rsidRPr="00834CDC">
              <w:rPr>
                <w:sz w:val="18"/>
                <w:szCs w:val="18"/>
                <w:vertAlign w:val="superscript"/>
              </w:rPr>
              <w:t>b</w:t>
            </w:r>
          </w:p>
        </w:tc>
        <w:tc>
          <w:tcPr>
            <w:tcW w:w="1987" w:type="dxa"/>
            <w:tcBorders>
              <w:bottom w:val="single" w:sz="2" w:space="0" w:color="808080" w:themeColor="background1" w:themeShade="80"/>
            </w:tcBorders>
            <w:hideMark/>
          </w:tcPr>
          <w:p w14:paraId="29F5052E" w14:textId="0E5FC86E" w:rsidR="008B7EBB" w:rsidRPr="00834CDC" w:rsidRDefault="008B7EBB" w:rsidP="00457617">
            <w:pPr>
              <w:pStyle w:val="NormalWeb"/>
              <w:rPr>
                <w:sz w:val="18"/>
                <w:szCs w:val="18"/>
              </w:rPr>
            </w:pPr>
            <w:r w:rsidRPr="00834CDC">
              <w:rPr>
                <w:sz w:val="18"/>
                <w:szCs w:val="18"/>
              </w:rPr>
              <w:t>Other children</w:t>
            </w:r>
            <w:r w:rsidR="00054F45" w:rsidRPr="00834CDC">
              <w:rPr>
                <w:sz w:val="18"/>
                <w:szCs w:val="18"/>
              </w:rPr>
              <w:t xml:space="preserve"> </w:t>
            </w:r>
            <w:r w:rsidRPr="00834CDC">
              <w:rPr>
                <w:sz w:val="18"/>
                <w:szCs w:val="18"/>
                <w:vertAlign w:val="superscript"/>
              </w:rPr>
              <w:t>b</w:t>
            </w:r>
          </w:p>
        </w:tc>
      </w:tr>
      <w:tr w:rsidR="008B7EBB" w:rsidRPr="00834CDC" w14:paraId="1229F3C7" w14:textId="77777777" w:rsidTr="00054F45">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BC7B1A" w14:textId="77777777" w:rsidR="008B7EBB" w:rsidRPr="00834CDC" w:rsidRDefault="008B7EBB" w:rsidP="007F501C">
            <w:pPr>
              <w:pStyle w:val="NormalWeb"/>
              <w:jc w:val="left"/>
              <w:rPr>
                <w:sz w:val="18"/>
                <w:szCs w:val="18"/>
              </w:rPr>
            </w:pPr>
            <w:r w:rsidRPr="00834CDC">
              <w:rPr>
                <w:sz w:val="18"/>
                <w:szCs w:val="18"/>
              </w:rPr>
              <w:t>Diphtheria, tetanus, acellular pertussis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CB8583" w14:textId="0062C2D0" w:rsidR="008B7EBB" w:rsidRPr="00834CDC" w:rsidRDefault="008B7EBB" w:rsidP="00457617">
            <w:pPr>
              <w:pStyle w:val="NormalWeb"/>
              <w:rPr>
                <w:sz w:val="18"/>
                <w:szCs w:val="18"/>
              </w:rPr>
            </w:pPr>
            <w:r w:rsidRPr="00834CDC">
              <w:rPr>
                <w:sz w:val="18"/>
                <w:szCs w:val="18"/>
              </w:rPr>
              <w:t>12 months</w:t>
            </w:r>
            <w:r w:rsidR="00054F45" w:rsidRPr="00834CDC">
              <w:rPr>
                <w:sz w:val="18"/>
                <w:szCs w:val="18"/>
              </w:rPr>
              <w:t xml:space="preserve"> </w:t>
            </w:r>
            <w:r w:rsidRPr="00834CDC">
              <w:rPr>
                <w:sz w:val="18"/>
                <w:szCs w:val="18"/>
                <w:vertAlign w:val="superscript"/>
              </w:rPr>
              <w:t>c</w:t>
            </w:r>
            <w:r w:rsidRPr="00834CDC">
              <w:rPr>
                <w:sz w:val="18"/>
                <w:szCs w:val="18"/>
              </w:rPr>
              <w:t xml:space="preserve"> (Dose 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CDD02D" w14:textId="77777777" w:rsidR="008B7EBB" w:rsidRPr="00834CDC" w:rsidRDefault="008B7EBB" w:rsidP="00457617">
            <w:pPr>
              <w:pStyle w:val="NormalWeb"/>
              <w:rPr>
                <w:sz w:val="18"/>
                <w:szCs w:val="18"/>
              </w:rPr>
            </w:pPr>
            <w:r w:rsidRPr="00834CDC">
              <w:rPr>
                <w:sz w:val="18"/>
                <w:szCs w:val="18"/>
              </w:rPr>
              <w:t>93.2</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B8232A" w14:textId="77777777" w:rsidR="008B7EBB" w:rsidRPr="00834CDC" w:rsidRDefault="008B7EBB" w:rsidP="00457617">
            <w:pPr>
              <w:pStyle w:val="NormalWeb"/>
              <w:rPr>
                <w:sz w:val="18"/>
                <w:szCs w:val="18"/>
              </w:rPr>
            </w:pPr>
            <w:r w:rsidRPr="00834CDC">
              <w:rPr>
                <w:sz w:val="18"/>
                <w:szCs w:val="18"/>
              </w:rPr>
              <w:t>95.1</w:t>
            </w:r>
          </w:p>
        </w:tc>
      </w:tr>
      <w:tr w:rsidR="00054F45" w:rsidRPr="00834CDC" w14:paraId="1F2555E3"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79D3F6"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C566D2" w14:textId="0B98CFA6" w:rsidR="008B7EBB" w:rsidRPr="00834CDC" w:rsidRDefault="008B7EBB" w:rsidP="00457617">
            <w:pPr>
              <w:pStyle w:val="NormalWeb"/>
              <w:rPr>
                <w:sz w:val="18"/>
                <w:szCs w:val="18"/>
              </w:rPr>
            </w:pPr>
            <w:r w:rsidRPr="00834CDC">
              <w:rPr>
                <w:sz w:val="18"/>
                <w:szCs w:val="18"/>
              </w:rPr>
              <w:t>24 months</w:t>
            </w:r>
            <w:r w:rsidR="00054F45" w:rsidRPr="00834CDC">
              <w:rPr>
                <w:sz w:val="18"/>
                <w:szCs w:val="18"/>
              </w:rPr>
              <w:t xml:space="preserve"> </w:t>
            </w:r>
            <w:r w:rsidRPr="00834CDC">
              <w:rPr>
                <w:sz w:val="18"/>
                <w:szCs w:val="18"/>
                <w:vertAlign w:val="superscript"/>
              </w:rPr>
              <w:t>d</w:t>
            </w:r>
            <w:r w:rsidRPr="00834CDC">
              <w:rPr>
                <w:sz w:val="18"/>
                <w:szCs w:val="18"/>
              </w:rPr>
              <w:t xml:space="preserve"> (Dose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067A33" w14:textId="77777777" w:rsidR="008B7EBB" w:rsidRPr="00834CDC" w:rsidRDefault="008B7EBB" w:rsidP="00457617">
            <w:pPr>
              <w:pStyle w:val="NormalWeb"/>
              <w:rPr>
                <w:sz w:val="18"/>
                <w:szCs w:val="18"/>
              </w:rPr>
            </w:pPr>
            <w:r w:rsidRPr="00834CDC">
              <w:rPr>
                <w:sz w:val="18"/>
                <w:szCs w:val="18"/>
              </w:rPr>
              <w:t>91.5</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8AF6A7" w14:textId="77777777" w:rsidR="008B7EBB" w:rsidRPr="00834CDC" w:rsidRDefault="008B7EBB" w:rsidP="00457617">
            <w:pPr>
              <w:pStyle w:val="NormalWeb"/>
              <w:rPr>
                <w:sz w:val="18"/>
                <w:szCs w:val="18"/>
              </w:rPr>
            </w:pPr>
            <w:r w:rsidRPr="00834CDC">
              <w:rPr>
                <w:sz w:val="18"/>
                <w:szCs w:val="18"/>
              </w:rPr>
              <w:t>93.2</w:t>
            </w:r>
          </w:p>
        </w:tc>
      </w:tr>
      <w:tr w:rsidR="008B7EBB" w:rsidRPr="00834CDC" w14:paraId="3602400F" w14:textId="77777777" w:rsidTr="00054F45">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5CAA8C"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07A8D4" w14:textId="67D85F2E" w:rsidR="008B7EBB" w:rsidRPr="00834CDC" w:rsidRDefault="008B7EBB" w:rsidP="00457617">
            <w:pPr>
              <w:pStyle w:val="NormalWeb"/>
              <w:rPr>
                <w:sz w:val="18"/>
                <w:szCs w:val="18"/>
              </w:rPr>
            </w:pPr>
            <w:r w:rsidRPr="00834CDC">
              <w:rPr>
                <w:sz w:val="18"/>
                <w:szCs w:val="18"/>
              </w:rPr>
              <w:t>60 months</w:t>
            </w:r>
            <w:r w:rsidR="00054F45" w:rsidRPr="00834CDC">
              <w:rPr>
                <w:sz w:val="18"/>
                <w:szCs w:val="18"/>
              </w:rPr>
              <w:t xml:space="preserve"> </w:t>
            </w:r>
            <w:r w:rsidRPr="00834CDC">
              <w:rPr>
                <w:sz w:val="18"/>
                <w:szCs w:val="18"/>
                <w:vertAlign w:val="superscript"/>
              </w:rPr>
              <w:t>e</w:t>
            </w:r>
            <w:r w:rsidRPr="00834CDC">
              <w:rPr>
                <w:sz w:val="18"/>
                <w:szCs w:val="18"/>
              </w:rPr>
              <w:t xml:space="preserve"> (Dose 4 or 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E4C37B" w14:textId="77777777" w:rsidR="008B7EBB" w:rsidRPr="00834CDC" w:rsidRDefault="008B7EBB" w:rsidP="00457617">
            <w:pPr>
              <w:pStyle w:val="NormalWeb"/>
              <w:rPr>
                <w:sz w:val="18"/>
                <w:szCs w:val="18"/>
              </w:rPr>
            </w:pPr>
            <w:r w:rsidRPr="00834CDC">
              <w:rPr>
                <w:sz w:val="18"/>
                <w:szCs w:val="18"/>
              </w:rPr>
              <w:t>97.4</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2BFFD4" w14:textId="77777777" w:rsidR="008B7EBB" w:rsidRPr="00834CDC" w:rsidRDefault="008B7EBB" w:rsidP="00457617">
            <w:pPr>
              <w:pStyle w:val="NormalWeb"/>
              <w:rPr>
                <w:sz w:val="18"/>
                <w:szCs w:val="18"/>
              </w:rPr>
            </w:pPr>
            <w:r w:rsidRPr="00834CDC">
              <w:rPr>
                <w:sz w:val="18"/>
                <w:szCs w:val="18"/>
              </w:rPr>
              <w:t>94.6</w:t>
            </w:r>
          </w:p>
        </w:tc>
      </w:tr>
      <w:tr w:rsidR="00054F45" w:rsidRPr="00834CDC" w14:paraId="1A137B00"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604356" w14:textId="77777777" w:rsidR="008B7EBB" w:rsidRPr="00834CDC" w:rsidRDefault="008B7EBB" w:rsidP="007F501C">
            <w:pPr>
              <w:pStyle w:val="NormalWeb"/>
              <w:jc w:val="left"/>
              <w:rPr>
                <w:sz w:val="18"/>
                <w:szCs w:val="18"/>
              </w:rPr>
            </w:pPr>
            <w:r w:rsidRPr="00834CDC">
              <w:rPr>
                <w:sz w:val="18"/>
                <w:szCs w:val="18"/>
              </w:rPr>
              <w:t>Polio</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040372" w14:textId="72C85BB3" w:rsidR="008B7EBB" w:rsidRPr="00834CDC" w:rsidRDefault="008B7EBB" w:rsidP="00457617">
            <w:pPr>
              <w:pStyle w:val="NormalWeb"/>
              <w:rPr>
                <w:sz w:val="18"/>
                <w:szCs w:val="18"/>
              </w:rPr>
            </w:pPr>
            <w:r w:rsidRPr="00834CDC">
              <w:rPr>
                <w:sz w:val="18"/>
                <w:szCs w:val="18"/>
              </w:rPr>
              <w:t>12 months</w:t>
            </w:r>
            <w:r w:rsidR="00054F45" w:rsidRPr="00834CDC">
              <w:rPr>
                <w:sz w:val="18"/>
                <w:szCs w:val="18"/>
              </w:rPr>
              <w:t xml:space="preserve"> </w:t>
            </w:r>
            <w:r w:rsidRPr="00834CDC">
              <w:rPr>
                <w:sz w:val="18"/>
                <w:szCs w:val="18"/>
                <w:vertAlign w:val="superscript"/>
              </w:rPr>
              <w:t>c</w:t>
            </w:r>
            <w:r w:rsidRPr="00834CDC">
              <w:rPr>
                <w:sz w:val="18"/>
                <w:szCs w:val="18"/>
              </w:rPr>
              <w:t xml:space="preserve"> (Dose 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051802" w14:textId="77777777" w:rsidR="008B7EBB" w:rsidRPr="00834CDC" w:rsidRDefault="008B7EBB" w:rsidP="00457617">
            <w:pPr>
              <w:pStyle w:val="NormalWeb"/>
              <w:rPr>
                <w:sz w:val="18"/>
                <w:szCs w:val="18"/>
              </w:rPr>
            </w:pPr>
            <w:r w:rsidRPr="00834CDC">
              <w:rPr>
                <w:sz w:val="18"/>
                <w:szCs w:val="18"/>
              </w:rPr>
              <w:t>93.1</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76FEA3" w14:textId="77777777" w:rsidR="008B7EBB" w:rsidRPr="00834CDC" w:rsidRDefault="008B7EBB" w:rsidP="00457617">
            <w:pPr>
              <w:pStyle w:val="NormalWeb"/>
              <w:rPr>
                <w:sz w:val="18"/>
                <w:szCs w:val="18"/>
              </w:rPr>
            </w:pPr>
            <w:r w:rsidRPr="00834CDC">
              <w:rPr>
                <w:sz w:val="18"/>
                <w:szCs w:val="18"/>
              </w:rPr>
              <w:t>95.1</w:t>
            </w:r>
          </w:p>
        </w:tc>
      </w:tr>
      <w:tr w:rsidR="008B7EBB" w:rsidRPr="00834CDC" w14:paraId="224DB676" w14:textId="77777777" w:rsidTr="00054F45">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6262EC"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79F337" w14:textId="0B72D126" w:rsidR="008B7EBB" w:rsidRPr="00834CDC" w:rsidRDefault="008B7EBB" w:rsidP="00457617">
            <w:pPr>
              <w:pStyle w:val="NormalWeb"/>
              <w:rPr>
                <w:sz w:val="18"/>
                <w:szCs w:val="18"/>
              </w:rPr>
            </w:pPr>
            <w:r w:rsidRPr="00834CDC">
              <w:rPr>
                <w:sz w:val="18"/>
                <w:szCs w:val="18"/>
              </w:rPr>
              <w:t>24 months</w:t>
            </w:r>
            <w:r w:rsidR="00054F45" w:rsidRPr="00834CDC">
              <w:rPr>
                <w:sz w:val="18"/>
                <w:szCs w:val="18"/>
              </w:rPr>
              <w:t xml:space="preserve"> </w:t>
            </w:r>
            <w:r w:rsidRPr="00834CDC">
              <w:rPr>
                <w:sz w:val="18"/>
                <w:szCs w:val="18"/>
                <w:vertAlign w:val="superscript"/>
              </w:rPr>
              <w:t>d</w:t>
            </w:r>
            <w:r w:rsidRPr="00834CDC">
              <w:rPr>
                <w:sz w:val="18"/>
                <w:szCs w:val="18"/>
              </w:rPr>
              <w:t xml:space="preserve"> (Dose 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746C01" w14:textId="77777777" w:rsidR="008B7EBB" w:rsidRPr="00834CDC" w:rsidRDefault="008B7EBB" w:rsidP="00457617">
            <w:pPr>
              <w:pStyle w:val="NormalWeb"/>
              <w:rPr>
                <w:sz w:val="18"/>
                <w:szCs w:val="18"/>
              </w:rPr>
            </w:pPr>
            <w:r w:rsidRPr="00834CDC">
              <w:rPr>
                <w:sz w:val="18"/>
                <w:szCs w:val="18"/>
              </w:rPr>
              <w:t>97.1</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605947" w14:textId="77777777" w:rsidR="008B7EBB" w:rsidRPr="00834CDC" w:rsidRDefault="008B7EBB" w:rsidP="00457617">
            <w:pPr>
              <w:pStyle w:val="NormalWeb"/>
              <w:rPr>
                <w:sz w:val="18"/>
                <w:szCs w:val="18"/>
              </w:rPr>
            </w:pPr>
            <w:r w:rsidRPr="00834CDC">
              <w:rPr>
                <w:sz w:val="18"/>
                <w:szCs w:val="18"/>
              </w:rPr>
              <w:t>96.3</w:t>
            </w:r>
          </w:p>
        </w:tc>
      </w:tr>
      <w:tr w:rsidR="00054F45" w:rsidRPr="00834CDC" w14:paraId="3C00A829"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5D9327"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E3012F" w14:textId="4ECE60AB" w:rsidR="008B7EBB" w:rsidRPr="00834CDC" w:rsidRDefault="008B7EBB" w:rsidP="00457617">
            <w:pPr>
              <w:pStyle w:val="NormalWeb"/>
              <w:rPr>
                <w:sz w:val="18"/>
                <w:szCs w:val="18"/>
              </w:rPr>
            </w:pPr>
            <w:r w:rsidRPr="00834CDC">
              <w:rPr>
                <w:sz w:val="18"/>
                <w:szCs w:val="18"/>
              </w:rPr>
              <w:t>60 months</w:t>
            </w:r>
            <w:r w:rsidR="00054F45" w:rsidRPr="00834CDC">
              <w:rPr>
                <w:sz w:val="18"/>
                <w:szCs w:val="18"/>
              </w:rPr>
              <w:t xml:space="preserve"> </w:t>
            </w:r>
            <w:r w:rsidRPr="00834CDC">
              <w:rPr>
                <w:sz w:val="18"/>
                <w:szCs w:val="18"/>
                <w:vertAlign w:val="superscript"/>
              </w:rPr>
              <w:t>e</w:t>
            </w:r>
            <w:r w:rsidRPr="00834CDC">
              <w:rPr>
                <w:sz w:val="18"/>
                <w:szCs w:val="18"/>
              </w:rPr>
              <w:t xml:space="preserve"> (Dose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B11C87" w14:textId="77777777" w:rsidR="008B7EBB" w:rsidRPr="00834CDC" w:rsidRDefault="008B7EBB" w:rsidP="00457617">
            <w:pPr>
              <w:pStyle w:val="NormalWeb"/>
              <w:rPr>
                <w:sz w:val="18"/>
                <w:szCs w:val="18"/>
              </w:rPr>
            </w:pPr>
            <w:r w:rsidRPr="00834CDC">
              <w:rPr>
                <w:sz w:val="18"/>
                <w:szCs w:val="18"/>
              </w:rPr>
              <w:t>97.0</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A02038" w14:textId="77777777" w:rsidR="008B7EBB" w:rsidRPr="00834CDC" w:rsidRDefault="008B7EBB" w:rsidP="00457617">
            <w:pPr>
              <w:pStyle w:val="NormalWeb"/>
              <w:rPr>
                <w:sz w:val="18"/>
                <w:szCs w:val="18"/>
              </w:rPr>
            </w:pPr>
            <w:r w:rsidRPr="00834CDC">
              <w:rPr>
                <w:sz w:val="18"/>
                <w:szCs w:val="18"/>
              </w:rPr>
              <w:t>94.2</w:t>
            </w:r>
          </w:p>
        </w:tc>
      </w:tr>
      <w:tr w:rsidR="008B7EBB" w:rsidRPr="00834CDC" w14:paraId="1A6BA225" w14:textId="77777777" w:rsidTr="00054F45">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3FFFFF" w14:textId="77777777" w:rsidR="008B7EBB" w:rsidRPr="00834CDC" w:rsidRDefault="008B7EBB" w:rsidP="007F501C">
            <w:pPr>
              <w:pStyle w:val="NormalWeb"/>
              <w:jc w:val="left"/>
              <w:rPr>
                <w:sz w:val="18"/>
                <w:szCs w:val="18"/>
              </w:rPr>
            </w:pPr>
            <w:r w:rsidRPr="006C707B">
              <w:rPr>
                <w:i/>
                <w:iCs/>
                <w:sz w:val="18"/>
                <w:szCs w:val="18"/>
              </w:rPr>
              <w:t>Haemophilus influenzae</w:t>
            </w:r>
            <w:r w:rsidRPr="00834CDC">
              <w:rPr>
                <w:sz w:val="18"/>
                <w:szCs w:val="18"/>
              </w:rPr>
              <w:t xml:space="preserve"> type b</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4C779C" w14:textId="5E5F4CFF" w:rsidR="008B7EBB" w:rsidRPr="00834CDC" w:rsidRDefault="008B7EBB" w:rsidP="00457617">
            <w:pPr>
              <w:pStyle w:val="NormalWeb"/>
              <w:rPr>
                <w:sz w:val="18"/>
                <w:szCs w:val="18"/>
              </w:rPr>
            </w:pPr>
            <w:r w:rsidRPr="00834CDC">
              <w:rPr>
                <w:sz w:val="18"/>
                <w:szCs w:val="18"/>
              </w:rPr>
              <w:t>12 months</w:t>
            </w:r>
            <w:r w:rsidR="00054F45" w:rsidRPr="00834CDC">
              <w:rPr>
                <w:sz w:val="18"/>
                <w:szCs w:val="18"/>
              </w:rPr>
              <w:t xml:space="preserve"> </w:t>
            </w:r>
            <w:r w:rsidRPr="00834CDC">
              <w:rPr>
                <w:sz w:val="18"/>
                <w:szCs w:val="18"/>
                <w:vertAlign w:val="superscript"/>
              </w:rPr>
              <w:t>c</w:t>
            </w:r>
            <w:r w:rsidRPr="00834CDC">
              <w:rPr>
                <w:sz w:val="18"/>
                <w:szCs w:val="18"/>
              </w:rPr>
              <w:t xml:space="preserve"> (Dose 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956853" w14:textId="77777777" w:rsidR="008B7EBB" w:rsidRPr="00834CDC" w:rsidRDefault="008B7EBB" w:rsidP="00457617">
            <w:pPr>
              <w:pStyle w:val="NormalWeb"/>
              <w:rPr>
                <w:sz w:val="18"/>
                <w:szCs w:val="18"/>
              </w:rPr>
            </w:pPr>
            <w:r w:rsidRPr="00834CDC">
              <w:rPr>
                <w:sz w:val="18"/>
                <w:szCs w:val="18"/>
              </w:rPr>
              <w:t>93.1</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D0196A" w14:textId="77777777" w:rsidR="008B7EBB" w:rsidRPr="00834CDC" w:rsidRDefault="008B7EBB" w:rsidP="00457617">
            <w:pPr>
              <w:pStyle w:val="NormalWeb"/>
              <w:rPr>
                <w:sz w:val="18"/>
                <w:szCs w:val="18"/>
              </w:rPr>
            </w:pPr>
            <w:r w:rsidRPr="00834CDC">
              <w:rPr>
                <w:sz w:val="18"/>
                <w:szCs w:val="18"/>
              </w:rPr>
              <w:t>95.0</w:t>
            </w:r>
          </w:p>
        </w:tc>
      </w:tr>
      <w:tr w:rsidR="00054F45" w:rsidRPr="00834CDC" w14:paraId="38BF7958"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38267B"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2909A3" w14:textId="0919BA6B" w:rsidR="008B7EBB" w:rsidRPr="00834CDC" w:rsidRDefault="008B7EBB" w:rsidP="00457617">
            <w:pPr>
              <w:pStyle w:val="NormalWeb"/>
              <w:rPr>
                <w:sz w:val="18"/>
                <w:szCs w:val="18"/>
              </w:rPr>
            </w:pPr>
            <w:r w:rsidRPr="00834CDC">
              <w:rPr>
                <w:sz w:val="18"/>
                <w:szCs w:val="18"/>
              </w:rPr>
              <w:t>24 months</w:t>
            </w:r>
            <w:r w:rsidR="00054F45" w:rsidRPr="00834CDC">
              <w:rPr>
                <w:sz w:val="18"/>
                <w:szCs w:val="18"/>
              </w:rPr>
              <w:t xml:space="preserve"> </w:t>
            </w:r>
            <w:r w:rsidRPr="00834CDC">
              <w:rPr>
                <w:sz w:val="18"/>
                <w:szCs w:val="18"/>
                <w:vertAlign w:val="superscript"/>
              </w:rPr>
              <w:t>d</w:t>
            </w:r>
            <w:r w:rsidRPr="00834CDC">
              <w:rPr>
                <w:sz w:val="18"/>
                <w:szCs w:val="18"/>
              </w:rPr>
              <w:t xml:space="preserve"> (Dose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637A99" w14:textId="77777777" w:rsidR="008B7EBB" w:rsidRPr="00834CDC" w:rsidRDefault="008B7EBB" w:rsidP="00457617">
            <w:pPr>
              <w:pStyle w:val="NormalWeb"/>
              <w:rPr>
                <w:sz w:val="18"/>
                <w:szCs w:val="18"/>
              </w:rPr>
            </w:pPr>
            <w:r w:rsidRPr="00834CDC">
              <w:rPr>
                <w:sz w:val="18"/>
                <w:szCs w:val="18"/>
              </w:rPr>
              <w:t>94.6</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6304E3" w14:textId="77777777" w:rsidR="008B7EBB" w:rsidRPr="00834CDC" w:rsidRDefault="008B7EBB" w:rsidP="00457617">
            <w:pPr>
              <w:pStyle w:val="NormalWeb"/>
              <w:rPr>
                <w:sz w:val="18"/>
                <w:szCs w:val="18"/>
              </w:rPr>
            </w:pPr>
            <w:r w:rsidRPr="00834CDC">
              <w:rPr>
                <w:sz w:val="18"/>
                <w:szCs w:val="18"/>
              </w:rPr>
              <w:t>94.1</w:t>
            </w:r>
          </w:p>
        </w:tc>
      </w:tr>
      <w:tr w:rsidR="008B7EBB" w:rsidRPr="00834CDC" w14:paraId="7E117957" w14:textId="77777777" w:rsidTr="00054F45">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9EE8A2"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4F4326" w14:textId="3B113DF0" w:rsidR="008B7EBB" w:rsidRPr="00834CDC" w:rsidRDefault="008B7EBB" w:rsidP="00457617">
            <w:pPr>
              <w:pStyle w:val="NormalWeb"/>
              <w:rPr>
                <w:sz w:val="18"/>
                <w:szCs w:val="18"/>
              </w:rPr>
            </w:pPr>
            <w:r w:rsidRPr="00834CDC">
              <w:rPr>
                <w:sz w:val="18"/>
                <w:szCs w:val="18"/>
              </w:rPr>
              <w:t>60 months</w:t>
            </w:r>
            <w:r w:rsidR="00054F45" w:rsidRPr="00834CDC">
              <w:rPr>
                <w:sz w:val="18"/>
                <w:szCs w:val="18"/>
              </w:rPr>
              <w:t xml:space="preserve"> </w:t>
            </w:r>
            <w:r w:rsidRPr="00834CDC">
              <w:rPr>
                <w:sz w:val="18"/>
                <w:szCs w:val="18"/>
                <w:vertAlign w:val="superscript"/>
              </w:rPr>
              <w:t>e</w:t>
            </w:r>
            <w:r w:rsidRPr="00834CDC">
              <w:rPr>
                <w:sz w:val="18"/>
                <w:szCs w:val="18"/>
              </w:rPr>
              <w:t xml:space="preserve"> (Dose 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D000C4" w14:textId="77777777" w:rsidR="008B7EBB" w:rsidRPr="00834CDC" w:rsidRDefault="008B7EBB" w:rsidP="00457617">
            <w:pPr>
              <w:pStyle w:val="NormalWeb"/>
              <w:rPr>
                <w:sz w:val="18"/>
                <w:szCs w:val="18"/>
              </w:rPr>
            </w:pPr>
            <w:r w:rsidRPr="00834CDC">
              <w:rPr>
                <w:sz w:val="18"/>
                <w:szCs w:val="18"/>
              </w:rPr>
              <w:t>98.9</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BA31B3" w14:textId="77777777" w:rsidR="008B7EBB" w:rsidRPr="00834CDC" w:rsidRDefault="008B7EBB" w:rsidP="00457617">
            <w:pPr>
              <w:pStyle w:val="NormalWeb"/>
              <w:rPr>
                <w:sz w:val="18"/>
                <w:szCs w:val="18"/>
              </w:rPr>
            </w:pPr>
            <w:r w:rsidRPr="00834CDC">
              <w:rPr>
                <w:sz w:val="18"/>
                <w:szCs w:val="18"/>
              </w:rPr>
              <w:t>96.4</w:t>
            </w:r>
          </w:p>
        </w:tc>
      </w:tr>
      <w:tr w:rsidR="00054F45" w:rsidRPr="00834CDC" w14:paraId="12B69526"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68EC39" w14:textId="77777777" w:rsidR="008B7EBB" w:rsidRPr="00834CDC" w:rsidRDefault="008B7EBB" w:rsidP="007F501C">
            <w:pPr>
              <w:pStyle w:val="NormalWeb"/>
              <w:jc w:val="left"/>
              <w:rPr>
                <w:sz w:val="18"/>
                <w:szCs w:val="18"/>
              </w:rPr>
            </w:pPr>
            <w:r w:rsidRPr="00834CDC">
              <w:rPr>
                <w:sz w:val="18"/>
                <w:szCs w:val="18"/>
              </w:rPr>
              <w:t>Hepatitis B</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3B3D04" w14:textId="1F81FA54" w:rsidR="008B7EBB" w:rsidRPr="00834CDC" w:rsidRDefault="008B7EBB" w:rsidP="00457617">
            <w:pPr>
              <w:pStyle w:val="NormalWeb"/>
              <w:rPr>
                <w:sz w:val="18"/>
                <w:szCs w:val="18"/>
              </w:rPr>
            </w:pPr>
            <w:r w:rsidRPr="00834CDC">
              <w:rPr>
                <w:sz w:val="18"/>
                <w:szCs w:val="18"/>
              </w:rPr>
              <w:t>12 months</w:t>
            </w:r>
            <w:r w:rsidR="00054F45" w:rsidRPr="00834CDC">
              <w:rPr>
                <w:sz w:val="18"/>
                <w:szCs w:val="18"/>
              </w:rPr>
              <w:t xml:space="preserve"> </w:t>
            </w:r>
            <w:r w:rsidRPr="00834CDC">
              <w:rPr>
                <w:sz w:val="18"/>
                <w:szCs w:val="18"/>
                <w:vertAlign w:val="superscript"/>
              </w:rPr>
              <w:t>c</w:t>
            </w:r>
            <w:r w:rsidRPr="00834CDC">
              <w:rPr>
                <w:sz w:val="18"/>
                <w:szCs w:val="18"/>
              </w:rPr>
              <w:t xml:space="preserve"> (Dose 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A0BB77" w14:textId="77777777" w:rsidR="008B7EBB" w:rsidRPr="00834CDC" w:rsidRDefault="008B7EBB" w:rsidP="00457617">
            <w:pPr>
              <w:pStyle w:val="NormalWeb"/>
              <w:rPr>
                <w:sz w:val="18"/>
                <w:szCs w:val="18"/>
              </w:rPr>
            </w:pPr>
            <w:r w:rsidRPr="00834CDC">
              <w:rPr>
                <w:sz w:val="18"/>
                <w:szCs w:val="18"/>
              </w:rPr>
              <w:t>93.1</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448531" w14:textId="77777777" w:rsidR="008B7EBB" w:rsidRPr="00834CDC" w:rsidRDefault="008B7EBB" w:rsidP="00457617">
            <w:pPr>
              <w:pStyle w:val="NormalWeb"/>
              <w:rPr>
                <w:sz w:val="18"/>
                <w:szCs w:val="18"/>
              </w:rPr>
            </w:pPr>
            <w:r w:rsidRPr="00834CDC">
              <w:rPr>
                <w:sz w:val="18"/>
                <w:szCs w:val="18"/>
              </w:rPr>
              <w:t>94.9</w:t>
            </w:r>
          </w:p>
        </w:tc>
      </w:tr>
      <w:tr w:rsidR="008B7EBB" w:rsidRPr="00834CDC" w14:paraId="041DB0F1" w14:textId="77777777" w:rsidTr="00054F45">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849F50"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E05EA2" w14:textId="586D2FB2" w:rsidR="008B7EBB" w:rsidRPr="00834CDC" w:rsidRDefault="008B7EBB" w:rsidP="00457617">
            <w:pPr>
              <w:pStyle w:val="NormalWeb"/>
              <w:rPr>
                <w:sz w:val="18"/>
                <w:szCs w:val="18"/>
              </w:rPr>
            </w:pPr>
            <w:r w:rsidRPr="00834CDC">
              <w:rPr>
                <w:sz w:val="18"/>
                <w:szCs w:val="18"/>
              </w:rPr>
              <w:t>24 months</w:t>
            </w:r>
            <w:r w:rsidR="00054F45" w:rsidRPr="00834CDC">
              <w:rPr>
                <w:sz w:val="18"/>
                <w:szCs w:val="18"/>
              </w:rPr>
              <w:t xml:space="preserve"> </w:t>
            </w:r>
            <w:r w:rsidRPr="00834CDC">
              <w:rPr>
                <w:sz w:val="18"/>
                <w:szCs w:val="18"/>
                <w:vertAlign w:val="superscript"/>
              </w:rPr>
              <w:t>d</w:t>
            </w:r>
            <w:r w:rsidRPr="00834CDC">
              <w:rPr>
                <w:sz w:val="18"/>
                <w:szCs w:val="18"/>
              </w:rPr>
              <w:t xml:space="preserve"> (Dose 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9B4AE3" w14:textId="77777777" w:rsidR="008B7EBB" w:rsidRPr="00834CDC" w:rsidRDefault="008B7EBB" w:rsidP="00457617">
            <w:pPr>
              <w:pStyle w:val="NormalWeb"/>
              <w:rPr>
                <w:sz w:val="18"/>
                <w:szCs w:val="18"/>
              </w:rPr>
            </w:pPr>
            <w:r w:rsidRPr="00834CDC">
              <w:rPr>
                <w:sz w:val="18"/>
                <w:szCs w:val="18"/>
              </w:rPr>
              <w:t>97.1</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94CA32" w14:textId="77777777" w:rsidR="008B7EBB" w:rsidRPr="00834CDC" w:rsidRDefault="008B7EBB" w:rsidP="00457617">
            <w:pPr>
              <w:pStyle w:val="NormalWeb"/>
              <w:rPr>
                <w:sz w:val="18"/>
                <w:szCs w:val="18"/>
              </w:rPr>
            </w:pPr>
            <w:r w:rsidRPr="00834CDC">
              <w:rPr>
                <w:sz w:val="18"/>
                <w:szCs w:val="18"/>
              </w:rPr>
              <w:t>95.8</w:t>
            </w:r>
          </w:p>
        </w:tc>
      </w:tr>
      <w:tr w:rsidR="00054F45" w:rsidRPr="00834CDC" w14:paraId="7A44BC9F"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19B9B0"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F547E4" w14:textId="6FCBAEEE" w:rsidR="008B7EBB" w:rsidRPr="00834CDC" w:rsidRDefault="008B7EBB" w:rsidP="00457617">
            <w:pPr>
              <w:pStyle w:val="NormalWeb"/>
              <w:rPr>
                <w:sz w:val="18"/>
                <w:szCs w:val="18"/>
              </w:rPr>
            </w:pPr>
            <w:r w:rsidRPr="00834CDC">
              <w:rPr>
                <w:sz w:val="18"/>
                <w:szCs w:val="18"/>
              </w:rPr>
              <w:t>60 months</w:t>
            </w:r>
            <w:r w:rsidR="00054F45" w:rsidRPr="00834CDC">
              <w:rPr>
                <w:sz w:val="18"/>
                <w:szCs w:val="18"/>
              </w:rPr>
              <w:t xml:space="preserve"> </w:t>
            </w:r>
            <w:r w:rsidRPr="00834CDC">
              <w:rPr>
                <w:sz w:val="18"/>
                <w:szCs w:val="18"/>
                <w:vertAlign w:val="superscript"/>
              </w:rPr>
              <w:t>e</w:t>
            </w:r>
            <w:r w:rsidRPr="00834CDC">
              <w:rPr>
                <w:sz w:val="18"/>
                <w:szCs w:val="18"/>
              </w:rPr>
              <w:t xml:space="preserve"> (Dose 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D3BD16" w14:textId="77777777" w:rsidR="008B7EBB" w:rsidRPr="00834CDC" w:rsidRDefault="008B7EBB" w:rsidP="00457617">
            <w:pPr>
              <w:pStyle w:val="NormalWeb"/>
              <w:rPr>
                <w:sz w:val="18"/>
                <w:szCs w:val="18"/>
              </w:rPr>
            </w:pPr>
            <w:r w:rsidRPr="00834CDC">
              <w:rPr>
                <w:sz w:val="18"/>
                <w:szCs w:val="18"/>
              </w:rPr>
              <w:t>98.7</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09DBDF" w14:textId="77777777" w:rsidR="008B7EBB" w:rsidRPr="00834CDC" w:rsidRDefault="008B7EBB" w:rsidP="00457617">
            <w:pPr>
              <w:pStyle w:val="NormalWeb"/>
              <w:rPr>
                <w:sz w:val="18"/>
                <w:szCs w:val="18"/>
              </w:rPr>
            </w:pPr>
            <w:r w:rsidRPr="00834CDC">
              <w:rPr>
                <w:sz w:val="18"/>
                <w:szCs w:val="18"/>
              </w:rPr>
              <w:t>96.2</w:t>
            </w:r>
          </w:p>
        </w:tc>
      </w:tr>
      <w:tr w:rsidR="008B7EBB" w:rsidRPr="00834CDC" w14:paraId="4704E892" w14:textId="77777777" w:rsidTr="00054F45">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050BF5" w14:textId="77777777" w:rsidR="008B7EBB" w:rsidRPr="00834CDC" w:rsidRDefault="008B7EBB" w:rsidP="007F501C">
            <w:pPr>
              <w:pStyle w:val="NormalWeb"/>
              <w:jc w:val="left"/>
              <w:rPr>
                <w:sz w:val="18"/>
                <w:szCs w:val="18"/>
              </w:rPr>
            </w:pPr>
            <w:r w:rsidRPr="00834CDC">
              <w:rPr>
                <w:sz w:val="18"/>
                <w:szCs w:val="18"/>
              </w:rPr>
              <w:t>Measles, mumps, rubella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A89AEE" w14:textId="7402D68C" w:rsidR="008B7EBB" w:rsidRPr="00834CDC" w:rsidRDefault="008B7EBB" w:rsidP="00457617">
            <w:pPr>
              <w:pStyle w:val="NormalWeb"/>
              <w:rPr>
                <w:sz w:val="18"/>
                <w:szCs w:val="18"/>
              </w:rPr>
            </w:pPr>
            <w:r w:rsidRPr="00834CDC">
              <w:rPr>
                <w:sz w:val="18"/>
                <w:szCs w:val="18"/>
              </w:rPr>
              <w:t>12 months</w:t>
            </w:r>
            <w:r w:rsidR="00054F45" w:rsidRPr="00834CDC">
              <w:rPr>
                <w:sz w:val="18"/>
                <w:szCs w:val="18"/>
              </w:rPr>
              <w:t xml:space="preserve"> </w:t>
            </w:r>
            <w:r w:rsidRPr="00834CDC">
              <w:rPr>
                <w:sz w:val="18"/>
                <w:szCs w:val="18"/>
                <w:vertAlign w:val="superscript"/>
              </w:rPr>
              <w:t>c</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4C9000" w14:textId="77777777" w:rsidR="008B7EBB" w:rsidRPr="00834CDC" w:rsidRDefault="008B7EBB" w:rsidP="00457617">
            <w:pPr>
              <w:pStyle w:val="NormalWeb"/>
              <w:rPr>
                <w:sz w:val="18"/>
                <w:szCs w:val="18"/>
              </w:rPr>
            </w:pPr>
            <w:r w:rsidRPr="00834CDC">
              <w:rPr>
                <w:sz w:val="18"/>
                <w:szCs w:val="18"/>
              </w:rPr>
              <w:t>N/A</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3D2D6F" w14:textId="77777777" w:rsidR="008B7EBB" w:rsidRPr="00834CDC" w:rsidRDefault="008B7EBB" w:rsidP="00457617">
            <w:pPr>
              <w:pStyle w:val="NormalWeb"/>
              <w:rPr>
                <w:sz w:val="18"/>
                <w:szCs w:val="18"/>
              </w:rPr>
            </w:pPr>
            <w:r w:rsidRPr="00834CDC">
              <w:rPr>
                <w:sz w:val="18"/>
                <w:szCs w:val="18"/>
              </w:rPr>
              <w:t>N/A</w:t>
            </w:r>
          </w:p>
        </w:tc>
      </w:tr>
      <w:tr w:rsidR="00054F45" w:rsidRPr="00834CDC" w14:paraId="02A38466"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5AFC96"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98CE47" w14:textId="2BED9CE4" w:rsidR="008B7EBB" w:rsidRPr="00834CDC" w:rsidRDefault="008B7EBB" w:rsidP="00457617">
            <w:pPr>
              <w:pStyle w:val="NormalWeb"/>
              <w:rPr>
                <w:sz w:val="18"/>
                <w:szCs w:val="18"/>
              </w:rPr>
            </w:pPr>
            <w:r w:rsidRPr="00834CDC">
              <w:rPr>
                <w:sz w:val="18"/>
                <w:szCs w:val="18"/>
              </w:rPr>
              <w:t>24 months</w:t>
            </w:r>
            <w:r w:rsidR="00054F45" w:rsidRPr="00834CDC">
              <w:rPr>
                <w:sz w:val="18"/>
                <w:szCs w:val="18"/>
              </w:rPr>
              <w:t xml:space="preserve"> </w:t>
            </w:r>
            <w:r w:rsidRPr="00834CDC">
              <w:rPr>
                <w:sz w:val="18"/>
                <w:szCs w:val="18"/>
                <w:vertAlign w:val="superscript"/>
              </w:rPr>
              <w:t>d</w:t>
            </w:r>
            <w:r w:rsidRPr="00834CDC">
              <w:rPr>
                <w:sz w:val="18"/>
                <w:szCs w:val="18"/>
              </w:rPr>
              <w:t xml:space="preserve"> (Dose 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2E2DB8" w14:textId="77777777" w:rsidR="008B7EBB" w:rsidRPr="00834CDC" w:rsidRDefault="008B7EBB" w:rsidP="00457617">
            <w:pPr>
              <w:pStyle w:val="NormalWeb"/>
              <w:rPr>
                <w:sz w:val="18"/>
                <w:szCs w:val="18"/>
              </w:rPr>
            </w:pPr>
            <w:r w:rsidRPr="00834CDC">
              <w:rPr>
                <w:sz w:val="18"/>
                <w:szCs w:val="18"/>
              </w:rPr>
              <w:t>96.6</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9CC0F6" w14:textId="77777777" w:rsidR="008B7EBB" w:rsidRPr="00834CDC" w:rsidRDefault="008B7EBB" w:rsidP="00457617">
            <w:pPr>
              <w:pStyle w:val="NormalWeb"/>
              <w:rPr>
                <w:sz w:val="18"/>
                <w:szCs w:val="18"/>
              </w:rPr>
            </w:pPr>
            <w:r w:rsidRPr="00834CDC">
              <w:rPr>
                <w:sz w:val="18"/>
                <w:szCs w:val="18"/>
              </w:rPr>
              <w:t>95.2</w:t>
            </w:r>
          </w:p>
        </w:tc>
      </w:tr>
      <w:tr w:rsidR="008B7EBB" w:rsidRPr="00834CDC" w14:paraId="60A21068" w14:textId="77777777" w:rsidTr="00054F45">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1AE73D"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25F31D" w14:textId="55A89D2F" w:rsidR="008B7EBB" w:rsidRPr="00834CDC" w:rsidRDefault="008B7EBB" w:rsidP="00457617">
            <w:pPr>
              <w:pStyle w:val="NormalWeb"/>
              <w:rPr>
                <w:sz w:val="18"/>
                <w:szCs w:val="18"/>
              </w:rPr>
            </w:pPr>
            <w:r w:rsidRPr="00834CDC">
              <w:rPr>
                <w:sz w:val="18"/>
                <w:szCs w:val="18"/>
              </w:rPr>
              <w:t>24 months</w:t>
            </w:r>
            <w:r w:rsidR="00054F45" w:rsidRPr="00834CDC">
              <w:rPr>
                <w:sz w:val="18"/>
                <w:szCs w:val="18"/>
              </w:rPr>
              <w:t xml:space="preserve"> </w:t>
            </w:r>
            <w:r w:rsidRPr="00834CDC">
              <w:rPr>
                <w:sz w:val="18"/>
                <w:szCs w:val="18"/>
                <w:vertAlign w:val="superscript"/>
              </w:rPr>
              <w:t>d</w:t>
            </w:r>
            <w:r w:rsidRPr="00834CDC">
              <w:rPr>
                <w:sz w:val="18"/>
                <w:szCs w:val="18"/>
              </w:rPr>
              <w:t xml:space="preserve"> (Dose 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EC9C38" w14:textId="77777777" w:rsidR="008B7EBB" w:rsidRPr="00834CDC" w:rsidRDefault="008B7EBB" w:rsidP="00457617">
            <w:pPr>
              <w:pStyle w:val="NormalWeb"/>
              <w:rPr>
                <w:sz w:val="18"/>
                <w:szCs w:val="18"/>
              </w:rPr>
            </w:pPr>
            <w:r w:rsidRPr="00834CDC">
              <w:rPr>
                <w:sz w:val="18"/>
                <w:szCs w:val="18"/>
              </w:rPr>
              <w:t>92.9</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31CD6A" w14:textId="77777777" w:rsidR="008B7EBB" w:rsidRPr="00834CDC" w:rsidRDefault="008B7EBB" w:rsidP="00457617">
            <w:pPr>
              <w:pStyle w:val="NormalWeb"/>
              <w:rPr>
                <w:sz w:val="18"/>
                <w:szCs w:val="18"/>
              </w:rPr>
            </w:pPr>
            <w:r w:rsidRPr="00834CDC">
              <w:rPr>
                <w:sz w:val="18"/>
                <w:szCs w:val="18"/>
              </w:rPr>
              <w:t>93.5</w:t>
            </w:r>
          </w:p>
        </w:tc>
      </w:tr>
      <w:tr w:rsidR="00054F45" w:rsidRPr="00834CDC" w14:paraId="6143DB86"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5C48C3"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6038A8" w14:textId="40A3036B" w:rsidR="008B7EBB" w:rsidRPr="00834CDC" w:rsidRDefault="008B7EBB" w:rsidP="00457617">
            <w:pPr>
              <w:pStyle w:val="NormalWeb"/>
              <w:rPr>
                <w:sz w:val="18"/>
                <w:szCs w:val="18"/>
              </w:rPr>
            </w:pPr>
            <w:r w:rsidRPr="00834CDC">
              <w:rPr>
                <w:sz w:val="18"/>
                <w:szCs w:val="18"/>
              </w:rPr>
              <w:t>60 months</w:t>
            </w:r>
            <w:r w:rsidR="00054F45" w:rsidRPr="00834CDC">
              <w:rPr>
                <w:sz w:val="18"/>
                <w:szCs w:val="18"/>
              </w:rPr>
              <w:t xml:space="preserve"> </w:t>
            </w:r>
            <w:r w:rsidRPr="00834CDC">
              <w:rPr>
                <w:sz w:val="18"/>
                <w:szCs w:val="18"/>
                <w:vertAlign w:val="superscript"/>
              </w:rPr>
              <w:t>e</w:t>
            </w:r>
            <w:r w:rsidRPr="00834CDC">
              <w:rPr>
                <w:sz w:val="18"/>
                <w:szCs w:val="18"/>
              </w:rPr>
              <w:t xml:space="preserve"> (Dose 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6A5A60" w14:textId="77777777" w:rsidR="008B7EBB" w:rsidRPr="00834CDC" w:rsidRDefault="008B7EBB" w:rsidP="00457617">
            <w:pPr>
              <w:pStyle w:val="NormalWeb"/>
              <w:rPr>
                <w:sz w:val="18"/>
                <w:szCs w:val="18"/>
              </w:rPr>
            </w:pPr>
            <w:r w:rsidRPr="00834CDC">
              <w:rPr>
                <w:sz w:val="18"/>
                <w:szCs w:val="18"/>
              </w:rPr>
              <w:t>98.9</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19EA72" w14:textId="77777777" w:rsidR="008B7EBB" w:rsidRPr="00834CDC" w:rsidRDefault="008B7EBB" w:rsidP="00457617">
            <w:pPr>
              <w:pStyle w:val="NormalWeb"/>
              <w:rPr>
                <w:sz w:val="18"/>
                <w:szCs w:val="18"/>
              </w:rPr>
            </w:pPr>
            <w:r w:rsidRPr="00834CDC">
              <w:rPr>
                <w:sz w:val="18"/>
                <w:szCs w:val="18"/>
              </w:rPr>
              <w:t>96.4</w:t>
            </w:r>
          </w:p>
        </w:tc>
      </w:tr>
      <w:tr w:rsidR="008B7EBB" w:rsidRPr="00834CDC" w14:paraId="4936B79C" w14:textId="77777777" w:rsidTr="00054F45">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4981CB" w14:textId="77777777" w:rsidR="008B7EBB" w:rsidRPr="00834CDC" w:rsidRDefault="008B7EBB" w:rsidP="007F501C">
            <w:pPr>
              <w:pStyle w:val="NormalWeb"/>
              <w:jc w:val="left"/>
              <w:rPr>
                <w:sz w:val="18"/>
                <w:szCs w:val="18"/>
              </w:rPr>
            </w:pPr>
            <w:r w:rsidRPr="00834CDC">
              <w:rPr>
                <w:sz w:val="18"/>
                <w:szCs w:val="18"/>
              </w:rPr>
              <w:t>Varicella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05019E" w14:textId="48C6F690" w:rsidR="008B7EBB" w:rsidRPr="00834CDC" w:rsidRDefault="008B7EBB" w:rsidP="00457617">
            <w:pPr>
              <w:pStyle w:val="NormalWeb"/>
              <w:rPr>
                <w:sz w:val="18"/>
                <w:szCs w:val="18"/>
              </w:rPr>
            </w:pPr>
            <w:r w:rsidRPr="00834CDC">
              <w:rPr>
                <w:sz w:val="18"/>
                <w:szCs w:val="18"/>
              </w:rPr>
              <w:t>12 months</w:t>
            </w:r>
            <w:r w:rsidR="00054F45" w:rsidRPr="00834CDC">
              <w:rPr>
                <w:sz w:val="18"/>
                <w:szCs w:val="18"/>
              </w:rPr>
              <w:t xml:space="preserve"> </w:t>
            </w:r>
            <w:r w:rsidRPr="00834CDC">
              <w:rPr>
                <w:sz w:val="18"/>
                <w:szCs w:val="18"/>
                <w:vertAlign w:val="superscript"/>
              </w:rPr>
              <w:t>c</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1BDF11" w14:textId="77777777" w:rsidR="008B7EBB" w:rsidRPr="00834CDC" w:rsidRDefault="008B7EBB" w:rsidP="00457617">
            <w:pPr>
              <w:pStyle w:val="NormalWeb"/>
              <w:rPr>
                <w:sz w:val="18"/>
                <w:szCs w:val="18"/>
              </w:rPr>
            </w:pPr>
            <w:r w:rsidRPr="00834CDC">
              <w:rPr>
                <w:sz w:val="18"/>
                <w:szCs w:val="18"/>
              </w:rPr>
              <w:t>N/A</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4989C2" w14:textId="77777777" w:rsidR="008B7EBB" w:rsidRPr="00834CDC" w:rsidRDefault="008B7EBB" w:rsidP="00457617">
            <w:pPr>
              <w:pStyle w:val="NormalWeb"/>
              <w:rPr>
                <w:sz w:val="18"/>
                <w:szCs w:val="18"/>
              </w:rPr>
            </w:pPr>
            <w:r w:rsidRPr="00834CDC">
              <w:rPr>
                <w:sz w:val="18"/>
                <w:szCs w:val="18"/>
              </w:rPr>
              <w:t>N/A</w:t>
            </w:r>
          </w:p>
        </w:tc>
      </w:tr>
      <w:tr w:rsidR="00054F45" w:rsidRPr="00834CDC" w14:paraId="26D18D23"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2EB73C"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38514A" w14:textId="13EDD239" w:rsidR="008B7EBB" w:rsidRPr="00834CDC" w:rsidRDefault="008B7EBB" w:rsidP="00457617">
            <w:pPr>
              <w:pStyle w:val="NormalWeb"/>
              <w:rPr>
                <w:sz w:val="18"/>
                <w:szCs w:val="18"/>
              </w:rPr>
            </w:pPr>
            <w:r w:rsidRPr="00834CDC">
              <w:rPr>
                <w:sz w:val="18"/>
                <w:szCs w:val="18"/>
              </w:rPr>
              <w:t>24 months</w:t>
            </w:r>
            <w:r w:rsidR="00054F45" w:rsidRPr="00834CDC">
              <w:rPr>
                <w:sz w:val="18"/>
                <w:szCs w:val="18"/>
              </w:rPr>
              <w:t xml:space="preserve"> </w:t>
            </w:r>
            <w:r w:rsidRPr="00834CDC">
              <w:rPr>
                <w:sz w:val="18"/>
                <w:szCs w:val="18"/>
                <w:vertAlign w:val="superscript"/>
              </w:rPr>
              <w:t>d</w:t>
            </w:r>
            <w:r w:rsidRPr="00834CDC">
              <w:rPr>
                <w:sz w:val="18"/>
                <w:szCs w:val="18"/>
              </w:rPr>
              <w:t xml:space="preserve"> (Dose 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934B38" w14:textId="77777777" w:rsidR="008B7EBB" w:rsidRPr="00834CDC" w:rsidRDefault="008B7EBB" w:rsidP="00457617">
            <w:pPr>
              <w:pStyle w:val="NormalWeb"/>
              <w:rPr>
                <w:sz w:val="18"/>
                <w:szCs w:val="18"/>
              </w:rPr>
            </w:pPr>
            <w:r w:rsidRPr="00834CDC">
              <w:rPr>
                <w:sz w:val="18"/>
                <w:szCs w:val="18"/>
              </w:rPr>
              <w:t>92.7</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B953D2" w14:textId="77777777" w:rsidR="008B7EBB" w:rsidRPr="00834CDC" w:rsidRDefault="008B7EBB" w:rsidP="00457617">
            <w:pPr>
              <w:pStyle w:val="NormalWeb"/>
              <w:rPr>
                <w:sz w:val="18"/>
                <w:szCs w:val="18"/>
              </w:rPr>
            </w:pPr>
            <w:r w:rsidRPr="00834CDC">
              <w:rPr>
                <w:sz w:val="18"/>
                <w:szCs w:val="18"/>
              </w:rPr>
              <w:t>93.7</w:t>
            </w:r>
          </w:p>
        </w:tc>
      </w:tr>
      <w:tr w:rsidR="008B7EBB" w:rsidRPr="00834CDC" w14:paraId="6797AB42" w14:textId="77777777" w:rsidTr="00054F45">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203648"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CF3554" w14:textId="25A69B5E" w:rsidR="008B7EBB" w:rsidRPr="00834CDC" w:rsidRDefault="008B7EBB" w:rsidP="00457617">
            <w:pPr>
              <w:pStyle w:val="NormalWeb"/>
              <w:rPr>
                <w:sz w:val="18"/>
                <w:szCs w:val="18"/>
              </w:rPr>
            </w:pPr>
            <w:r w:rsidRPr="00834CDC">
              <w:rPr>
                <w:sz w:val="18"/>
                <w:szCs w:val="18"/>
              </w:rPr>
              <w:t>60 months</w:t>
            </w:r>
            <w:r w:rsidR="00054F45" w:rsidRPr="00834CDC">
              <w:rPr>
                <w:sz w:val="18"/>
                <w:szCs w:val="18"/>
              </w:rPr>
              <w:t xml:space="preserve"> </w:t>
            </w:r>
            <w:r w:rsidRPr="00834CDC">
              <w:rPr>
                <w:sz w:val="18"/>
                <w:szCs w:val="18"/>
                <w:vertAlign w:val="superscript"/>
              </w:rPr>
              <w:t>e</w:t>
            </w:r>
            <w:r w:rsidRPr="00834CDC">
              <w:rPr>
                <w:sz w:val="18"/>
                <w:szCs w:val="18"/>
              </w:rPr>
              <w:t xml:space="preserve"> (Dose 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3DDB2A" w14:textId="77777777" w:rsidR="008B7EBB" w:rsidRPr="00834CDC" w:rsidRDefault="008B7EBB" w:rsidP="00457617">
            <w:pPr>
              <w:pStyle w:val="NormalWeb"/>
              <w:rPr>
                <w:sz w:val="18"/>
                <w:szCs w:val="18"/>
              </w:rPr>
            </w:pPr>
            <w:r w:rsidRPr="00834CDC">
              <w:rPr>
                <w:sz w:val="18"/>
                <w:szCs w:val="18"/>
              </w:rPr>
              <w:t>98.8</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0DB9A4" w14:textId="77777777" w:rsidR="008B7EBB" w:rsidRPr="00834CDC" w:rsidRDefault="008B7EBB" w:rsidP="00457617">
            <w:pPr>
              <w:pStyle w:val="NormalWeb"/>
              <w:rPr>
                <w:sz w:val="18"/>
                <w:szCs w:val="18"/>
              </w:rPr>
            </w:pPr>
            <w:r w:rsidRPr="00834CDC">
              <w:rPr>
                <w:sz w:val="18"/>
                <w:szCs w:val="18"/>
              </w:rPr>
              <w:t>96.3</w:t>
            </w:r>
          </w:p>
        </w:tc>
      </w:tr>
      <w:tr w:rsidR="00054F45" w:rsidRPr="00834CDC" w14:paraId="0EE0BD07"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91E548" w14:textId="77777777" w:rsidR="008B7EBB" w:rsidRPr="00834CDC" w:rsidRDefault="008B7EBB" w:rsidP="007F501C">
            <w:pPr>
              <w:pStyle w:val="NormalWeb"/>
              <w:jc w:val="left"/>
              <w:rPr>
                <w:sz w:val="18"/>
                <w:szCs w:val="18"/>
              </w:rPr>
            </w:pPr>
            <w:r w:rsidRPr="00834CDC">
              <w:rPr>
                <w:sz w:val="18"/>
                <w:szCs w:val="18"/>
              </w:rPr>
              <w:t>Meningococcal C</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15E0FC" w14:textId="03A323A5" w:rsidR="008B7EBB" w:rsidRPr="00834CDC" w:rsidRDefault="008B7EBB" w:rsidP="00457617">
            <w:pPr>
              <w:pStyle w:val="NormalWeb"/>
              <w:rPr>
                <w:sz w:val="18"/>
                <w:szCs w:val="18"/>
              </w:rPr>
            </w:pPr>
            <w:r w:rsidRPr="00834CDC">
              <w:rPr>
                <w:sz w:val="18"/>
                <w:szCs w:val="18"/>
              </w:rPr>
              <w:t>12 months</w:t>
            </w:r>
            <w:r w:rsidR="00054F45" w:rsidRPr="00834CDC">
              <w:rPr>
                <w:sz w:val="18"/>
                <w:szCs w:val="18"/>
              </w:rPr>
              <w:t xml:space="preserve"> </w:t>
            </w:r>
            <w:r w:rsidRPr="00834CDC">
              <w:rPr>
                <w:sz w:val="18"/>
                <w:szCs w:val="18"/>
                <w:vertAlign w:val="superscript"/>
              </w:rPr>
              <w:t>c</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64F79E" w14:textId="77777777" w:rsidR="008B7EBB" w:rsidRPr="00834CDC" w:rsidRDefault="008B7EBB" w:rsidP="00457617">
            <w:pPr>
              <w:pStyle w:val="NormalWeb"/>
              <w:rPr>
                <w:sz w:val="18"/>
                <w:szCs w:val="18"/>
              </w:rPr>
            </w:pPr>
            <w:r w:rsidRPr="00834CDC">
              <w:rPr>
                <w:sz w:val="18"/>
                <w:szCs w:val="18"/>
              </w:rPr>
              <w:t>N/A</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7C3A98" w14:textId="77777777" w:rsidR="008B7EBB" w:rsidRPr="00834CDC" w:rsidRDefault="008B7EBB" w:rsidP="00457617">
            <w:pPr>
              <w:pStyle w:val="NormalWeb"/>
              <w:rPr>
                <w:sz w:val="18"/>
                <w:szCs w:val="18"/>
              </w:rPr>
            </w:pPr>
            <w:r w:rsidRPr="00834CDC">
              <w:rPr>
                <w:sz w:val="18"/>
                <w:szCs w:val="18"/>
              </w:rPr>
              <w:t>N/A</w:t>
            </w:r>
          </w:p>
        </w:tc>
      </w:tr>
      <w:tr w:rsidR="008B7EBB" w:rsidRPr="00834CDC" w14:paraId="47338073" w14:textId="77777777" w:rsidTr="00054F45">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C066EB"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393A1D" w14:textId="249B10CA" w:rsidR="008B7EBB" w:rsidRPr="00834CDC" w:rsidRDefault="008B7EBB" w:rsidP="00457617">
            <w:pPr>
              <w:pStyle w:val="NormalWeb"/>
              <w:rPr>
                <w:sz w:val="18"/>
                <w:szCs w:val="18"/>
              </w:rPr>
            </w:pPr>
            <w:r w:rsidRPr="00834CDC">
              <w:rPr>
                <w:sz w:val="18"/>
                <w:szCs w:val="18"/>
              </w:rPr>
              <w:t>24 months</w:t>
            </w:r>
            <w:r w:rsidR="00054F45" w:rsidRPr="00834CDC">
              <w:rPr>
                <w:sz w:val="18"/>
                <w:szCs w:val="18"/>
              </w:rPr>
              <w:t xml:space="preserve"> </w:t>
            </w:r>
            <w:r w:rsidRPr="00834CDC">
              <w:rPr>
                <w:sz w:val="18"/>
                <w:szCs w:val="18"/>
                <w:vertAlign w:val="superscript"/>
              </w:rPr>
              <w:t>d</w:t>
            </w:r>
            <w:r w:rsidRPr="00834CDC">
              <w:rPr>
                <w:sz w:val="18"/>
                <w:szCs w:val="18"/>
              </w:rPr>
              <w:t xml:space="preserve"> (Dose 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771DDD" w14:textId="77777777" w:rsidR="008B7EBB" w:rsidRPr="00834CDC" w:rsidRDefault="008B7EBB" w:rsidP="00457617">
            <w:pPr>
              <w:pStyle w:val="NormalWeb"/>
              <w:rPr>
                <w:sz w:val="18"/>
                <w:szCs w:val="18"/>
              </w:rPr>
            </w:pPr>
            <w:r w:rsidRPr="00834CDC">
              <w:rPr>
                <w:sz w:val="18"/>
                <w:szCs w:val="18"/>
              </w:rPr>
              <w:t>96.6</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C16B05" w14:textId="77777777" w:rsidR="008B7EBB" w:rsidRPr="00834CDC" w:rsidRDefault="008B7EBB" w:rsidP="00457617">
            <w:pPr>
              <w:pStyle w:val="NormalWeb"/>
              <w:rPr>
                <w:sz w:val="18"/>
                <w:szCs w:val="18"/>
              </w:rPr>
            </w:pPr>
            <w:r w:rsidRPr="00834CDC">
              <w:rPr>
                <w:sz w:val="18"/>
                <w:szCs w:val="18"/>
              </w:rPr>
              <w:t>95.1</w:t>
            </w:r>
          </w:p>
        </w:tc>
      </w:tr>
      <w:tr w:rsidR="00054F45" w:rsidRPr="00834CDC" w14:paraId="2EFA0E2D"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D38955"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483547" w14:textId="6BDFD06D" w:rsidR="008B7EBB" w:rsidRPr="00834CDC" w:rsidRDefault="008B7EBB" w:rsidP="00457617">
            <w:pPr>
              <w:pStyle w:val="NormalWeb"/>
              <w:rPr>
                <w:sz w:val="18"/>
                <w:szCs w:val="18"/>
              </w:rPr>
            </w:pPr>
            <w:r w:rsidRPr="00834CDC">
              <w:rPr>
                <w:sz w:val="18"/>
                <w:szCs w:val="18"/>
              </w:rPr>
              <w:t>60 months</w:t>
            </w:r>
            <w:r w:rsidR="00054F45" w:rsidRPr="00834CDC">
              <w:rPr>
                <w:sz w:val="18"/>
                <w:szCs w:val="18"/>
              </w:rPr>
              <w:t xml:space="preserve"> </w:t>
            </w:r>
            <w:r w:rsidRPr="00834CDC">
              <w:rPr>
                <w:sz w:val="18"/>
                <w:szCs w:val="18"/>
                <w:vertAlign w:val="superscript"/>
              </w:rPr>
              <w:t>e</w:t>
            </w:r>
            <w:r w:rsidRPr="00834CDC">
              <w:rPr>
                <w:sz w:val="18"/>
                <w:szCs w:val="18"/>
              </w:rPr>
              <w:t xml:space="preserve"> (Dose 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30D5DD" w14:textId="77777777" w:rsidR="008B7EBB" w:rsidRPr="00834CDC" w:rsidRDefault="008B7EBB" w:rsidP="00457617">
            <w:pPr>
              <w:pStyle w:val="NormalWeb"/>
              <w:rPr>
                <w:sz w:val="18"/>
                <w:szCs w:val="18"/>
              </w:rPr>
            </w:pPr>
            <w:r w:rsidRPr="00834CDC">
              <w:rPr>
                <w:sz w:val="18"/>
                <w:szCs w:val="18"/>
              </w:rPr>
              <w:t>98.9</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89366E" w14:textId="77777777" w:rsidR="008B7EBB" w:rsidRPr="00834CDC" w:rsidRDefault="008B7EBB" w:rsidP="00457617">
            <w:pPr>
              <w:pStyle w:val="NormalWeb"/>
              <w:rPr>
                <w:sz w:val="18"/>
                <w:szCs w:val="18"/>
              </w:rPr>
            </w:pPr>
            <w:r w:rsidRPr="00834CDC">
              <w:rPr>
                <w:sz w:val="18"/>
                <w:szCs w:val="18"/>
              </w:rPr>
              <w:t>96.6</w:t>
            </w:r>
          </w:p>
        </w:tc>
      </w:tr>
      <w:tr w:rsidR="008B7EBB" w:rsidRPr="00834CDC" w14:paraId="38BF34DC" w14:textId="77777777" w:rsidTr="00054F45">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FEA39F" w14:textId="77777777" w:rsidR="008B7EBB" w:rsidRPr="00834CDC" w:rsidRDefault="008B7EBB" w:rsidP="007F501C">
            <w:pPr>
              <w:pStyle w:val="NormalWeb"/>
              <w:jc w:val="left"/>
              <w:rPr>
                <w:sz w:val="18"/>
                <w:szCs w:val="18"/>
              </w:rPr>
            </w:pPr>
            <w:r w:rsidRPr="00834CDC">
              <w:rPr>
                <w:sz w:val="18"/>
                <w:szCs w:val="18"/>
              </w:rPr>
              <w:t>Meningococcal ACWY</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D7EB58" w14:textId="044BC489" w:rsidR="008B7EBB" w:rsidRPr="00834CDC" w:rsidRDefault="008B7EBB" w:rsidP="00457617">
            <w:pPr>
              <w:pStyle w:val="NormalWeb"/>
              <w:rPr>
                <w:sz w:val="18"/>
                <w:szCs w:val="18"/>
              </w:rPr>
            </w:pPr>
            <w:r w:rsidRPr="00834CDC">
              <w:rPr>
                <w:sz w:val="18"/>
                <w:szCs w:val="18"/>
              </w:rPr>
              <w:t>12 months</w:t>
            </w:r>
            <w:r w:rsidR="00054F45" w:rsidRPr="00834CDC">
              <w:rPr>
                <w:sz w:val="18"/>
                <w:szCs w:val="18"/>
              </w:rPr>
              <w:t xml:space="preserve"> </w:t>
            </w:r>
            <w:r w:rsidRPr="00834CDC">
              <w:rPr>
                <w:sz w:val="18"/>
                <w:szCs w:val="18"/>
                <w:vertAlign w:val="superscript"/>
              </w:rPr>
              <w:t>c</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6C6DFB" w14:textId="77777777" w:rsidR="008B7EBB" w:rsidRPr="00834CDC" w:rsidRDefault="008B7EBB" w:rsidP="00457617">
            <w:pPr>
              <w:pStyle w:val="NormalWeb"/>
              <w:rPr>
                <w:sz w:val="18"/>
                <w:szCs w:val="18"/>
              </w:rPr>
            </w:pPr>
            <w:r w:rsidRPr="00834CDC">
              <w:rPr>
                <w:sz w:val="18"/>
                <w:szCs w:val="18"/>
              </w:rPr>
              <w:t>N/A</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C3F5F3" w14:textId="77777777" w:rsidR="008B7EBB" w:rsidRPr="00834CDC" w:rsidRDefault="008B7EBB" w:rsidP="00457617">
            <w:pPr>
              <w:pStyle w:val="NormalWeb"/>
              <w:rPr>
                <w:sz w:val="18"/>
                <w:szCs w:val="18"/>
              </w:rPr>
            </w:pPr>
            <w:r w:rsidRPr="00834CDC">
              <w:rPr>
                <w:sz w:val="18"/>
                <w:szCs w:val="18"/>
              </w:rPr>
              <w:t>N/A</w:t>
            </w:r>
          </w:p>
        </w:tc>
      </w:tr>
      <w:tr w:rsidR="00054F45" w:rsidRPr="00834CDC" w14:paraId="16E6433C"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5B9DA3"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BB3528" w14:textId="69BF74A3" w:rsidR="008B7EBB" w:rsidRPr="00834CDC" w:rsidRDefault="008B7EBB" w:rsidP="00457617">
            <w:pPr>
              <w:pStyle w:val="NormalWeb"/>
              <w:rPr>
                <w:sz w:val="18"/>
                <w:szCs w:val="18"/>
              </w:rPr>
            </w:pPr>
            <w:r w:rsidRPr="00834CDC">
              <w:rPr>
                <w:sz w:val="18"/>
                <w:szCs w:val="18"/>
              </w:rPr>
              <w:t>24 months</w:t>
            </w:r>
            <w:r w:rsidR="00054F45" w:rsidRPr="00834CDC">
              <w:rPr>
                <w:sz w:val="18"/>
                <w:szCs w:val="18"/>
              </w:rPr>
              <w:t xml:space="preserve"> </w:t>
            </w:r>
            <w:r w:rsidRPr="00834CDC">
              <w:rPr>
                <w:sz w:val="18"/>
                <w:szCs w:val="18"/>
                <w:vertAlign w:val="superscript"/>
              </w:rPr>
              <w:t>f</w:t>
            </w:r>
            <w:r w:rsidRPr="00834CDC">
              <w:rPr>
                <w:sz w:val="18"/>
                <w:szCs w:val="18"/>
              </w:rPr>
              <w:t xml:space="preserve"> (Dose 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F3092F" w14:textId="77777777" w:rsidR="008B7EBB" w:rsidRPr="00834CDC" w:rsidRDefault="008B7EBB" w:rsidP="00457617">
            <w:pPr>
              <w:pStyle w:val="NormalWeb"/>
              <w:rPr>
                <w:sz w:val="18"/>
                <w:szCs w:val="18"/>
              </w:rPr>
            </w:pPr>
            <w:r w:rsidRPr="00834CDC">
              <w:rPr>
                <w:sz w:val="18"/>
                <w:szCs w:val="18"/>
              </w:rPr>
              <w:t>95.0</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B43F1E" w14:textId="77777777" w:rsidR="008B7EBB" w:rsidRPr="00834CDC" w:rsidRDefault="008B7EBB" w:rsidP="00457617">
            <w:pPr>
              <w:pStyle w:val="NormalWeb"/>
              <w:rPr>
                <w:sz w:val="18"/>
                <w:szCs w:val="18"/>
              </w:rPr>
            </w:pPr>
            <w:r w:rsidRPr="00834CDC">
              <w:rPr>
                <w:sz w:val="18"/>
                <w:szCs w:val="18"/>
              </w:rPr>
              <w:t>93.6</w:t>
            </w:r>
          </w:p>
        </w:tc>
      </w:tr>
      <w:tr w:rsidR="008B7EBB" w:rsidRPr="00834CDC" w14:paraId="03C831A0" w14:textId="77777777" w:rsidTr="00054F45">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AE0667"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385A56" w14:textId="70EA8C3F" w:rsidR="008B7EBB" w:rsidRPr="00834CDC" w:rsidRDefault="008B7EBB" w:rsidP="00457617">
            <w:pPr>
              <w:pStyle w:val="NormalWeb"/>
              <w:rPr>
                <w:sz w:val="18"/>
                <w:szCs w:val="18"/>
              </w:rPr>
            </w:pPr>
            <w:r w:rsidRPr="00834CDC">
              <w:rPr>
                <w:sz w:val="18"/>
                <w:szCs w:val="18"/>
              </w:rPr>
              <w:t>60 months</w:t>
            </w:r>
            <w:r w:rsidR="00054F45" w:rsidRPr="00834CDC">
              <w:rPr>
                <w:sz w:val="18"/>
                <w:szCs w:val="18"/>
              </w:rPr>
              <w:t xml:space="preserve"> </w:t>
            </w:r>
            <w:r w:rsidRPr="00834CDC">
              <w:rPr>
                <w:sz w:val="18"/>
                <w:szCs w:val="18"/>
                <w:vertAlign w:val="superscript"/>
              </w:rPr>
              <w:t>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EE6292" w14:textId="77777777" w:rsidR="008B7EBB" w:rsidRPr="00834CDC" w:rsidRDefault="008B7EBB" w:rsidP="00457617">
            <w:pPr>
              <w:pStyle w:val="NormalWeb"/>
              <w:rPr>
                <w:sz w:val="18"/>
                <w:szCs w:val="18"/>
              </w:rPr>
            </w:pPr>
            <w:r w:rsidRPr="00834CDC">
              <w:rPr>
                <w:sz w:val="18"/>
                <w:szCs w:val="18"/>
              </w:rPr>
              <w:t>N/A</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483FE7" w14:textId="77777777" w:rsidR="008B7EBB" w:rsidRPr="00834CDC" w:rsidRDefault="008B7EBB" w:rsidP="00457617">
            <w:pPr>
              <w:pStyle w:val="NormalWeb"/>
              <w:rPr>
                <w:sz w:val="18"/>
                <w:szCs w:val="18"/>
              </w:rPr>
            </w:pPr>
            <w:r w:rsidRPr="00834CDC">
              <w:rPr>
                <w:sz w:val="18"/>
                <w:szCs w:val="18"/>
              </w:rPr>
              <w:t>N/A</w:t>
            </w:r>
          </w:p>
        </w:tc>
      </w:tr>
      <w:tr w:rsidR="00054F45" w:rsidRPr="00834CDC" w14:paraId="2F0CF6F9"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247D26" w14:textId="77777777" w:rsidR="008B7EBB" w:rsidRPr="00834CDC" w:rsidRDefault="008B7EBB" w:rsidP="007F501C">
            <w:pPr>
              <w:pStyle w:val="NormalWeb"/>
              <w:jc w:val="left"/>
              <w:rPr>
                <w:sz w:val="18"/>
                <w:szCs w:val="18"/>
              </w:rPr>
            </w:pPr>
            <w:r w:rsidRPr="00834CDC">
              <w:rPr>
                <w:sz w:val="18"/>
                <w:szCs w:val="18"/>
              </w:rPr>
              <w:t>13-valent pneumococcal conjugate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E1F338" w14:textId="71133077" w:rsidR="008B7EBB" w:rsidRPr="00834CDC" w:rsidRDefault="008B7EBB" w:rsidP="00457617">
            <w:pPr>
              <w:pStyle w:val="NormalWeb"/>
              <w:rPr>
                <w:sz w:val="18"/>
                <w:szCs w:val="18"/>
              </w:rPr>
            </w:pPr>
            <w:r w:rsidRPr="00834CDC">
              <w:rPr>
                <w:sz w:val="18"/>
                <w:szCs w:val="18"/>
              </w:rPr>
              <w:t>12 months</w:t>
            </w:r>
            <w:r w:rsidR="00054F45" w:rsidRPr="00834CDC">
              <w:rPr>
                <w:sz w:val="18"/>
                <w:szCs w:val="18"/>
              </w:rPr>
              <w:t xml:space="preserve"> </w:t>
            </w:r>
            <w:r w:rsidRPr="00834CDC">
              <w:rPr>
                <w:sz w:val="18"/>
                <w:szCs w:val="18"/>
                <w:vertAlign w:val="superscript"/>
              </w:rPr>
              <w:t>c</w:t>
            </w:r>
            <w:r w:rsidRPr="00834CDC">
              <w:rPr>
                <w:sz w:val="18"/>
                <w:szCs w:val="18"/>
              </w:rPr>
              <w:t xml:space="preserve"> (Dose 2 or 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3C9212" w14:textId="77777777" w:rsidR="008B7EBB" w:rsidRPr="00834CDC" w:rsidRDefault="008B7EBB" w:rsidP="00457617">
            <w:pPr>
              <w:pStyle w:val="NormalWeb"/>
              <w:rPr>
                <w:sz w:val="18"/>
                <w:szCs w:val="18"/>
              </w:rPr>
            </w:pPr>
            <w:r w:rsidRPr="00834CDC">
              <w:rPr>
                <w:sz w:val="18"/>
                <w:szCs w:val="18"/>
              </w:rPr>
              <w:t>97.0</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BC9782" w14:textId="77777777" w:rsidR="008B7EBB" w:rsidRPr="00834CDC" w:rsidRDefault="008B7EBB" w:rsidP="00457617">
            <w:pPr>
              <w:pStyle w:val="NormalWeb"/>
              <w:rPr>
                <w:sz w:val="18"/>
                <w:szCs w:val="18"/>
              </w:rPr>
            </w:pPr>
            <w:r w:rsidRPr="00834CDC">
              <w:rPr>
                <w:sz w:val="18"/>
                <w:szCs w:val="18"/>
              </w:rPr>
              <w:t>96.1</w:t>
            </w:r>
          </w:p>
        </w:tc>
      </w:tr>
      <w:tr w:rsidR="008B7EBB" w:rsidRPr="00834CDC" w14:paraId="180E89C7" w14:textId="77777777" w:rsidTr="00054F45">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6B7065"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C3A688" w14:textId="08372E82" w:rsidR="008B7EBB" w:rsidRPr="00834CDC" w:rsidRDefault="008B7EBB" w:rsidP="00457617">
            <w:pPr>
              <w:pStyle w:val="NormalWeb"/>
              <w:rPr>
                <w:sz w:val="18"/>
                <w:szCs w:val="18"/>
              </w:rPr>
            </w:pPr>
            <w:r w:rsidRPr="00834CDC">
              <w:rPr>
                <w:sz w:val="18"/>
                <w:szCs w:val="18"/>
              </w:rPr>
              <w:t>24 months</w:t>
            </w:r>
            <w:r w:rsidR="00054F45" w:rsidRPr="00834CDC">
              <w:rPr>
                <w:sz w:val="18"/>
                <w:szCs w:val="18"/>
              </w:rPr>
              <w:t xml:space="preserve"> </w:t>
            </w:r>
            <w:r w:rsidRPr="00834CDC">
              <w:rPr>
                <w:sz w:val="18"/>
                <w:szCs w:val="18"/>
                <w:vertAlign w:val="superscript"/>
              </w:rPr>
              <w:t>d</w:t>
            </w:r>
            <w:r w:rsidRPr="00834CDC">
              <w:rPr>
                <w:sz w:val="18"/>
                <w:szCs w:val="18"/>
              </w:rPr>
              <w:t xml:space="preserve"> (Dose 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D8B96D" w14:textId="77777777" w:rsidR="008B7EBB" w:rsidRPr="00834CDC" w:rsidRDefault="008B7EBB" w:rsidP="00457617">
            <w:pPr>
              <w:pStyle w:val="NormalWeb"/>
              <w:rPr>
                <w:sz w:val="18"/>
                <w:szCs w:val="18"/>
              </w:rPr>
            </w:pPr>
            <w:r w:rsidRPr="00834CDC">
              <w:rPr>
                <w:sz w:val="18"/>
                <w:szCs w:val="18"/>
              </w:rPr>
              <w:t>96.7</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4E548D" w14:textId="77777777" w:rsidR="008B7EBB" w:rsidRPr="00834CDC" w:rsidRDefault="008B7EBB" w:rsidP="00457617">
            <w:pPr>
              <w:pStyle w:val="NormalWeb"/>
              <w:rPr>
                <w:sz w:val="18"/>
                <w:szCs w:val="18"/>
              </w:rPr>
            </w:pPr>
            <w:r w:rsidRPr="00834CDC">
              <w:rPr>
                <w:sz w:val="18"/>
                <w:szCs w:val="18"/>
              </w:rPr>
              <w:t>95.6</w:t>
            </w:r>
          </w:p>
        </w:tc>
      </w:tr>
      <w:tr w:rsidR="00054F45" w:rsidRPr="00834CDC" w14:paraId="27CFF2A0"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C867FF"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4A46CE" w14:textId="190BDA9D" w:rsidR="008B7EBB" w:rsidRPr="00834CDC" w:rsidRDefault="008B7EBB" w:rsidP="00457617">
            <w:pPr>
              <w:pStyle w:val="NormalWeb"/>
              <w:rPr>
                <w:sz w:val="18"/>
                <w:szCs w:val="18"/>
              </w:rPr>
            </w:pPr>
            <w:r w:rsidRPr="00834CDC">
              <w:rPr>
                <w:sz w:val="18"/>
                <w:szCs w:val="18"/>
              </w:rPr>
              <w:t>60 months</w:t>
            </w:r>
            <w:r w:rsidR="00054F45" w:rsidRPr="00834CDC">
              <w:rPr>
                <w:sz w:val="18"/>
                <w:szCs w:val="18"/>
              </w:rPr>
              <w:t xml:space="preserve"> </w:t>
            </w:r>
            <w:r w:rsidRPr="00834CDC">
              <w:rPr>
                <w:sz w:val="18"/>
                <w:szCs w:val="18"/>
                <w:vertAlign w:val="superscript"/>
              </w:rPr>
              <w:t>e</w:t>
            </w:r>
            <w:r w:rsidRPr="00834CDC">
              <w:rPr>
                <w:sz w:val="18"/>
                <w:szCs w:val="18"/>
              </w:rPr>
              <w:t xml:space="preserve"> (Dose 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8B03E8" w14:textId="77777777" w:rsidR="008B7EBB" w:rsidRPr="00834CDC" w:rsidRDefault="008B7EBB" w:rsidP="00457617">
            <w:pPr>
              <w:pStyle w:val="NormalWeb"/>
              <w:rPr>
                <w:sz w:val="18"/>
                <w:szCs w:val="18"/>
              </w:rPr>
            </w:pPr>
            <w:r w:rsidRPr="00834CDC">
              <w:rPr>
                <w:sz w:val="18"/>
                <w:szCs w:val="18"/>
              </w:rPr>
              <w:t>96.9</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21D407" w14:textId="77777777" w:rsidR="008B7EBB" w:rsidRPr="00834CDC" w:rsidRDefault="008B7EBB" w:rsidP="00457617">
            <w:pPr>
              <w:pStyle w:val="NormalWeb"/>
              <w:rPr>
                <w:sz w:val="18"/>
                <w:szCs w:val="18"/>
              </w:rPr>
            </w:pPr>
            <w:r w:rsidRPr="00834CDC">
              <w:rPr>
                <w:sz w:val="18"/>
                <w:szCs w:val="18"/>
              </w:rPr>
              <w:t>94.4</w:t>
            </w:r>
          </w:p>
        </w:tc>
      </w:tr>
      <w:tr w:rsidR="008B7EBB" w:rsidRPr="00834CDC" w14:paraId="23CB1355" w14:textId="77777777" w:rsidTr="00054F45">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9BB50C" w14:textId="77777777" w:rsidR="008B7EBB" w:rsidRPr="00834CDC" w:rsidRDefault="008B7EBB" w:rsidP="007F501C">
            <w:pPr>
              <w:pStyle w:val="NormalWeb"/>
              <w:jc w:val="left"/>
              <w:rPr>
                <w:sz w:val="18"/>
                <w:szCs w:val="18"/>
              </w:rPr>
            </w:pPr>
            <w:r w:rsidRPr="00834CDC">
              <w:rPr>
                <w:sz w:val="18"/>
                <w:szCs w:val="18"/>
              </w:rPr>
              <w:t>Rotavirus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7D6DCB" w14:textId="76CE889B" w:rsidR="008B7EBB" w:rsidRPr="00834CDC" w:rsidRDefault="008B7EBB" w:rsidP="00457617">
            <w:pPr>
              <w:pStyle w:val="NormalWeb"/>
              <w:rPr>
                <w:sz w:val="18"/>
                <w:szCs w:val="18"/>
              </w:rPr>
            </w:pPr>
            <w:r w:rsidRPr="00834CDC">
              <w:rPr>
                <w:sz w:val="18"/>
                <w:szCs w:val="18"/>
              </w:rPr>
              <w:t>12 months</w:t>
            </w:r>
            <w:r w:rsidR="00054F45" w:rsidRPr="00834CDC">
              <w:rPr>
                <w:sz w:val="18"/>
                <w:szCs w:val="18"/>
              </w:rPr>
              <w:t xml:space="preserve"> </w:t>
            </w:r>
            <w:r w:rsidRPr="00834CDC">
              <w:rPr>
                <w:sz w:val="18"/>
                <w:szCs w:val="18"/>
                <w:vertAlign w:val="superscript"/>
              </w:rPr>
              <w:t>c</w:t>
            </w:r>
            <w:r w:rsidRPr="00834CDC">
              <w:rPr>
                <w:sz w:val="18"/>
                <w:szCs w:val="18"/>
              </w:rPr>
              <w:t xml:space="preserve"> (Dose 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E9D5E5" w14:textId="77777777" w:rsidR="008B7EBB" w:rsidRPr="00834CDC" w:rsidRDefault="008B7EBB" w:rsidP="00457617">
            <w:pPr>
              <w:pStyle w:val="NormalWeb"/>
              <w:rPr>
                <w:sz w:val="18"/>
                <w:szCs w:val="18"/>
              </w:rPr>
            </w:pPr>
            <w:r w:rsidRPr="00834CDC">
              <w:rPr>
                <w:sz w:val="18"/>
                <w:szCs w:val="18"/>
              </w:rPr>
              <w:t>87.3</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BF812A" w14:textId="77777777" w:rsidR="008B7EBB" w:rsidRPr="00834CDC" w:rsidRDefault="008B7EBB" w:rsidP="00457617">
            <w:pPr>
              <w:pStyle w:val="NormalWeb"/>
              <w:rPr>
                <w:sz w:val="18"/>
                <w:szCs w:val="18"/>
              </w:rPr>
            </w:pPr>
            <w:r w:rsidRPr="00834CDC">
              <w:rPr>
                <w:sz w:val="18"/>
                <w:szCs w:val="18"/>
              </w:rPr>
              <w:t>92.2</w:t>
            </w:r>
          </w:p>
        </w:tc>
      </w:tr>
      <w:tr w:rsidR="00054F45" w:rsidRPr="00834CDC" w14:paraId="67BB1E72" w14:textId="77777777" w:rsidTr="00054F45">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B16D02"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AFCA5A" w14:textId="6C5B9EC3" w:rsidR="008B7EBB" w:rsidRPr="00834CDC" w:rsidRDefault="008B7EBB" w:rsidP="00457617">
            <w:pPr>
              <w:pStyle w:val="NormalWeb"/>
              <w:rPr>
                <w:sz w:val="18"/>
                <w:szCs w:val="18"/>
              </w:rPr>
            </w:pPr>
            <w:r w:rsidRPr="00834CDC">
              <w:rPr>
                <w:sz w:val="18"/>
                <w:szCs w:val="18"/>
              </w:rPr>
              <w:t>24 months</w:t>
            </w:r>
            <w:r w:rsidR="00054F45" w:rsidRPr="00834CDC">
              <w:rPr>
                <w:sz w:val="18"/>
                <w:szCs w:val="18"/>
              </w:rPr>
              <w:t xml:space="preserve"> </w:t>
            </w:r>
            <w:r w:rsidRPr="00834CDC">
              <w:rPr>
                <w:sz w:val="18"/>
                <w:szCs w:val="18"/>
                <w:vertAlign w:val="superscript"/>
              </w:rPr>
              <w:t>d</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F2DCB9" w14:textId="77777777" w:rsidR="008B7EBB" w:rsidRPr="00834CDC" w:rsidRDefault="008B7EBB" w:rsidP="00457617">
            <w:pPr>
              <w:pStyle w:val="NormalWeb"/>
              <w:rPr>
                <w:sz w:val="18"/>
                <w:szCs w:val="18"/>
              </w:rPr>
            </w:pPr>
            <w:r w:rsidRPr="00834CDC">
              <w:rPr>
                <w:sz w:val="18"/>
                <w:szCs w:val="18"/>
              </w:rPr>
              <w:t>N/A</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0A9321" w14:textId="77777777" w:rsidR="008B7EBB" w:rsidRPr="00834CDC" w:rsidRDefault="008B7EBB" w:rsidP="00457617">
            <w:pPr>
              <w:pStyle w:val="NormalWeb"/>
              <w:rPr>
                <w:sz w:val="18"/>
                <w:szCs w:val="18"/>
              </w:rPr>
            </w:pPr>
            <w:r w:rsidRPr="00834CDC">
              <w:rPr>
                <w:sz w:val="18"/>
                <w:szCs w:val="18"/>
              </w:rPr>
              <w:t>N/A</w:t>
            </w:r>
          </w:p>
        </w:tc>
      </w:tr>
      <w:tr w:rsidR="008B7EBB" w:rsidRPr="00834CDC" w14:paraId="526E9CCB" w14:textId="77777777" w:rsidTr="00054F45">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8BE3DE" w14:textId="77777777" w:rsidR="008B7EBB" w:rsidRPr="00834CDC" w:rsidRDefault="008B7EBB" w:rsidP="007F501C">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B17711" w14:textId="11E693CE" w:rsidR="008B7EBB" w:rsidRPr="00834CDC" w:rsidRDefault="008B7EBB" w:rsidP="00457617">
            <w:pPr>
              <w:pStyle w:val="NormalWeb"/>
              <w:rPr>
                <w:sz w:val="18"/>
                <w:szCs w:val="18"/>
              </w:rPr>
            </w:pPr>
            <w:r w:rsidRPr="00834CDC">
              <w:rPr>
                <w:sz w:val="18"/>
                <w:szCs w:val="18"/>
              </w:rPr>
              <w:t>60 months</w:t>
            </w:r>
            <w:r w:rsidR="00054F45" w:rsidRPr="00834CDC">
              <w:rPr>
                <w:sz w:val="18"/>
                <w:szCs w:val="18"/>
              </w:rPr>
              <w:t xml:space="preserve"> </w:t>
            </w:r>
            <w:r w:rsidRPr="00834CDC">
              <w:rPr>
                <w:sz w:val="18"/>
                <w:szCs w:val="18"/>
                <w:vertAlign w:val="superscript"/>
              </w:rPr>
              <w:t>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31A296" w14:textId="77777777" w:rsidR="008B7EBB" w:rsidRPr="00834CDC" w:rsidRDefault="008B7EBB" w:rsidP="00457617">
            <w:pPr>
              <w:pStyle w:val="NormalWeb"/>
              <w:rPr>
                <w:sz w:val="18"/>
                <w:szCs w:val="18"/>
              </w:rPr>
            </w:pPr>
            <w:r w:rsidRPr="00834CDC">
              <w:rPr>
                <w:sz w:val="18"/>
                <w:szCs w:val="18"/>
              </w:rPr>
              <w:t>N/A</w:t>
            </w:r>
          </w:p>
        </w:tc>
        <w:tc>
          <w:tcPr>
            <w:tcW w:w="19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374569" w14:textId="77777777" w:rsidR="008B7EBB" w:rsidRPr="00834CDC" w:rsidRDefault="008B7EBB" w:rsidP="00457617">
            <w:pPr>
              <w:pStyle w:val="NormalWeb"/>
              <w:rPr>
                <w:sz w:val="18"/>
                <w:szCs w:val="18"/>
              </w:rPr>
            </w:pPr>
            <w:r w:rsidRPr="00834CDC">
              <w:rPr>
                <w:sz w:val="18"/>
                <w:szCs w:val="18"/>
              </w:rPr>
              <w:t>N/A</w:t>
            </w:r>
          </w:p>
        </w:tc>
      </w:tr>
    </w:tbl>
    <w:p w14:paraId="7881F4CE" w14:textId="77777777" w:rsidR="008B7EBB" w:rsidRPr="00834CDC" w:rsidRDefault="008B7EBB" w:rsidP="008B7EBB">
      <w:pPr>
        <w:pStyle w:val="CDIfootnotes"/>
        <w:divId w:val="1988506822"/>
      </w:pPr>
      <w:r w:rsidRPr="00834CDC">
        <w:t>a</w:t>
      </w:r>
      <w:r w:rsidRPr="00834CDC">
        <w:tab/>
        <w:t xml:space="preserve">Source: Australian Immunisation Register, data as </w:t>
      </w:r>
      <w:proofErr w:type="gramStart"/>
      <w:r w:rsidRPr="00834CDC">
        <w:t>at</w:t>
      </w:r>
      <w:proofErr w:type="gramEnd"/>
      <w:r w:rsidRPr="00834CDC">
        <w:t xml:space="preserve"> 31 March 2020.</w:t>
      </w:r>
    </w:p>
    <w:p w14:paraId="2C99739B" w14:textId="77777777" w:rsidR="008B7EBB" w:rsidRPr="00834CDC" w:rsidRDefault="008B7EBB" w:rsidP="008B7EBB">
      <w:pPr>
        <w:pStyle w:val="CDIfootnotes"/>
        <w:divId w:val="1988506822"/>
      </w:pPr>
      <w:r w:rsidRPr="00834CDC">
        <w:t>b</w:t>
      </w:r>
      <w:r w:rsidRPr="00834CDC">
        <w:tab/>
        <w:t xml:space="preserve">N/A: Not applicable (vaccine either not given prior to this milestone or contraindicated after </w:t>
      </w:r>
      <w:proofErr w:type="gramStart"/>
      <w:r w:rsidRPr="00834CDC">
        <w:t>previous</w:t>
      </w:r>
      <w:proofErr w:type="gramEnd"/>
      <w:r w:rsidRPr="00834CDC">
        <w:t xml:space="preserve"> milestone).</w:t>
      </w:r>
    </w:p>
    <w:p w14:paraId="15F4C306" w14:textId="77777777" w:rsidR="008B7EBB" w:rsidRPr="00834CDC" w:rsidRDefault="008B7EBB" w:rsidP="008B7EBB">
      <w:pPr>
        <w:pStyle w:val="CDIfootnotes"/>
        <w:divId w:val="1988506822"/>
      </w:pPr>
      <w:r w:rsidRPr="00834CDC">
        <w:t>c</w:t>
      </w:r>
      <w:r w:rsidRPr="00834CDC">
        <w:tab/>
        <w:t>Cohort born 1 January 2018 – 31 December 2018.</w:t>
      </w:r>
    </w:p>
    <w:p w14:paraId="69EA7C1E" w14:textId="77777777" w:rsidR="008B7EBB" w:rsidRPr="00834CDC" w:rsidRDefault="008B7EBB" w:rsidP="008B7EBB">
      <w:pPr>
        <w:pStyle w:val="CDIfootnotes"/>
        <w:divId w:val="1988506822"/>
      </w:pPr>
      <w:r w:rsidRPr="00834CDC">
        <w:t>d</w:t>
      </w:r>
      <w:r w:rsidRPr="00834CDC">
        <w:tab/>
        <w:t>Cohort born 1 January 2017 – 31 December 2017.</w:t>
      </w:r>
    </w:p>
    <w:p w14:paraId="63A87AEA" w14:textId="77777777" w:rsidR="008B7EBB" w:rsidRPr="00834CDC" w:rsidRDefault="008B7EBB" w:rsidP="008B7EBB">
      <w:pPr>
        <w:pStyle w:val="CDIfootnotes"/>
        <w:divId w:val="1988506822"/>
      </w:pPr>
      <w:r w:rsidRPr="00834CDC">
        <w:t>e</w:t>
      </w:r>
      <w:r w:rsidRPr="00834CDC">
        <w:tab/>
        <w:t>Cohort born 1 January 2014 – 31 December 2014.</w:t>
      </w:r>
    </w:p>
    <w:p w14:paraId="5180520D" w14:textId="77777777" w:rsidR="008B7EBB" w:rsidRPr="00834CDC" w:rsidRDefault="008B7EBB" w:rsidP="008B7EBB">
      <w:pPr>
        <w:pStyle w:val="CDIfootnotes"/>
        <w:divId w:val="1988506822"/>
      </w:pPr>
      <w:r w:rsidRPr="00834CDC">
        <w:t>f</w:t>
      </w:r>
      <w:r w:rsidRPr="00834CDC">
        <w:tab/>
        <w:t>Cohort born 1 July 2017 – 31 December 2017.</w:t>
      </w:r>
    </w:p>
    <w:p w14:paraId="2C9DA2CE" w14:textId="77777777" w:rsidR="008B7EBB" w:rsidRPr="00834CDC" w:rsidRDefault="008B7EBB" w:rsidP="0033445F">
      <w:pPr>
        <w:divId w:val="1988506822"/>
      </w:pPr>
    </w:p>
    <w:p w14:paraId="4C19507B" w14:textId="77777777" w:rsidR="0033445F" w:rsidRPr="00834CDC" w:rsidRDefault="0033445F" w:rsidP="0033445F">
      <w:pPr>
        <w:pStyle w:val="Heading2"/>
        <w:divId w:val="1988506822"/>
      </w:pPr>
      <w:r w:rsidRPr="00834CDC">
        <w:t xml:space="preserve">Hepatitis A vaccines </w:t>
      </w:r>
    </w:p>
    <w:p w14:paraId="02315C59" w14:textId="0A543E85" w:rsidR="0033445F" w:rsidRPr="00834CDC" w:rsidRDefault="0033445F" w:rsidP="0033445F">
      <w:pPr>
        <w:divId w:val="1988506822"/>
      </w:pPr>
      <w:r w:rsidRPr="00834CDC">
        <w:t xml:space="preserve">Hepatitis A vaccine has been included on the NIP for Aboriginal and Torres Strait Islander children in the Northern Territory, Queensland, South </w:t>
      </w:r>
      <w:proofErr w:type="gramStart"/>
      <w:r w:rsidRPr="00834CDC">
        <w:t>Australia</w:t>
      </w:r>
      <w:proofErr w:type="gramEnd"/>
      <w:r w:rsidRPr="00834CDC">
        <w:t xml:space="preserve"> and Western Australia since November 2005, but was used earlier than this in north Queensland. Two doses of hepatitis A vaccine </w:t>
      </w:r>
      <w:proofErr w:type="gramStart"/>
      <w:r w:rsidRPr="00834CDC">
        <w:t>are administered</w:t>
      </w:r>
      <w:proofErr w:type="gramEnd"/>
      <w:r w:rsidRPr="00834CDC">
        <w:t xml:space="preserve"> at 12 and 18 months in all jurisdictions. Between September 2016 and March 2017, coverage of two doses of hepatitis A vaccine among Aboriginal and Torres Strait Islander children (assessed at 30 months of age) decreased below the coverage rate at the beginning of the reporting period, to lows of 56.3% in South Australia, 60.9% in Western Australia, and 67.0% in Queensland (Figure 22). However, coverage then increased; and by December 2019, 72.2% of Aboriginal and Torres Strait Islander children in the four jurisdictions had received two doses of hepatitis A vaccine by 30 months of age. Increases in coverage of two doses of hepatitis A vaccine have </w:t>
      </w:r>
      <w:proofErr w:type="gramStart"/>
      <w:r w:rsidRPr="00834CDC">
        <w:t>been achieved</w:t>
      </w:r>
      <w:proofErr w:type="gramEnd"/>
      <w:r w:rsidRPr="00834CDC">
        <w:t xml:space="preserve"> for Aboriginal and Torres Strait Islander children in each of the four jurisdictions, although there is a substantial variation: from a low of 64.3% in South Australia to a high of 87.5% in the Northern Territory. </w:t>
      </w:r>
    </w:p>
    <w:p w14:paraId="5DA58A9D" w14:textId="7DC0EB85" w:rsidR="000B2CAB" w:rsidRPr="00834CDC" w:rsidRDefault="000B2CAB" w:rsidP="000B2CAB">
      <w:pPr>
        <w:pStyle w:val="CDIFigures"/>
        <w:divId w:val="1988506822"/>
      </w:pPr>
      <w:r w:rsidRPr="00834CDC">
        <w:rPr>
          <w:rStyle w:val="Strong"/>
          <w:b/>
          <w:bCs w:val="0"/>
        </w:rPr>
        <w:t xml:space="preserve">Figure 22: Trends in coverage estimates </w:t>
      </w:r>
      <w:r w:rsidRPr="00834CDC">
        <w:rPr>
          <w:rStyle w:val="Strong"/>
          <w:b/>
          <w:bCs w:val="0"/>
          <w:vertAlign w:val="superscript"/>
        </w:rPr>
        <w:t>a</w:t>
      </w:r>
      <w:r w:rsidRPr="00834CDC">
        <w:rPr>
          <w:rStyle w:val="Strong"/>
          <w:b/>
          <w:bCs w:val="0"/>
        </w:rPr>
        <w:t xml:space="preserve"> for hepatitis A vaccine </w:t>
      </w:r>
      <w:r w:rsidRPr="00834CDC">
        <w:rPr>
          <w:rStyle w:val="Strong"/>
          <w:b/>
          <w:bCs w:val="0"/>
          <w:vertAlign w:val="superscript"/>
        </w:rPr>
        <w:t>b</w:t>
      </w:r>
      <w:r w:rsidRPr="00834CDC">
        <w:rPr>
          <w:rStyle w:val="Strong"/>
          <w:b/>
          <w:bCs w:val="0"/>
        </w:rPr>
        <w:t xml:space="preserve"> for Aboriginal and Torres Strait Islander children by quarter of vaccination and jurisdiction, Australia, </w:t>
      </w:r>
      <w:proofErr w:type="spellStart"/>
      <w:proofErr w:type="gramStart"/>
      <w:r w:rsidRPr="00834CDC">
        <w:rPr>
          <w:rStyle w:val="Strong"/>
          <w:b/>
          <w:bCs w:val="0"/>
          <w:vertAlign w:val="superscript"/>
        </w:rPr>
        <w:t>c,d</w:t>
      </w:r>
      <w:proofErr w:type="spellEnd"/>
      <w:proofErr w:type="gramEnd"/>
      <w:r w:rsidRPr="00834CDC">
        <w:rPr>
          <w:rStyle w:val="Strong"/>
          <w:b/>
          <w:bCs w:val="0"/>
          <w:vertAlign w:val="superscript"/>
        </w:rPr>
        <w:t xml:space="preserve"> </w:t>
      </w:r>
      <w:r w:rsidRPr="00834CDC">
        <w:rPr>
          <w:rStyle w:val="Strong"/>
          <w:b/>
          <w:bCs w:val="0"/>
        </w:rPr>
        <w:t>2016–2019</w:t>
      </w:r>
    </w:p>
    <w:p w14:paraId="32C3A21F" w14:textId="77777777" w:rsidR="000B2CAB" w:rsidRPr="00834CDC" w:rsidRDefault="000B2CAB" w:rsidP="000B2CAB">
      <w:pPr>
        <w:pStyle w:val="NormalWeb"/>
        <w:divId w:val="1988506822"/>
      </w:pPr>
      <w:r w:rsidRPr="00834CDC">
        <w:rPr>
          <w:noProof/>
        </w:rPr>
        <w:drawing>
          <wp:inline distT="0" distB="0" distL="0" distR="0" wp14:anchorId="334B9A5E" wp14:editId="34AA1EED">
            <wp:extent cx="6629400" cy="4229558"/>
            <wp:effectExtent l="0" t="0" r="0" b="0"/>
            <wp:docPr id="195" name="Picture 195" descr="Line graph showing coverage for hepatitis A vaccine for Aboriginal and Torres Strait Islander children by quarter of vaccination, nationally and in the Northern Territory, Queensland, South Australia and Western Australia, for the period 2016 to 2019. Coverage of two doses of hepatitis A vaccine was highest in the Northern Territory, starting at around 80% in 2016 and reaching 87.5% at the end of 2019. Coverage increased in the other three jurisdictions across the 4 year period, most notably in Western Australia, and by the end of 2019 had reached 68% in Western Australia, 64% in South Australia and 71% in Queenslan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e graph showing coverage for hepatitis A vaccine for Aboriginal and Torres Strait Islander children by quarter of vaccination, nationally and in the Northern Territory, Queensland, South Australia and Western Australia, for the period 2016 to 2019. Coverage of two doses of hepatitis A vaccine was highest in the Northern Territory, starting at around 80% in 2016 and reaching 87.5% at the end of 2019. Coverage increased in the other three jurisdictions across the 4 year period, most notably in Western Australia, and by the end of 2019 had reached 68% in Western Australia, 64% in South Australia and 71% in Queensland.  &#10;"/>
                    <pic:cNvPicPr>
                      <a:picLocks noChangeAspect="1" noChangeArrowheads="1"/>
                    </pic:cNvPicPr>
                  </pic:nvPicPr>
                  <pic:blipFill>
                    <a:blip r:link="rId33">
                      <a:extLst>
                        <a:ext uri="{28A0092B-C50C-407E-A947-70E740481C1C}">
                          <a14:useLocalDpi xmlns:a14="http://schemas.microsoft.com/office/drawing/2010/main" val="0"/>
                        </a:ext>
                      </a:extLst>
                    </a:blip>
                    <a:stretch>
                      <a:fillRect/>
                    </a:stretch>
                  </pic:blipFill>
                  <pic:spPr bwMode="auto">
                    <a:xfrm>
                      <a:off x="0" y="0"/>
                      <a:ext cx="6641768" cy="4237449"/>
                    </a:xfrm>
                    <a:prstGeom prst="rect">
                      <a:avLst/>
                    </a:prstGeom>
                  </pic:spPr>
                </pic:pic>
              </a:graphicData>
            </a:graphic>
          </wp:inline>
        </w:drawing>
      </w:r>
    </w:p>
    <w:p w14:paraId="162F471F" w14:textId="77777777" w:rsidR="000B2CAB" w:rsidRPr="00834CDC" w:rsidRDefault="000B2CAB" w:rsidP="00467D96">
      <w:pPr>
        <w:pStyle w:val="CDIfootnotes"/>
        <w:divId w:val="1988506822"/>
      </w:pPr>
      <w:r w:rsidRPr="00834CDC">
        <w:t>a</w:t>
      </w:r>
      <w:r w:rsidRPr="00834CDC">
        <w:tab/>
        <w:t>Vaccination coverage estimates calculated using 3-month wide birth cohorts by quarter.</w:t>
      </w:r>
    </w:p>
    <w:p w14:paraId="2EC82B28" w14:textId="77777777" w:rsidR="000B2CAB" w:rsidRPr="00834CDC" w:rsidRDefault="000B2CAB" w:rsidP="00467D96">
      <w:pPr>
        <w:pStyle w:val="CDIfootnotes"/>
        <w:divId w:val="1988506822"/>
      </w:pPr>
      <w:r w:rsidRPr="00834CDC">
        <w:t>b</w:t>
      </w:r>
      <w:r w:rsidRPr="00834CDC">
        <w:tab/>
        <w:t>18-month dose assessed at 30 months of age in all four jurisdictions.</w:t>
      </w:r>
    </w:p>
    <w:p w14:paraId="502C6E87" w14:textId="77777777" w:rsidR="000B2CAB" w:rsidRPr="00834CDC" w:rsidRDefault="000B2CAB" w:rsidP="00467D96">
      <w:pPr>
        <w:pStyle w:val="CDIfootnotes"/>
        <w:divId w:val="1988506822"/>
      </w:pPr>
      <w:r w:rsidRPr="00834CDC">
        <w:t>c</w:t>
      </w:r>
      <w:r w:rsidRPr="00834CDC">
        <w:tab/>
        <w:t>Northern Territory (NT), Queensland (Qld), South Australia (SA) and Western Australia (WA) only.</w:t>
      </w:r>
    </w:p>
    <w:p w14:paraId="53991871" w14:textId="77777777" w:rsidR="000B2CAB" w:rsidRPr="00834CDC" w:rsidRDefault="000B2CAB" w:rsidP="00467D96">
      <w:pPr>
        <w:pStyle w:val="CDIfootnotes"/>
        <w:divId w:val="1988506822"/>
      </w:pPr>
      <w:r w:rsidRPr="00834CDC">
        <w:t>d</w:t>
      </w:r>
      <w:r w:rsidRPr="00834CDC">
        <w:tab/>
        <w:t xml:space="preserve">Source: Australian Immunisation Register, data as </w:t>
      </w:r>
      <w:proofErr w:type="gramStart"/>
      <w:r w:rsidRPr="00834CDC">
        <w:t>at</w:t>
      </w:r>
      <w:proofErr w:type="gramEnd"/>
      <w:r w:rsidRPr="00834CDC">
        <w:t xml:space="preserve"> 31 March 2020.</w:t>
      </w:r>
    </w:p>
    <w:p w14:paraId="5CEF2684" w14:textId="77777777" w:rsidR="000B2CAB" w:rsidRPr="00834CDC" w:rsidRDefault="000B2CAB" w:rsidP="0033445F">
      <w:pPr>
        <w:divId w:val="1988506822"/>
      </w:pPr>
    </w:p>
    <w:p w14:paraId="7A234411" w14:textId="77777777" w:rsidR="00467D96" w:rsidRPr="00834CDC" w:rsidRDefault="00467D96">
      <w:pPr>
        <w:rPr>
          <w:rFonts w:asciiTheme="majorHAnsi" w:eastAsiaTheme="majorEastAsia" w:hAnsiTheme="majorHAnsi" w:cstheme="majorBidi"/>
          <w:b/>
          <w:bCs/>
        </w:rPr>
      </w:pPr>
      <w:r w:rsidRPr="00834CDC">
        <w:br w:type="page"/>
      </w:r>
    </w:p>
    <w:p w14:paraId="3AB077C2" w14:textId="7D712EF4" w:rsidR="0033445F" w:rsidRPr="00834CDC" w:rsidRDefault="0033445F" w:rsidP="0033445F">
      <w:pPr>
        <w:pStyle w:val="Heading3"/>
        <w:divId w:val="1988506822"/>
      </w:pPr>
      <w:r w:rsidRPr="00834CDC">
        <w:lastRenderedPageBreak/>
        <w:t xml:space="preserve">Fourth dose of pneumococcal vaccine </w:t>
      </w:r>
    </w:p>
    <w:p w14:paraId="1EEF1483" w14:textId="607FD540" w:rsidR="0033445F" w:rsidRPr="00834CDC" w:rsidRDefault="0033445F" w:rsidP="0033445F">
      <w:pPr>
        <w:divId w:val="1988506822"/>
      </w:pPr>
      <w:r w:rsidRPr="00834CDC">
        <w:t xml:space="preserve">A booster (fourth dose) of pneumococcal vaccine at 18–24 months of age has been recommended and funded for Aboriginal and Torres Strait Islander children in the Northern Territory, Queensland, South Australia and Western Australia since 2001, initially as 23-valent pneumococcal polysaccharide vaccine and then as 13-valent pneumococcal conjugate vaccine (13vPCV) from July 2013 in Queensland, South Australia and Western Australia, and from October 2013 in the Northern Territory. During the reporting period, Aboriginal and Torres Strait Islander coverage estimates of the pneumococcal booster at 18–24 months of age (assessed at 30 months of age) varied </w:t>
      </w:r>
      <w:proofErr w:type="gramStart"/>
      <w:r w:rsidRPr="00834CDC">
        <w:t>substantially between</w:t>
      </w:r>
      <w:proofErr w:type="gramEnd"/>
      <w:r w:rsidRPr="00834CDC">
        <w:t xml:space="preserve"> jurisdictions (Figure 23). Coverage increased steadily in the Northern Territory from 84.4% in March 2016 to 92.6% in December 2019, and more rapidly in South Australia from 59.7% in March 2016 to 74.1% in December 2019. Coverage rates in Western Australia decreased across the reporting period to a low of 53% in June 2019, increasing again in the last two quarters of 2019 to reach 60.7% at the end of the reporting period. In Queensland, coverage decreased from 69.5% in March 2016 to a low of 45.7% in September 2019, then increased to 53.1% at the end of</w:t>
      </w:r>
      <w:r w:rsidR="00015E64" w:rsidRPr="00834CDC">
        <w:t> </w:t>
      </w:r>
      <w:r w:rsidRPr="00834CDC">
        <w:t>2019.</w:t>
      </w:r>
    </w:p>
    <w:p w14:paraId="58E413C6" w14:textId="2A93526F" w:rsidR="00FB51AA" w:rsidRPr="00834CDC" w:rsidRDefault="00FB51AA" w:rsidP="00FB51AA">
      <w:pPr>
        <w:pStyle w:val="CDIFigures"/>
        <w:divId w:val="1988506822"/>
      </w:pPr>
      <w:r w:rsidRPr="00834CDC">
        <w:rPr>
          <w:rStyle w:val="Strong"/>
          <w:b/>
          <w:bCs w:val="0"/>
        </w:rPr>
        <w:t xml:space="preserve">Figure 23: Trends in coverage estimates </w:t>
      </w:r>
      <w:r w:rsidRPr="00834CDC">
        <w:rPr>
          <w:rStyle w:val="Strong"/>
          <w:b/>
          <w:bCs w:val="0"/>
          <w:vertAlign w:val="superscript"/>
        </w:rPr>
        <w:t>a</w:t>
      </w:r>
      <w:r w:rsidRPr="00834CDC">
        <w:rPr>
          <w:rStyle w:val="Strong"/>
          <w:b/>
          <w:bCs w:val="0"/>
        </w:rPr>
        <w:t xml:space="preserve"> for the fourth dose of pneumococcal vaccine </w:t>
      </w:r>
      <w:r w:rsidRPr="00834CDC">
        <w:rPr>
          <w:rStyle w:val="Strong"/>
          <w:b/>
          <w:bCs w:val="0"/>
          <w:vertAlign w:val="superscript"/>
        </w:rPr>
        <w:t>b</w:t>
      </w:r>
      <w:r w:rsidRPr="00834CDC">
        <w:rPr>
          <w:rStyle w:val="Strong"/>
          <w:b/>
          <w:bCs w:val="0"/>
        </w:rPr>
        <w:t xml:space="preserve"> for Aboriginal and Torres Strait Islander children by quarter of vaccination and jurisdiction, Australia, </w:t>
      </w:r>
      <w:proofErr w:type="spellStart"/>
      <w:proofErr w:type="gramStart"/>
      <w:r w:rsidRPr="00834CDC">
        <w:rPr>
          <w:rStyle w:val="Strong"/>
          <w:b/>
          <w:bCs w:val="0"/>
          <w:vertAlign w:val="superscript"/>
        </w:rPr>
        <w:t>c,d</w:t>
      </w:r>
      <w:proofErr w:type="spellEnd"/>
      <w:proofErr w:type="gramEnd"/>
      <w:r w:rsidRPr="00834CDC">
        <w:rPr>
          <w:rStyle w:val="Strong"/>
          <w:b/>
          <w:bCs w:val="0"/>
        </w:rPr>
        <w:t xml:space="preserve"> 2016–2019</w:t>
      </w:r>
    </w:p>
    <w:p w14:paraId="40D773BD" w14:textId="77777777" w:rsidR="00FB51AA" w:rsidRPr="00834CDC" w:rsidRDefault="00FB51AA" w:rsidP="00FB51AA">
      <w:pPr>
        <w:pStyle w:val="NormalWeb"/>
        <w:divId w:val="1988506822"/>
      </w:pPr>
      <w:r w:rsidRPr="00834CDC">
        <w:rPr>
          <w:noProof/>
        </w:rPr>
        <w:drawing>
          <wp:inline distT="0" distB="0" distL="0" distR="0" wp14:anchorId="58B8A1AE" wp14:editId="2E14070B">
            <wp:extent cx="6635707" cy="4263219"/>
            <wp:effectExtent l="0" t="0" r="0" b="4445"/>
            <wp:docPr id="196" name="Picture 196" descr="Line graph showing coverage for the 4th dose of pneumococcal vaccine for Aboriginal and Torres Strait Islander children by quarter of vaccination, nationally and in the Northern Territory, Queensland, South Australia and Western Australia, for the period 2016 to 2019. National coverage decreased from 69% in March 2016 to 62% by December 2019. Coverage was highest in the Northern Territory at around 84-93% throughout the period. Coverage increased in South Australia across the period, from 60% to 74%. Coverage remained similar across the period for Western Australia but decreased in Queensland between the end of 2018 to end of 2019 to reach 53%.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ine graph showing coverage for the 4th dose of pneumococcal vaccine for Aboriginal and Torres Strait Islander children by quarter of vaccination, nationally and in the Northern Territory, Queensland, South Australia and Western Australia, for the period 2016 to 2019. National coverage decreased from 69% in March 2016 to 62% by December 2019. Coverage was highest in the Northern Territory at around 84-93% throughout the period. Coverage increased in South Australia across the period, from 60% to 74%. Coverage remained similar across the period for Western Australia but decreased in Queensland between the end of 2018 to end of 2019 to reach 53%. &#10;"/>
                    <pic:cNvPicPr>
                      <a:picLocks noChangeAspect="1" noChangeArrowheads="1"/>
                    </pic:cNvPicPr>
                  </pic:nvPicPr>
                  <pic:blipFill>
                    <a:blip r:link="rId34">
                      <a:extLst>
                        <a:ext uri="{28A0092B-C50C-407E-A947-70E740481C1C}">
                          <a14:useLocalDpi xmlns:a14="http://schemas.microsoft.com/office/drawing/2010/main" val="0"/>
                        </a:ext>
                      </a:extLst>
                    </a:blip>
                    <a:stretch>
                      <a:fillRect/>
                    </a:stretch>
                  </pic:blipFill>
                  <pic:spPr bwMode="auto">
                    <a:xfrm>
                      <a:off x="0" y="0"/>
                      <a:ext cx="6645710" cy="4269646"/>
                    </a:xfrm>
                    <a:prstGeom prst="rect">
                      <a:avLst/>
                    </a:prstGeom>
                  </pic:spPr>
                </pic:pic>
              </a:graphicData>
            </a:graphic>
          </wp:inline>
        </w:drawing>
      </w:r>
    </w:p>
    <w:p w14:paraId="247FE737" w14:textId="77777777" w:rsidR="00FB51AA" w:rsidRPr="00834CDC" w:rsidRDefault="00FB51AA" w:rsidP="00FB51AA">
      <w:pPr>
        <w:pStyle w:val="CDIfootnotes"/>
        <w:divId w:val="1988506822"/>
      </w:pPr>
      <w:r w:rsidRPr="00834CDC">
        <w:t>a</w:t>
      </w:r>
      <w:r w:rsidRPr="00834CDC">
        <w:tab/>
        <w:t>Vaccination coverage estimates calculated using 3-month wide birth cohorts by quarter.</w:t>
      </w:r>
    </w:p>
    <w:p w14:paraId="59D5DC61" w14:textId="77777777" w:rsidR="00FB51AA" w:rsidRPr="00834CDC" w:rsidRDefault="00FB51AA" w:rsidP="00FB51AA">
      <w:pPr>
        <w:pStyle w:val="CDIfootnotes"/>
        <w:divId w:val="1988506822"/>
      </w:pPr>
      <w:r w:rsidRPr="00834CDC">
        <w:t>b</w:t>
      </w:r>
      <w:r w:rsidRPr="00834CDC">
        <w:tab/>
        <w:t>12-month booster dose assessed at 30 months of age in all four jurisdictions.</w:t>
      </w:r>
    </w:p>
    <w:p w14:paraId="7C74664D" w14:textId="77777777" w:rsidR="00FB51AA" w:rsidRPr="00834CDC" w:rsidRDefault="00FB51AA" w:rsidP="00FB51AA">
      <w:pPr>
        <w:pStyle w:val="CDIfootnotes"/>
        <w:divId w:val="1988506822"/>
      </w:pPr>
      <w:r w:rsidRPr="00834CDC">
        <w:t>c</w:t>
      </w:r>
      <w:r w:rsidRPr="00834CDC">
        <w:tab/>
        <w:t>Northern Territory (NT), Queensland (Qld), South Australia (SA) and Western Australia (WA) only.</w:t>
      </w:r>
    </w:p>
    <w:p w14:paraId="18859BD9" w14:textId="77777777" w:rsidR="00FB51AA" w:rsidRPr="00834CDC" w:rsidRDefault="00FB51AA" w:rsidP="00FB51AA">
      <w:pPr>
        <w:pStyle w:val="CDIfootnotes"/>
        <w:divId w:val="1988506822"/>
      </w:pPr>
      <w:r w:rsidRPr="00834CDC">
        <w:t>d</w:t>
      </w:r>
      <w:r w:rsidRPr="00834CDC">
        <w:tab/>
        <w:t xml:space="preserve">Source: Australian Immunisation Register, data as </w:t>
      </w:r>
      <w:proofErr w:type="gramStart"/>
      <w:r w:rsidRPr="00834CDC">
        <w:t>at</w:t>
      </w:r>
      <w:proofErr w:type="gramEnd"/>
      <w:r w:rsidRPr="00834CDC">
        <w:t xml:space="preserve"> 31 March 2020.</w:t>
      </w:r>
    </w:p>
    <w:p w14:paraId="2324E14D" w14:textId="77777777" w:rsidR="00FB51AA" w:rsidRPr="00834CDC" w:rsidRDefault="00FB51AA" w:rsidP="0033445F">
      <w:pPr>
        <w:divId w:val="1988506822"/>
      </w:pPr>
    </w:p>
    <w:p w14:paraId="43BFC17A" w14:textId="77777777" w:rsidR="00FB51AA" w:rsidRPr="00834CDC" w:rsidRDefault="00FB51AA">
      <w:pPr>
        <w:rPr>
          <w:rFonts w:asciiTheme="majorHAnsi" w:eastAsiaTheme="majorEastAsia" w:hAnsiTheme="majorHAnsi" w:cstheme="majorBidi"/>
          <w:b/>
          <w:bCs/>
        </w:rPr>
      </w:pPr>
      <w:r w:rsidRPr="00834CDC">
        <w:br w:type="page"/>
      </w:r>
    </w:p>
    <w:p w14:paraId="54F2B78F" w14:textId="515EFA93" w:rsidR="0033445F" w:rsidRPr="00834CDC" w:rsidRDefault="0033445F" w:rsidP="0033445F">
      <w:pPr>
        <w:pStyle w:val="Heading3"/>
        <w:divId w:val="1988506822"/>
      </w:pPr>
      <w:r w:rsidRPr="00834CDC">
        <w:lastRenderedPageBreak/>
        <w:t xml:space="preserve">Seasonal influenza vaccine </w:t>
      </w:r>
    </w:p>
    <w:p w14:paraId="7E78DE35" w14:textId="75ED2D1D" w:rsidR="0033445F" w:rsidRPr="00834CDC" w:rsidRDefault="0033445F" w:rsidP="0033445F">
      <w:pPr>
        <w:divId w:val="1988506822"/>
      </w:pPr>
      <w:r w:rsidRPr="00834CDC">
        <w:t xml:space="preserve">In 2015, seasonal influenza vaccine </w:t>
      </w:r>
      <w:proofErr w:type="gramStart"/>
      <w:r w:rsidRPr="00834CDC">
        <w:t>was recommended</w:t>
      </w:r>
      <w:proofErr w:type="gramEnd"/>
      <w:r w:rsidRPr="00834CDC">
        <w:t xml:space="preserve"> and funded on the NIP for all Aboriginal and Torres Strait Islander children aged 6 months to ˂ 5 years. Prior to this, national recorded coverage of the seasonal influenza vaccine was below 4% for Aboriginal and Torres Strait Islander children. In 2016, recorded coverage of the seasonal influenza vaccine was 11.6% for Aboriginal and Torres Strait Islander children, more than four times the coverage in other Australian children (Figure 24). Coverage in Aboriginal and Torres Strait Islander children increased across the reporting period, reaching 14.9% in 2017, 31.4% in 2018 and 43.6% in 2019. In May 2018, an annual seasonal vaccination program for all children 6 months to 5 years was funded in six jurisdictions (Australian Capital Territory, New South Wales, Queensland, South Australia, </w:t>
      </w:r>
      <w:proofErr w:type="gramStart"/>
      <w:r w:rsidRPr="00834CDC">
        <w:t>Tasmania</w:t>
      </w:r>
      <w:proofErr w:type="gramEnd"/>
      <w:r w:rsidRPr="00834CDC">
        <w:t xml:space="preserve"> and Victoria; the program was in place in Western Australia since 2008). The program resulted in an increase in influenza coverage in other Australian children; by 2019, it was two percentage points lower in other children than coverage in Aboriginal and Torres Strait Islander children. However, unlike most other routine childhood vaccines on the NIP, influenza vaccine notifications do not attract notification payments for immunisation providers. As such, influenza vaccine coverage data should </w:t>
      </w:r>
      <w:proofErr w:type="gramStart"/>
      <w:r w:rsidRPr="00834CDC">
        <w:t>be regarded</w:t>
      </w:r>
      <w:proofErr w:type="gramEnd"/>
      <w:r w:rsidRPr="00834CDC">
        <w:t xml:space="preserve"> as a minimum estimate due to the potential for under-reporting.</w:t>
      </w:r>
    </w:p>
    <w:p w14:paraId="479E5557" w14:textId="05D857CD" w:rsidR="0012127F" w:rsidRPr="00834CDC" w:rsidRDefault="0012127F" w:rsidP="0012127F">
      <w:pPr>
        <w:pStyle w:val="CDIFigures"/>
        <w:divId w:val="1988506822"/>
      </w:pPr>
      <w:r w:rsidRPr="00834CDC">
        <w:rPr>
          <w:rStyle w:val="Strong"/>
          <w:b/>
          <w:bCs w:val="0"/>
        </w:rPr>
        <w:t xml:space="preserve">Figure 24: Trends in recorded coverage of seasonal influenza vaccine </w:t>
      </w:r>
      <w:proofErr w:type="spellStart"/>
      <w:proofErr w:type="gramStart"/>
      <w:r w:rsidRPr="00834CDC">
        <w:rPr>
          <w:rStyle w:val="Strong"/>
          <w:b/>
          <w:bCs w:val="0"/>
          <w:vertAlign w:val="superscript"/>
        </w:rPr>
        <w:t>a,b</w:t>
      </w:r>
      <w:proofErr w:type="spellEnd"/>
      <w:proofErr w:type="gramEnd"/>
      <w:r w:rsidRPr="00834CDC">
        <w:rPr>
          <w:rStyle w:val="Strong"/>
          <w:b/>
          <w:bCs w:val="0"/>
        </w:rPr>
        <w:t xml:space="preserve"> for children aged 6 months to &lt; 5 years, Australia, 2016–2019 by Aboriginal and Torres Strait Islander status</w:t>
      </w:r>
    </w:p>
    <w:p w14:paraId="203CD0A9" w14:textId="77777777" w:rsidR="0012127F" w:rsidRPr="00834CDC" w:rsidRDefault="0012127F" w:rsidP="0012127F">
      <w:pPr>
        <w:pStyle w:val="NormalWeb"/>
        <w:divId w:val="1988506822"/>
      </w:pPr>
      <w:r w:rsidRPr="00834CDC">
        <w:rPr>
          <w:noProof/>
        </w:rPr>
        <w:drawing>
          <wp:inline distT="0" distB="0" distL="0" distR="0" wp14:anchorId="4C6332E1" wp14:editId="788BC2D9">
            <wp:extent cx="6629400" cy="4274044"/>
            <wp:effectExtent l="0" t="0" r="0" b="0"/>
            <wp:docPr id="197" name="Picture 197" descr="Bar chart showing coverage of at least one dose of seasonal influenza vaccine administered to children aged 6 months to &lt;5 years, between 2016 to 2019. Coverage was higher for Aboriginal and Torres Strait Islander children than other children in all four years. Coverage increased in Aboriginal and Torres Strait Islander children from 11.6% in 2016 to 43.6% in 2019. Similarly, coverage increased in other Australian children from 2.7% in 2016 to 41.6% in 201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r chart showing coverage of at least one dose of seasonal influenza vaccine administered to children aged 6 months to &lt;5 years, between 2016 to 2019. Coverage was higher for Aboriginal and Torres Strait Islander children than other children in all four years. Coverage increased in Aboriginal and Torres Strait Islander children from 11.6% in 2016 to 43.6% in 2019. Similarly, coverage increased in other Australian children from 2.7% in 2016 to 41.6% in 2019. &#10;"/>
                    <pic:cNvPicPr>
                      <a:picLocks noChangeAspect="1" noChangeArrowheads="1"/>
                    </pic:cNvPicPr>
                  </pic:nvPicPr>
                  <pic:blipFill>
                    <a:blip r:link="rId35">
                      <a:extLst>
                        <a:ext uri="{28A0092B-C50C-407E-A947-70E740481C1C}">
                          <a14:useLocalDpi xmlns:a14="http://schemas.microsoft.com/office/drawing/2010/main" val="0"/>
                        </a:ext>
                      </a:extLst>
                    </a:blip>
                    <a:stretch>
                      <a:fillRect/>
                    </a:stretch>
                  </pic:blipFill>
                  <pic:spPr bwMode="auto">
                    <a:xfrm>
                      <a:off x="0" y="0"/>
                      <a:ext cx="6639527" cy="4280573"/>
                    </a:xfrm>
                    <a:prstGeom prst="rect">
                      <a:avLst/>
                    </a:prstGeom>
                  </pic:spPr>
                </pic:pic>
              </a:graphicData>
            </a:graphic>
          </wp:inline>
        </w:drawing>
      </w:r>
    </w:p>
    <w:p w14:paraId="581DA601" w14:textId="77777777" w:rsidR="0012127F" w:rsidRPr="00834CDC" w:rsidRDefault="0012127F" w:rsidP="0012127F">
      <w:pPr>
        <w:pStyle w:val="CDIfootnotes"/>
        <w:divId w:val="1988506822"/>
      </w:pPr>
      <w:proofErr w:type="spellStart"/>
      <w:r w:rsidRPr="00834CDC">
        <w:t>a</w:t>
      </w:r>
      <w:proofErr w:type="spellEnd"/>
      <w:r w:rsidRPr="00834CDC">
        <w:tab/>
        <w:t>Any influenza vaccine dose.</w:t>
      </w:r>
    </w:p>
    <w:p w14:paraId="04766090" w14:textId="77777777" w:rsidR="0012127F" w:rsidRPr="00834CDC" w:rsidRDefault="0012127F" w:rsidP="0012127F">
      <w:pPr>
        <w:pStyle w:val="CDIfootnotes"/>
        <w:divId w:val="1988506822"/>
      </w:pPr>
      <w:r w:rsidRPr="00834CDC">
        <w:t>b</w:t>
      </w:r>
      <w:r w:rsidRPr="00834CDC">
        <w:tab/>
        <w:t xml:space="preserve">Source: Australian Immunisation Register, data as </w:t>
      </w:r>
      <w:proofErr w:type="gramStart"/>
      <w:r w:rsidRPr="00834CDC">
        <w:t>at</w:t>
      </w:r>
      <w:proofErr w:type="gramEnd"/>
      <w:r w:rsidRPr="00834CDC">
        <w:t xml:space="preserve"> 31 March 2021.</w:t>
      </w:r>
    </w:p>
    <w:p w14:paraId="26E8AF6B" w14:textId="77777777" w:rsidR="0012127F" w:rsidRPr="00834CDC" w:rsidRDefault="0012127F" w:rsidP="0033445F">
      <w:pPr>
        <w:divId w:val="1988506822"/>
      </w:pPr>
    </w:p>
    <w:p w14:paraId="4D6D780C" w14:textId="77777777" w:rsidR="0012127F" w:rsidRPr="00834CDC" w:rsidRDefault="0012127F">
      <w:pPr>
        <w:rPr>
          <w:rFonts w:asciiTheme="majorHAnsi" w:eastAsiaTheme="majorEastAsia" w:hAnsiTheme="majorHAnsi" w:cstheme="majorBidi"/>
          <w:b/>
          <w:bCs/>
          <w:sz w:val="26"/>
          <w:szCs w:val="26"/>
        </w:rPr>
      </w:pPr>
      <w:r w:rsidRPr="00834CDC">
        <w:br w:type="page"/>
      </w:r>
    </w:p>
    <w:p w14:paraId="7DF1A1B8" w14:textId="24BEF944" w:rsidR="0033445F" w:rsidRPr="00834CDC" w:rsidRDefault="0033445F" w:rsidP="0033445F">
      <w:pPr>
        <w:pStyle w:val="Heading2"/>
        <w:divId w:val="1988506822"/>
      </w:pPr>
      <w:r w:rsidRPr="00834CDC">
        <w:lastRenderedPageBreak/>
        <w:t xml:space="preserve">Timeliness of vaccination </w:t>
      </w:r>
    </w:p>
    <w:p w14:paraId="39D60375" w14:textId="77777777" w:rsidR="0033445F" w:rsidRPr="00834CDC" w:rsidRDefault="0033445F" w:rsidP="0033445F">
      <w:pPr>
        <w:divId w:val="1988506822"/>
      </w:pPr>
      <w:r w:rsidRPr="00834CDC">
        <w:t xml:space="preserve">The percentage of children with delayed receipt of the second dose of pneumococcal vaccine, due at 4 months of age, by Aboriginal and Torres Strait Islander status in the 2016–2019 reporting period </w:t>
      </w:r>
      <w:proofErr w:type="gramStart"/>
      <w:r w:rsidRPr="00834CDC">
        <w:t>is shown</w:t>
      </w:r>
      <w:proofErr w:type="gramEnd"/>
      <w:r w:rsidRPr="00834CDC">
        <w:t xml:space="preserve"> in Figure 25. The percentage of Aboriginal and Torres Strait Islander children with any delay was higher, throughout the reporting period (19.0% in 2019), than was the percentage for other children (8.4% in 2019</w:t>
      </w:r>
      <w:proofErr w:type="gramStart"/>
      <w:r w:rsidRPr="00834CDC">
        <w:t>), but</w:t>
      </w:r>
      <w:proofErr w:type="gramEnd"/>
      <w:r w:rsidRPr="00834CDC">
        <w:t xml:space="preserve"> decreased by 3.3 percentage points for Aboriginal and Torres Strait Islander children from 2016 to 2019. Most of the delay was </w:t>
      </w:r>
      <w:proofErr w:type="gramStart"/>
      <w:r w:rsidRPr="00834CDC">
        <w:t>relatively short</w:t>
      </w:r>
      <w:proofErr w:type="gramEnd"/>
      <w:r w:rsidRPr="00834CDC">
        <w:t xml:space="preserve"> (1 –≤ 2 months after the schedule point) for both Aboriginal and Torres Strait Islander and other children. Only a small percentage of other children received the vaccine </w:t>
      </w:r>
      <w:proofErr w:type="gramStart"/>
      <w:r w:rsidRPr="00834CDC">
        <w:t>very late</w:t>
      </w:r>
      <w:proofErr w:type="gramEnd"/>
      <w:r w:rsidRPr="00834CDC">
        <w:t xml:space="preserve">, at ≥ 7 months after the schedule point, ranging between 0.6% and 0.8% during the reporting period. In comparison, the percentage of Aboriginal and Torres Strait Islander children with </w:t>
      </w:r>
      <w:proofErr w:type="gramStart"/>
      <w:r w:rsidRPr="00834CDC">
        <w:t>very late</w:t>
      </w:r>
      <w:proofErr w:type="gramEnd"/>
      <w:r w:rsidRPr="00834CDC">
        <w:t xml:space="preserve"> receipt of the second dose of pneumococcal vaccine was higher, although this percentage decreased from 3.1% in 2016 to 1.8% in 2019. </w:t>
      </w:r>
    </w:p>
    <w:p w14:paraId="75708F7D" w14:textId="78398392" w:rsidR="00292791" w:rsidRPr="00834CDC" w:rsidRDefault="00292791" w:rsidP="00292791">
      <w:pPr>
        <w:pStyle w:val="CDIFigures"/>
        <w:divId w:val="1988506822"/>
      </w:pPr>
      <w:r w:rsidRPr="00834CDC">
        <w:rPr>
          <w:rStyle w:val="Strong"/>
          <w:b/>
          <w:bCs w:val="0"/>
        </w:rPr>
        <w:t xml:space="preserve">Figure 25: Trends in timeliness </w:t>
      </w:r>
      <w:r w:rsidRPr="00834CDC">
        <w:rPr>
          <w:rStyle w:val="Strong"/>
          <w:b/>
          <w:bCs w:val="0"/>
          <w:vertAlign w:val="superscript"/>
        </w:rPr>
        <w:t>a</w:t>
      </w:r>
      <w:r w:rsidRPr="00834CDC">
        <w:rPr>
          <w:rStyle w:val="Strong"/>
          <w:b/>
          <w:bCs w:val="0"/>
        </w:rPr>
        <w:t xml:space="preserve"> of the second dose of pneumococcal vaccine by Aboriginal and Torres Strait Islander status, Australia, 2016–2019 </w:t>
      </w:r>
      <w:proofErr w:type="spellStart"/>
      <w:proofErr w:type="gramStart"/>
      <w:r w:rsidRPr="00834CDC">
        <w:rPr>
          <w:rStyle w:val="Strong"/>
          <w:b/>
          <w:bCs w:val="0"/>
          <w:vertAlign w:val="superscript"/>
        </w:rPr>
        <w:t>b,c</w:t>
      </w:r>
      <w:proofErr w:type="spellEnd"/>
      <w:proofErr w:type="gramEnd"/>
    </w:p>
    <w:p w14:paraId="7A3DAF95" w14:textId="77777777" w:rsidR="00292791" w:rsidRPr="00834CDC" w:rsidRDefault="00292791" w:rsidP="00292791">
      <w:pPr>
        <w:pStyle w:val="NormalWeb"/>
        <w:divId w:val="1988506822"/>
      </w:pPr>
      <w:r w:rsidRPr="00834CDC">
        <w:rPr>
          <w:noProof/>
        </w:rPr>
        <w:drawing>
          <wp:inline distT="0" distB="0" distL="0" distR="0" wp14:anchorId="5C82618F" wp14:editId="744C7081">
            <wp:extent cx="6629400" cy="4245462"/>
            <wp:effectExtent l="0" t="0" r="0" b="3175"/>
            <wp:docPr id="198" name="Picture 198" descr="Bar chart showing trends in the percentage of children with delayed receipt of the second dose of pneumococcal vaccine between 2016 and 2019, by Aboriginal and Torres Strait Islander status. The percentage of Aboriginal and Torres Strait Islander children with any delay was higher throughout the reporting period (19.0% in 2019), compared with the percentage for other children (8.4% in 2019) but decreased 3.3 percentage points for Aboriginal and Torres Strait Islander children from 2016 to 2019. Most of the delay was short (1-&lt;2 months) for both Aboriginal and Torres Strait Islander and other childr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r chart showing trends in the percentage of children with delayed receipt of the second dose of pneumococcal vaccine between 2016 and 2019, by Aboriginal and Torres Strait Islander status. The percentage of Aboriginal and Torres Strait Islander children with any delay was higher throughout the reporting period (19.0% in 2019), compared with the percentage for other children (8.4% in 2019) but decreased 3.3 percentage points for Aboriginal and Torres Strait Islander children from 2016 to 2019. Most of the delay was short (1-&lt;2 months) for both Aboriginal and Torres Strait Islander and other children. &#10;"/>
                    <pic:cNvPicPr>
                      <a:picLocks noChangeAspect="1" noChangeArrowheads="1"/>
                    </pic:cNvPicPr>
                  </pic:nvPicPr>
                  <pic:blipFill>
                    <a:blip r:link="rId36">
                      <a:extLst>
                        <a:ext uri="{28A0092B-C50C-407E-A947-70E740481C1C}">
                          <a14:useLocalDpi xmlns:a14="http://schemas.microsoft.com/office/drawing/2010/main" val="0"/>
                        </a:ext>
                      </a:extLst>
                    </a:blip>
                    <a:stretch>
                      <a:fillRect/>
                    </a:stretch>
                  </pic:blipFill>
                  <pic:spPr bwMode="auto">
                    <a:xfrm>
                      <a:off x="0" y="0"/>
                      <a:ext cx="6634132" cy="4248492"/>
                    </a:xfrm>
                    <a:prstGeom prst="rect">
                      <a:avLst/>
                    </a:prstGeom>
                  </pic:spPr>
                </pic:pic>
              </a:graphicData>
            </a:graphic>
          </wp:inline>
        </w:drawing>
      </w:r>
    </w:p>
    <w:p w14:paraId="2B85ED07" w14:textId="77777777" w:rsidR="00292791" w:rsidRPr="00834CDC" w:rsidRDefault="00292791" w:rsidP="00292791">
      <w:pPr>
        <w:pStyle w:val="CDIfootnotes"/>
        <w:divId w:val="1988506822"/>
      </w:pPr>
      <w:r w:rsidRPr="00834CDC">
        <w:t>a</w:t>
      </w:r>
      <w:r w:rsidRPr="00834CDC">
        <w:tab/>
        <w:t xml:space="preserve">Based on the number of children who received vaccine dose at </w:t>
      </w:r>
      <w:proofErr w:type="gramStart"/>
      <w:r w:rsidRPr="00834CDC">
        <w:t>particular ages</w:t>
      </w:r>
      <w:proofErr w:type="gramEnd"/>
      <w:r w:rsidRPr="00834CDC">
        <w:t xml:space="preserve"> divided by the total number of children who received the vaccine dose, expressed as a percentage.</w:t>
      </w:r>
    </w:p>
    <w:p w14:paraId="4BE2EFCC" w14:textId="77777777" w:rsidR="00292791" w:rsidRPr="00834CDC" w:rsidRDefault="00292791" w:rsidP="00292791">
      <w:pPr>
        <w:pStyle w:val="CDIfootnotes"/>
        <w:divId w:val="1988506822"/>
      </w:pPr>
      <w:r w:rsidRPr="00834CDC">
        <w:t>b</w:t>
      </w:r>
      <w:r w:rsidRPr="00834CDC">
        <w:tab/>
        <w:t>Cohort born in 2014 for 2016 timeliness assessment; born in 2015 for 2017 timeliness assessment; born in 2016 for 2018 timeliness assessment; and born in 2017 for 2019 timeliness assessment.</w:t>
      </w:r>
    </w:p>
    <w:p w14:paraId="5C163F2C" w14:textId="77777777" w:rsidR="00292791" w:rsidRPr="00834CDC" w:rsidRDefault="00292791" w:rsidP="00292791">
      <w:pPr>
        <w:pStyle w:val="CDIfootnotes"/>
        <w:divId w:val="1988506822"/>
      </w:pPr>
      <w:r w:rsidRPr="00834CDC">
        <w:t>c</w:t>
      </w:r>
      <w:r w:rsidRPr="00834CDC">
        <w:tab/>
        <w:t xml:space="preserve">Source: Australian Immunisation Register, data as </w:t>
      </w:r>
      <w:proofErr w:type="gramStart"/>
      <w:r w:rsidRPr="00834CDC">
        <w:t>at</w:t>
      </w:r>
      <w:proofErr w:type="gramEnd"/>
      <w:r w:rsidRPr="00834CDC">
        <w:t xml:space="preserve"> 31 March 2020.</w:t>
      </w:r>
    </w:p>
    <w:p w14:paraId="624F83D5" w14:textId="20D71F9B" w:rsidR="0033445F" w:rsidRPr="00834CDC" w:rsidRDefault="0033445F" w:rsidP="0033445F">
      <w:pPr>
        <w:divId w:val="1988506822"/>
      </w:pPr>
      <w:r w:rsidRPr="00834CDC">
        <w:t xml:space="preserve">The percentage of children with delayed receipt of the second dose of </w:t>
      </w:r>
      <w:proofErr w:type="spellStart"/>
      <w:r w:rsidRPr="00834CDC">
        <w:t>DTPa</w:t>
      </w:r>
      <w:proofErr w:type="spellEnd"/>
      <w:r w:rsidRPr="00834CDC">
        <w:t xml:space="preserve"> vaccine, due at 4 months of age, by Aboriginal and Torres Strait Islander status in the 2016–2019 reporting period </w:t>
      </w:r>
      <w:proofErr w:type="gramStart"/>
      <w:r w:rsidRPr="00834CDC">
        <w:t>is shown</w:t>
      </w:r>
      <w:proofErr w:type="gramEnd"/>
      <w:r w:rsidRPr="00834CDC">
        <w:t xml:space="preserve"> in Figure 26. The percentage of Aboriginal and Torres Strait Islander children with any delay was higher, throughout the reporting period (19.1% in 2019), than was the percentage for other children (8.2% in 2019</w:t>
      </w:r>
      <w:proofErr w:type="gramStart"/>
      <w:r w:rsidRPr="00834CDC">
        <w:t>), but</w:t>
      </w:r>
      <w:proofErr w:type="gramEnd"/>
      <w:r w:rsidRPr="00834CDC">
        <w:t xml:space="preserve"> decreased 3.4 percentage points for </w:t>
      </w:r>
      <w:r w:rsidRPr="00834CDC">
        <w:lastRenderedPageBreak/>
        <w:t xml:space="preserve">Aboriginal and Torres Strait Islander children from 2016 to 2019 (Figure 26). Most of the delay was </w:t>
      </w:r>
      <w:proofErr w:type="gramStart"/>
      <w:r w:rsidRPr="00834CDC">
        <w:t>relatively short</w:t>
      </w:r>
      <w:proofErr w:type="gramEnd"/>
      <w:r w:rsidRPr="00834CDC">
        <w:t xml:space="preserve"> (1 –≤ 2 months after the schedule point) for both Aboriginal and Torres Strait Islander and other children. Only a small percentage of other children received the vaccine </w:t>
      </w:r>
      <w:proofErr w:type="gramStart"/>
      <w:r w:rsidRPr="00834CDC">
        <w:t>very late</w:t>
      </w:r>
      <w:proofErr w:type="gramEnd"/>
      <w:r w:rsidRPr="00834CDC">
        <w:t xml:space="preserve">, at ≥ 7 months after the schedule point, ranging between 0.7% and 1.0% during the reporting period. In comparison, the percentage of Aboriginal and Torres Strait Islander children with </w:t>
      </w:r>
      <w:proofErr w:type="gramStart"/>
      <w:r w:rsidRPr="00834CDC">
        <w:t>very late</w:t>
      </w:r>
      <w:proofErr w:type="gramEnd"/>
      <w:r w:rsidRPr="00834CDC">
        <w:t xml:space="preserve"> receipt of the second dose of </w:t>
      </w:r>
      <w:proofErr w:type="spellStart"/>
      <w:r w:rsidRPr="00834CDC">
        <w:t>DTPa</w:t>
      </w:r>
      <w:proofErr w:type="spellEnd"/>
      <w:r w:rsidRPr="00834CDC">
        <w:t xml:space="preserve"> vaccine was higher, although this percentage decreased from 3.2% in 2016 to 2.0% in 2019.</w:t>
      </w:r>
    </w:p>
    <w:p w14:paraId="0BDC5668" w14:textId="4BD4E3B8" w:rsidR="00CE442B" w:rsidRPr="00834CDC" w:rsidRDefault="00CE442B" w:rsidP="00CE442B">
      <w:pPr>
        <w:pStyle w:val="NormalWeb"/>
        <w:divId w:val="1988506822"/>
      </w:pPr>
      <w:r w:rsidRPr="00834CDC">
        <w:rPr>
          <w:rStyle w:val="Strong"/>
        </w:rPr>
        <w:t xml:space="preserve">Figure 26: Trends in </w:t>
      </w:r>
      <w:proofErr w:type="spellStart"/>
      <w:r w:rsidRPr="00834CDC">
        <w:rPr>
          <w:rStyle w:val="Strong"/>
        </w:rPr>
        <w:t>timeliness</w:t>
      </w:r>
      <w:r w:rsidRPr="00834CDC">
        <w:rPr>
          <w:rStyle w:val="Strong"/>
          <w:vertAlign w:val="superscript"/>
        </w:rPr>
        <w:t>a</w:t>
      </w:r>
      <w:proofErr w:type="spellEnd"/>
      <w:r w:rsidRPr="00834CDC">
        <w:rPr>
          <w:rStyle w:val="Strong"/>
        </w:rPr>
        <w:t xml:space="preserve"> of the second dose of </w:t>
      </w:r>
      <w:proofErr w:type="spellStart"/>
      <w:r w:rsidRPr="00834CDC">
        <w:rPr>
          <w:rStyle w:val="Strong"/>
        </w:rPr>
        <w:t>DTPa</w:t>
      </w:r>
      <w:proofErr w:type="spellEnd"/>
      <w:r w:rsidRPr="00834CDC">
        <w:rPr>
          <w:rStyle w:val="Strong"/>
        </w:rPr>
        <w:t xml:space="preserve"> vaccine by Aboriginal and Torres Strait Islander status, Australia, 2016–2019 </w:t>
      </w:r>
      <w:proofErr w:type="spellStart"/>
      <w:proofErr w:type="gramStart"/>
      <w:r w:rsidRPr="00834CDC">
        <w:rPr>
          <w:rStyle w:val="Strong"/>
          <w:vertAlign w:val="superscript"/>
        </w:rPr>
        <w:t>b,c</w:t>
      </w:r>
      <w:proofErr w:type="spellEnd"/>
      <w:proofErr w:type="gramEnd"/>
    </w:p>
    <w:p w14:paraId="1EEB8204" w14:textId="77777777" w:rsidR="00CE442B" w:rsidRPr="00834CDC" w:rsidRDefault="00CE442B" w:rsidP="00CE442B">
      <w:pPr>
        <w:pStyle w:val="NormalWeb"/>
        <w:divId w:val="1988506822"/>
      </w:pPr>
      <w:r w:rsidRPr="00834CDC">
        <w:rPr>
          <w:noProof/>
        </w:rPr>
        <w:drawing>
          <wp:inline distT="0" distB="0" distL="0" distR="0" wp14:anchorId="0B4E65C1" wp14:editId="4E47D303">
            <wp:extent cx="6629400" cy="4319205"/>
            <wp:effectExtent l="0" t="0" r="0" b="5715"/>
            <wp:docPr id="199" name="Picture 199" descr="Bar chart showing trends in the percentage of children with delayed receipt of the second dose of DTPa vaccine between 2016 and 2019, by Aboriginal and Torres Strait Islander status. The percentage of Aboriginal and Torres Strait Islander children with any delay was higher throughout the reporting period (19.1% in 2019), compared with the percentage for other children (8.2% in 2019) but decreased 3.4 percentage points for Aboriginal and Torres Strait Islander children from 2016 to 2019. Most of the delay was relatively short (1-≤2 months after the schedule point) for both Aboriginal and Torres Strait Islander and other childr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r chart showing trends in the percentage of children with delayed receipt of the second dose of DTPa vaccine between 2016 and 2019, by Aboriginal and Torres Strait Islander status. The percentage of Aboriginal and Torres Strait Islander children with any delay was higher throughout the reporting period (19.1% in 2019), compared with the percentage for other children (8.2% in 2019) but decreased 3.4 percentage points for Aboriginal and Torres Strait Islander children from 2016 to 2019. Most of the delay was relatively short (1-≤2 months after the schedule point) for both Aboriginal and Torres Strait Islander and other children. &#10;"/>
                    <pic:cNvPicPr>
                      <a:picLocks noChangeAspect="1" noChangeArrowheads="1"/>
                    </pic:cNvPicPr>
                  </pic:nvPicPr>
                  <pic:blipFill>
                    <a:blip r:link="rId37">
                      <a:extLst>
                        <a:ext uri="{28A0092B-C50C-407E-A947-70E740481C1C}">
                          <a14:useLocalDpi xmlns:a14="http://schemas.microsoft.com/office/drawing/2010/main" val="0"/>
                        </a:ext>
                      </a:extLst>
                    </a:blip>
                    <a:stretch>
                      <a:fillRect/>
                    </a:stretch>
                  </pic:blipFill>
                  <pic:spPr bwMode="auto">
                    <a:xfrm>
                      <a:off x="0" y="0"/>
                      <a:ext cx="6637645" cy="4324577"/>
                    </a:xfrm>
                    <a:prstGeom prst="rect">
                      <a:avLst/>
                    </a:prstGeom>
                  </pic:spPr>
                </pic:pic>
              </a:graphicData>
            </a:graphic>
          </wp:inline>
        </w:drawing>
      </w:r>
    </w:p>
    <w:p w14:paraId="4BE789B3" w14:textId="77777777" w:rsidR="00CE442B" w:rsidRPr="00834CDC" w:rsidRDefault="00CE442B" w:rsidP="00CE442B">
      <w:pPr>
        <w:pStyle w:val="CDIfootnotes"/>
        <w:divId w:val="1988506822"/>
      </w:pPr>
      <w:r w:rsidRPr="00834CDC">
        <w:t>a</w:t>
      </w:r>
      <w:r w:rsidRPr="00834CDC">
        <w:tab/>
        <w:t xml:space="preserve">Based on the number of children who received vaccine dose at </w:t>
      </w:r>
      <w:proofErr w:type="gramStart"/>
      <w:r w:rsidRPr="00834CDC">
        <w:t>particular ages</w:t>
      </w:r>
      <w:proofErr w:type="gramEnd"/>
      <w:r w:rsidRPr="00834CDC">
        <w:t xml:space="preserve"> divided by the total number of children who received the vaccine dose, expressed as a percentage.</w:t>
      </w:r>
    </w:p>
    <w:p w14:paraId="0C9A855A" w14:textId="77777777" w:rsidR="00CE442B" w:rsidRPr="00834CDC" w:rsidRDefault="00CE442B" w:rsidP="00CE442B">
      <w:pPr>
        <w:pStyle w:val="CDIfootnotes"/>
        <w:divId w:val="1988506822"/>
      </w:pPr>
      <w:r w:rsidRPr="00834CDC">
        <w:t>b</w:t>
      </w:r>
      <w:r w:rsidRPr="00834CDC">
        <w:tab/>
        <w:t>Cohort born in 2014 for 2016 timeliness assessment; born in 2015 for 2017 timeliness assessment; born in 2016 for 2018 timeliness assessment; and born in 2017 for 2019 timeliness assessment.</w:t>
      </w:r>
    </w:p>
    <w:p w14:paraId="77E44948" w14:textId="3476ED90" w:rsidR="00CE442B" w:rsidRPr="00834CDC" w:rsidRDefault="00CE442B" w:rsidP="00CE442B">
      <w:pPr>
        <w:pStyle w:val="CDIfootnotes"/>
        <w:divId w:val="1988506822"/>
      </w:pPr>
      <w:r w:rsidRPr="00834CDC">
        <w:t>c</w:t>
      </w:r>
      <w:r w:rsidRPr="00834CDC">
        <w:tab/>
        <w:t xml:space="preserve">Source: Australian Immunisation Register, data as </w:t>
      </w:r>
      <w:proofErr w:type="gramStart"/>
      <w:r w:rsidRPr="00834CDC">
        <w:t>at</w:t>
      </w:r>
      <w:proofErr w:type="gramEnd"/>
      <w:r w:rsidRPr="00834CDC">
        <w:t xml:space="preserve"> 31 March 2020.</w:t>
      </w:r>
    </w:p>
    <w:p w14:paraId="1F81648A" w14:textId="77777777" w:rsidR="0033445F" w:rsidRPr="00834CDC" w:rsidRDefault="0033445F" w:rsidP="0033445F">
      <w:pPr>
        <w:divId w:val="1988506822"/>
      </w:pPr>
      <w:r w:rsidRPr="00834CDC">
        <w:t xml:space="preserve">Delayed receipt of the third dose of pneumococcal conjugate vaccine for Aboriginal and Torres Strait Islander children, by </w:t>
      </w:r>
      <w:proofErr w:type="gramStart"/>
      <w:r w:rsidRPr="00834CDC">
        <w:t>jurisdiction</w:t>
      </w:r>
      <w:proofErr w:type="gramEnd"/>
      <w:r w:rsidRPr="00834CDC">
        <w:t xml:space="preserve">, for 2019 is shown in Figure 27. The percentage of Aboriginal and Torres Strait Islander children vaccinated late, more than one month after the scheduled time point at 6 months old, was higher than that for the second dose of the pneumococcal vaccine and varied between jurisdictions, with the highest percentages of delayed receipt seen in Western Australia (47.7%), South Australia (40.6%), Northern Territory (37.1%) and Queensland (36.0%). </w:t>
      </w:r>
      <w:proofErr w:type="gramStart"/>
      <w:r w:rsidRPr="00834CDC">
        <w:t>Most of</w:t>
      </w:r>
      <w:proofErr w:type="gramEnd"/>
      <w:r w:rsidRPr="00834CDC">
        <w:t xml:space="preserve"> the delay in receipt of the third dose of pneumococcal conjugate vaccine in all jurisdictions was short (1 –&lt; 3 months after the schedule point), although 7.6% of Aboriginal and Torres Strait Islander children in Western Australia received their third dose of pneumococcal conjugate vaccine ≥ 7 months after the scheduled time point at 6 months of age. </w:t>
      </w:r>
    </w:p>
    <w:p w14:paraId="1A93F881" w14:textId="3BB81762" w:rsidR="00A7752B" w:rsidRPr="00834CDC" w:rsidRDefault="00A7752B" w:rsidP="00A7752B">
      <w:pPr>
        <w:pStyle w:val="CDIFigures"/>
        <w:divId w:val="1988506822"/>
      </w:pPr>
      <w:r w:rsidRPr="00834CDC">
        <w:rPr>
          <w:rStyle w:val="Strong"/>
          <w:b/>
          <w:bCs w:val="0"/>
        </w:rPr>
        <w:lastRenderedPageBreak/>
        <w:t xml:space="preserve">Figure 27: Timeliness </w:t>
      </w:r>
      <w:proofErr w:type="spellStart"/>
      <w:proofErr w:type="gramStart"/>
      <w:r w:rsidRPr="00834CDC">
        <w:rPr>
          <w:rStyle w:val="Strong"/>
          <w:b/>
          <w:bCs w:val="0"/>
          <w:vertAlign w:val="superscript"/>
        </w:rPr>
        <w:t>a,b</w:t>
      </w:r>
      <w:proofErr w:type="gramEnd"/>
      <w:r w:rsidRPr="00834CDC">
        <w:rPr>
          <w:rStyle w:val="Strong"/>
          <w:b/>
          <w:bCs w:val="0"/>
          <w:vertAlign w:val="superscript"/>
        </w:rPr>
        <w:t>,c</w:t>
      </w:r>
      <w:proofErr w:type="spellEnd"/>
      <w:r w:rsidRPr="00834CDC">
        <w:rPr>
          <w:rStyle w:val="Strong"/>
          <w:b/>
          <w:bCs w:val="0"/>
        </w:rPr>
        <w:t xml:space="preserve"> of the third dose of pneumococcal conjugate vaccine for Aboriginal and Torres Strait Islander children by jurisdiction, Australia, 2019</w:t>
      </w:r>
    </w:p>
    <w:p w14:paraId="39B12D4D" w14:textId="77777777" w:rsidR="00A7752B" w:rsidRPr="00834CDC" w:rsidRDefault="00A7752B" w:rsidP="00A7752B">
      <w:pPr>
        <w:pStyle w:val="NormalWeb"/>
        <w:divId w:val="1988506822"/>
      </w:pPr>
      <w:r w:rsidRPr="00834CDC">
        <w:rPr>
          <w:noProof/>
        </w:rPr>
        <w:drawing>
          <wp:inline distT="0" distB="0" distL="0" distR="0" wp14:anchorId="5704418F" wp14:editId="108CB79D">
            <wp:extent cx="6624355" cy="4350224"/>
            <wp:effectExtent l="0" t="0" r="5080" b="0"/>
            <wp:docPr id="200" name="Picture 200" descr="Bar graph showing vaccination delay for Aboriginal and Torres Strait Islander children for the third dose of pneumococcal conjugate vaccine in 2019, by jurisdiction. The percentage of Aboriginal and Torres Strait Islander children vaccinated more than 1 month after the scheduled time point at 6 months old varied between jurisdictions, with the highest percentages of delayed receipt seen in Western Australia (47.7%), South Australia (40.6%), Northern Territory (37.1%) and Queensland (36.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ar graph showing vaccination delay for Aboriginal and Torres Strait Islander children for the third dose of pneumococcal conjugate vaccine in 2019, by jurisdiction. The percentage of Aboriginal and Torres Strait Islander children vaccinated more than 1 month after the scheduled time point at 6 months old varied between jurisdictions, with the highest percentages of delayed receipt seen in Western Australia (47.7%), South Australia (40.6%), Northern Territory (37.1%) and Queensland (36.0%). &#10;"/>
                    <pic:cNvPicPr>
                      <a:picLocks noChangeAspect="1" noChangeArrowheads="1"/>
                    </pic:cNvPicPr>
                  </pic:nvPicPr>
                  <pic:blipFill>
                    <a:blip r:link="rId38">
                      <a:extLst>
                        <a:ext uri="{28A0092B-C50C-407E-A947-70E740481C1C}">
                          <a14:useLocalDpi xmlns:a14="http://schemas.microsoft.com/office/drawing/2010/main" val="0"/>
                        </a:ext>
                      </a:extLst>
                    </a:blip>
                    <a:stretch>
                      <a:fillRect/>
                    </a:stretch>
                  </pic:blipFill>
                  <pic:spPr bwMode="auto">
                    <a:xfrm>
                      <a:off x="0" y="0"/>
                      <a:ext cx="6634901" cy="4357150"/>
                    </a:xfrm>
                    <a:prstGeom prst="rect">
                      <a:avLst/>
                    </a:prstGeom>
                  </pic:spPr>
                </pic:pic>
              </a:graphicData>
            </a:graphic>
          </wp:inline>
        </w:drawing>
      </w:r>
    </w:p>
    <w:p w14:paraId="5D23C4E7" w14:textId="77777777" w:rsidR="00A7752B" w:rsidRPr="00834CDC" w:rsidRDefault="00A7752B" w:rsidP="00A7752B">
      <w:pPr>
        <w:pStyle w:val="CDIfootnotes"/>
        <w:divId w:val="1988506822"/>
      </w:pPr>
      <w:r w:rsidRPr="00834CDC">
        <w:t>a</w:t>
      </w:r>
      <w:r w:rsidRPr="00834CDC">
        <w:tab/>
        <w:t xml:space="preserve">Based on the number of children who received vaccine dose at </w:t>
      </w:r>
      <w:proofErr w:type="gramStart"/>
      <w:r w:rsidRPr="00834CDC">
        <w:t>particular ages</w:t>
      </w:r>
      <w:proofErr w:type="gramEnd"/>
      <w:r w:rsidRPr="00834CDC">
        <w:t xml:space="preserve"> divided by the total number of children who received the vaccine dose, expressed as a percentage.</w:t>
      </w:r>
    </w:p>
    <w:p w14:paraId="4045BB44" w14:textId="77777777" w:rsidR="00A7752B" w:rsidRPr="00834CDC" w:rsidRDefault="00A7752B" w:rsidP="00A7752B">
      <w:pPr>
        <w:pStyle w:val="CDIfootnotes"/>
        <w:divId w:val="1988506822"/>
      </w:pPr>
      <w:r w:rsidRPr="00834CDC">
        <w:t>b</w:t>
      </w:r>
      <w:r w:rsidRPr="00834CDC">
        <w:tab/>
        <w:t>Cohort born in 2017.</w:t>
      </w:r>
    </w:p>
    <w:p w14:paraId="4E2E0861" w14:textId="77777777" w:rsidR="00A7752B" w:rsidRPr="00834CDC" w:rsidRDefault="00A7752B" w:rsidP="00A7752B">
      <w:pPr>
        <w:pStyle w:val="CDIfootnotes"/>
        <w:divId w:val="1988506822"/>
      </w:pPr>
      <w:r w:rsidRPr="00834CDC">
        <w:t>c</w:t>
      </w:r>
      <w:r w:rsidRPr="00834CDC">
        <w:tab/>
        <w:t xml:space="preserve">Source: Australian Immunisation Register, data as </w:t>
      </w:r>
      <w:proofErr w:type="gramStart"/>
      <w:r w:rsidRPr="00834CDC">
        <w:t>at</w:t>
      </w:r>
      <w:proofErr w:type="gramEnd"/>
      <w:r w:rsidRPr="00834CDC">
        <w:t xml:space="preserve"> 31 March 2020.</w:t>
      </w:r>
    </w:p>
    <w:p w14:paraId="41FAB3A9" w14:textId="77777777" w:rsidR="0033445F" w:rsidRPr="00834CDC" w:rsidRDefault="0033445F" w:rsidP="00A81E7D">
      <w:pPr>
        <w:divId w:val="1988506822"/>
      </w:pPr>
      <w:r w:rsidRPr="00834CDC">
        <w:t xml:space="preserve">Figure 28 shows the percentage of children with delayed receipt of the first dose of MMR vaccine, due at 12 months of age, by Aboriginal and Torres Strait Islander status in the 2016–2019 reporting period. The percentage of Aboriginal and Torres Strait Islander children vaccinated on-time by 13 months of age did not vary </w:t>
      </w:r>
      <w:proofErr w:type="gramStart"/>
      <w:r w:rsidRPr="00834CDC">
        <w:t>substantially over</w:t>
      </w:r>
      <w:proofErr w:type="gramEnd"/>
      <w:r w:rsidRPr="00834CDC">
        <w:t xml:space="preserve"> the reporting period and was 66.0% in 2019, 11.1 percentage points below other children. Only a small percentage of other children received the first dose of the MMR vaccine </w:t>
      </w:r>
      <w:proofErr w:type="gramStart"/>
      <w:r w:rsidRPr="00834CDC">
        <w:t>very late</w:t>
      </w:r>
      <w:proofErr w:type="gramEnd"/>
      <w:r w:rsidRPr="00834CDC">
        <w:t xml:space="preserve">, at ≥ 7 months after schedule points, ranging between 1.1% and 1.3% during the reporting period. In comparison, the percentage of Aboriginal and Torres Strait Islander children with </w:t>
      </w:r>
      <w:proofErr w:type="gramStart"/>
      <w:r w:rsidRPr="00834CDC">
        <w:t>very late</w:t>
      </w:r>
      <w:proofErr w:type="gramEnd"/>
      <w:r w:rsidRPr="00834CDC">
        <w:t xml:space="preserve"> receipt of the first dose of MMR vaccine was higher in each year of the reporting period, although it declined from 2.9% in 2016 to 2.3% in 2019. Most of the delay in receipt of the first dose of MMR was </w:t>
      </w:r>
      <w:proofErr w:type="gramStart"/>
      <w:r w:rsidRPr="00834CDC">
        <w:t>relatively short</w:t>
      </w:r>
      <w:proofErr w:type="gramEnd"/>
      <w:r w:rsidRPr="00834CDC">
        <w:t xml:space="preserve"> (1 –&lt; 3 months after the schedule point) for both Aboriginal and Torres Strait Islander children and other children. </w:t>
      </w:r>
    </w:p>
    <w:p w14:paraId="528BB991" w14:textId="77777777" w:rsidR="00E56D36" w:rsidRPr="00834CDC" w:rsidRDefault="00E56D36">
      <w:r w:rsidRPr="00834CDC">
        <w:br w:type="page"/>
      </w:r>
    </w:p>
    <w:p w14:paraId="555ACC70" w14:textId="621C225C" w:rsidR="00E56D36" w:rsidRPr="00834CDC" w:rsidRDefault="00E56D36" w:rsidP="00E56D36">
      <w:pPr>
        <w:pStyle w:val="CDIFigures"/>
        <w:divId w:val="1988506822"/>
      </w:pPr>
      <w:r w:rsidRPr="00834CDC">
        <w:rPr>
          <w:rStyle w:val="Strong"/>
          <w:b/>
          <w:bCs w:val="0"/>
        </w:rPr>
        <w:lastRenderedPageBreak/>
        <w:t xml:space="preserve">Figure 28: Trends in timeliness </w:t>
      </w:r>
      <w:r w:rsidRPr="00834CDC">
        <w:rPr>
          <w:rStyle w:val="Strong"/>
          <w:b/>
          <w:bCs w:val="0"/>
          <w:vertAlign w:val="superscript"/>
        </w:rPr>
        <w:t>a</w:t>
      </w:r>
      <w:r w:rsidRPr="00834CDC">
        <w:rPr>
          <w:rStyle w:val="Strong"/>
          <w:b/>
          <w:bCs w:val="0"/>
        </w:rPr>
        <w:t xml:space="preserve"> of the first dose of measles, mumps, rubella vaccine by Aboriginal and Torres Strait Islander status, Australia, 2016–2019 </w:t>
      </w:r>
      <w:proofErr w:type="spellStart"/>
      <w:proofErr w:type="gramStart"/>
      <w:r w:rsidRPr="00834CDC">
        <w:rPr>
          <w:rStyle w:val="Strong"/>
          <w:b/>
          <w:bCs w:val="0"/>
          <w:vertAlign w:val="superscript"/>
        </w:rPr>
        <w:t>b,c</w:t>
      </w:r>
      <w:proofErr w:type="spellEnd"/>
      <w:proofErr w:type="gramEnd"/>
    </w:p>
    <w:p w14:paraId="1761B996" w14:textId="77777777" w:rsidR="00E56D36" w:rsidRPr="00834CDC" w:rsidRDefault="00E56D36" w:rsidP="00E56D36">
      <w:pPr>
        <w:pStyle w:val="NormalWeb"/>
        <w:divId w:val="1988506822"/>
      </w:pPr>
      <w:r w:rsidRPr="00834CDC">
        <w:rPr>
          <w:noProof/>
        </w:rPr>
        <w:drawing>
          <wp:inline distT="0" distB="0" distL="0" distR="0" wp14:anchorId="11B1A590" wp14:editId="4D85705F">
            <wp:extent cx="6587858" cy="4350224"/>
            <wp:effectExtent l="0" t="0" r="3810" b="0"/>
            <wp:docPr id="201" name="Picture 201" descr="Bar graph showing trends in timeliness of the first dose of MMR vaccine from 2016-2019, by Aboriginal and Torres Strait Islander status. The percentage of Aboriginal and Torres Strait Islander children vaccinated on-time by 13 months of age did not vary substantially over the reporting period and was 66.0% in 2019, 11.1 percentage points below other children. The percentage of Aboriginal and Torres Strait Islander children with very late receipt of the first dose of MMR vaccine was higher than for other children in each year of the reporting period, although it declined from 2.9% in 2016 to 2.3% in 201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r graph showing trends in timeliness of the first dose of MMR vaccine from 2016-2019, by Aboriginal and Torres Strait Islander status. The percentage of Aboriginal and Torres Strait Islander children vaccinated on-time by 13 months of age did not vary substantially over the reporting period and was 66.0% in 2019, 11.1 percentage points below other children. The percentage of Aboriginal and Torres Strait Islander children with very late receipt of the first dose of MMR vaccine was higher than for other children in each year of the reporting period, although it declined from 2.9% in 2016 to 2.3% in 2019. &#10;"/>
                    <pic:cNvPicPr>
                      <a:picLocks noChangeAspect="1" noChangeArrowheads="1"/>
                    </pic:cNvPicPr>
                  </pic:nvPicPr>
                  <pic:blipFill>
                    <a:blip r:link="rId39">
                      <a:extLst>
                        <a:ext uri="{28A0092B-C50C-407E-A947-70E740481C1C}">
                          <a14:useLocalDpi xmlns:a14="http://schemas.microsoft.com/office/drawing/2010/main" val="0"/>
                        </a:ext>
                      </a:extLst>
                    </a:blip>
                    <a:stretch>
                      <a:fillRect/>
                    </a:stretch>
                  </pic:blipFill>
                  <pic:spPr bwMode="auto">
                    <a:xfrm>
                      <a:off x="0" y="0"/>
                      <a:ext cx="6598375" cy="4357169"/>
                    </a:xfrm>
                    <a:prstGeom prst="rect">
                      <a:avLst/>
                    </a:prstGeom>
                  </pic:spPr>
                </pic:pic>
              </a:graphicData>
            </a:graphic>
          </wp:inline>
        </w:drawing>
      </w:r>
    </w:p>
    <w:p w14:paraId="1B195B41" w14:textId="77777777" w:rsidR="00E56D36" w:rsidRPr="00834CDC" w:rsidRDefault="00E56D36" w:rsidP="0013786C">
      <w:pPr>
        <w:pStyle w:val="CDIfootnotes"/>
        <w:divId w:val="1988506822"/>
      </w:pPr>
      <w:r w:rsidRPr="00834CDC">
        <w:t>a</w:t>
      </w:r>
      <w:r w:rsidRPr="00834CDC">
        <w:tab/>
        <w:t xml:space="preserve">Based on the number of children who received vaccine dose at </w:t>
      </w:r>
      <w:proofErr w:type="gramStart"/>
      <w:r w:rsidRPr="00834CDC">
        <w:t>particular ages</w:t>
      </w:r>
      <w:proofErr w:type="gramEnd"/>
      <w:r w:rsidRPr="00834CDC">
        <w:t xml:space="preserve"> divided by the total number of children who received the vaccine dose, expressed as a percentage.</w:t>
      </w:r>
    </w:p>
    <w:p w14:paraId="36CE8316" w14:textId="77777777" w:rsidR="00E56D36" w:rsidRPr="00834CDC" w:rsidRDefault="00E56D36" w:rsidP="0013786C">
      <w:pPr>
        <w:pStyle w:val="CDIfootnotes"/>
        <w:divId w:val="1988506822"/>
      </w:pPr>
      <w:r w:rsidRPr="00834CDC">
        <w:t>b</w:t>
      </w:r>
      <w:r w:rsidRPr="00834CDC">
        <w:tab/>
        <w:t>Cohort born in 2014 for 2016 timeliness assessment; born in 2015 for 2017 timeliness assessment; born in 2016 for 2018 timeliness assessment; and born in 2017 for 2019 timeliness assessment.</w:t>
      </w:r>
    </w:p>
    <w:p w14:paraId="2B87BEDB" w14:textId="77777777" w:rsidR="00E56D36" w:rsidRPr="00834CDC" w:rsidRDefault="00E56D36" w:rsidP="0013786C">
      <w:pPr>
        <w:pStyle w:val="CDIfootnotes"/>
        <w:divId w:val="1988506822"/>
      </w:pPr>
      <w:r w:rsidRPr="00834CDC">
        <w:t>c</w:t>
      </w:r>
      <w:r w:rsidRPr="00834CDC">
        <w:tab/>
        <w:t xml:space="preserve">Source: Australian Immunisation Register, data as </w:t>
      </w:r>
      <w:proofErr w:type="gramStart"/>
      <w:r w:rsidRPr="00834CDC">
        <w:t>at</w:t>
      </w:r>
      <w:proofErr w:type="gramEnd"/>
      <w:r w:rsidRPr="00834CDC">
        <w:t xml:space="preserve"> 31 March 2020.</w:t>
      </w:r>
    </w:p>
    <w:p w14:paraId="49CB36B5" w14:textId="6848F92A" w:rsidR="0033445F" w:rsidRPr="00834CDC" w:rsidRDefault="0033445F" w:rsidP="0033445F">
      <w:pPr>
        <w:divId w:val="1988506822"/>
      </w:pPr>
      <w:r w:rsidRPr="00834CDC">
        <w:t xml:space="preserve">To capture an </w:t>
      </w:r>
      <w:proofErr w:type="gramStart"/>
      <w:r w:rsidRPr="00834CDC">
        <w:t>additional</w:t>
      </w:r>
      <w:proofErr w:type="gramEnd"/>
      <w:r w:rsidRPr="00834CDC">
        <w:t xml:space="preserve"> aspect of vaccination timeliness, ‘fully vaccinated’ coverage estimates assessed three months after the last vaccine dose due (earlier than the standard assessment milestones) are presented by remoteness in Table 28, along with coverage estimates for the standard 12-month, 24-month and 60-month age milestones. ‘Fully vaccinated’ coverage in 2019 at the four earlier milestones (9-month, 15-month, 21-month and 51-month) was lower in Aboriginal and Torres Strait Islander children residing in remote and very remote areas than in those residing in regional areas and major cities, with the greatest difference at 21 months of age (6.8 percentage points lower than regional areas and 6.5 percentage points lower than major cities) (Table 28). The smallest differentials for Aboriginal and Torres Strait Islander children </w:t>
      </w:r>
      <w:proofErr w:type="gramStart"/>
      <w:r w:rsidRPr="00834CDC">
        <w:t>residing</w:t>
      </w:r>
      <w:proofErr w:type="gramEnd"/>
      <w:r w:rsidRPr="00834CDC">
        <w:t xml:space="preserve"> in remote areas was at the 51-month milestone, for which those in remote areas were 1.5 percentage points lower than those in regional areas and 0.4 of a percentage point lower than those in major cities. Compared to major cities and regional areas, ‘fully vaccinated’ coverage for other children in remote areas was 2.0–2.9 percentage points lower at 21 months and 1.7–2.6 percentage points lower at 51 months of age (Table 28). ‘Fully vaccinated’ coverage in 2019 was higher at the standard milestones than at the earlier milestones, for both Aboriginal and Torres Strait Islander and other children and across all remoteness categories, most pronounced for vaccines due at 48 months when assessed at 51 months instead of at 60 months. </w:t>
      </w:r>
    </w:p>
    <w:p w14:paraId="7D88C1B5" w14:textId="76C60E4F" w:rsidR="009E050E" w:rsidRPr="00834CDC" w:rsidRDefault="009E050E" w:rsidP="009E050E">
      <w:pPr>
        <w:pStyle w:val="NormalWeb"/>
        <w:divId w:val="1988506822"/>
      </w:pPr>
      <w:r w:rsidRPr="00834CDC">
        <w:rPr>
          <w:rStyle w:val="Strong"/>
        </w:rPr>
        <w:lastRenderedPageBreak/>
        <w:t xml:space="preserve">Table 28: ‘Fully vaccinated’ coverage estimates assessed at earlier (9, 15, 21, 51) compared to standard (12, 24, 60 months of age: shaded) </w:t>
      </w:r>
      <w:proofErr w:type="spellStart"/>
      <w:proofErr w:type="gramStart"/>
      <w:r w:rsidRPr="00834CDC">
        <w:rPr>
          <w:rStyle w:val="Strong"/>
        </w:rPr>
        <w:t>milestones,</w:t>
      </w:r>
      <w:r w:rsidRPr="00834CDC">
        <w:rPr>
          <w:rStyle w:val="Strong"/>
          <w:vertAlign w:val="superscript"/>
        </w:rPr>
        <w:t>a</w:t>
      </w:r>
      <w:proofErr w:type="spellEnd"/>
      <w:proofErr w:type="gramEnd"/>
      <w:r w:rsidRPr="00834CDC">
        <w:rPr>
          <w:rStyle w:val="Strong"/>
        </w:rPr>
        <w:t xml:space="preserve"> by Aboriginal and Torres Strait Islander status and remoteness of area of </w:t>
      </w:r>
      <w:proofErr w:type="spellStart"/>
      <w:r w:rsidRPr="00834CDC">
        <w:rPr>
          <w:rStyle w:val="Strong"/>
        </w:rPr>
        <w:t>residence,</w:t>
      </w:r>
      <w:r w:rsidRPr="00834CDC">
        <w:rPr>
          <w:rStyle w:val="Strong"/>
          <w:vertAlign w:val="superscript"/>
        </w:rPr>
        <w:t>b</w:t>
      </w:r>
      <w:proofErr w:type="spellEnd"/>
      <w:r w:rsidRPr="00834CDC">
        <w:rPr>
          <w:rStyle w:val="Strong"/>
        </w:rPr>
        <w:t xml:space="preserve"> Australia, 2019</w:t>
      </w:r>
      <w:r w:rsidR="007415F8" w:rsidRPr="00834CDC">
        <w:rPr>
          <w:rStyle w:val="Strong"/>
        </w:rPr>
        <w:t xml:space="preserve"> </w:t>
      </w:r>
      <w:r w:rsidRPr="00834CDC">
        <w:rPr>
          <w:rStyle w:val="Strong"/>
          <w:vertAlign w:val="superscript"/>
        </w:rPr>
        <w:t>c</w:t>
      </w:r>
    </w:p>
    <w:tbl>
      <w:tblPr>
        <w:tblStyle w:val="CDI-StandardTable"/>
        <w:tblW w:w="0" w:type="auto"/>
        <w:tblLook w:val="04A0" w:firstRow="1" w:lastRow="0" w:firstColumn="1" w:lastColumn="0" w:noHBand="0" w:noVBand="1"/>
        <w:tblDescription w:val="Table 28 shows ‘fully vaccinated’ coverage estimates assessed at earlier milestones (9, 15, 21 and 51 months of age) compared to standard milestones (12, 24 and 60 months of age) by Aboriginal and Torres Strait Islander status and remoteness of area of residence, Australia, 2019.&#10;"/>
      </w:tblPr>
      <w:tblGrid>
        <w:gridCol w:w="1432"/>
        <w:gridCol w:w="1944"/>
        <w:gridCol w:w="1009"/>
        <w:gridCol w:w="1009"/>
        <w:gridCol w:w="1009"/>
        <w:gridCol w:w="1009"/>
        <w:gridCol w:w="1009"/>
        <w:gridCol w:w="1009"/>
        <w:gridCol w:w="1010"/>
      </w:tblGrid>
      <w:tr w:rsidR="00611AA3" w:rsidRPr="00834CDC" w14:paraId="10BB7088" w14:textId="77777777" w:rsidTr="00611AA3">
        <w:trPr>
          <w:cnfStyle w:val="100000000000" w:firstRow="1" w:lastRow="0" w:firstColumn="0" w:lastColumn="0" w:oddVBand="0" w:evenVBand="0" w:oddHBand="0" w:evenHBand="0" w:firstRowFirstColumn="0" w:firstRowLastColumn="0" w:lastRowFirstColumn="0" w:lastRowLastColumn="0"/>
          <w:divId w:val="1988506822"/>
        </w:trPr>
        <w:tc>
          <w:tcPr>
            <w:tcW w:w="0" w:type="auto"/>
            <w:tcBorders>
              <w:bottom w:val="single" w:sz="2" w:space="0" w:color="808080" w:themeColor="background1" w:themeShade="80"/>
            </w:tcBorders>
            <w:hideMark/>
          </w:tcPr>
          <w:p w14:paraId="027C3D69" w14:textId="77777777" w:rsidR="009E050E" w:rsidRPr="00834CDC" w:rsidRDefault="009E050E" w:rsidP="009E050E">
            <w:pPr>
              <w:pStyle w:val="NormalWeb"/>
              <w:jc w:val="left"/>
              <w:rPr>
                <w:sz w:val="18"/>
                <w:szCs w:val="18"/>
              </w:rPr>
            </w:pPr>
            <w:r w:rsidRPr="00834CDC">
              <w:rPr>
                <w:sz w:val="18"/>
                <w:szCs w:val="18"/>
              </w:rPr>
              <w:t>Indigenous status</w:t>
            </w:r>
          </w:p>
        </w:tc>
        <w:tc>
          <w:tcPr>
            <w:tcW w:w="0" w:type="auto"/>
            <w:tcBorders>
              <w:bottom w:val="single" w:sz="2" w:space="0" w:color="808080" w:themeColor="background1" w:themeShade="80"/>
            </w:tcBorders>
            <w:hideMark/>
          </w:tcPr>
          <w:p w14:paraId="734C93F9" w14:textId="09650A97" w:rsidR="009E050E" w:rsidRPr="00834CDC" w:rsidRDefault="009E050E" w:rsidP="009E050E">
            <w:pPr>
              <w:pStyle w:val="NormalWeb"/>
              <w:jc w:val="left"/>
              <w:rPr>
                <w:sz w:val="18"/>
                <w:szCs w:val="18"/>
              </w:rPr>
            </w:pPr>
            <w:r w:rsidRPr="00834CDC">
              <w:rPr>
                <w:sz w:val="18"/>
                <w:szCs w:val="18"/>
              </w:rPr>
              <w:t xml:space="preserve">Remoteness category </w:t>
            </w:r>
            <w:r w:rsidRPr="00834CDC">
              <w:rPr>
                <w:sz w:val="18"/>
                <w:szCs w:val="18"/>
                <w:vertAlign w:val="superscript"/>
              </w:rPr>
              <w:t>b</w:t>
            </w:r>
          </w:p>
        </w:tc>
        <w:tc>
          <w:tcPr>
            <w:tcW w:w="1009" w:type="dxa"/>
            <w:tcBorders>
              <w:bottom w:val="single" w:sz="2" w:space="0" w:color="808080" w:themeColor="background1" w:themeShade="80"/>
            </w:tcBorders>
            <w:hideMark/>
          </w:tcPr>
          <w:p w14:paraId="5BD5A574" w14:textId="77777777" w:rsidR="009E050E" w:rsidRPr="00834CDC" w:rsidRDefault="009E050E" w:rsidP="00457617">
            <w:pPr>
              <w:pStyle w:val="NormalWeb"/>
              <w:rPr>
                <w:sz w:val="18"/>
                <w:szCs w:val="18"/>
              </w:rPr>
            </w:pPr>
            <w:r w:rsidRPr="00834CDC">
              <w:rPr>
                <w:sz w:val="18"/>
                <w:szCs w:val="18"/>
              </w:rPr>
              <w:t>9 months</w:t>
            </w:r>
            <w:r w:rsidRPr="00834CDC">
              <w:rPr>
                <w:sz w:val="18"/>
                <w:szCs w:val="18"/>
              </w:rPr>
              <w:br/>
              <w:t>(</w:t>
            </w:r>
            <w:proofErr w:type="gramStart"/>
            <w:r w:rsidRPr="00834CDC">
              <w:rPr>
                <w:sz w:val="18"/>
                <w:szCs w:val="18"/>
              </w:rPr>
              <w:t>%)</w:t>
            </w:r>
            <w:r w:rsidRPr="00834CDC">
              <w:rPr>
                <w:sz w:val="18"/>
                <w:szCs w:val="18"/>
                <w:vertAlign w:val="superscript"/>
              </w:rPr>
              <w:t>d</w:t>
            </w:r>
            <w:proofErr w:type="gramEnd"/>
          </w:p>
        </w:tc>
        <w:tc>
          <w:tcPr>
            <w:tcW w:w="1009" w:type="dxa"/>
            <w:tcBorders>
              <w:bottom w:val="single" w:sz="2" w:space="0" w:color="808080" w:themeColor="background1" w:themeShade="80"/>
            </w:tcBorders>
            <w:hideMark/>
          </w:tcPr>
          <w:p w14:paraId="2E393692" w14:textId="77777777" w:rsidR="009E050E" w:rsidRPr="00834CDC" w:rsidRDefault="009E050E" w:rsidP="00457617">
            <w:pPr>
              <w:pStyle w:val="NormalWeb"/>
              <w:rPr>
                <w:sz w:val="18"/>
                <w:szCs w:val="18"/>
              </w:rPr>
            </w:pPr>
            <w:r w:rsidRPr="00834CDC">
              <w:rPr>
                <w:sz w:val="18"/>
                <w:szCs w:val="18"/>
              </w:rPr>
              <w:t>12 months</w:t>
            </w:r>
            <w:r w:rsidRPr="00834CDC">
              <w:rPr>
                <w:sz w:val="18"/>
                <w:szCs w:val="18"/>
              </w:rPr>
              <w:br/>
              <w:t>(</w:t>
            </w:r>
            <w:proofErr w:type="gramStart"/>
            <w:r w:rsidRPr="00834CDC">
              <w:rPr>
                <w:sz w:val="18"/>
                <w:szCs w:val="18"/>
              </w:rPr>
              <w:t>%)</w:t>
            </w:r>
            <w:r w:rsidRPr="00834CDC">
              <w:rPr>
                <w:sz w:val="18"/>
                <w:szCs w:val="18"/>
                <w:vertAlign w:val="superscript"/>
              </w:rPr>
              <w:t>d</w:t>
            </w:r>
            <w:proofErr w:type="gramEnd"/>
          </w:p>
        </w:tc>
        <w:tc>
          <w:tcPr>
            <w:tcW w:w="1009" w:type="dxa"/>
            <w:tcBorders>
              <w:bottom w:val="single" w:sz="2" w:space="0" w:color="808080" w:themeColor="background1" w:themeShade="80"/>
            </w:tcBorders>
            <w:hideMark/>
          </w:tcPr>
          <w:p w14:paraId="63EF5A4D" w14:textId="77777777" w:rsidR="009E050E" w:rsidRPr="00834CDC" w:rsidRDefault="009E050E" w:rsidP="00457617">
            <w:pPr>
              <w:pStyle w:val="NormalWeb"/>
              <w:rPr>
                <w:sz w:val="18"/>
                <w:szCs w:val="18"/>
              </w:rPr>
            </w:pPr>
            <w:r w:rsidRPr="00834CDC">
              <w:rPr>
                <w:sz w:val="18"/>
                <w:szCs w:val="18"/>
              </w:rPr>
              <w:t>15 months</w:t>
            </w:r>
            <w:r w:rsidRPr="00834CDC">
              <w:rPr>
                <w:sz w:val="18"/>
                <w:szCs w:val="18"/>
              </w:rPr>
              <w:br/>
              <w:t>(</w:t>
            </w:r>
            <w:proofErr w:type="gramStart"/>
            <w:r w:rsidRPr="00834CDC">
              <w:rPr>
                <w:sz w:val="18"/>
                <w:szCs w:val="18"/>
              </w:rPr>
              <w:t>%)</w:t>
            </w:r>
            <w:r w:rsidRPr="00834CDC">
              <w:rPr>
                <w:sz w:val="18"/>
                <w:szCs w:val="18"/>
                <w:vertAlign w:val="superscript"/>
              </w:rPr>
              <w:t>e</w:t>
            </w:r>
            <w:proofErr w:type="gramEnd"/>
          </w:p>
        </w:tc>
        <w:tc>
          <w:tcPr>
            <w:tcW w:w="1009" w:type="dxa"/>
            <w:tcBorders>
              <w:bottom w:val="single" w:sz="2" w:space="0" w:color="808080" w:themeColor="background1" w:themeShade="80"/>
            </w:tcBorders>
            <w:hideMark/>
          </w:tcPr>
          <w:p w14:paraId="70681EF3" w14:textId="77777777" w:rsidR="009E050E" w:rsidRPr="00834CDC" w:rsidRDefault="009E050E" w:rsidP="00457617">
            <w:pPr>
              <w:pStyle w:val="NormalWeb"/>
              <w:rPr>
                <w:sz w:val="18"/>
                <w:szCs w:val="18"/>
              </w:rPr>
            </w:pPr>
            <w:r w:rsidRPr="00834CDC">
              <w:rPr>
                <w:sz w:val="18"/>
                <w:szCs w:val="18"/>
              </w:rPr>
              <w:t>21 months</w:t>
            </w:r>
            <w:r w:rsidRPr="00834CDC">
              <w:rPr>
                <w:sz w:val="18"/>
                <w:szCs w:val="18"/>
              </w:rPr>
              <w:br/>
              <w:t>(</w:t>
            </w:r>
            <w:proofErr w:type="gramStart"/>
            <w:r w:rsidRPr="00834CDC">
              <w:rPr>
                <w:sz w:val="18"/>
                <w:szCs w:val="18"/>
              </w:rPr>
              <w:t>%)</w:t>
            </w:r>
            <w:r w:rsidRPr="00834CDC">
              <w:rPr>
                <w:sz w:val="18"/>
                <w:szCs w:val="18"/>
                <w:vertAlign w:val="superscript"/>
              </w:rPr>
              <w:t>e</w:t>
            </w:r>
            <w:proofErr w:type="gramEnd"/>
          </w:p>
        </w:tc>
        <w:tc>
          <w:tcPr>
            <w:tcW w:w="1009" w:type="dxa"/>
            <w:tcBorders>
              <w:bottom w:val="single" w:sz="2" w:space="0" w:color="808080" w:themeColor="background1" w:themeShade="80"/>
            </w:tcBorders>
            <w:hideMark/>
          </w:tcPr>
          <w:p w14:paraId="65784E74" w14:textId="77777777" w:rsidR="009E050E" w:rsidRPr="00834CDC" w:rsidRDefault="009E050E" w:rsidP="00457617">
            <w:pPr>
              <w:pStyle w:val="NormalWeb"/>
              <w:rPr>
                <w:sz w:val="18"/>
                <w:szCs w:val="18"/>
              </w:rPr>
            </w:pPr>
            <w:r w:rsidRPr="00834CDC">
              <w:rPr>
                <w:sz w:val="18"/>
                <w:szCs w:val="18"/>
              </w:rPr>
              <w:t>24 months</w:t>
            </w:r>
            <w:r w:rsidRPr="00834CDC">
              <w:rPr>
                <w:sz w:val="18"/>
                <w:szCs w:val="18"/>
              </w:rPr>
              <w:br/>
              <w:t>(</w:t>
            </w:r>
            <w:proofErr w:type="gramStart"/>
            <w:r w:rsidRPr="00834CDC">
              <w:rPr>
                <w:sz w:val="18"/>
                <w:szCs w:val="18"/>
              </w:rPr>
              <w:t>%)</w:t>
            </w:r>
            <w:r w:rsidRPr="00834CDC">
              <w:rPr>
                <w:sz w:val="18"/>
                <w:szCs w:val="18"/>
                <w:vertAlign w:val="superscript"/>
              </w:rPr>
              <w:t>e</w:t>
            </w:r>
            <w:proofErr w:type="gramEnd"/>
          </w:p>
        </w:tc>
        <w:tc>
          <w:tcPr>
            <w:tcW w:w="1009" w:type="dxa"/>
            <w:tcBorders>
              <w:bottom w:val="single" w:sz="2" w:space="0" w:color="808080" w:themeColor="background1" w:themeShade="80"/>
            </w:tcBorders>
            <w:hideMark/>
          </w:tcPr>
          <w:p w14:paraId="5366B3D9" w14:textId="77777777" w:rsidR="009E050E" w:rsidRPr="00834CDC" w:rsidRDefault="009E050E" w:rsidP="00457617">
            <w:pPr>
              <w:pStyle w:val="NormalWeb"/>
              <w:rPr>
                <w:sz w:val="18"/>
                <w:szCs w:val="18"/>
              </w:rPr>
            </w:pPr>
            <w:r w:rsidRPr="00834CDC">
              <w:rPr>
                <w:sz w:val="18"/>
                <w:szCs w:val="18"/>
              </w:rPr>
              <w:t>51 months</w:t>
            </w:r>
            <w:r w:rsidRPr="00834CDC">
              <w:rPr>
                <w:sz w:val="18"/>
                <w:szCs w:val="18"/>
              </w:rPr>
              <w:br/>
              <w:t>(</w:t>
            </w:r>
            <w:proofErr w:type="gramStart"/>
            <w:r w:rsidRPr="00834CDC">
              <w:rPr>
                <w:sz w:val="18"/>
                <w:szCs w:val="18"/>
              </w:rPr>
              <w:t>%)</w:t>
            </w:r>
            <w:r w:rsidRPr="00834CDC">
              <w:rPr>
                <w:sz w:val="18"/>
                <w:szCs w:val="18"/>
                <w:vertAlign w:val="superscript"/>
              </w:rPr>
              <w:t>f</w:t>
            </w:r>
            <w:proofErr w:type="gramEnd"/>
          </w:p>
        </w:tc>
        <w:tc>
          <w:tcPr>
            <w:tcW w:w="1010" w:type="dxa"/>
            <w:tcBorders>
              <w:bottom w:val="single" w:sz="2" w:space="0" w:color="808080" w:themeColor="background1" w:themeShade="80"/>
            </w:tcBorders>
            <w:hideMark/>
          </w:tcPr>
          <w:p w14:paraId="260E6167" w14:textId="77777777" w:rsidR="009E050E" w:rsidRPr="00834CDC" w:rsidRDefault="009E050E" w:rsidP="00457617">
            <w:pPr>
              <w:pStyle w:val="NormalWeb"/>
              <w:rPr>
                <w:sz w:val="18"/>
                <w:szCs w:val="18"/>
              </w:rPr>
            </w:pPr>
            <w:r w:rsidRPr="00834CDC">
              <w:rPr>
                <w:sz w:val="18"/>
                <w:szCs w:val="18"/>
              </w:rPr>
              <w:t>60 months</w:t>
            </w:r>
            <w:r w:rsidRPr="00834CDC">
              <w:rPr>
                <w:sz w:val="18"/>
                <w:szCs w:val="18"/>
              </w:rPr>
              <w:br/>
              <w:t>(</w:t>
            </w:r>
            <w:proofErr w:type="gramStart"/>
            <w:r w:rsidRPr="00834CDC">
              <w:rPr>
                <w:sz w:val="18"/>
                <w:szCs w:val="18"/>
              </w:rPr>
              <w:t>%)</w:t>
            </w:r>
            <w:r w:rsidRPr="00834CDC">
              <w:rPr>
                <w:sz w:val="18"/>
                <w:szCs w:val="18"/>
                <w:vertAlign w:val="superscript"/>
              </w:rPr>
              <w:t>f</w:t>
            </w:r>
            <w:proofErr w:type="gramEnd"/>
          </w:p>
        </w:tc>
      </w:tr>
      <w:tr w:rsidR="009E050E" w:rsidRPr="00834CDC" w14:paraId="4BFA5DB3" w14:textId="77777777" w:rsidTr="00611AA3">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D8C928" w14:textId="77777777" w:rsidR="009E050E" w:rsidRPr="00834CDC" w:rsidRDefault="009E050E" w:rsidP="009E050E">
            <w:pPr>
              <w:pStyle w:val="NormalWeb"/>
              <w:jc w:val="left"/>
              <w:rPr>
                <w:sz w:val="18"/>
                <w:szCs w:val="18"/>
              </w:rPr>
            </w:pPr>
            <w:r w:rsidRPr="00834CDC">
              <w:rPr>
                <w:sz w:val="18"/>
                <w:szCs w:val="18"/>
              </w:rPr>
              <w:t>Indigenous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A9BC66" w14:textId="77777777" w:rsidR="009E050E" w:rsidRPr="00834CDC" w:rsidRDefault="009E050E" w:rsidP="009E050E">
            <w:pPr>
              <w:pStyle w:val="NormalWeb"/>
              <w:jc w:val="left"/>
              <w:rPr>
                <w:sz w:val="18"/>
                <w:szCs w:val="18"/>
              </w:rPr>
            </w:pPr>
            <w:r w:rsidRPr="00834CDC">
              <w:rPr>
                <w:sz w:val="18"/>
                <w:szCs w:val="18"/>
              </w:rPr>
              <w:t>Major cities</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AD9017" w14:textId="77777777" w:rsidR="009E050E" w:rsidRPr="00834CDC" w:rsidRDefault="009E050E" w:rsidP="00457617">
            <w:pPr>
              <w:pStyle w:val="NormalWeb"/>
              <w:rPr>
                <w:sz w:val="18"/>
                <w:szCs w:val="18"/>
              </w:rPr>
            </w:pPr>
            <w:r w:rsidRPr="00834CDC">
              <w:rPr>
                <w:sz w:val="18"/>
                <w:szCs w:val="18"/>
              </w:rPr>
              <w:t>86.5</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7D96A6" w14:textId="77777777" w:rsidR="009E050E" w:rsidRPr="00834CDC" w:rsidRDefault="009E050E" w:rsidP="00457617">
            <w:pPr>
              <w:pStyle w:val="NormalWeb"/>
              <w:rPr>
                <w:sz w:val="18"/>
                <w:szCs w:val="18"/>
              </w:rPr>
            </w:pPr>
            <w:r w:rsidRPr="00834CDC">
              <w:rPr>
                <w:sz w:val="18"/>
                <w:szCs w:val="18"/>
              </w:rPr>
              <w:t>92.8</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094569" w14:textId="77777777" w:rsidR="009E050E" w:rsidRPr="00834CDC" w:rsidRDefault="009E050E" w:rsidP="00457617">
            <w:pPr>
              <w:pStyle w:val="NormalWeb"/>
              <w:rPr>
                <w:sz w:val="18"/>
                <w:szCs w:val="18"/>
              </w:rPr>
            </w:pPr>
            <w:r w:rsidRPr="00834CDC">
              <w:rPr>
                <w:sz w:val="18"/>
                <w:szCs w:val="18"/>
              </w:rPr>
              <w:t>85.6</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B87E39" w14:textId="77777777" w:rsidR="009E050E" w:rsidRPr="00834CDC" w:rsidRDefault="009E050E" w:rsidP="00457617">
            <w:pPr>
              <w:pStyle w:val="NormalWeb"/>
              <w:rPr>
                <w:sz w:val="18"/>
                <w:szCs w:val="18"/>
              </w:rPr>
            </w:pPr>
            <w:r w:rsidRPr="00834CDC">
              <w:rPr>
                <w:sz w:val="18"/>
                <w:szCs w:val="18"/>
              </w:rPr>
              <w:t>82.6</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CF2993" w14:textId="77777777" w:rsidR="009E050E" w:rsidRPr="00834CDC" w:rsidRDefault="009E050E" w:rsidP="00457617">
            <w:pPr>
              <w:pStyle w:val="NormalWeb"/>
              <w:rPr>
                <w:sz w:val="18"/>
                <w:szCs w:val="18"/>
              </w:rPr>
            </w:pPr>
            <w:r w:rsidRPr="00834CDC">
              <w:rPr>
                <w:sz w:val="18"/>
                <w:szCs w:val="18"/>
              </w:rPr>
              <w:t>89.8</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7AB037" w14:textId="77777777" w:rsidR="009E050E" w:rsidRPr="00834CDC" w:rsidRDefault="009E050E" w:rsidP="00457617">
            <w:pPr>
              <w:pStyle w:val="NormalWeb"/>
              <w:rPr>
                <w:sz w:val="18"/>
                <w:szCs w:val="18"/>
              </w:rPr>
            </w:pPr>
            <w:r w:rsidRPr="00834CDC">
              <w:rPr>
                <w:sz w:val="18"/>
                <w:szCs w:val="18"/>
              </w:rPr>
              <w:t>83.4</w:t>
            </w:r>
          </w:p>
        </w:tc>
        <w:tc>
          <w:tcPr>
            <w:tcW w:w="10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C6F037" w14:textId="77777777" w:rsidR="009E050E" w:rsidRPr="00834CDC" w:rsidRDefault="009E050E" w:rsidP="00457617">
            <w:pPr>
              <w:pStyle w:val="NormalWeb"/>
              <w:rPr>
                <w:sz w:val="18"/>
                <w:szCs w:val="18"/>
              </w:rPr>
            </w:pPr>
            <w:r w:rsidRPr="00834CDC">
              <w:rPr>
                <w:sz w:val="18"/>
                <w:szCs w:val="18"/>
              </w:rPr>
              <w:t>96.6</w:t>
            </w:r>
          </w:p>
        </w:tc>
      </w:tr>
      <w:tr w:rsidR="009E050E" w:rsidRPr="00834CDC" w14:paraId="7B89FE39" w14:textId="77777777" w:rsidTr="00611AA3">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E96F32" w14:textId="77777777" w:rsidR="009E050E" w:rsidRPr="00834CDC" w:rsidRDefault="009E050E" w:rsidP="009E050E">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5BC2D5" w14:textId="77777777" w:rsidR="009E050E" w:rsidRPr="00834CDC" w:rsidRDefault="009E050E" w:rsidP="009E050E">
            <w:pPr>
              <w:pStyle w:val="NormalWeb"/>
              <w:jc w:val="left"/>
              <w:rPr>
                <w:sz w:val="18"/>
                <w:szCs w:val="18"/>
              </w:rPr>
            </w:pPr>
            <w:r w:rsidRPr="00834CDC">
              <w:rPr>
                <w:sz w:val="18"/>
                <w:szCs w:val="18"/>
              </w:rPr>
              <w:t>Inner and outer regional</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4E2DE9" w14:textId="77777777" w:rsidR="009E050E" w:rsidRPr="00834CDC" w:rsidRDefault="009E050E" w:rsidP="00457617">
            <w:pPr>
              <w:pStyle w:val="NormalWeb"/>
              <w:rPr>
                <w:sz w:val="18"/>
                <w:szCs w:val="18"/>
              </w:rPr>
            </w:pPr>
            <w:r w:rsidRPr="00834CDC">
              <w:rPr>
                <w:sz w:val="18"/>
                <w:szCs w:val="18"/>
              </w:rPr>
              <w:t>86.1</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4416E3" w14:textId="77777777" w:rsidR="009E050E" w:rsidRPr="00834CDC" w:rsidRDefault="009E050E" w:rsidP="00457617">
            <w:pPr>
              <w:pStyle w:val="NormalWeb"/>
              <w:rPr>
                <w:sz w:val="18"/>
                <w:szCs w:val="18"/>
              </w:rPr>
            </w:pPr>
            <w:r w:rsidRPr="00834CDC">
              <w:rPr>
                <w:sz w:val="18"/>
                <w:szCs w:val="18"/>
              </w:rPr>
              <w:t>93.3</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2EFB1A" w14:textId="77777777" w:rsidR="009E050E" w:rsidRPr="00834CDC" w:rsidRDefault="009E050E" w:rsidP="00457617">
            <w:pPr>
              <w:pStyle w:val="NormalWeb"/>
              <w:rPr>
                <w:sz w:val="18"/>
                <w:szCs w:val="18"/>
              </w:rPr>
            </w:pPr>
            <w:r w:rsidRPr="00834CDC">
              <w:rPr>
                <w:sz w:val="18"/>
                <w:szCs w:val="18"/>
              </w:rPr>
              <w:t>86.2</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63D900" w14:textId="77777777" w:rsidR="009E050E" w:rsidRPr="00834CDC" w:rsidRDefault="009E050E" w:rsidP="00457617">
            <w:pPr>
              <w:pStyle w:val="NormalWeb"/>
              <w:rPr>
                <w:sz w:val="18"/>
                <w:szCs w:val="18"/>
              </w:rPr>
            </w:pPr>
            <w:r w:rsidRPr="00834CDC">
              <w:rPr>
                <w:sz w:val="18"/>
                <w:szCs w:val="18"/>
              </w:rPr>
              <w:t>82.9</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88DCEB" w14:textId="77777777" w:rsidR="009E050E" w:rsidRPr="00834CDC" w:rsidRDefault="009E050E" w:rsidP="00457617">
            <w:pPr>
              <w:pStyle w:val="NormalWeb"/>
              <w:rPr>
                <w:sz w:val="18"/>
                <w:szCs w:val="18"/>
              </w:rPr>
            </w:pPr>
            <w:r w:rsidRPr="00834CDC">
              <w:rPr>
                <w:sz w:val="18"/>
                <w:szCs w:val="18"/>
              </w:rPr>
              <w:t>90.7</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901064" w14:textId="77777777" w:rsidR="009E050E" w:rsidRPr="00834CDC" w:rsidRDefault="009E050E" w:rsidP="00457617">
            <w:pPr>
              <w:pStyle w:val="NormalWeb"/>
              <w:rPr>
                <w:sz w:val="18"/>
                <w:szCs w:val="18"/>
              </w:rPr>
            </w:pPr>
            <w:r w:rsidRPr="00834CDC">
              <w:rPr>
                <w:sz w:val="18"/>
                <w:szCs w:val="18"/>
              </w:rPr>
              <w:t>84.5</w:t>
            </w:r>
          </w:p>
        </w:tc>
        <w:tc>
          <w:tcPr>
            <w:tcW w:w="10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D1B143" w14:textId="77777777" w:rsidR="009E050E" w:rsidRPr="00834CDC" w:rsidRDefault="009E050E" w:rsidP="00457617">
            <w:pPr>
              <w:pStyle w:val="NormalWeb"/>
              <w:rPr>
                <w:sz w:val="18"/>
                <w:szCs w:val="18"/>
              </w:rPr>
            </w:pPr>
            <w:r w:rsidRPr="00834CDC">
              <w:rPr>
                <w:sz w:val="18"/>
                <w:szCs w:val="18"/>
              </w:rPr>
              <w:t>97.1</w:t>
            </w:r>
          </w:p>
        </w:tc>
      </w:tr>
      <w:tr w:rsidR="009E050E" w:rsidRPr="00834CDC" w14:paraId="25B52D1F" w14:textId="77777777" w:rsidTr="00611AA3">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EADB52" w14:textId="77777777" w:rsidR="009E050E" w:rsidRPr="00834CDC" w:rsidRDefault="009E050E" w:rsidP="009E050E">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ECDA7E" w14:textId="77777777" w:rsidR="009E050E" w:rsidRPr="00834CDC" w:rsidRDefault="009E050E" w:rsidP="009E050E">
            <w:pPr>
              <w:pStyle w:val="NormalWeb"/>
              <w:jc w:val="left"/>
              <w:rPr>
                <w:sz w:val="18"/>
                <w:szCs w:val="18"/>
              </w:rPr>
            </w:pPr>
            <w:r w:rsidRPr="00834CDC">
              <w:rPr>
                <w:sz w:val="18"/>
                <w:szCs w:val="18"/>
              </w:rPr>
              <w:t>Remote and very remote</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86D770" w14:textId="77777777" w:rsidR="009E050E" w:rsidRPr="00834CDC" w:rsidRDefault="009E050E" w:rsidP="00457617">
            <w:pPr>
              <w:pStyle w:val="NormalWeb"/>
              <w:rPr>
                <w:sz w:val="18"/>
                <w:szCs w:val="18"/>
              </w:rPr>
            </w:pPr>
            <w:r w:rsidRPr="00834CDC">
              <w:rPr>
                <w:sz w:val="18"/>
                <w:szCs w:val="18"/>
              </w:rPr>
              <w:t>81.7</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0397FC" w14:textId="77777777" w:rsidR="009E050E" w:rsidRPr="00834CDC" w:rsidRDefault="009E050E" w:rsidP="00457617">
            <w:pPr>
              <w:pStyle w:val="NormalWeb"/>
              <w:rPr>
                <w:sz w:val="18"/>
                <w:szCs w:val="18"/>
              </w:rPr>
            </w:pPr>
            <w:r w:rsidRPr="00834CDC">
              <w:rPr>
                <w:sz w:val="18"/>
                <w:szCs w:val="18"/>
              </w:rPr>
              <w:t>91.9</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EA9681" w14:textId="77777777" w:rsidR="009E050E" w:rsidRPr="00834CDC" w:rsidRDefault="009E050E" w:rsidP="00457617">
            <w:pPr>
              <w:pStyle w:val="NormalWeb"/>
              <w:rPr>
                <w:sz w:val="18"/>
                <w:szCs w:val="18"/>
              </w:rPr>
            </w:pPr>
            <w:r w:rsidRPr="00834CDC">
              <w:rPr>
                <w:sz w:val="18"/>
                <w:szCs w:val="18"/>
              </w:rPr>
              <w:t>84.1</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9CCBA5" w14:textId="77777777" w:rsidR="009E050E" w:rsidRPr="00834CDC" w:rsidRDefault="009E050E" w:rsidP="00457617">
            <w:pPr>
              <w:pStyle w:val="NormalWeb"/>
              <w:rPr>
                <w:sz w:val="18"/>
                <w:szCs w:val="18"/>
              </w:rPr>
            </w:pPr>
            <w:r w:rsidRPr="00834CDC">
              <w:rPr>
                <w:sz w:val="18"/>
                <w:szCs w:val="18"/>
              </w:rPr>
              <w:t>76.1</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3D71A7" w14:textId="77777777" w:rsidR="009E050E" w:rsidRPr="00834CDC" w:rsidRDefault="009E050E" w:rsidP="00457617">
            <w:pPr>
              <w:pStyle w:val="NormalWeb"/>
              <w:rPr>
                <w:sz w:val="18"/>
                <w:szCs w:val="18"/>
              </w:rPr>
            </w:pPr>
            <w:r w:rsidRPr="00834CDC">
              <w:rPr>
                <w:sz w:val="18"/>
                <w:szCs w:val="18"/>
              </w:rPr>
              <w:t>88.0</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3DDF0B" w14:textId="77777777" w:rsidR="009E050E" w:rsidRPr="00834CDC" w:rsidRDefault="009E050E" w:rsidP="00457617">
            <w:pPr>
              <w:pStyle w:val="NormalWeb"/>
              <w:rPr>
                <w:sz w:val="18"/>
                <w:szCs w:val="18"/>
              </w:rPr>
            </w:pPr>
            <w:r w:rsidRPr="00834CDC">
              <w:rPr>
                <w:sz w:val="18"/>
                <w:szCs w:val="18"/>
              </w:rPr>
              <w:t>83.0</w:t>
            </w:r>
          </w:p>
        </w:tc>
        <w:tc>
          <w:tcPr>
            <w:tcW w:w="10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A29EDC" w14:textId="77777777" w:rsidR="009E050E" w:rsidRPr="00834CDC" w:rsidRDefault="009E050E" w:rsidP="00457617">
            <w:pPr>
              <w:pStyle w:val="NormalWeb"/>
              <w:rPr>
                <w:sz w:val="18"/>
                <w:szCs w:val="18"/>
              </w:rPr>
            </w:pPr>
            <w:r w:rsidRPr="00834CDC">
              <w:rPr>
                <w:sz w:val="18"/>
                <w:szCs w:val="18"/>
              </w:rPr>
              <w:t>97.3</w:t>
            </w:r>
          </w:p>
        </w:tc>
      </w:tr>
      <w:tr w:rsidR="009E050E" w:rsidRPr="00834CDC" w14:paraId="58C1A729" w14:textId="77777777" w:rsidTr="000F60C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90D7E1" w14:textId="77777777" w:rsidR="009E050E" w:rsidRPr="00834CDC" w:rsidRDefault="009E050E" w:rsidP="009E050E">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9B68F80" w14:textId="77777777" w:rsidR="009E050E" w:rsidRPr="00834CDC" w:rsidRDefault="009E050E" w:rsidP="009E050E">
            <w:pPr>
              <w:pStyle w:val="NormalWeb"/>
              <w:jc w:val="left"/>
              <w:rPr>
                <w:b/>
                <w:bCs/>
                <w:sz w:val="18"/>
                <w:szCs w:val="18"/>
              </w:rPr>
            </w:pPr>
            <w:r w:rsidRPr="00834CDC">
              <w:rPr>
                <w:b/>
                <w:bCs/>
                <w:sz w:val="18"/>
                <w:szCs w:val="18"/>
              </w:rPr>
              <w:t>All</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BAC2D9D" w14:textId="77777777" w:rsidR="009E050E" w:rsidRPr="00834CDC" w:rsidRDefault="009E050E" w:rsidP="00457617">
            <w:pPr>
              <w:pStyle w:val="NormalWeb"/>
              <w:rPr>
                <w:b/>
                <w:bCs/>
                <w:sz w:val="18"/>
                <w:szCs w:val="18"/>
              </w:rPr>
            </w:pPr>
            <w:r w:rsidRPr="00834CDC">
              <w:rPr>
                <w:b/>
                <w:bCs/>
                <w:sz w:val="18"/>
                <w:szCs w:val="18"/>
              </w:rPr>
              <w:t>85.6</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75ED3A6" w14:textId="77777777" w:rsidR="009E050E" w:rsidRPr="00834CDC" w:rsidRDefault="009E050E" w:rsidP="00457617">
            <w:pPr>
              <w:pStyle w:val="NormalWeb"/>
              <w:rPr>
                <w:b/>
                <w:bCs/>
                <w:sz w:val="18"/>
                <w:szCs w:val="18"/>
              </w:rPr>
            </w:pPr>
            <w:r w:rsidRPr="00834CDC">
              <w:rPr>
                <w:b/>
                <w:bCs/>
                <w:sz w:val="18"/>
                <w:szCs w:val="18"/>
              </w:rPr>
              <w:t>92.9</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BEA6BA3" w14:textId="77777777" w:rsidR="009E050E" w:rsidRPr="00834CDC" w:rsidRDefault="009E050E" w:rsidP="00457617">
            <w:pPr>
              <w:pStyle w:val="NormalWeb"/>
              <w:rPr>
                <w:b/>
                <w:bCs/>
                <w:sz w:val="18"/>
                <w:szCs w:val="18"/>
              </w:rPr>
            </w:pPr>
            <w:r w:rsidRPr="00834CDC">
              <w:rPr>
                <w:b/>
                <w:bCs/>
                <w:sz w:val="18"/>
                <w:szCs w:val="18"/>
              </w:rPr>
              <w:t>85.6</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B300803" w14:textId="77777777" w:rsidR="009E050E" w:rsidRPr="00834CDC" w:rsidRDefault="009E050E" w:rsidP="00457617">
            <w:pPr>
              <w:pStyle w:val="NormalWeb"/>
              <w:rPr>
                <w:b/>
                <w:bCs/>
                <w:sz w:val="18"/>
                <w:szCs w:val="18"/>
              </w:rPr>
            </w:pPr>
            <w:r w:rsidRPr="00834CDC">
              <w:rPr>
                <w:b/>
                <w:bCs/>
                <w:sz w:val="18"/>
                <w:szCs w:val="18"/>
              </w:rPr>
              <w:t>81.8</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CB00C9E" w14:textId="77777777" w:rsidR="009E050E" w:rsidRPr="00834CDC" w:rsidRDefault="009E050E" w:rsidP="00457617">
            <w:pPr>
              <w:pStyle w:val="NormalWeb"/>
              <w:rPr>
                <w:b/>
                <w:bCs/>
                <w:sz w:val="18"/>
                <w:szCs w:val="18"/>
              </w:rPr>
            </w:pPr>
            <w:r w:rsidRPr="00834CDC">
              <w:rPr>
                <w:b/>
                <w:bCs/>
                <w:sz w:val="18"/>
                <w:szCs w:val="18"/>
              </w:rPr>
              <w:t>90.0</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8E0E5B6" w14:textId="77777777" w:rsidR="009E050E" w:rsidRPr="00834CDC" w:rsidRDefault="009E050E" w:rsidP="00457617">
            <w:pPr>
              <w:pStyle w:val="NormalWeb"/>
              <w:rPr>
                <w:b/>
                <w:bCs/>
                <w:sz w:val="18"/>
                <w:szCs w:val="18"/>
              </w:rPr>
            </w:pPr>
            <w:r w:rsidRPr="00834CDC">
              <w:rPr>
                <w:b/>
                <w:bCs/>
                <w:sz w:val="18"/>
                <w:szCs w:val="18"/>
              </w:rPr>
              <w:t>83.8</w:t>
            </w:r>
          </w:p>
        </w:tc>
        <w:tc>
          <w:tcPr>
            <w:tcW w:w="10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6D94891" w14:textId="77777777" w:rsidR="009E050E" w:rsidRPr="00834CDC" w:rsidRDefault="009E050E" w:rsidP="00457617">
            <w:pPr>
              <w:pStyle w:val="NormalWeb"/>
              <w:rPr>
                <w:b/>
                <w:bCs/>
                <w:sz w:val="18"/>
                <w:szCs w:val="18"/>
              </w:rPr>
            </w:pPr>
            <w:r w:rsidRPr="00834CDC">
              <w:rPr>
                <w:b/>
                <w:bCs/>
                <w:sz w:val="18"/>
                <w:szCs w:val="18"/>
              </w:rPr>
              <w:t>96.9</w:t>
            </w:r>
          </w:p>
        </w:tc>
      </w:tr>
      <w:tr w:rsidR="009E050E" w:rsidRPr="00834CDC" w14:paraId="5040D23A" w14:textId="77777777" w:rsidTr="00611AA3">
        <w:trPr>
          <w:divId w:val="1988506822"/>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36AA7C" w14:textId="77777777" w:rsidR="009E050E" w:rsidRPr="00834CDC" w:rsidRDefault="009E050E" w:rsidP="009E050E">
            <w:pPr>
              <w:pStyle w:val="NormalWeb"/>
              <w:jc w:val="left"/>
              <w:rPr>
                <w:sz w:val="18"/>
                <w:szCs w:val="18"/>
              </w:rPr>
            </w:pPr>
            <w:r w:rsidRPr="00834CDC">
              <w:rPr>
                <w:sz w:val="18"/>
                <w:szCs w:val="18"/>
              </w:rPr>
              <w:t>Other</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3721AE" w14:textId="77777777" w:rsidR="009E050E" w:rsidRPr="00834CDC" w:rsidRDefault="009E050E" w:rsidP="009E050E">
            <w:pPr>
              <w:pStyle w:val="NormalWeb"/>
              <w:jc w:val="left"/>
              <w:rPr>
                <w:sz w:val="18"/>
                <w:szCs w:val="18"/>
              </w:rPr>
            </w:pPr>
            <w:r w:rsidRPr="00834CDC">
              <w:rPr>
                <w:sz w:val="18"/>
                <w:szCs w:val="18"/>
              </w:rPr>
              <w:t>Major cities</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13C064" w14:textId="77777777" w:rsidR="009E050E" w:rsidRPr="00834CDC" w:rsidRDefault="009E050E" w:rsidP="00457617">
            <w:pPr>
              <w:pStyle w:val="NormalWeb"/>
              <w:rPr>
                <w:sz w:val="18"/>
                <w:szCs w:val="18"/>
              </w:rPr>
            </w:pPr>
            <w:r w:rsidRPr="00834CDC">
              <w:rPr>
                <w:sz w:val="18"/>
                <w:szCs w:val="18"/>
              </w:rPr>
              <w:t>91.6</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C88E4C" w14:textId="77777777" w:rsidR="009E050E" w:rsidRPr="00834CDC" w:rsidRDefault="009E050E" w:rsidP="00457617">
            <w:pPr>
              <w:pStyle w:val="NormalWeb"/>
              <w:rPr>
                <w:sz w:val="18"/>
                <w:szCs w:val="18"/>
              </w:rPr>
            </w:pPr>
            <w:r w:rsidRPr="00834CDC">
              <w:rPr>
                <w:sz w:val="18"/>
                <w:szCs w:val="18"/>
              </w:rPr>
              <w:t>94.4</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07EEDF" w14:textId="77777777" w:rsidR="009E050E" w:rsidRPr="00834CDC" w:rsidRDefault="009E050E" w:rsidP="00457617">
            <w:pPr>
              <w:pStyle w:val="NormalWeb"/>
              <w:rPr>
                <w:sz w:val="18"/>
                <w:szCs w:val="18"/>
              </w:rPr>
            </w:pPr>
            <w:r w:rsidRPr="00834CDC">
              <w:rPr>
                <w:sz w:val="18"/>
                <w:szCs w:val="18"/>
              </w:rPr>
              <w:t>88.2</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63C51D" w14:textId="77777777" w:rsidR="009E050E" w:rsidRPr="00834CDC" w:rsidRDefault="009E050E" w:rsidP="00457617">
            <w:pPr>
              <w:pStyle w:val="NormalWeb"/>
              <w:rPr>
                <w:sz w:val="18"/>
                <w:szCs w:val="18"/>
              </w:rPr>
            </w:pPr>
            <w:r w:rsidRPr="00834CDC">
              <w:rPr>
                <w:sz w:val="18"/>
                <w:szCs w:val="18"/>
              </w:rPr>
              <w:t>86.6</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8DDD26" w14:textId="77777777" w:rsidR="009E050E" w:rsidRPr="00834CDC" w:rsidRDefault="009E050E" w:rsidP="00457617">
            <w:pPr>
              <w:pStyle w:val="NormalWeb"/>
              <w:rPr>
                <w:sz w:val="18"/>
                <w:szCs w:val="18"/>
              </w:rPr>
            </w:pPr>
            <w:r w:rsidRPr="00834CDC">
              <w:rPr>
                <w:sz w:val="18"/>
                <w:szCs w:val="18"/>
              </w:rPr>
              <w:t>90.9</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69DF10" w14:textId="77777777" w:rsidR="009E050E" w:rsidRPr="00834CDC" w:rsidRDefault="009E050E" w:rsidP="00457617">
            <w:pPr>
              <w:pStyle w:val="NormalWeb"/>
              <w:rPr>
                <w:sz w:val="18"/>
                <w:szCs w:val="18"/>
              </w:rPr>
            </w:pPr>
            <w:r w:rsidRPr="00834CDC">
              <w:rPr>
                <w:sz w:val="18"/>
                <w:szCs w:val="18"/>
              </w:rPr>
              <w:t>85.0</w:t>
            </w:r>
          </w:p>
        </w:tc>
        <w:tc>
          <w:tcPr>
            <w:tcW w:w="10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9F1DA4" w14:textId="77777777" w:rsidR="009E050E" w:rsidRPr="00834CDC" w:rsidRDefault="009E050E" w:rsidP="00457617">
            <w:pPr>
              <w:pStyle w:val="NormalWeb"/>
              <w:rPr>
                <w:sz w:val="18"/>
                <w:szCs w:val="18"/>
              </w:rPr>
            </w:pPr>
            <w:r w:rsidRPr="00834CDC">
              <w:rPr>
                <w:sz w:val="18"/>
                <w:szCs w:val="18"/>
              </w:rPr>
              <w:t>93.9</w:t>
            </w:r>
          </w:p>
        </w:tc>
      </w:tr>
      <w:tr w:rsidR="009E050E" w:rsidRPr="00834CDC" w14:paraId="575F36C5" w14:textId="77777777" w:rsidTr="00611AA3">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CDD702" w14:textId="77777777" w:rsidR="009E050E" w:rsidRPr="00834CDC" w:rsidRDefault="009E050E" w:rsidP="009E050E">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BE4829" w14:textId="77777777" w:rsidR="009E050E" w:rsidRPr="00834CDC" w:rsidRDefault="009E050E" w:rsidP="009E050E">
            <w:pPr>
              <w:pStyle w:val="NormalWeb"/>
              <w:jc w:val="left"/>
              <w:rPr>
                <w:sz w:val="18"/>
                <w:szCs w:val="18"/>
              </w:rPr>
            </w:pPr>
            <w:r w:rsidRPr="00834CDC">
              <w:rPr>
                <w:sz w:val="18"/>
                <w:szCs w:val="18"/>
              </w:rPr>
              <w:t>Inner and outer regional</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E31DF8" w14:textId="77777777" w:rsidR="009E050E" w:rsidRPr="00834CDC" w:rsidRDefault="009E050E" w:rsidP="00457617">
            <w:pPr>
              <w:pStyle w:val="NormalWeb"/>
              <w:rPr>
                <w:sz w:val="18"/>
                <w:szCs w:val="18"/>
              </w:rPr>
            </w:pPr>
            <w:r w:rsidRPr="00834CDC">
              <w:rPr>
                <w:sz w:val="18"/>
                <w:szCs w:val="18"/>
              </w:rPr>
              <w:t>91.4</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017B1A" w14:textId="77777777" w:rsidR="009E050E" w:rsidRPr="00834CDC" w:rsidRDefault="009E050E" w:rsidP="00457617">
            <w:pPr>
              <w:pStyle w:val="NormalWeb"/>
              <w:rPr>
                <w:sz w:val="18"/>
                <w:szCs w:val="18"/>
              </w:rPr>
            </w:pPr>
            <w:r w:rsidRPr="00834CDC">
              <w:rPr>
                <w:sz w:val="18"/>
                <w:szCs w:val="18"/>
              </w:rPr>
              <w:t>94.3</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DC5D46" w14:textId="77777777" w:rsidR="009E050E" w:rsidRPr="00834CDC" w:rsidRDefault="009E050E" w:rsidP="00457617">
            <w:pPr>
              <w:pStyle w:val="NormalWeb"/>
              <w:rPr>
                <w:sz w:val="18"/>
                <w:szCs w:val="18"/>
              </w:rPr>
            </w:pPr>
            <w:r w:rsidRPr="00834CDC">
              <w:rPr>
                <w:sz w:val="18"/>
                <w:szCs w:val="18"/>
              </w:rPr>
              <w:t>89.4</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F3358C" w14:textId="77777777" w:rsidR="009E050E" w:rsidRPr="00834CDC" w:rsidRDefault="009E050E" w:rsidP="00457617">
            <w:pPr>
              <w:pStyle w:val="NormalWeb"/>
              <w:rPr>
                <w:sz w:val="18"/>
                <w:szCs w:val="18"/>
              </w:rPr>
            </w:pPr>
            <w:r w:rsidRPr="00834CDC">
              <w:rPr>
                <w:sz w:val="18"/>
                <w:szCs w:val="18"/>
              </w:rPr>
              <w:t>87.5</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5A2402" w14:textId="77777777" w:rsidR="009E050E" w:rsidRPr="00834CDC" w:rsidRDefault="009E050E" w:rsidP="00457617">
            <w:pPr>
              <w:pStyle w:val="NormalWeb"/>
              <w:rPr>
                <w:sz w:val="18"/>
                <w:szCs w:val="18"/>
              </w:rPr>
            </w:pPr>
            <w:r w:rsidRPr="00834CDC">
              <w:rPr>
                <w:sz w:val="18"/>
                <w:szCs w:val="18"/>
              </w:rPr>
              <w:t>92.1</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244CFF" w14:textId="77777777" w:rsidR="009E050E" w:rsidRPr="00834CDC" w:rsidRDefault="009E050E" w:rsidP="00457617">
            <w:pPr>
              <w:pStyle w:val="NormalWeb"/>
              <w:rPr>
                <w:sz w:val="18"/>
                <w:szCs w:val="18"/>
              </w:rPr>
            </w:pPr>
            <w:r w:rsidRPr="00834CDC">
              <w:rPr>
                <w:sz w:val="18"/>
                <w:szCs w:val="18"/>
              </w:rPr>
              <w:t>85.9</w:t>
            </w:r>
          </w:p>
        </w:tc>
        <w:tc>
          <w:tcPr>
            <w:tcW w:w="10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AABE9B" w14:textId="77777777" w:rsidR="009E050E" w:rsidRPr="00834CDC" w:rsidRDefault="009E050E" w:rsidP="00457617">
            <w:pPr>
              <w:pStyle w:val="NormalWeb"/>
              <w:rPr>
                <w:sz w:val="18"/>
                <w:szCs w:val="18"/>
              </w:rPr>
            </w:pPr>
            <w:r w:rsidRPr="00834CDC">
              <w:rPr>
                <w:sz w:val="18"/>
                <w:szCs w:val="18"/>
              </w:rPr>
              <w:t>94.5</w:t>
            </w:r>
          </w:p>
        </w:tc>
      </w:tr>
      <w:tr w:rsidR="009E050E" w:rsidRPr="00834CDC" w14:paraId="5F5D0DF0" w14:textId="77777777" w:rsidTr="00611AA3">
        <w:trPr>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C50412" w14:textId="77777777" w:rsidR="009E050E" w:rsidRPr="00834CDC" w:rsidRDefault="009E050E" w:rsidP="009E050E">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3A24F1" w14:textId="77777777" w:rsidR="009E050E" w:rsidRPr="00834CDC" w:rsidRDefault="009E050E" w:rsidP="009E050E">
            <w:pPr>
              <w:pStyle w:val="NormalWeb"/>
              <w:jc w:val="left"/>
              <w:rPr>
                <w:sz w:val="18"/>
                <w:szCs w:val="18"/>
              </w:rPr>
            </w:pPr>
            <w:r w:rsidRPr="00834CDC">
              <w:rPr>
                <w:sz w:val="18"/>
                <w:szCs w:val="18"/>
              </w:rPr>
              <w:t>Remote and very remote</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A81BE0" w14:textId="77777777" w:rsidR="009E050E" w:rsidRPr="00834CDC" w:rsidRDefault="009E050E" w:rsidP="00457617">
            <w:pPr>
              <w:pStyle w:val="NormalWeb"/>
              <w:rPr>
                <w:sz w:val="18"/>
                <w:szCs w:val="18"/>
              </w:rPr>
            </w:pPr>
            <w:r w:rsidRPr="00834CDC">
              <w:rPr>
                <w:sz w:val="18"/>
                <w:szCs w:val="18"/>
              </w:rPr>
              <w:t>91.9</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4230A1" w14:textId="77777777" w:rsidR="009E050E" w:rsidRPr="00834CDC" w:rsidRDefault="009E050E" w:rsidP="00457617">
            <w:pPr>
              <w:pStyle w:val="NormalWeb"/>
              <w:rPr>
                <w:sz w:val="18"/>
                <w:szCs w:val="18"/>
              </w:rPr>
            </w:pPr>
            <w:r w:rsidRPr="00834CDC">
              <w:rPr>
                <w:sz w:val="18"/>
                <w:szCs w:val="18"/>
              </w:rPr>
              <w:t>95.0</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503234" w14:textId="77777777" w:rsidR="009E050E" w:rsidRPr="00834CDC" w:rsidRDefault="009E050E" w:rsidP="00457617">
            <w:pPr>
              <w:pStyle w:val="NormalWeb"/>
              <w:rPr>
                <w:sz w:val="18"/>
                <w:szCs w:val="18"/>
              </w:rPr>
            </w:pPr>
            <w:r w:rsidRPr="00834CDC">
              <w:rPr>
                <w:sz w:val="18"/>
                <w:szCs w:val="18"/>
              </w:rPr>
              <w:t>88.7</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A2EB0D" w14:textId="77777777" w:rsidR="009E050E" w:rsidRPr="00834CDC" w:rsidRDefault="009E050E" w:rsidP="00457617">
            <w:pPr>
              <w:pStyle w:val="NormalWeb"/>
              <w:rPr>
                <w:sz w:val="18"/>
                <w:szCs w:val="18"/>
              </w:rPr>
            </w:pPr>
            <w:r w:rsidRPr="00834CDC">
              <w:rPr>
                <w:sz w:val="18"/>
                <w:szCs w:val="18"/>
              </w:rPr>
              <w:t>84.6</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203CCC" w14:textId="77777777" w:rsidR="009E050E" w:rsidRPr="00834CDC" w:rsidRDefault="009E050E" w:rsidP="00457617">
            <w:pPr>
              <w:pStyle w:val="NormalWeb"/>
              <w:rPr>
                <w:sz w:val="18"/>
                <w:szCs w:val="18"/>
              </w:rPr>
            </w:pPr>
            <w:r w:rsidRPr="00834CDC">
              <w:rPr>
                <w:sz w:val="18"/>
                <w:szCs w:val="18"/>
              </w:rPr>
              <w:t>91.1</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C92750" w14:textId="77777777" w:rsidR="009E050E" w:rsidRPr="00834CDC" w:rsidRDefault="009E050E" w:rsidP="00457617">
            <w:pPr>
              <w:pStyle w:val="NormalWeb"/>
              <w:rPr>
                <w:sz w:val="18"/>
                <w:szCs w:val="18"/>
              </w:rPr>
            </w:pPr>
            <w:r w:rsidRPr="00834CDC">
              <w:rPr>
                <w:sz w:val="18"/>
                <w:szCs w:val="18"/>
              </w:rPr>
              <w:t>83.3</w:t>
            </w:r>
          </w:p>
        </w:tc>
        <w:tc>
          <w:tcPr>
            <w:tcW w:w="10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F613A9" w14:textId="77777777" w:rsidR="009E050E" w:rsidRPr="00834CDC" w:rsidRDefault="009E050E" w:rsidP="00457617">
            <w:pPr>
              <w:pStyle w:val="NormalWeb"/>
              <w:rPr>
                <w:sz w:val="18"/>
                <w:szCs w:val="18"/>
              </w:rPr>
            </w:pPr>
            <w:r w:rsidRPr="00834CDC">
              <w:rPr>
                <w:sz w:val="18"/>
                <w:szCs w:val="18"/>
              </w:rPr>
              <w:t>93.5</w:t>
            </w:r>
          </w:p>
        </w:tc>
      </w:tr>
      <w:tr w:rsidR="009E050E" w:rsidRPr="00834CDC" w14:paraId="5ECF36CD" w14:textId="77777777" w:rsidTr="000F60C1">
        <w:trPr>
          <w:cnfStyle w:val="000000010000" w:firstRow="0" w:lastRow="0" w:firstColumn="0" w:lastColumn="0" w:oddVBand="0" w:evenVBand="0" w:oddHBand="0" w:evenHBand="1" w:firstRowFirstColumn="0" w:firstRowLastColumn="0" w:lastRowFirstColumn="0" w:lastRowLastColumn="0"/>
          <w:divId w:val="1988506822"/>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EC9E56" w14:textId="77777777" w:rsidR="009E050E" w:rsidRPr="00834CDC" w:rsidRDefault="009E050E" w:rsidP="009E050E">
            <w:pPr>
              <w:jc w:val="left"/>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382FD2C" w14:textId="77777777" w:rsidR="009E050E" w:rsidRPr="00834CDC" w:rsidRDefault="009E050E" w:rsidP="009E050E">
            <w:pPr>
              <w:pStyle w:val="NormalWeb"/>
              <w:jc w:val="left"/>
              <w:rPr>
                <w:b/>
                <w:bCs/>
                <w:sz w:val="18"/>
                <w:szCs w:val="18"/>
              </w:rPr>
            </w:pPr>
            <w:r w:rsidRPr="00834CDC">
              <w:rPr>
                <w:b/>
                <w:bCs/>
                <w:sz w:val="18"/>
                <w:szCs w:val="18"/>
              </w:rPr>
              <w:t>All</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3372FBD" w14:textId="77777777" w:rsidR="009E050E" w:rsidRPr="00834CDC" w:rsidRDefault="009E050E" w:rsidP="00457617">
            <w:pPr>
              <w:pStyle w:val="NormalWeb"/>
              <w:rPr>
                <w:b/>
                <w:bCs/>
                <w:sz w:val="18"/>
                <w:szCs w:val="18"/>
              </w:rPr>
            </w:pPr>
            <w:r w:rsidRPr="00834CDC">
              <w:rPr>
                <w:b/>
                <w:bCs/>
                <w:sz w:val="18"/>
                <w:szCs w:val="18"/>
              </w:rPr>
              <w:t>91.5</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72F4CB1" w14:textId="77777777" w:rsidR="009E050E" w:rsidRPr="00834CDC" w:rsidRDefault="009E050E" w:rsidP="00457617">
            <w:pPr>
              <w:pStyle w:val="NormalWeb"/>
              <w:rPr>
                <w:b/>
                <w:bCs/>
                <w:sz w:val="18"/>
                <w:szCs w:val="18"/>
              </w:rPr>
            </w:pPr>
            <w:r w:rsidRPr="00834CDC">
              <w:rPr>
                <w:b/>
                <w:bCs/>
                <w:sz w:val="18"/>
                <w:szCs w:val="18"/>
              </w:rPr>
              <w:t>94.4</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C9DCC69" w14:textId="77777777" w:rsidR="009E050E" w:rsidRPr="00834CDC" w:rsidRDefault="009E050E" w:rsidP="00457617">
            <w:pPr>
              <w:pStyle w:val="NormalWeb"/>
              <w:rPr>
                <w:b/>
                <w:bCs/>
                <w:sz w:val="18"/>
                <w:szCs w:val="18"/>
              </w:rPr>
            </w:pPr>
            <w:r w:rsidRPr="00834CDC">
              <w:rPr>
                <w:b/>
                <w:bCs/>
                <w:sz w:val="18"/>
                <w:szCs w:val="18"/>
              </w:rPr>
              <w:t>88.5</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CB7B522" w14:textId="77777777" w:rsidR="009E050E" w:rsidRPr="00834CDC" w:rsidRDefault="009E050E" w:rsidP="00457617">
            <w:pPr>
              <w:pStyle w:val="NormalWeb"/>
              <w:rPr>
                <w:b/>
                <w:bCs/>
                <w:sz w:val="18"/>
                <w:szCs w:val="18"/>
              </w:rPr>
            </w:pPr>
            <w:r w:rsidRPr="00834CDC">
              <w:rPr>
                <w:b/>
                <w:bCs/>
                <w:sz w:val="18"/>
                <w:szCs w:val="18"/>
              </w:rPr>
              <w:t>86.8</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EAC9CC9" w14:textId="77777777" w:rsidR="009E050E" w:rsidRPr="00834CDC" w:rsidRDefault="009E050E" w:rsidP="00457617">
            <w:pPr>
              <w:pStyle w:val="NormalWeb"/>
              <w:rPr>
                <w:b/>
                <w:bCs/>
                <w:sz w:val="18"/>
                <w:szCs w:val="18"/>
              </w:rPr>
            </w:pPr>
            <w:r w:rsidRPr="00834CDC">
              <w:rPr>
                <w:b/>
                <w:bCs/>
                <w:sz w:val="18"/>
                <w:szCs w:val="18"/>
              </w:rPr>
              <w:t>91.1</w:t>
            </w:r>
          </w:p>
        </w:tc>
        <w:tc>
          <w:tcPr>
            <w:tcW w:w="10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F07B724" w14:textId="77777777" w:rsidR="009E050E" w:rsidRPr="00834CDC" w:rsidRDefault="009E050E" w:rsidP="00457617">
            <w:pPr>
              <w:pStyle w:val="NormalWeb"/>
              <w:rPr>
                <w:b/>
                <w:bCs/>
                <w:sz w:val="18"/>
                <w:szCs w:val="18"/>
              </w:rPr>
            </w:pPr>
            <w:r w:rsidRPr="00834CDC">
              <w:rPr>
                <w:b/>
                <w:bCs/>
                <w:sz w:val="18"/>
                <w:szCs w:val="18"/>
              </w:rPr>
              <w:t>85.2</w:t>
            </w:r>
          </w:p>
        </w:tc>
        <w:tc>
          <w:tcPr>
            <w:tcW w:w="10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609BE1D" w14:textId="77777777" w:rsidR="009E050E" w:rsidRPr="00834CDC" w:rsidRDefault="009E050E" w:rsidP="00457617">
            <w:pPr>
              <w:pStyle w:val="NormalWeb"/>
              <w:rPr>
                <w:b/>
                <w:bCs/>
                <w:sz w:val="18"/>
                <w:szCs w:val="18"/>
              </w:rPr>
            </w:pPr>
            <w:r w:rsidRPr="00834CDC">
              <w:rPr>
                <w:b/>
                <w:bCs/>
                <w:sz w:val="18"/>
                <w:szCs w:val="18"/>
              </w:rPr>
              <w:t>94.0</w:t>
            </w:r>
          </w:p>
        </w:tc>
      </w:tr>
    </w:tbl>
    <w:p w14:paraId="4E762F43" w14:textId="77777777" w:rsidR="009E050E" w:rsidRPr="00834CDC" w:rsidRDefault="009E050E" w:rsidP="009E050E">
      <w:pPr>
        <w:pStyle w:val="CDIfootnotes"/>
        <w:divId w:val="1988506822"/>
      </w:pPr>
      <w:r w:rsidRPr="00834CDC">
        <w:t>a</w:t>
      </w:r>
      <w:r w:rsidRPr="00834CDC">
        <w:tab/>
        <w:t>Coverage algorithm used for 9/21/51 month milestones same as for 12/24/60, respectively; algorithm used for 15 months same as that for 24 months but excludes doses due at 18 months.</w:t>
      </w:r>
    </w:p>
    <w:p w14:paraId="2700008C" w14:textId="77777777" w:rsidR="009E050E" w:rsidRPr="00834CDC" w:rsidRDefault="009E050E" w:rsidP="009E050E">
      <w:pPr>
        <w:pStyle w:val="CDIfootnotes"/>
        <w:divId w:val="1988506822"/>
      </w:pPr>
      <w:r w:rsidRPr="00834CDC">
        <w:t>b</w:t>
      </w:r>
      <w:r w:rsidRPr="00834CDC">
        <w:tab/>
        <w:t>Accessibility/Remoteness Index of Australia (ARIA++).</w:t>
      </w:r>
    </w:p>
    <w:p w14:paraId="4621C138" w14:textId="77777777" w:rsidR="009E050E" w:rsidRPr="00834CDC" w:rsidRDefault="009E050E" w:rsidP="009E050E">
      <w:pPr>
        <w:pStyle w:val="CDIfootnotes"/>
        <w:divId w:val="1988506822"/>
      </w:pPr>
      <w:r w:rsidRPr="00834CDC">
        <w:t>c</w:t>
      </w:r>
      <w:r w:rsidRPr="00834CDC">
        <w:tab/>
        <w:t xml:space="preserve">Source: Australian Immunisation Register, data as </w:t>
      </w:r>
      <w:proofErr w:type="gramStart"/>
      <w:r w:rsidRPr="00834CDC">
        <w:t>at</w:t>
      </w:r>
      <w:proofErr w:type="gramEnd"/>
      <w:r w:rsidRPr="00834CDC">
        <w:t xml:space="preserve"> 31 March 2020.</w:t>
      </w:r>
    </w:p>
    <w:p w14:paraId="17FE4A54" w14:textId="77777777" w:rsidR="009E050E" w:rsidRPr="00834CDC" w:rsidRDefault="009E050E" w:rsidP="009E050E">
      <w:pPr>
        <w:pStyle w:val="CDIfootnotes"/>
        <w:divId w:val="1988506822"/>
      </w:pPr>
      <w:r w:rsidRPr="00834CDC">
        <w:t>d</w:t>
      </w:r>
      <w:r w:rsidRPr="00834CDC">
        <w:tab/>
        <w:t>Cohort born 1 January 2018 – 31 December 2018.</w:t>
      </w:r>
    </w:p>
    <w:p w14:paraId="117628D9" w14:textId="77777777" w:rsidR="009E050E" w:rsidRPr="00834CDC" w:rsidRDefault="009E050E" w:rsidP="009E050E">
      <w:pPr>
        <w:pStyle w:val="CDIfootnotes"/>
        <w:divId w:val="1988506822"/>
      </w:pPr>
      <w:r w:rsidRPr="00834CDC">
        <w:t>e</w:t>
      </w:r>
      <w:r w:rsidRPr="00834CDC">
        <w:tab/>
        <w:t>Cohort born 1 January 2017 – 31 December 2017.</w:t>
      </w:r>
    </w:p>
    <w:p w14:paraId="786CB5D6" w14:textId="5F3DB28E" w:rsidR="009E050E" w:rsidRPr="00834CDC" w:rsidRDefault="009E050E" w:rsidP="0060180D">
      <w:pPr>
        <w:pStyle w:val="CDIfootnotes"/>
        <w:divId w:val="1988506822"/>
      </w:pPr>
      <w:r w:rsidRPr="00834CDC">
        <w:t>f</w:t>
      </w:r>
      <w:r w:rsidRPr="00834CDC">
        <w:tab/>
        <w:t>Cohort born 1 January 2014 – 31 December 2014.</w:t>
      </w:r>
    </w:p>
    <w:p w14:paraId="13FE8F34" w14:textId="5AD6AB0B" w:rsidR="0033445F" w:rsidRPr="00834CDC" w:rsidRDefault="0033445F" w:rsidP="0033445F">
      <w:pPr>
        <w:pStyle w:val="Heading2"/>
        <w:divId w:val="1988506822"/>
      </w:pPr>
      <w:r w:rsidRPr="00834CDC">
        <w:t xml:space="preserve">Adolescents </w:t>
      </w:r>
    </w:p>
    <w:p w14:paraId="27C88260" w14:textId="77777777" w:rsidR="0033445F" w:rsidRPr="00834CDC" w:rsidRDefault="0033445F" w:rsidP="0033445F">
      <w:pPr>
        <w:pStyle w:val="Heading3"/>
        <w:divId w:val="1988506822"/>
      </w:pPr>
      <w:r w:rsidRPr="00834CDC">
        <w:t xml:space="preserve">HPV </w:t>
      </w:r>
    </w:p>
    <w:p w14:paraId="523E7776" w14:textId="77777777" w:rsidR="0033445F" w:rsidRPr="00834CDC" w:rsidRDefault="0033445F" w:rsidP="0033445F">
      <w:pPr>
        <w:divId w:val="1988506822"/>
      </w:pPr>
      <w:r w:rsidRPr="00834CDC">
        <w:t xml:space="preserve">HPV vaccination coverage by Aboriginal and Torres Strait Islander status, gender and age cohort, based on age </w:t>
      </w:r>
      <w:proofErr w:type="gramStart"/>
      <w:r w:rsidRPr="00834CDC">
        <w:t>at</w:t>
      </w:r>
      <w:proofErr w:type="gramEnd"/>
      <w:r w:rsidRPr="00834CDC">
        <w:t xml:space="preserve"> 31 December 2019, is shown in Table 29. Coverage among adolescent girls is </w:t>
      </w:r>
      <w:proofErr w:type="gramStart"/>
      <w:r w:rsidRPr="00834CDC">
        <w:t>several</w:t>
      </w:r>
      <w:proofErr w:type="gramEnd"/>
      <w:r w:rsidRPr="00834CDC">
        <w:t xml:space="preserve"> percentage points higher than in adolescent boys, for all birth cohorts and both Aboriginal and Torres Strait Islander and other adolescents. Dose 1 HPV vaccination coverage is comparable for Aboriginal and Torres Strait Islander and other adolescents, except for </w:t>
      </w:r>
      <w:proofErr w:type="gramStart"/>
      <w:r w:rsidRPr="00834CDC">
        <w:t>13, 14 and 19 year old</w:t>
      </w:r>
      <w:proofErr w:type="gramEnd"/>
      <w:r w:rsidRPr="00834CDC">
        <w:t xml:space="preserve"> Aboriginal and Torres Strait Islander boys who have dose 1 HPV coverage 3.8–5.4 percentage points lower than other adolescents (Table 29). Completion of the HPV vaccination schedule (</w:t>
      </w:r>
      <w:proofErr w:type="gramStart"/>
      <w:r w:rsidRPr="00834CDC">
        <w:t>i.e.</w:t>
      </w:r>
      <w:proofErr w:type="gramEnd"/>
      <w:r w:rsidRPr="00834CDC">
        <w:t xml:space="preserve"> receipt of three doses prior to 2018 and receipt of two doses from 2018) is lower in Aboriginal and Torres Strait Islander adolescents than in other adolescents. This disparity was greatest among adolescent boys, with the percentage point difference over </w:t>
      </w:r>
      <w:proofErr w:type="gramStart"/>
      <w:r w:rsidRPr="00834CDC">
        <w:t>10</w:t>
      </w:r>
      <w:proofErr w:type="gramEnd"/>
      <w:r w:rsidRPr="00834CDC">
        <w:t xml:space="preserve"> points lower in all cohorts except those aged 15 years (8.5 percentage points) (Table 29). For adolescent girls, the disparity was smaller, ranging from 4.9 percentage points lower in the </w:t>
      </w:r>
      <w:proofErr w:type="gramStart"/>
      <w:r w:rsidRPr="00834CDC">
        <w:t xml:space="preserve">15 year </w:t>
      </w:r>
      <w:proofErr w:type="spellStart"/>
      <w:r w:rsidRPr="00834CDC">
        <w:t>olds</w:t>
      </w:r>
      <w:proofErr w:type="spellEnd"/>
      <w:proofErr w:type="gramEnd"/>
      <w:r w:rsidRPr="00834CDC">
        <w:t xml:space="preserve"> to 8.7 percentage points lower in the 19 year </w:t>
      </w:r>
      <w:proofErr w:type="spellStart"/>
      <w:r w:rsidRPr="00834CDC">
        <w:t>olds</w:t>
      </w:r>
      <w:proofErr w:type="spellEnd"/>
      <w:r w:rsidRPr="00834CDC">
        <w:t xml:space="preserve">. </w:t>
      </w:r>
    </w:p>
    <w:p w14:paraId="512A0676" w14:textId="77777777" w:rsidR="00AA170B" w:rsidRPr="00834CDC" w:rsidRDefault="00AA170B">
      <w:pPr>
        <w:rPr>
          <w:rFonts w:asciiTheme="majorHAnsi" w:eastAsiaTheme="majorEastAsia" w:hAnsiTheme="majorHAnsi" w:cstheme="majorBidi"/>
          <w:b/>
          <w:bCs/>
          <w:sz w:val="26"/>
          <w:szCs w:val="26"/>
        </w:rPr>
      </w:pPr>
      <w:r w:rsidRPr="00834CDC">
        <w:br w:type="page"/>
      </w:r>
    </w:p>
    <w:p w14:paraId="5446AF53" w14:textId="562DDE9B" w:rsidR="00AA170B" w:rsidRPr="00834CDC" w:rsidRDefault="00AA170B" w:rsidP="00AA170B">
      <w:pPr>
        <w:pStyle w:val="CDIFigures"/>
        <w:divId w:val="1988506822"/>
      </w:pPr>
      <w:r w:rsidRPr="00834CDC">
        <w:rPr>
          <w:rStyle w:val="Strong"/>
          <w:b/>
          <w:bCs w:val="0"/>
        </w:rPr>
        <w:lastRenderedPageBreak/>
        <w:t xml:space="preserve">Table 29: Cumulative coverage (%) for HPV vaccine by first and final dose </w:t>
      </w:r>
      <w:proofErr w:type="spellStart"/>
      <w:proofErr w:type="gramStart"/>
      <w:r w:rsidRPr="00834CDC">
        <w:rPr>
          <w:rStyle w:val="Strong"/>
          <w:b/>
          <w:bCs w:val="0"/>
        </w:rPr>
        <w:t>number,</w:t>
      </w:r>
      <w:r w:rsidRPr="00834CDC">
        <w:rPr>
          <w:rStyle w:val="Strong"/>
          <w:b/>
          <w:bCs w:val="0"/>
          <w:vertAlign w:val="superscript"/>
        </w:rPr>
        <w:t>a</w:t>
      </w:r>
      <w:proofErr w:type="spellEnd"/>
      <w:proofErr w:type="gramEnd"/>
      <w:r w:rsidRPr="00834CDC">
        <w:rPr>
          <w:rStyle w:val="Strong"/>
          <w:b/>
          <w:bCs w:val="0"/>
        </w:rPr>
        <w:t xml:space="preserve"> gender, Aboriginal and Torres Strait Islander status and age/birth cohort </w:t>
      </w:r>
      <w:r w:rsidRPr="00834CDC">
        <w:rPr>
          <w:rStyle w:val="Strong"/>
          <w:b/>
          <w:bCs w:val="0"/>
          <w:vertAlign w:val="superscript"/>
        </w:rPr>
        <w:t>b</w:t>
      </w:r>
      <w:r w:rsidRPr="00834CDC">
        <w:rPr>
          <w:rStyle w:val="Strong"/>
          <w:b/>
          <w:bCs w:val="0"/>
        </w:rPr>
        <w:t xml:space="preserve"> for vaccination encounters recorded up to 31 December 2019</w:t>
      </w:r>
      <w:r w:rsidR="006C707B">
        <w:rPr>
          <w:rStyle w:val="Strong"/>
          <w:b/>
          <w:bCs w:val="0"/>
        </w:rPr>
        <w:t xml:space="preserve"> </w:t>
      </w:r>
      <w:r w:rsidRPr="00834CDC">
        <w:rPr>
          <w:rStyle w:val="Strong"/>
          <w:b/>
          <w:bCs w:val="0"/>
          <w:vertAlign w:val="superscript"/>
        </w:rPr>
        <w:t>c</w:t>
      </w:r>
    </w:p>
    <w:tbl>
      <w:tblPr>
        <w:tblStyle w:val="CDI-StandardTable"/>
        <w:tblW w:w="0" w:type="auto"/>
        <w:tblLook w:val="04A0" w:firstRow="1" w:lastRow="0" w:firstColumn="1" w:lastColumn="0" w:noHBand="0" w:noVBand="1"/>
        <w:tblDescription w:val="Table 29 shows cumulative coverage (%) for HPV vaccine by first and final dose number, gender, Aboriginal and Torres Strait Islander status and age/birth cohort for vaccination encounters recorded up to 31 December 2019.&#10;"/>
      </w:tblPr>
      <w:tblGrid>
        <w:gridCol w:w="1789"/>
        <w:gridCol w:w="619"/>
        <w:gridCol w:w="619"/>
        <w:gridCol w:w="619"/>
        <w:gridCol w:w="620"/>
        <w:gridCol w:w="620"/>
        <w:gridCol w:w="620"/>
        <w:gridCol w:w="620"/>
        <w:gridCol w:w="620"/>
        <w:gridCol w:w="620"/>
        <w:gridCol w:w="620"/>
        <w:gridCol w:w="620"/>
        <w:gridCol w:w="620"/>
        <w:gridCol w:w="620"/>
        <w:gridCol w:w="620"/>
      </w:tblGrid>
      <w:tr w:rsidR="00AA170B" w:rsidRPr="00834CDC" w14:paraId="7FC18E1B" w14:textId="77777777" w:rsidTr="00AA170B">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val="restart"/>
            <w:hideMark/>
          </w:tcPr>
          <w:p w14:paraId="36C0EC34" w14:textId="77777777" w:rsidR="00AA170B" w:rsidRPr="00834CDC" w:rsidRDefault="00AA170B" w:rsidP="00AA170B">
            <w:pPr>
              <w:pStyle w:val="NormalWeb"/>
              <w:jc w:val="left"/>
              <w:rPr>
                <w:sz w:val="18"/>
                <w:szCs w:val="18"/>
              </w:rPr>
            </w:pPr>
            <w:r w:rsidRPr="00834CDC">
              <w:rPr>
                <w:sz w:val="18"/>
                <w:szCs w:val="18"/>
              </w:rPr>
              <w:t>Aboriginal and Torres Strait Islander status</w:t>
            </w:r>
          </w:p>
        </w:tc>
        <w:tc>
          <w:tcPr>
            <w:tcW w:w="0" w:type="auto"/>
            <w:gridSpan w:val="14"/>
            <w:hideMark/>
          </w:tcPr>
          <w:p w14:paraId="223253B2" w14:textId="77777777" w:rsidR="00AA170B" w:rsidRPr="00834CDC" w:rsidRDefault="00AA170B" w:rsidP="00457617">
            <w:pPr>
              <w:pStyle w:val="NormalWeb"/>
              <w:rPr>
                <w:sz w:val="18"/>
                <w:szCs w:val="18"/>
              </w:rPr>
            </w:pPr>
            <w:r w:rsidRPr="00834CDC">
              <w:rPr>
                <w:sz w:val="18"/>
                <w:szCs w:val="18"/>
              </w:rPr>
              <w:t>Age at 31 Dec 2019 (birth cohort)</w:t>
            </w:r>
          </w:p>
        </w:tc>
      </w:tr>
      <w:tr w:rsidR="00C84EF8" w:rsidRPr="00834CDC" w14:paraId="342D24CB" w14:textId="77777777" w:rsidTr="00AA170B">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hideMark/>
          </w:tcPr>
          <w:p w14:paraId="3F7595B9" w14:textId="77777777" w:rsidR="00AA170B" w:rsidRPr="00834CDC" w:rsidRDefault="00AA170B" w:rsidP="00AA170B">
            <w:pPr>
              <w:jc w:val="left"/>
              <w:rPr>
                <w:sz w:val="18"/>
                <w:szCs w:val="18"/>
              </w:rPr>
            </w:pPr>
          </w:p>
        </w:tc>
        <w:tc>
          <w:tcPr>
            <w:tcW w:w="0" w:type="auto"/>
            <w:gridSpan w:val="2"/>
            <w:hideMark/>
          </w:tcPr>
          <w:p w14:paraId="4BF10208" w14:textId="190E6C65" w:rsidR="00AA170B" w:rsidRPr="00834CDC" w:rsidRDefault="00AA170B" w:rsidP="00C84EF8">
            <w:pPr>
              <w:pStyle w:val="NormalWeb"/>
              <w:rPr>
                <w:sz w:val="18"/>
                <w:szCs w:val="18"/>
              </w:rPr>
            </w:pPr>
            <w:r w:rsidRPr="00834CDC">
              <w:rPr>
                <w:sz w:val="18"/>
                <w:szCs w:val="18"/>
              </w:rPr>
              <w:t>13 years</w:t>
            </w:r>
            <w:r w:rsidR="00B52121" w:rsidRPr="00834CDC">
              <w:rPr>
                <w:sz w:val="18"/>
                <w:szCs w:val="18"/>
              </w:rPr>
              <w:t xml:space="preserve"> </w:t>
            </w:r>
            <w:r w:rsidRPr="00834CDC">
              <w:rPr>
                <w:sz w:val="18"/>
                <w:szCs w:val="18"/>
                <w:vertAlign w:val="superscript"/>
              </w:rPr>
              <w:t>d</w:t>
            </w:r>
            <w:r w:rsidR="00C84EF8" w:rsidRPr="00834CDC">
              <w:rPr>
                <w:sz w:val="18"/>
                <w:szCs w:val="18"/>
                <w:vertAlign w:val="superscript"/>
              </w:rPr>
              <w:br/>
            </w:r>
            <w:r w:rsidRPr="00834CDC">
              <w:rPr>
                <w:sz w:val="18"/>
                <w:szCs w:val="18"/>
              </w:rPr>
              <w:t>(1 Jan – 31 Dec 2006)</w:t>
            </w:r>
          </w:p>
        </w:tc>
        <w:tc>
          <w:tcPr>
            <w:tcW w:w="0" w:type="auto"/>
            <w:gridSpan w:val="2"/>
            <w:hideMark/>
          </w:tcPr>
          <w:p w14:paraId="11AF1FD6" w14:textId="7F8F246C" w:rsidR="00AA170B" w:rsidRPr="00834CDC" w:rsidRDefault="00AA170B" w:rsidP="00C84EF8">
            <w:pPr>
              <w:pStyle w:val="NormalWeb"/>
              <w:rPr>
                <w:sz w:val="18"/>
                <w:szCs w:val="18"/>
              </w:rPr>
            </w:pPr>
            <w:r w:rsidRPr="00834CDC">
              <w:rPr>
                <w:sz w:val="18"/>
                <w:szCs w:val="18"/>
              </w:rPr>
              <w:t>14 years</w:t>
            </w:r>
            <w:r w:rsidR="00C84EF8" w:rsidRPr="00834CDC">
              <w:rPr>
                <w:sz w:val="18"/>
                <w:szCs w:val="18"/>
              </w:rPr>
              <w:br/>
            </w:r>
            <w:r w:rsidRPr="00834CDC">
              <w:rPr>
                <w:sz w:val="18"/>
                <w:szCs w:val="18"/>
              </w:rPr>
              <w:t>(1 Jan – 31 Dec 2005)</w:t>
            </w:r>
          </w:p>
        </w:tc>
        <w:tc>
          <w:tcPr>
            <w:tcW w:w="0" w:type="auto"/>
            <w:gridSpan w:val="2"/>
            <w:hideMark/>
          </w:tcPr>
          <w:p w14:paraId="709C741D" w14:textId="7AE82E96" w:rsidR="00AA170B" w:rsidRPr="00834CDC" w:rsidRDefault="00AA170B" w:rsidP="00C84EF8">
            <w:pPr>
              <w:pStyle w:val="NormalWeb"/>
              <w:rPr>
                <w:sz w:val="18"/>
                <w:szCs w:val="18"/>
              </w:rPr>
            </w:pPr>
            <w:r w:rsidRPr="00834CDC">
              <w:rPr>
                <w:sz w:val="18"/>
                <w:szCs w:val="18"/>
              </w:rPr>
              <w:t>15 years</w:t>
            </w:r>
            <w:r w:rsidR="00B52121" w:rsidRPr="00834CDC">
              <w:rPr>
                <w:sz w:val="18"/>
                <w:szCs w:val="18"/>
              </w:rPr>
              <w:t xml:space="preserve"> </w:t>
            </w:r>
            <w:r w:rsidRPr="00834CDC">
              <w:rPr>
                <w:sz w:val="18"/>
                <w:szCs w:val="18"/>
                <w:vertAlign w:val="superscript"/>
              </w:rPr>
              <w:t>e</w:t>
            </w:r>
            <w:r w:rsidR="00C84EF8" w:rsidRPr="00834CDC">
              <w:rPr>
                <w:sz w:val="18"/>
                <w:szCs w:val="18"/>
                <w:vertAlign w:val="superscript"/>
              </w:rPr>
              <w:br/>
            </w:r>
            <w:r w:rsidRPr="00834CDC">
              <w:rPr>
                <w:sz w:val="18"/>
                <w:szCs w:val="18"/>
              </w:rPr>
              <w:t>(1 Jan – 31 Dec 2004)</w:t>
            </w:r>
          </w:p>
        </w:tc>
        <w:tc>
          <w:tcPr>
            <w:tcW w:w="0" w:type="auto"/>
            <w:gridSpan w:val="2"/>
            <w:hideMark/>
          </w:tcPr>
          <w:p w14:paraId="774FA676" w14:textId="764C5B23" w:rsidR="00AA170B" w:rsidRPr="00834CDC" w:rsidRDefault="00AA170B" w:rsidP="00C84EF8">
            <w:pPr>
              <w:pStyle w:val="NormalWeb"/>
              <w:rPr>
                <w:sz w:val="18"/>
                <w:szCs w:val="18"/>
              </w:rPr>
            </w:pPr>
            <w:r w:rsidRPr="00834CDC">
              <w:rPr>
                <w:sz w:val="18"/>
                <w:szCs w:val="18"/>
              </w:rPr>
              <w:t>16 years</w:t>
            </w:r>
            <w:r w:rsidR="00C84EF8" w:rsidRPr="00834CDC">
              <w:rPr>
                <w:sz w:val="18"/>
                <w:szCs w:val="18"/>
              </w:rPr>
              <w:br/>
            </w:r>
            <w:r w:rsidRPr="00834CDC">
              <w:rPr>
                <w:sz w:val="18"/>
                <w:szCs w:val="18"/>
              </w:rPr>
              <w:t>(1 Jan – 31 Dec 2003)</w:t>
            </w:r>
          </w:p>
        </w:tc>
        <w:tc>
          <w:tcPr>
            <w:tcW w:w="0" w:type="auto"/>
            <w:gridSpan w:val="2"/>
            <w:hideMark/>
          </w:tcPr>
          <w:p w14:paraId="58B0C86D" w14:textId="49FC3B27" w:rsidR="00AA170B" w:rsidRPr="00834CDC" w:rsidRDefault="00AA170B" w:rsidP="00C84EF8">
            <w:pPr>
              <w:pStyle w:val="NormalWeb"/>
              <w:rPr>
                <w:sz w:val="18"/>
                <w:szCs w:val="18"/>
              </w:rPr>
            </w:pPr>
            <w:r w:rsidRPr="00834CDC">
              <w:rPr>
                <w:sz w:val="18"/>
                <w:szCs w:val="18"/>
              </w:rPr>
              <w:t>17 years</w:t>
            </w:r>
            <w:r w:rsidR="00C84EF8" w:rsidRPr="00834CDC">
              <w:rPr>
                <w:sz w:val="18"/>
                <w:szCs w:val="18"/>
              </w:rPr>
              <w:br/>
            </w:r>
            <w:r w:rsidRPr="00834CDC">
              <w:rPr>
                <w:sz w:val="18"/>
                <w:szCs w:val="18"/>
              </w:rPr>
              <w:t>(1 Jan – 31 Dec 2002)</w:t>
            </w:r>
          </w:p>
        </w:tc>
        <w:tc>
          <w:tcPr>
            <w:tcW w:w="0" w:type="auto"/>
            <w:gridSpan w:val="2"/>
            <w:hideMark/>
          </w:tcPr>
          <w:p w14:paraId="283AD475" w14:textId="0B58B5D7" w:rsidR="00AA170B" w:rsidRPr="00834CDC" w:rsidRDefault="00AA170B" w:rsidP="00C84EF8">
            <w:pPr>
              <w:pStyle w:val="NormalWeb"/>
              <w:rPr>
                <w:sz w:val="18"/>
                <w:szCs w:val="18"/>
              </w:rPr>
            </w:pPr>
            <w:r w:rsidRPr="00834CDC">
              <w:rPr>
                <w:sz w:val="18"/>
                <w:szCs w:val="18"/>
              </w:rPr>
              <w:t>18 years</w:t>
            </w:r>
            <w:r w:rsidR="00C84EF8" w:rsidRPr="00834CDC">
              <w:rPr>
                <w:sz w:val="18"/>
                <w:szCs w:val="18"/>
              </w:rPr>
              <w:br/>
            </w:r>
            <w:r w:rsidRPr="00834CDC">
              <w:rPr>
                <w:sz w:val="18"/>
                <w:szCs w:val="18"/>
              </w:rPr>
              <w:t>(1 Jan – 31 Dec 2001)</w:t>
            </w:r>
          </w:p>
        </w:tc>
        <w:tc>
          <w:tcPr>
            <w:tcW w:w="0" w:type="auto"/>
            <w:gridSpan w:val="2"/>
            <w:hideMark/>
          </w:tcPr>
          <w:p w14:paraId="24002236" w14:textId="18BFC93B" w:rsidR="00AA170B" w:rsidRPr="00834CDC" w:rsidRDefault="00AA170B" w:rsidP="00C84EF8">
            <w:pPr>
              <w:pStyle w:val="NormalWeb"/>
              <w:rPr>
                <w:sz w:val="18"/>
                <w:szCs w:val="18"/>
              </w:rPr>
            </w:pPr>
            <w:r w:rsidRPr="00834CDC">
              <w:rPr>
                <w:sz w:val="18"/>
                <w:szCs w:val="18"/>
              </w:rPr>
              <w:t>19 years</w:t>
            </w:r>
            <w:r w:rsidR="00C84EF8" w:rsidRPr="00834CDC">
              <w:rPr>
                <w:sz w:val="18"/>
                <w:szCs w:val="18"/>
              </w:rPr>
              <w:br/>
            </w:r>
            <w:r w:rsidRPr="00834CDC">
              <w:rPr>
                <w:sz w:val="18"/>
                <w:szCs w:val="18"/>
              </w:rPr>
              <w:t>(1 Jan – 31 Dec 2000)</w:t>
            </w:r>
          </w:p>
        </w:tc>
      </w:tr>
      <w:tr w:rsidR="00C84EF8" w:rsidRPr="00834CDC" w14:paraId="0514715C" w14:textId="77777777" w:rsidTr="00AA170B">
        <w:trPr>
          <w:cnfStyle w:val="100000000000" w:firstRow="1" w:lastRow="0" w:firstColumn="0" w:lastColumn="0" w:oddVBand="0" w:evenVBand="0" w:oddHBand="0" w:evenHBand="0" w:firstRowFirstColumn="0" w:firstRowLastColumn="0" w:lastRowFirstColumn="0" w:lastRowLastColumn="0"/>
          <w:divId w:val="1988506822"/>
          <w:tblHeader/>
        </w:trPr>
        <w:tc>
          <w:tcPr>
            <w:tcW w:w="0" w:type="auto"/>
            <w:vMerge/>
            <w:tcBorders>
              <w:bottom w:val="single" w:sz="2" w:space="0" w:color="808080" w:themeColor="background1" w:themeShade="80"/>
            </w:tcBorders>
            <w:hideMark/>
          </w:tcPr>
          <w:p w14:paraId="42E95BE8" w14:textId="77777777" w:rsidR="00AA170B" w:rsidRPr="00834CDC" w:rsidRDefault="00AA170B" w:rsidP="00AA170B">
            <w:pPr>
              <w:jc w:val="left"/>
              <w:rPr>
                <w:sz w:val="18"/>
                <w:szCs w:val="18"/>
              </w:rPr>
            </w:pPr>
          </w:p>
        </w:tc>
        <w:tc>
          <w:tcPr>
            <w:tcW w:w="0" w:type="auto"/>
            <w:tcBorders>
              <w:bottom w:val="single" w:sz="2" w:space="0" w:color="808080" w:themeColor="background1" w:themeShade="80"/>
            </w:tcBorders>
            <w:hideMark/>
          </w:tcPr>
          <w:p w14:paraId="0D77BD29" w14:textId="77777777" w:rsidR="00AA170B" w:rsidRPr="00834CDC" w:rsidRDefault="00AA170B" w:rsidP="00457617">
            <w:pPr>
              <w:pStyle w:val="NormalWeb"/>
              <w:rPr>
                <w:sz w:val="18"/>
                <w:szCs w:val="18"/>
              </w:rPr>
            </w:pPr>
            <w:r w:rsidRPr="00834CDC">
              <w:rPr>
                <w:sz w:val="18"/>
                <w:szCs w:val="18"/>
              </w:rPr>
              <w:t xml:space="preserve">Dose </w:t>
            </w:r>
            <w:proofErr w:type="gramStart"/>
            <w:r w:rsidRPr="00834CDC">
              <w:rPr>
                <w:sz w:val="18"/>
                <w:szCs w:val="18"/>
              </w:rPr>
              <w:t>1</w:t>
            </w:r>
            <w:proofErr w:type="gramEnd"/>
          </w:p>
        </w:tc>
        <w:tc>
          <w:tcPr>
            <w:tcW w:w="0" w:type="auto"/>
            <w:tcBorders>
              <w:bottom w:val="single" w:sz="2" w:space="0" w:color="808080" w:themeColor="background1" w:themeShade="80"/>
            </w:tcBorders>
            <w:hideMark/>
          </w:tcPr>
          <w:p w14:paraId="45A07442" w14:textId="77777777" w:rsidR="00AA170B" w:rsidRPr="00834CDC" w:rsidRDefault="00AA170B" w:rsidP="00457617">
            <w:pPr>
              <w:pStyle w:val="NormalWeb"/>
              <w:rPr>
                <w:sz w:val="18"/>
                <w:szCs w:val="18"/>
              </w:rPr>
            </w:pPr>
            <w:r w:rsidRPr="00834CDC">
              <w:rPr>
                <w:sz w:val="18"/>
                <w:szCs w:val="18"/>
              </w:rPr>
              <w:t xml:space="preserve">Dose </w:t>
            </w:r>
            <w:proofErr w:type="gramStart"/>
            <w:r w:rsidRPr="00834CDC">
              <w:rPr>
                <w:sz w:val="18"/>
                <w:szCs w:val="18"/>
              </w:rPr>
              <w:t>2</w:t>
            </w:r>
            <w:proofErr w:type="gramEnd"/>
          </w:p>
        </w:tc>
        <w:tc>
          <w:tcPr>
            <w:tcW w:w="0" w:type="auto"/>
            <w:tcBorders>
              <w:bottom w:val="single" w:sz="2" w:space="0" w:color="808080" w:themeColor="background1" w:themeShade="80"/>
            </w:tcBorders>
            <w:hideMark/>
          </w:tcPr>
          <w:p w14:paraId="3798E1D1" w14:textId="77777777" w:rsidR="00AA170B" w:rsidRPr="00834CDC" w:rsidRDefault="00AA170B" w:rsidP="00457617">
            <w:pPr>
              <w:pStyle w:val="NormalWeb"/>
              <w:rPr>
                <w:sz w:val="18"/>
                <w:szCs w:val="18"/>
              </w:rPr>
            </w:pPr>
            <w:r w:rsidRPr="00834CDC">
              <w:rPr>
                <w:sz w:val="18"/>
                <w:szCs w:val="18"/>
              </w:rPr>
              <w:t xml:space="preserve">Dose </w:t>
            </w:r>
            <w:proofErr w:type="gramStart"/>
            <w:r w:rsidRPr="00834CDC">
              <w:rPr>
                <w:sz w:val="18"/>
                <w:szCs w:val="18"/>
              </w:rPr>
              <w:t>1</w:t>
            </w:r>
            <w:proofErr w:type="gramEnd"/>
          </w:p>
        </w:tc>
        <w:tc>
          <w:tcPr>
            <w:tcW w:w="0" w:type="auto"/>
            <w:tcBorders>
              <w:bottom w:val="single" w:sz="2" w:space="0" w:color="808080" w:themeColor="background1" w:themeShade="80"/>
            </w:tcBorders>
            <w:hideMark/>
          </w:tcPr>
          <w:p w14:paraId="7F1BE098" w14:textId="77777777" w:rsidR="00AA170B" w:rsidRPr="00834CDC" w:rsidRDefault="00AA170B" w:rsidP="00457617">
            <w:pPr>
              <w:pStyle w:val="NormalWeb"/>
              <w:rPr>
                <w:sz w:val="18"/>
                <w:szCs w:val="18"/>
              </w:rPr>
            </w:pPr>
            <w:r w:rsidRPr="00834CDC">
              <w:rPr>
                <w:sz w:val="18"/>
                <w:szCs w:val="18"/>
              </w:rPr>
              <w:t xml:space="preserve">Dose </w:t>
            </w:r>
            <w:proofErr w:type="gramStart"/>
            <w:r w:rsidRPr="00834CDC">
              <w:rPr>
                <w:sz w:val="18"/>
                <w:szCs w:val="18"/>
              </w:rPr>
              <w:t>2</w:t>
            </w:r>
            <w:proofErr w:type="gramEnd"/>
          </w:p>
        </w:tc>
        <w:tc>
          <w:tcPr>
            <w:tcW w:w="0" w:type="auto"/>
            <w:tcBorders>
              <w:bottom w:val="single" w:sz="2" w:space="0" w:color="808080" w:themeColor="background1" w:themeShade="80"/>
            </w:tcBorders>
            <w:hideMark/>
          </w:tcPr>
          <w:p w14:paraId="6B8426F8" w14:textId="77777777" w:rsidR="00AA170B" w:rsidRPr="00834CDC" w:rsidRDefault="00AA170B" w:rsidP="00457617">
            <w:pPr>
              <w:pStyle w:val="NormalWeb"/>
              <w:rPr>
                <w:sz w:val="18"/>
                <w:szCs w:val="18"/>
              </w:rPr>
            </w:pPr>
            <w:r w:rsidRPr="00834CDC">
              <w:rPr>
                <w:sz w:val="18"/>
                <w:szCs w:val="18"/>
              </w:rPr>
              <w:t xml:space="preserve">Dose </w:t>
            </w:r>
            <w:proofErr w:type="gramStart"/>
            <w:r w:rsidRPr="00834CDC">
              <w:rPr>
                <w:sz w:val="18"/>
                <w:szCs w:val="18"/>
              </w:rPr>
              <w:t>1</w:t>
            </w:r>
            <w:proofErr w:type="gramEnd"/>
          </w:p>
        </w:tc>
        <w:tc>
          <w:tcPr>
            <w:tcW w:w="0" w:type="auto"/>
            <w:tcBorders>
              <w:bottom w:val="single" w:sz="2" w:space="0" w:color="808080" w:themeColor="background1" w:themeShade="80"/>
            </w:tcBorders>
            <w:hideMark/>
          </w:tcPr>
          <w:p w14:paraId="47D7ECC2" w14:textId="77777777" w:rsidR="00AA170B" w:rsidRPr="00834CDC" w:rsidRDefault="00AA170B" w:rsidP="00457617">
            <w:pPr>
              <w:pStyle w:val="NormalWeb"/>
              <w:rPr>
                <w:sz w:val="18"/>
                <w:szCs w:val="18"/>
              </w:rPr>
            </w:pPr>
            <w:r w:rsidRPr="00834CDC">
              <w:rPr>
                <w:sz w:val="18"/>
                <w:szCs w:val="18"/>
              </w:rPr>
              <w:t xml:space="preserve">Dose </w:t>
            </w:r>
            <w:proofErr w:type="gramStart"/>
            <w:r w:rsidRPr="00834CDC">
              <w:rPr>
                <w:sz w:val="18"/>
                <w:szCs w:val="18"/>
              </w:rPr>
              <w:t>2</w:t>
            </w:r>
            <w:proofErr w:type="gramEnd"/>
          </w:p>
        </w:tc>
        <w:tc>
          <w:tcPr>
            <w:tcW w:w="0" w:type="auto"/>
            <w:tcBorders>
              <w:bottom w:val="single" w:sz="2" w:space="0" w:color="808080" w:themeColor="background1" w:themeShade="80"/>
            </w:tcBorders>
            <w:hideMark/>
          </w:tcPr>
          <w:p w14:paraId="41A2A146" w14:textId="77777777" w:rsidR="00AA170B" w:rsidRPr="00834CDC" w:rsidRDefault="00AA170B" w:rsidP="00457617">
            <w:pPr>
              <w:pStyle w:val="NormalWeb"/>
              <w:rPr>
                <w:sz w:val="18"/>
                <w:szCs w:val="18"/>
              </w:rPr>
            </w:pPr>
            <w:r w:rsidRPr="00834CDC">
              <w:rPr>
                <w:sz w:val="18"/>
                <w:szCs w:val="18"/>
              </w:rPr>
              <w:t xml:space="preserve">Dose </w:t>
            </w:r>
            <w:proofErr w:type="gramStart"/>
            <w:r w:rsidRPr="00834CDC">
              <w:rPr>
                <w:sz w:val="18"/>
                <w:szCs w:val="18"/>
              </w:rPr>
              <w:t>1</w:t>
            </w:r>
            <w:proofErr w:type="gramEnd"/>
          </w:p>
        </w:tc>
        <w:tc>
          <w:tcPr>
            <w:tcW w:w="0" w:type="auto"/>
            <w:tcBorders>
              <w:bottom w:val="single" w:sz="2" w:space="0" w:color="808080" w:themeColor="background1" w:themeShade="80"/>
            </w:tcBorders>
            <w:hideMark/>
          </w:tcPr>
          <w:p w14:paraId="1711C942" w14:textId="77777777" w:rsidR="00AA170B" w:rsidRPr="00834CDC" w:rsidRDefault="00AA170B" w:rsidP="00457617">
            <w:pPr>
              <w:pStyle w:val="NormalWeb"/>
              <w:rPr>
                <w:sz w:val="18"/>
                <w:szCs w:val="18"/>
              </w:rPr>
            </w:pPr>
            <w:r w:rsidRPr="00834CDC">
              <w:rPr>
                <w:sz w:val="18"/>
                <w:szCs w:val="18"/>
              </w:rPr>
              <w:t xml:space="preserve">Dose </w:t>
            </w:r>
            <w:proofErr w:type="gramStart"/>
            <w:r w:rsidRPr="00834CDC">
              <w:rPr>
                <w:sz w:val="18"/>
                <w:szCs w:val="18"/>
              </w:rPr>
              <w:t>3</w:t>
            </w:r>
            <w:proofErr w:type="gramEnd"/>
          </w:p>
        </w:tc>
        <w:tc>
          <w:tcPr>
            <w:tcW w:w="0" w:type="auto"/>
            <w:tcBorders>
              <w:bottom w:val="single" w:sz="2" w:space="0" w:color="808080" w:themeColor="background1" w:themeShade="80"/>
            </w:tcBorders>
            <w:hideMark/>
          </w:tcPr>
          <w:p w14:paraId="20629FC0" w14:textId="77777777" w:rsidR="00AA170B" w:rsidRPr="00834CDC" w:rsidRDefault="00AA170B" w:rsidP="00457617">
            <w:pPr>
              <w:pStyle w:val="NormalWeb"/>
              <w:rPr>
                <w:sz w:val="18"/>
                <w:szCs w:val="18"/>
              </w:rPr>
            </w:pPr>
            <w:r w:rsidRPr="00834CDC">
              <w:rPr>
                <w:sz w:val="18"/>
                <w:szCs w:val="18"/>
              </w:rPr>
              <w:t xml:space="preserve">Dose </w:t>
            </w:r>
            <w:proofErr w:type="gramStart"/>
            <w:r w:rsidRPr="00834CDC">
              <w:rPr>
                <w:sz w:val="18"/>
                <w:szCs w:val="18"/>
              </w:rPr>
              <w:t>1</w:t>
            </w:r>
            <w:proofErr w:type="gramEnd"/>
          </w:p>
        </w:tc>
        <w:tc>
          <w:tcPr>
            <w:tcW w:w="0" w:type="auto"/>
            <w:tcBorders>
              <w:bottom w:val="single" w:sz="2" w:space="0" w:color="808080" w:themeColor="background1" w:themeShade="80"/>
            </w:tcBorders>
            <w:hideMark/>
          </w:tcPr>
          <w:p w14:paraId="02975A20" w14:textId="77777777" w:rsidR="00AA170B" w:rsidRPr="00834CDC" w:rsidRDefault="00AA170B" w:rsidP="00457617">
            <w:pPr>
              <w:pStyle w:val="NormalWeb"/>
              <w:rPr>
                <w:sz w:val="18"/>
                <w:szCs w:val="18"/>
              </w:rPr>
            </w:pPr>
            <w:r w:rsidRPr="00834CDC">
              <w:rPr>
                <w:sz w:val="18"/>
                <w:szCs w:val="18"/>
              </w:rPr>
              <w:t xml:space="preserve">Dose </w:t>
            </w:r>
            <w:proofErr w:type="gramStart"/>
            <w:r w:rsidRPr="00834CDC">
              <w:rPr>
                <w:sz w:val="18"/>
                <w:szCs w:val="18"/>
              </w:rPr>
              <w:t>3</w:t>
            </w:r>
            <w:proofErr w:type="gramEnd"/>
          </w:p>
        </w:tc>
        <w:tc>
          <w:tcPr>
            <w:tcW w:w="0" w:type="auto"/>
            <w:tcBorders>
              <w:bottom w:val="single" w:sz="2" w:space="0" w:color="808080" w:themeColor="background1" w:themeShade="80"/>
            </w:tcBorders>
            <w:hideMark/>
          </w:tcPr>
          <w:p w14:paraId="03693B25" w14:textId="77777777" w:rsidR="00AA170B" w:rsidRPr="00834CDC" w:rsidRDefault="00AA170B" w:rsidP="00457617">
            <w:pPr>
              <w:pStyle w:val="NormalWeb"/>
              <w:rPr>
                <w:sz w:val="18"/>
                <w:szCs w:val="18"/>
              </w:rPr>
            </w:pPr>
            <w:r w:rsidRPr="00834CDC">
              <w:rPr>
                <w:sz w:val="18"/>
                <w:szCs w:val="18"/>
              </w:rPr>
              <w:t xml:space="preserve">Dose </w:t>
            </w:r>
            <w:proofErr w:type="gramStart"/>
            <w:r w:rsidRPr="00834CDC">
              <w:rPr>
                <w:sz w:val="18"/>
                <w:szCs w:val="18"/>
              </w:rPr>
              <w:t>1</w:t>
            </w:r>
            <w:proofErr w:type="gramEnd"/>
          </w:p>
        </w:tc>
        <w:tc>
          <w:tcPr>
            <w:tcW w:w="0" w:type="auto"/>
            <w:tcBorders>
              <w:bottom w:val="single" w:sz="2" w:space="0" w:color="808080" w:themeColor="background1" w:themeShade="80"/>
            </w:tcBorders>
            <w:hideMark/>
          </w:tcPr>
          <w:p w14:paraId="770EB2C9" w14:textId="77777777" w:rsidR="00AA170B" w:rsidRPr="00834CDC" w:rsidRDefault="00AA170B" w:rsidP="00457617">
            <w:pPr>
              <w:pStyle w:val="NormalWeb"/>
              <w:rPr>
                <w:sz w:val="18"/>
                <w:szCs w:val="18"/>
              </w:rPr>
            </w:pPr>
            <w:r w:rsidRPr="00834CDC">
              <w:rPr>
                <w:sz w:val="18"/>
                <w:szCs w:val="18"/>
              </w:rPr>
              <w:t xml:space="preserve">Dose </w:t>
            </w:r>
            <w:proofErr w:type="gramStart"/>
            <w:r w:rsidRPr="00834CDC">
              <w:rPr>
                <w:sz w:val="18"/>
                <w:szCs w:val="18"/>
              </w:rPr>
              <w:t>3</w:t>
            </w:r>
            <w:proofErr w:type="gramEnd"/>
          </w:p>
        </w:tc>
        <w:tc>
          <w:tcPr>
            <w:tcW w:w="0" w:type="auto"/>
            <w:tcBorders>
              <w:bottom w:val="single" w:sz="2" w:space="0" w:color="808080" w:themeColor="background1" w:themeShade="80"/>
            </w:tcBorders>
            <w:hideMark/>
          </w:tcPr>
          <w:p w14:paraId="09EDD0A2" w14:textId="77777777" w:rsidR="00AA170B" w:rsidRPr="00834CDC" w:rsidRDefault="00AA170B" w:rsidP="00457617">
            <w:pPr>
              <w:pStyle w:val="NormalWeb"/>
              <w:rPr>
                <w:sz w:val="18"/>
                <w:szCs w:val="18"/>
              </w:rPr>
            </w:pPr>
            <w:r w:rsidRPr="00834CDC">
              <w:rPr>
                <w:sz w:val="18"/>
                <w:szCs w:val="18"/>
              </w:rPr>
              <w:t xml:space="preserve">Dose </w:t>
            </w:r>
            <w:proofErr w:type="gramStart"/>
            <w:r w:rsidRPr="00834CDC">
              <w:rPr>
                <w:sz w:val="18"/>
                <w:szCs w:val="18"/>
              </w:rPr>
              <w:t>1</w:t>
            </w:r>
            <w:proofErr w:type="gramEnd"/>
          </w:p>
        </w:tc>
        <w:tc>
          <w:tcPr>
            <w:tcW w:w="0" w:type="auto"/>
            <w:tcBorders>
              <w:bottom w:val="single" w:sz="2" w:space="0" w:color="808080" w:themeColor="background1" w:themeShade="80"/>
            </w:tcBorders>
            <w:hideMark/>
          </w:tcPr>
          <w:p w14:paraId="036998B8" w14:textId="77777777" w:rsidR="00AA170B" w:rsidRPr="00834CDC" w:rsidRDefault="00AA170B" w:rsidP="00457617">
            <w:pPr>
              <w:pStyle w:val="NormalWeb"/>
              <w:rPr>
                <w:sz w:val="18"/>
                <w:szCs w:val="18"/>
              </w:rPr>
            </w:pPr>
            <w:r w:rsidRPr="00834CDC">
              <w:rPr>
                <w:sz w:val="18"/>
                <w:szCs w:val="18"/>
              </w:rPr>
              <w:t xml:space="preserve">Dose </w:t>
            </w:r>
            <w:proofErr w:type="gramStart"/>
            <w:r w:rsidRPr="00834CDC">
              <w:rPr>
                <w:sz w:val="18"/>
                <w:szCs w:val="18"/>
              </w:rPr>
              <w:t>3</w:t>
            </w:r>
            <w:proofErr w:type="gramEnd"/>
          </w:p>
        </w:tc>
      </w:tr>
      <w:tr w:rsidR="00AA170B" w:rsidRPr="00834CDC" w14:paraId="47C6B62C" w14:textId="77777777" w:rsidTr="00AA170B">
        <w:trPr>
          <w:divId w:val="1988506822"/>
        </w:trPr>
        <w:tc>
          <w:tcPr>
            <w:tcW w:w="0" w:type="auto"/>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C4D97D5" w14:textId="77777777" w:rsidR="00AA170B" w:rsidRPr="00834CDC" w:rsidRDefault="00AA170B" w:rsidP="00AA170B">
            <w:pPr>
              <w:pStyle w:val="NormalWeb"/>
              <w:jc w:val="left"/>
              <w:rPr>
                <w:b/>
                <w:bCs/>
                <w:sz w:val="18"/>
                <w:szCs w:val="18"/>
              </w:rPr>
            </w:pPr>
            <w:r w:rsidRPr="00834CDC">
              <w:rPr>
                <w:b/>
                <w:bCs/>
                <w:sz w:val="18"/>
                <w:szCs w:val="18"/>
              </w:rPr>
              <w:t>Girls</w:t>
            </w:r>
          </w:p>
        </w:tc>
      </w:tr>
      <w:tr w:rsidR="00C84EF8" w:rsidRPr="00834CDC" w14:paraId="521CC69B" w14:textId="77777777" w:rsidTr="00AA170B">
        <w:trPr>
          <w:cnfStyle w:val="000000010000" w:firstRow="0" w:lastRow="0" w:firstColumn="0" w:lastColumn="0" w:oddVBand="0" w:evenVBand="0" w:oddHBand="0" w:evenHBand="1" w:firstRowFirstColumn="0" w:firstRowLastColumn="0" w:lastRowFirstColumn="0" w:lastRowLastColumn="0"/>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479020" w14:textId="77777777" w:rsidR="00AA170B" w:rsidRPr="00834CDC" w:rsidRDefault="00AA170B" w:rsidP="00AA170B">
            <w:pPr>
              <w:pStyle w:val="NormalWeb"/>
              <w:jc w:val="left"/>
              <w:rPr>
                <w:sz w:val="18"/>
                <w:szCs w:val="18"/>
              </w:rPr>
            </w:pPr>
            <w:r w:rsidRPr="00834CDC">
              <w:rPr>
                <w:sz w:val="18"/>
                <w:szCs w:val="18"/>
              </w:rPr>
              <w:t>Aboriginal and Torres Strait Islander</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70E2CF" w14:textId="77777777" w:rsidR="00AA170B" w:rsidRPr="00834CDC" w:rsidRDefault="00AA170B" w:rsidP="00457617">
            <w:pPr>
              <w:pStyle w:val="NormalWeb"/>
              <w:rPr>
                <w:sz w:val="18"/>
                <w:szCs w:val="18"/>
              </w:rPr>
            </w:pPr>
            <w:r w:rsidRPr="00834CDC">
              <w:rPr>
                <w:sz w:val="18"/>
                <w:szCs w:val="18"/>
              </w:rPr>
              <w:t>77.2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B9E81A" w14:textId="77777777" w:rsidR="00AA170B" w:rsidRPr="00834CDC" w:rsidRDefault="00AA170B" w:rsidP="00457617">
            <w:pPr>
              <w:pStyle w:val="NormalWeb"/>
              <w:rPr>
                <w:sz w:val="18"/>
                <w:szCs w:val="18"/>
              </w:rPr>
            </w:pPr>
            <w:r w:rsidRPr="00834CDC">
              <w:rPr>
                <w:sz w:val="18"/>
                <w:szCs w:val="18"/>
              </w:rPr>
              <w:t>61.8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0A2389" w14:textId="77777777" w:rsidR="00AA170B" w:rsidRPr="00834CDC" w:rsidRDefault="00AA170B" w:rsidP="00457617">
            <w:pPr>
              <w:pStyle w:val="NormalWeb"/>
              <w:rPr>
                <w:sz w:val="18"/>
                <w:szCs w:val="18"/>
              </w:rPr>
            </w:pPr>
            <w:r w:rsidRPr="00834CDC">
              <w:rPr>
                <w:sz w:val="18"/>
                <w:szCs w:val="18"/>
              </w:rPr>
              <w:t>85.3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01FC70" w14:textId="77777777" w:rsidR="00AA170B" w:rsidRPr="00834CDC" w:rsidRDefault="00AA170B" w:rsidP="00457617">
            <w:pPr>
              <w:pStyle w:val="NormalWeb"/>
              <w:rPr>
                <w:sz w:val="18"/>
                <w:szCs w:val="18"/>
              </w:rPr>
            </w:pPr>
            <w:r w:rsidRPr="00834CDC">
              <w:rPr>
                <w:sz w:val="18"/>
                <w:szCs w:val="18"/>
              </w:rPr>
              <w:t>72.5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3E1AF8" w14:textId="77777777" w:rsidR="00AA170B" w:rsidRPr="00834CDC" w:rsidRDefault="00AA170B" w:rsidP="00457617">
            <w:pPr>
              <w:pStyle w:val="NormalWeb"/>
              <w:rPr>
                <w:sz w:val="18"/>
                <w:szCs w:val="18"/>
              </w:rPr>
            </w:pPr>
            <w:r w:rsidRPr="00834CDC">
              <w:rPr>
                <w:sz w:val="18"/>
                <w:szCs w:val="18"/>
              </w:rPr>
              <w:t>87.8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9D8479" w14:textId="77777777" w:rsidR="00AA170B" w:rsidRPr="00834CDC" w:rsidRDefault="00AA170B" w:rsidP="00457617">
            <w:pPr>
              <w:pStyle w:val="NormalWeb"/>
              <w:rPr>
                <w:sz w:val="18"/>
                <w:szCs w:val="18"/>
              </w:rPr>
            </w:pPr>
            <w:r w:rsidRPr="00834CDC">
              <w:rPr>
                <w:sz w:val="18"/>
                <w:szCs w:val="18"/>
              </w:rPr>
              <w:t>77.9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EFCA69" w14:textId="77777777" w:rsidR="00AA170B" w:rsidRPr="00834CDC" w:rsidRDefault="00AA170B" w:rsidP="00457617">
            <w:pPr>
              <w:pStyle w:val="NormalWeb"/>
              <w:rPr>
                <w:sz w:val="18"/>
                <w:szCs w:val="18"/>
              </w:rPr>
            </w:pPr>
            <w:r w:rsidRPr="00834CDC">
              <w:rPr>
                <w:sz w:val="18"/>
                <w:szCs w:val="18"/>
              </w:rPr>
              <w:t>88.8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34D751" w14:textId="77777777" w:rsidR="00AA170B" w:rsidRPr="00834CDC" w:rsidRDefault="00AA170B" w:rsidP="00457617">
            <w:pPr>
              <w:pStyle w:val="NormalWeb"/>
              <w:rPr>
                <w:sz w:val="18"/>
                <w:szCs w:val="18"/>
              </w:rPr>
            </w:pPr>
            <w:r w:rsidRPr="00834CDC">
              <w:rPr>
                <w:sz w:val="18"/>
                <w:szCs w:val="18"/>
              </w:rPr>
              <w:t>70.5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35089A" w14:textId="77777777" w:rsidR="00AA170B" w:rsidRPr="00834CDC" w:rsidRDefault="00AA170B" w:rsidP="00457617">
            <w:pPr>
              <w:pStyle w:val="NormalWeb"/>
              <w:rPr>
                <w:sz w:val="18"/>
                <w:szCs w:val="18"/>
              </w:rPr>
            </w:pPr>
            <w:r w:rsidRPr="00834CDC">
              <w:rPr>
                <w:sz w:val="18"/>
                <w:szCs w:val="18"/>
              </w:rPr>
              <w:t>87.4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97F568" w14:textId="77777777" w:rsidR="00AA170B" w:rsidRPr="00834CDC" w:rsidRDefault="00AA170B" w:rsidP="00457617">
            <w:pPr>
              <w:pStyle w:val="NormalWeb"/>
              <w:rPr>
                <w:sz w:val="18"/>
                <w:szCs w:val="18"/>
              </w:rPr>
            </w:pPr>
            <w:r w:rsidRPr="00834CDC">
              <w:rPr>
                <w:sz w:val="18"/>
                <w:szCs w:val="18"/>
              </w:rPr>
              <w:t>70.4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AE5B1D" w14:textId="77777777" w:rsidR="00AA170B" w:rsidRPr="00834CDC" w:rsidRDefault="00AA170B" w:rsidP="00457617">
            <w:pPr>
              <w:pStyle w:val="NormalWeb"/>
              <w:rPr>
                <w:sz w:val="18"/>
                <w:szCs w:val="18"/>
              </w:rPr>
            </w:pPr>
            <w:r w:rsidRPr="00834CDC">
              <w:rPr>
                <w:sz w:val="18"/>
                <w:szCs w:val="18"/>
              </w:rPr>
              <w:t>85.5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EA5A8D" w14:textId="77777777" w:rsidR="00AA170B" w:rsidRPr="00834CDC" w:rsidRDefault="00AA170B" w:rsidP="00457617">
            <w:pPr>
              <w:pStyle w:val="NormalWeb"/>
              <w:rPr>
                <w:sz w:val="18"/>
                <w:szCs w:val="18"/>
              </w:rPr>
            </w:pPr>
            <w:r w:rsidRPr="00834CDC">
              <w:rPr>
                <w:sz w:val="18"/>
                <w:szCs w:val="18"/>
              </w:rPr>
              <w:t>69.1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A0A619" w14:textId="77777777" w:rsidR="00AA170B" w:rsidRPr="00834CDC" w:rsidRDefault="00AA170B" w:rsidP="00457617">
            <w:pPr>
              <w:pStyle w:val="NormalWeb"/>
              <w:rPr>
                <w:sz w:val="18"/>
                <w:szCs w:val="18"/>
              </w:rPr>
            </w:pPr>
            <w:r w:rsidRPr="00834CDC">
              <w:rPr>
                <w:sz w:val="18"/>
                <w:szCs w:val="18"/>
              </w:rPr>
              <w:t>82.4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10BC83" w14:textId="77777777" w:rsidR="00AA170B" w:rsidRPr="00834CDC" w:rsidRDefault="00AA170B" w:rsidP="00457617">
            <w:pPr>
              <w:pStyle w:val="NormalWeb"/>
              <w:rPr>
                <w:sz w:val="18"/>
                <w:szCs w:val="18"/>
              </w:rPr>
            </w:pPr>
            <w:r w:rsidRPr="00834CDC">
              <w:rPr>
                <w:sz w:val="18"/>
                <w:szCs w:val="18"/>
              </w:rPr>
              <w:t>66.7</w:t>
            </w:r>
          </w:p>
        </w:tc>
      </w:tr>
      <w:tr w:rsidR="00C84EF8" w:rsidRPr="00834CDC" w14:paraId="500BE5F6" w14:textId="77777777" w:rsidTr="00AA170B">
        <w:trPr>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FBFA0E" w14:textId="77777777" w:rsidR="00AA170B" w:rsidRPr="00834CDC" w:rsidRDefault="00AA170B" w:rsidP="00AA170B">
            <w:pPr>
              <w:pStyle w:val="NormalWeb"/>
              <w:jc w:val="left"/>
              <w:rPr>
                <w:sz w:val="18"/>
                <w:szCs w:val="18"/>
              </w:rPr>
            </w:pPr>
            <w:r w:rsidRPr="00834CDC">
              <w:rPr>
                <w:sz w:val="18"/>
                <w:szCs w:val="18"/>
              </w:rPr>
              <w:t>Other</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B4CB72" w14:textId="77777777" w:rsidR="00AA170B" w:rsidRPr="00834CDC" w:rsidRDefault="00AA170B" w:rsidP="00457617">
            <w:pPr>
              <w:pStyle w:val="NormalWeb"/>
              <w:rPr>
                <w:sz w:val="18"/>
                <w:szCs w:val="18"/>
              </w:rPr>
            </w:pPr>
            <w:r w:rsidRPr="00834CDC">
              <w:rPr>
                <w:sz w:val="18"/>
                <w:szCs w:val="18"/>
              </w:rPr>
              <w:t>78.5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ED9E84" w14:textId="77777777" w:rsidR="00AA170B" w:rsidRPr="00834CDC" w:rsidRDefault="00AA170B" w:rsidP="00457617">
            <w:pPr>
              <w:pStyle w:val="NormalWeb"/>
              <w:rPr>
                <w:sz w:val="18"/>
                <w:szCs w:val="18"/>
              </w:rPr>
            </w:pPr>
            <w:r w:rsidRPr="00834CDC">
              <w:rPr>
                <w:sz w:val="18"/>
                <w:szCs w:val="18"/>
              </w:rPr>
              <w:t>70.9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E72071" w14:textId="77777777" w:rsidR="00AA170B" w:rsidRPr="00834CDC" w:rsidRDefault="00AA170B" w:rsidP="00457617">
            <w:pPr>
              <w:pStyle w:val="NormalWeb"/>
              <w:rPr>
                <w:sz w:val="18"/>
                <w:szCs w:val="18"/>
              </w:rPr>
            </w:pPr>
            <w:r w:rsidRPr="00834CDC">
              <w:rPr>
                <w:sz w:val="18"/>
                <w:szCs w:val="18"/>
              </w:rPr>
              <w:t>85.5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D47DDE" w14:textId="77777777" w:rsidR="00AA170B" w:rsidRPr="00834CDC" w:rsidRDefault="00AA170B" w:rsidP="00457617">
            <w:pPr>
              <w:pStyle w:val="NormalWeb"/>
              <w:rPr>
                <w:sz w:val="18"/>
                <w:szCs w:val="18"/>
              </w:rPr>
            </w:pPr>
            <w:r w:rsidRPr="00834CDC">
              <w:rPr>
                <w:sz w:val="18"/>
                <w:szCs w:val="18"/>
              </w:rPr>
              <w:t>80.0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EDA04B" w14:textId="77777777" w:rsidR="00AA170B" w:rsidRPr="00834CDC" w:rsidRDefault="00AA170B" w:rsidP="00457617">
            <w:pPr>
              <w:pStyle w:val="NormalWeb"/>
              <w:rPr>
                <w:sz w:val="18"/>
                <w:szCs w:val="18"/>
              </w:rPr>
            </w:pPr>
            <w:r w:rsidRPr="00834CDC">
              <w:rPr>
                <w:sz w:val="18"/>
                <w:szCs w:val="18"/>
              </w:rPr>
              <w:t>96.2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2B0D47" w14:textId="77777777" w:rsidR="00AA170B" w:rsidRPr="00834CDC" w:rsidRDefault="00AA170B" w:rsidP="00457617">
            <w:pPr>
              <w:pStyle w:val="NormalWeb"/>
              <w:rPr>
                <w:sz w:val="18"/>
                <w:szCs w:val="18"/>
              </w:rPr>
            </w:pPr>
            <w:r w:rsidRPr="00834CDC">
              <w:rPr>
                <w:sz w:val="18"/>
                <w:szCs w:val="18"/>
              </w:rPr>
              <w:t>82.8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A920D3" w14:textId="77777777" w:rsidR="00AA170B" w:rsidRPr="00834CDC" w:rsidRDefault="00AA170B" w:rsidP="00457617">
            <w:pPr>
              <w:pStyle w:val="NormalWeb"/>
              <w:rPr>
                <w:sz w:val="18"/>
                <w:szCs w:val="18"/>
              </w:rPr>
            </w:pPr>
            <w:r w:rsidRPr="00834CDC">
              <w:rPr>
                <w:sz w:val="18"/>
                <w:szCs w:val="18"/>
              </w:rPr>
              <w:t>86.1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5D3C28" w14:textId="77777777" w:rsidR="00AA170B" w:rsidRPr="00834CDC" w:rsidRDefault="00AA170B" w:rsidP="00457617">
            <w:pPr>
              <w:pStyle w:val="NormalWeb"/>
              <w:rPr>
                <w:sz w:val="18"/>
                <w:szCs w:val="18"/>
              </w:rPr>
            </w:pPr>
            <w:r w:rsidRPr="00834CDC">
              <w:rPr>
                <w:sz w:val="18"/>
                <w:szCs w:val="18"/>
              </w:rPr>
              <w:t>78.3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D9ADF6" w14:textId="77777777" w:rsidR="00AA170B" w:rsidRPr="00834CDC" w:rsidRDefault="00AA170B" w:rsidP="00457617">
            <w:pPr>
              <w:pStyle w:val="NormalWeb"/>
              <w:rPr>
                <w:sz w:val="18"/>
                <w:szCs w:val="18"/>
              </w:rPr>
            </w:pPr>
            <w:r w:rsidRPr="00834CDC">
              <w:rPr>
                <w:sz w:val="18"/>
                <w:szCs w:val="18"/>
              </w:rPr>
              <w:t>86.1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F391B5" w14:textId="77777777" w:rsidR="00AA170B" w:rsidRPr="00834CDC" w:rsidRDefault="00AA170B" w:rsidP="00457617">
            <w:pPr>
              <w:pStyle w:val="NormalWeb"/>
              <w:rPr>
                <w:sz w:val="18"/>
                <w:szCs w:val="18"/>
              </w:rPr>
            </w:pPr>
            <w:r w:rsidRPr="00834CDC">
              <w:rPr>
                <w:sz w:val="18"/>
                <w:szCs w:val="18"/>
              </w:rPr>
              <w:t>78.5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299056" w14:textId="77777777" w:rsidR="00AA170B" w:rsidRPr="00834CDC" w:rsidRDefault="00AA170B" w:rsidP="00457617">
            <w:pPr>
              <w:pStyle w:val="NormalWeb"/>
              <w:rPr>
                <w:sz w:val="18"/>
                <w:szCs w:val="18"/>
              </w:rPr>
            </w:pPr>
            <w:r w:rsidRPr="00834CDC">
              <w:rPr>
                <w:sz w:val="18"/>
                <w:szCs w:val="18"/>
              </w:rPr>
              <w:t>85.0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932D4C" w14:textId="77777777" w:rsidR="00AA170B" w:rsidRPr="00834CDC" w:rsidRDefault="00AA170B" w:rsidP="00457617">
            <w:pPr>
              <w:pStyle w:val="NormalWeb"/>
              <w:rPr>
                <w:sz w:val="18"/>
                <w:szCs w:val="18"/>
              </w:rPr>
            </w:pPr>
            <w:r w:rsidRPr="00834CDC">
              <w:rPr>
                <w:sz w:val="18"/>
                <w:szCs w:val="18"/>
              </w:rPr>
              <w:t>77.5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3DB8C4" w14:textId="77777777" w:rsidR="00AA170B" w:rsidRPr="00834CDC" w:rsidRDefault="00AA170B" w:rsidP="00457617">
            <w:pPr>
              <w:pStyle w:val="NormalWeb"/>
              <w:rPr>
                <w:sz w:val="18"/>
                <w:szCs w:val="18"/>
              </w:rPr>
            </w:pPr>
            <w:r w:rsidRPr="00834CDC">
              <w:rPr>
                <w:sz w:val="18"/>
                <w:szCs w:val="18"/>
              </w:rPr>
              <w:t>82.7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E6104A" w14:textId="77777777" w:rsidR="00AA170B" w:rsidRPr="00834CDC" w:rsidRDefault="00AA170B" w:rsidP="00457617">
            <w:pPr>
              <w:pStyle w:val="NormalWeb"/>
              <w:rPr>
                <w:sz w:val="18"/>
                <w:szCs w:val="18"/>
              </w:rPr>
            </w:pPr>
            <w:r w:rsidRPr="00834CDC">
              <w:rPr>
                <w:sz w:val="18"/>
                <w:szCs w:val="18"/>
              </w:rPr>
              <w:t>75.4</w:t>
            </w:r>
          </w:p>
        </w:tc>
      </w:tr>
      <w:tr w:rsidR="00AA170B" w:rsidRPr="00834CDC" w14:paraId="5A1206C9" w14:textId="77777777" w:rsidTr="00AA170B">
        <w:trPr>
          <w:cnfStyle w:val="000000010000" w:firstRow="0" w:lastRow="0" w:firstColumn="0" w:lastColumn="0" w:oddVBand="0" w:evenVBand="0" w:oddHBand="0" w:evenHBand="1" w:firstRowFirstColumn="0" w:firstRowLastColumn="0" w:lastRowFirstColumn="0" w:lastRowLastColumn="0"/>
          <w:divId w:val="1988506822"/>
        </w:trPr>
        <w:tc>
          <w:tcPr>
            <w:tcW w:w="0" w:type="auto"/>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381EA9A" w14:textId="77777777" w:rsidR="00AA170B" w:rsidRPr="00834CDC" w:rsidRDefault="00AA170B" w:rsidP="00AA170B">
            <w:pPr>
              <w:pStyle w:val="NormalWeb"/>
              <w:jc w:val="left"/>
              <w:rPr>
                <w:b/>
                <w:bCs/>
                <w:sz w:val="18"/>
                <w:szCs w:val="18"/>
              </w:rPr>
            </w:pPr>
            <w:r w:rsidRPr="00834CDC">
              <w:rPr>
                <w:b/>
                <w:bCs/>
                <w:sz w:val="18"/>
                <w:szCs w:val="18"/>
              </w:rPr>
              <w:t>Boys</w:t>
            </w:r>
          </w:p>
        </w:tc>
      </w:tr>
      <w:tr w:rsidR="00C84EF8" w:rsidRPr="00834CDC" w14:paraId="358FDEE1" w14:textId="77777777" w:rsidTr="00AA170B">
        <w:trPr>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9B3C24" w14:textId="77777777" w:rsidR="00AA170B" w:rsidRPr="00834CDC" w:rsidRDefault="00AA170B" w:rsidP="00AA170B">
            <w:pPr>
              <w:pStyle w:val="NormalWeb"/>
              <w:jc w:val="left"/>
              <w:rPr>
                <w:sz w:val="18"/>
                <w:szCs w:val="18"/>
              </w:rPr>
            </w:pPr>
            <w:r w:rsidRPr="00834CDC">
              <w:rPr>
                <w:sz w:val="18"/>
                <w:szCs w:val="18"/>
              </w:rPr>
              <w:t>Aboriginal and Torres Strait Islander</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5EF2DD" w14:textId="77777777" w:rsidR="00AA170B" w:rsidRPr="00834CDC" w:rsidRDefault="00AA170B" w:rsidP="00457617">
            <w:pPr>
              <w:pStyle w:val="NormalWeb"/>
              <w:rPr>
                <w:sz w:val="18"/>
                <w:szCs w:val="18"/>
              </w:rPr>
            </w:pPr>
            <w:r w:rsidRPr="00834CDC">
              <w:rPr>
                <w:sz w:val="18"/>
                <w:szCs w:val="18"/>
              </w:rPr>
              <w:t>70.0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97F48E" w14:textId="77777777" w:rsidR="00AA170B" w:rsidRPr="00834CDC" w:rsidRDefault="00AA170B" w:rsidP="00457617">
            <w:pPr>
              <w:pStyle w:val="NormalWeb"/>
              <w:rPr>
                <w:sz w:val="18"/>
                <w:szCs w:val="18"/>
              </w:rPr>
            </w:pPr>
            <w:r w:rsidRPr="00834CDC">
              <w:rPr>
                <w:sz w:val="18"/>
                <w:szCs w:val="18"/>
              </w:rPr>
              <w:t>53.0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8DE2F3" w14:textId="77777777" w:rsidR="00AA170B" w:rsidRPr="00834CDC" w:rsidRDefault="00AA170B" w:rsidP="00457617">
            <w:pPr>
              <w:pStyle w:val="NormalWeb"/>
              <w:rPr>
                <w:sz w:val="18"/>
                <w:szCs w:val="18"/>
              </w:rPr>
            </w:pPr>
            <w:r w:rsidRPr="00834CDC">
              <w:rPr>
                <w:sz w:val="18"/>
                <w:szCs w:val="18"/>
              </w:rPr>
              <w:t>79.8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484564" w14:textId="77777777" w:rsidR="00AA170B" w:rsidRPr="00834CDC" w:rsidRDefault="00AA170B" w:rsidP="00457617">
            <w:pPr>
              <w:pStyle w:val="NormalWeb"/>
              <w:rPr>
                <w:sz w:val="18"/>
                <w:szCs w:val="18"/>
              </w:rPr>
            </w:pPr>
            <w:r w:rsidRPr="00834CDC">
              <w:rPr>
                <w:sz w:val="18"/>
                <w:szCs w:val="18"/>
              </w:rPr>
              <w:t>65.9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9AE13F" w14:textId="77777777" w:rsidR="00AA170B" w:rsidRPr="00834CDC" w:rsidRDefault="00AA170B" w:rsidP="00457617">
            <w:pPr>
              <w:pStyle w:val="NormalWeb"/>
              <w:rPr>
                <w:sz w:val="18"/>
                <w:szCs w:val="18"/>
              </w:rPr>
            </w:pPr>
            <w:r w:rsidRPr="00834CDC">
              <w:rPr>
                <w:sz w:val="18"/>
                <w:szCs w:val="18"/>
              </w:rPr>
              <w:t>83.0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C01883" w14:textId="77777777" w:rsidR="00AA170B" w:rsidRPr="00834CDC" w:rsidRDefault="00AA170B" w:rsidP="00457617">
            <w:pPr>
              <w:pStyle w:val="NormalWeb"/>
              <w:rPr>
                <w:sz w:val="18"/>
                <w:szCs w:val="18"/>
              </w:rPr>
            </w:pPr>
            <w:r w:rsidRPr="00834CDC">
              <w:rPr>
                <w:sz w:val="18"/>
                <w:szCs w:val="18"/>
              </w:rPr>
              <w:t>71.8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791F46" w14:textId="77777777" w:rsidR="00AA170B" w:rsidRPr="00834CDC" w:rsidRDefault="00AA170B" w:rsidP="00457617">
            <w:pPr>
              <w:pStyle w:val="NormalWeb"/>
              <w:rPr>
                <w:sz w:val="18"/>
                <w:szCs w:val="18"/>
              </w:rPr>
            </w:pPr>
            <w:r w:rsidRPr="00834CDC">
              <w:rPr>
                <w:sz w:val="18"/>
                <w:szCs w:val="18"/>
              </w:rPr>
              <w:t>83.7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B1976C" w14:textId="77777777" w:rsidR="00AA170B" w:rsidRPr="00834CDC" w:rsidRDefault="00AA170B" w:rsidP="00457617">
            <w:pPr>
              <w:pStyle w:val="NormalWeb"/>
              <w:rPr>
                <w:sz w:val="18"/>
                <w:szCs w:val="18"/>
              </w:rPr>
            </w:pPr>
            <w:r w:rsidRPr="00834CDC">
              <w:rPr>
                <w:sz w:val="18"/>
                <w:szCs w:val="18"/>
              </w:rPr>
              <w:t>63.2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0ADFA8" w14:textId="77777777" w:rsidR="00AA170B" w:rsidRPr="00834CDC" w:rsidRDefault="00AA170B" w:rsidP="00457617">
            <w:pPr>
              <w:pStyle w:val="NormalWeb"/>
              <w:rPr>
                <w:sz w:val="18"/>
                <w:szCs w:val="18"/>
              </w:rPr>
            </w:pPr>
            <w:r w:rsidRPr="00834CDC">
              <w:rPr>
                <w:sz w:val="18"/>
                <w:szCs w:val="18"/>
              </w:rPr>
              <w:t>82.7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32E635" w14:textId="77777777" w:rsidR="00AA170B" w:rsidRPr="00834CDC" w:rsidRDefault="00AA170B" w:rsidP="00457617">
            <w:pPr>
              <w:pStyle w:val="NormalWeb"/>
              <w:rPr>
                <w:sz w:val="18"/>
                <w:szCs w:val="18"/>
              </w:rPr>
            </w:pPr>
            <w:r w:rsidRPr="00834CDC">
              <w:rPr>
                <w:sz w:val="18"/>
                <w:szCs w:val="18"/>
              </w:rPr>
              <w:t>64.5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B63F3D" w14:textId="77777777" w:rsidR="00AA170B" w:rsidRPr="00834CDC" w:rsidRDefault="00AA170B" w:rsidP="00457617">
            <w:pPr>
              <w:pStyle w:val="NormalWeb"/>
              <w:rPr>
                <w:sz w:val="18"/>
                <w:szCs w:val="18"/>
              </w:rPr>
            </w:pPr>
            <w:r w:rsidRPr="00834CDC">
              <w:rPr>
                <w:sz w:val="18"/>
                <w:szCs w:val="18"/>
              </w:rPr>
              <w:t>79.8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A50C03" w14:textId="77777777" w:rsidR="00AA170B" w:rsidRPr="00834CDC" w:rsidRDefault="00AA170B" w:rsidP="00457617">
            <w:pPr>
              <w:pStyle w:val="NormalWeb"/>
              <w:rPr>
                <w:sz w:val="18"/>
                <w:szCs w:val="18"/>
              </w:rPr>
            </w:pPr>
            <w:r w:rsidRPr="00834CDC">
              <w:rPr>
                <w:sz w:val="18"/>
                <w:szCs w:val="18"/>
              </w:rPr>
              <w:t>62.0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CA8483" w14:textId="77777777" w:rsidR="00AA170B" w:rsidRPr="00834CDC" w:rsidRDefault="00AA170B" w:rsidP="00457617">
            <w:pPr>
              <w:pStyle w:val="NormalWeb"/>
              <w:rPr>
                <w:sz w:val="18"/>
                <w:szCs w:val="18"/>
              </w:rPr>
            </w:pPr>
            <w:r w:rsidRPr="00834CDC">
              <w:rPr>
                <w:sz w:val="18"/>
                <w:szCs w:val="18"/>
              </w:rPr>
              <w:t>71.4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4A82FD" w14:textId="77777777" w:rsidR="00AA170B" w:rsidRPr="00834CDC" w:rsidRDefault="00AA170B" w:rsidP="00457617">
            <w:pPr>
              <w:pStyle w:val="NormalWeb"/>
              <w:rPr>
                <w:sz w:val="18"/>
                <w:szCs w:val="18"/>
              </w:rPr>
            </w:pPr>
            <w:r w:rsidRPr="00834CDC">
              <w:rPr>
                <w:sz w:val="18"/>
                <w:szCs w:val="18"/>
              </w:rPr>
              <w:t>55.1</w:t>
            </w:r>
          </w:p>
        </w:tc>
      </w:tr>
      <w:tr w:rsidR="00C84EF8" w:rsidRPr="00834CDC" w14:paraId="7DE5B7C2" w14:textId="77777777" w:rsidTr="00AA170B">
        <w:trPr>
          <w:cnfStyle w:val="000000010000" w:firstRow="0" w:lastRow="0" w:firstColumn="0" w:lastColumn="0" w:oddVBand="0" w:evenVBand="0" w:oddHBand="0" w:evenHBand="1" w:firstRowFirstColumn="0" w:firstRowLastColumn="0" w:lastRowFirstColumn="0" w:lastRowLastColumn="0"/>
          <w:divId w:val="1988506822"/>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6635B4" w14:textId="77777777" w:rsidR="00AA170B" w:rsidRPr="00834CDC" w:rsidRDefault="00AA170B" w:rsidP="00AA170B">
            <w:pPr>
              <w:pStyle w:val="NormalWeb"/>
              <w:jc w:val="left"/>
              <w:rPr>
                <w:sz w:val="18"/>
                <w:szCs w:val="18"/>
              </w:rPr>
            </w:pPr>
            <w:r w:rsidRPr="00834CDC">
              <w:rPr>
                <w:sz w:val="18"/>
                <w:szCs w:val="18"/>
              </w:rPr>
              <w:t>Other</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271DAC" w14:textId="77777777" w:rsidR="00AA170B" w:rsidRPr="00834CDC" w:rsidRDefault="00AA170B" w:rsidP="00457617">
            <w:pPr>
              <w:pStyle w:val="NormalWeb"/>
              <w:rPr>
                <w:sz w:val="18"/>
                <w:szCs w:val="18"/>
              </w:rPr>
            </w:pPr>
            <w:r w:rsidRPr="00834CDC">
              <w:rPr>
                <w:sz w:val="18"/>
                <w:szCs w:val="18"/>
              </w:rPr>
              <w:t>75.4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AA1CE3" w14:textId="77777777" w:rsidR="00AA170B" w:rsidRPr="00834CDC" w:rsidRDefault="00AA170B" w:rsidP="00457617">
            <w:pPr>
              <w:pStyle w:val="NormalWeb"/>
              <w:rPr>
                <w:sz w:val="18"/>
                <w:szCs w:val="18"/>
              </w:rPr>
            </w:pPr>
            <w:r w:rsidRPr="00834CDC">
              <w:rPr>
                <w:sz w:val="18"/>
                <w:szCs w:val="18"/>
              </w:rPr>
              <w:t>66.9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22FC4B" w14:textId="77777777" w:rsidR="00AA170B" w:rsidRPr="00834CDC" w:rsidRDefault="00AA170B" w:rsidP="00457617">
            <w:pPr>
              <w:pStyle w:val="NormalWeb"/>
              <w:rPr>
                <w:sz w:val="18"/>
                <w:szCs w:val="18"/>
              </w:rPr>
            </w:pPr>
            <w:r w:rsidRPr="00834CDC">
              <w:rPr>
                <w:sz w:val="18"/>
                <w:szCs w:val="18"/>
              </w:rPr>
              <w:t>83.6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359C31" w14:textId="77777777" w:rsidR="00AA170B" w:rsidRPr="00834CDC" w:rsidRDefault="00AA170B" w:rsidP="00457617">
            <w:pPr>
              <w:pStyle w:val="NormalWeb"/>
              <w:rPr>
                <w:sz w:val="18"/>
                <w:szCs w:val="18"/>
              </w:rPr>
            </w:pPr>
            <w:r w:rsidRPr="00834CDC">
              <w:rPr>
                <w:sz w:val="18"/>
                <w:szCs w:val="18"/>
              </w:rPr>
              <w:t>77.1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B5E090" w14:textId="77777777" w:rsidR="00AA170B" w:rsidRPr="00834CDC" w:rsidRDefault="00AA170B" w:rsidP="00457617">
            <w:pPr>
              <w:pStyle w:val="NormalWeb"/>
              <w:rPr>
                <w:sz w:val="18"/>
                <w:szCs w:val="18"/>
              </w:rPr>
            </w:pPr>
            <w:r w:rsidRPr="00834CDC">
              <w:rPr>
                <w:sz w:val="18"/>
                <w:szCs w:val="18"/>
              </w:rPr>
              <w:t>84.2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74C936" w14:textId="77777777" w:rsidR="00AA170B" w:rsidRPr="00834CDC" w:rsidRDefault="00AA170B" w:rsidP="00457617">
            <w:pPr>
              <w:pStyle w:val="NormalWeb"/>
              <w:rPr>
                <w:sz w:val="18"/>
                <w:szCs w:val="18"/>
              </w:rPr>
            </w:pPr>
            <w:r w:rsidRPr="00834CDC">
              <w:rPr>
                <w:sz w:val="18"/>
                <w:szCs w:val="18"/>
              </w:rPr>
              <w:t>80.3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57C861" w14:textId="77777777" w:rsidR="00AA170B" w:rsidRPr="00834CDC" w:rsidRDefault="00AA170B" w:rsidP="00457617">
            <w:pPr>
              <w:pStyle w:val="NormalWeb"/>
              <w:rPr>
                <w:sz w:val="18"/>
                <w:szCs w:val="18"/>
              </w:rPr>
            </w:pPr>
            <w:r w:rsidRPr="00834CDC">
              <w:rPr>
                <w:sz w:val="18"/>
                <w:szCs w:val="18"/>
              </w:rPr>
              <w:t>83.6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AEE7B7" w14:textId="77777777" w:rsidR="00AA170B" w:rsidRPr="00834CDC" w:rsidRDefault="00AA170B" w:rsidP="00457617">
            <w:pPr>
              <w:pStyle w:val="NormalWeb"/>
              <w:rPr>
                <w:sz w:val="18"/>
                <w:szCs w:val="18"/>
              </w:rPr>
            </w:pPr>
            <w:r w:rsidRPr="00834CDC">
              <w:rPr>
                <w:sz w:val="18"/>
                <w:szCs w:val="18"/>
              </w:rPr>
              <w:t>74.8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0FC0CFB" w14:textId="77777777" w:rsidR="00AA170B" w:rsidRPr="00834CDC" w:rsidRDefault="00AA170B" w:rsidP="00457617">
            <w:pPr>
              <w:pStyle w:val="NormalWeb"/>
              <w:rPr>
                <w:sz w:val="18"/>
                <w:szCs w:val="18"/>
              </w:rPr>
            </w:pPr>
            <w:r w:rsidRPr="00834CDC">
              <w:rPr>
                <w:sz w:val="18"/>
                <w:szCs w:val="18"/>
              </w:rPr>
              <w:t>83.3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8AC730" w14:textId="77777777" w:rsidR="00AA170B" w:rsidRPr="00834CDC" w:rsidRDefault="00AA170B" w:rsidP="00457617">
            <w:pPr>
              <w:pStyle w:val="NormalWeb"/>
              <w:rPr>
                <w:sz w:val="18"/>
                <w:szCs w:val="18"/>
              </w:rPr>
            </w:pPr>
            <w:r w:rsidRPr="00834CDC">
              <w:rPr>
                <w:sz w:val="18"/>
                <w:szCs w:val="18"/>
              </w:rPr>
              <w:t>74.9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083348" w14:textId="77777777" w:rsidR="00AA170B" w:rsidRPr="00834CDC" w:rsidRDefault="00AA170B" w:rsidP="00457617">
            <w:pPr>
              <w:pStyle w:val="NormalWeb"/>
              <w:rPr>
                <w:sz w:val="18"/>
                <w:szCs w:val="18"/>
              </w:rPr>
            </w:pPr>
            <w:r w:rsidRPr="00834CDC">
              <w:rPr>
                <w:sz w:val="18"/>
                <w:szCs w:val="18"/>
              </w:rPr>
              <w:t>80.8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A44FDD" w14:textId="77777777" w:rsidR="00AA170B" w:rsidRPr="00834CDC" w:rsidRDefault="00AA170B" w:rsidP="00457617">
            <w:pPr>
              <w:pStyle w:val="NormalWeb"/>
              <w:rPr>
                <w:sz w:val="18"/>
                <w:szCs w:val="18"/>
              </w:rPr>
            </w:pPr>
            <w:r w:rsidRPr="00834CDC">
              <w:rPr>
                <w:sz w:val="18"/>
                <w:szCs w:val="18"/>
              </w:rPr>
              <w:t>72.7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989624" w14:textId="77777777" w:rsidR="00AA170B" w:rsidRPr="00834CDC" w:rsidRDefault="00AA170B" w:rsidP="00457617">
            <w:pPr>
              <w:pStyle w:val="NormalWeb"/>
              <w:rPr>
                <w:sz w:val="18"/>
                <w:szCs w:val="18"/>
              </w:rPr>
            </w:pPr>
            <w:r w:rsidRPr="00834CDC">
              <w:rPr>
                <w:sz w:val="18"/>
                <w:szCs w:val="18"/>
              </w:rPr>
              <w:t>75.8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C4E082" w14:textId="77777777" w:rsidR="00AA170B" w:rsidRPr="00834CDC" w:rsidRDefault="00AA170B" w:rsidP="00457617">
            <w:pPr>
              <w:pStyle w:val="NormalWeb"/>
              <w:rPr>
                <w:sz w:val="18"/>
                <w:szCs w:val="18"/>
              </w:rPr>
            </w:pPr>
            <w:r w:rsidRPr="00834CDC">
              <w:rPr>
                <w:sz w:val="18"/>
                <w:szCs w:val="18"/>
              </w:rPr>
              <w:t>67.8</w:t>
            </w:r>
          </w:p>
        </w:tc>
      </w:tr>
    </w:tbl>
    <w:p w14:paraId="70C79A30" w14:textId="77777777" w:rsidR="00AA170B" w:rsidRPr="00834CDC" w:rsidRDefault="00AA170B" w:rsidP="00AA170B">
      <w:pPr>
        <w:pStyle w:val="CDIfootnotes"/>
        <w:divId w:val="1988506822"/>
      </w:pPr>
      <w:r w:rsidRPr="00834CDC">
        <w:t>a</w:t>
      </w:r>
      <w:r w:rsidRPr="00834CDC">
        <w:tab/>
        <w:t xml:space="preserve">Cumulative coverage for dose </w:t>
      </w:r>
      <w:proofErr w:type="gramStart"/>
      <w:r w:rsidRPr="00834CDC">
        <w:t>1</w:t>
      </w:r>
      <w:proofErr w:type="gramEnd"/>
      <w:r w:rsidRPr="00834CDC">
        <w:t xml:space="preserve"> and dose 3 reported for adolescents aged 16–19 years. Cumulative coverage for dose </w:t>
      </w:r>
      <w:proofErr w:type="gramStart"/>
      <w:r w:rsidRPr="00834CDC">
        <w:t>1</w:t>
      </w:r>
      <w:proofErr w:type="gramEnd"/>
      <w:r w:rsidRPr="00834CDC">
        <w:t xml:space="preserve"> and dose 2 reported for adolescents aged 13–15 years after the HPV vaccination program changed from a three-dose schedule to a two-dose schedule in 2018 (2017 in New South Wales).</w:t>
      </w:r>
    </w:p>
    <w:p w14:paraId="34732870" w14:textId="77777777" w:rsidR="00AA170B" w:rsidRPr="00834CDC" w:rsidRDefault="00AA170B" w:rsidP="00AA170B">
      <w:pPr>
        <w:pStyle w:val="CDIfootnotes"/>
        <w:divId w:val="1988506822"/>
      </w:pPr>
      <w:r w:rsidRPr="00834CDC">
        <w:t>b</w:t>
      </w:r>
      <w:r w:rsidRPr="00834CDC">
        <w:tab/>
        <w:t xml:space="preserve">Age assessed at 31 December 2019. Birth cohort for adolescents aged 12 years not included as </w:t>
      </w:r>
      <w:proofErr w:type="gramStart"/>
      <w:r w:rsidRPr="00834CDC">
        <w:t xml:space="preserve">12 year </w:t>
      </w:r>
      <w:proofErr w:type="spellStart"/>
      <w:r w:rsidRPr="00834CDC">
        <w:t>olds</w:t>
      </w:r>
      <w:proofErr w:type="spellEnd"/>
      <w:proofErr w:type="gramEnd"/>
      <w:r w:rsidRPr="00834CDC">
        <w:t xml:space="preserve"> are not eligible for HPV vaccination in some jurisdictions.</w:t>
      </w:r>
    </w:p>
    <w:p w14:paraId="40E3140C" w14:textId="77777777" w:rsidR="00AA170B" w:rsidRPr="00834CDC" w:rsidRDefault="00AA170B" w:rsidP="00AA170B">
      <w:pPr>
        <w:pStyle w:val="CDIfootnotes"/>
        <w:divId w:val="1988506822"/>
      </w:pPr>
      <w:r w:rsidRPr="00834CDC">
        <w:t>c</w:t>
      </w:r>
      <w:r w:rsidRPr="00834CDC">
        <w:tab/>
        <w:t xml:space="preserve">Source: Australian Immunisation Register, data as </w:t>
      </w:r>
      <w:proofErr w:type="gramStart"/>
      <w:r w:rsidRPr="00834CDC">
        <w:t>at</w:t>
      </w:r>
      <w:proofErr w:type="gramEnd"/>
      <w:r w:rsidRPr="00834CDC">
        <w:t xml:space="preserve"> 29 February 2020.</w:t>
      </w:r>
    </w:p>
    <w:p w14:paraId="6284F583" w14:textId="77777777" w:rsidR="00AA170B" w:rsidRPr="00834CDC" w:rsidRDefault="00AA170B" w:rsidP="00AA170B">
      <w:pPr>
        <w:pStyle w:val="CDIfootnotes"/>
        <w:divId w:val="1988506822"/>
      </w:pPr>
      <w:r w:rsidRPr="00834CDC">
        <w:t>d</w:t>
      </w:r>
      <w:r w:rsidRPr="00834CDC">
        <w:tab/>
        <w:t xml:space="preserve">Not all </w:t>
      </w:r>
      <w:proofErr w:type="gramStart"/>
      <w:r w:rsidRPr="00834CDC">
        <w:t xml:space="preserve">13 year </w:t>
      </w:r>
      <w:proofErr w:type="spellStart"/>
      <w:r w:rsidRPr="00834CDC">
        <w:t>olds</w:t>
      </w:r>
      <w:proofErr w:type="spellEnd"/>
      <w:proofErr w:type="gramEnd"/>
      <w:r w:rsidRPr="00834CDC">
        <w:t xml:space="preserve"> in 2019 would have been offered HPV vaccine in their 2019 year level, notably those in South Australia and Western Australia.</w:t>
      </w:r>
    </w:p>
    <w:p w14:paraId="21CB84AC" w14:textId="77777777" w:rsidR="00AA170B" w:rsidRPr="00834CDC" w:rsidRDefault="00AA170B" w:rsidP="00AA170B">
      <w:pPr>
        <w:pStyle w:val="CDIfootnotes"/>
        <w:divId w:val="1988506822"/>
      </w:pPr>
      <w:r w:rsidRPr="00834CDC">
        <w:t>e</w:t>
      </w:r>
      <w:r w:rsidRPr="00834CDC">
        <w:tab/>
        <w:t>Coverage at age 15 years is the recommendation time point for coverage reporting between jurisdictions and over time.</w:t>
      </w:r>
    </w:p>
    <w:p w14:paraId="4179DADC" w14:textId="2F6858F9" w:rsidR="0033445F" w:rsidRPr="00834CDC" w:rsidRDefault="0033445F" w:rsidP="0033445F">
      <w:pPr>
        <w:pStyle w:val="Heading2"/>
        <w:divId w:val="1988506822"/>
      </w:pPr>
      <w:r w:rsidRPr="00834CDC">
        <w:t xml:space="preserve">Meningococcal ACWY vaccine </w:t>
      </w:r>
    </w:p>
    <w:p w14:paraId="7ACE0076" w14:textId="49AFDA56" w:rsidR="00BB5C76" w:rsidRPr="00834CDC" w:rsidRDefault="0033445F" w:rsidP="0033445F">
      <w:pPr>
        <w:divId w:val="1988506822"/>
      </w:pPr>
      <w:r w:rsidRPr="00834CDC">
        <w:t xml:space="preserve">The percentage of adolescents in Australia who received a meningococcal ACWY dose by 31 December 2019, by age, Aboriginal and Torres Strait Islander and </w:t>
      </w:r>
      <w:proofErr w:type="gramStart"/>
      <w:r w:rsidRPr="00834CDC">
        <w:t>jurisdiction</w:t>
      </w:r>
      <w:proofErr w:type="gramEnd"/>
      <w:r w:rsidRPr="00834CDC">
        <w:t xml:space="preserve">, is shown in Table 30. Adolescents aged 16 years (cohort born in 2003) were the first cohort to be eligible for a funded meningococcal ACWY vaccination under the NIP, implemented in April 2019. In this cohort, the coverage in Aboriginal and Torres Strait Islander adolescents was 66.1%, 6 percentage points lower than in other adolescents. Coverage among Aboriginal and Torres Strait Islander adolescents ranged from 46.6% in South Australia to 78.5% in </w:t>
      </w:r>
      <w:proofErr w:type="gramStart"/>
      <w:r w:rsidRPr="00834CDC">
        <w:t>Tasmania, and</w:t>
      </w:r>
      <w:proofErr w:type="gramEnd"/>
      <w:r w:rsidRPr="00834CDC">
        <w:t xml:space="preserve"> was lower than in other adolescents in every jurisdiction except Tasmania (78.5% vs 76.5%) and the Northern Territory (77.1% vs 68.2%) (Table 30). Prior to the funding of meningococcal ACWY vaccination under the NIP, adolescents received the meningococcal ACWY vaccine as part of jurisdictional funded programs that were in place for varying times and for various eligible risk groups or age cohorts. For adolescents aged 17 years (cohort born in 2002) and receiving the vaccine through the state/territory funded programs, national coverage of the meningococcal ACWY vaccine was 64.1% among Aboriginal and Torres Strait Islander adolescents and 69.5% among other adolescents (Table 30). Coverage in this age group varied by </w:t>
      </w:r>
      <w:proofErr w:type="gramStart"/>
      <w:r w:rsidRPr="00834CDC">
        <w:t>jurisdiction</w:t>
      </w:r>
      <w:proofErr w:type="gramEnd"/>
      <w:r w:rsidRPr="00834CDC">
        <w:t xml:space="preserve">, with the lowest coverage in South Australia for both Aboriginal and Torres Strait Islander (24.4%) and other (16.4%) adolescents. Higher coverage of meningococcal ACWY vaccine among Aboriginal and Torres Strait Islander </w:t>
      </w:r>
      <w:proofErr w:type="gramStart"/>
      <w:r w:rsidRPr="00834CDC">
        <w:t xml:space="preserve">17 year </w:t>
      </w:r>
      <w:proofErr w:type="spellStart"/>
      <w:r w:rsidRPr="00834CDC">
        <w:t>olds</w:t>
      </w:r>
      <w:proofErr w:type="spellEnd"/>
      <w:proofErr w:type="gramEnd"/>
      <w:r w:rsidRPr="00834CDC">
        <w:t xml:space="preserve"> was observed in Tasmania (78.0%) and the Northern Territory (78.4%) where the coverage was higher than that in other adolescents in those jurisdictions. </w:t>
      </w:r>
    </w:p>
    <w:p w14:paraId="7A57E5B6" w14:textId="77777777" w:rsidR="00BB5C76" w:rsidRPr="00834CDC" w:rsidRDefault="00BB5C76">
      <w:r w:rsidRPr="00834CDC">
        <w:br w:type="page"/>
      </w:r>
    </w:p>
    <w:p w14:paraId="19147A78" w14:textId="0FFC1B6F" w:rsidR="00BB5C76" w:rsidRPr="00834CDC" w:rsidRDefault="00BB5C76" w:rsidP="00BB5C76">
      <w:pPr>
        <w:pStyle w:val="CDIFigures"/>
        <w:divId w:val="1988506822"/>
      </w:pPr>
      <w:r w:rsidRPr="00834CDC">
        <w:rPr>
          <w:rStyle w:val="Strong"/>
          <w:b/>
          <w:bCs w:val="0"/>
        </w:rPr>
        <w:lastRenderedPageBreak/>
        <w:t xml:space="preserve">Table 30: Coverage (%) for meningococcal ACWY vaccine by Aboriginal and Torres Strait Islander status, state and territory, and age </w:t>
      </w:r>
      <w:proofErr w:type="gramStart"/>
      <w:r w:rsidRPr="00834CDC">
        <w:rPr>
          <w:rStyle w:val="Strong"/>
          <w:b/>
          <w:bCs w:val="0"/>
          <w:vertAlign w:val="superscript"/>
        </w:rPr>
        <w:t>a</w:t>
      </w:r>
      <w:r w:rsidRPr="00834CDC">
        <w:rPr>
          <w:rStyle w:val="Strong"/>
          <w:b/>
          <w:bCs w:val="0"/>
        </w:rPr>
        <w:t xml:space="preserve"> for</w:t>
      </w:r>
      <w:proofErr w:type="gramEnd"/>
      <w:r w:rsidRPr="00834CDC">
        <w:rPr>
          <w:rStyle w:val="Strong"/>
          <w:b/>
          <w:bCs w:val="0"/>
        </w:rPr>
        <w:t xml:space="preserve"> vaccination encounters recorded up to 31 December 2019</w:t>
      </w:r>
      <w:r w:rsidR="00314FAB" w:rsidRPr="00834CDC">
        <w:rPr>
          <w:rStyle w:val="Strong"/>
          <w:b/>
          <w:bCs w:val="0"/>
        </w:rPr>
        <w:t xml:space="preserve"> </w:t>
      </w:r>
      <w:r w:rsidRPr="00834CDC">
        <w:rPr>
          <w:rStyle w:val="Strong"/>
          <w:b/>
          <w:bCs w:val="0"/>
          <w:vertAlign w:val="superscript"/>
        </w:rPr>
        <w:t>b</w:t>
      </w:r>
    </w:p>
    <w:tbl>
      <w:tblPr>
        <w:tblStyle w:val="CDI-StandardTable"/>
        <w:tblW w:w="0" w:type="auto"/>
        <w:tblLook w:val="04A0" w:firstRow="1" w:lastRow="0" w:firstColumn="1" w:lastColumn="0" w:noHBand="0" w:noVBand="1"/>
        <w:tblDescription w:val="Table 30 shows coverage (%) for meningococcal ACWY vaccine by Aboriginal and Torres Strait Islander status, state and territory, and age for vaccination encounters recorded up to 31 December 2019. &#10;"/>
      </w:tblPr>
      <w:tblGrid>
        <w:gridCol w:w="4253"/>
        <w:gridCol w:w="650"/>
        <w:gridCol w:w="650"/>
        <w:gridCol w:w="650"/>
        <w:gridCol w:w="650"/>
        <w:gridCol w:w="650"/>
        <w:gridCol w:w="650"/>
        <w:gridCol w:w="650"/>
        <w:gridCol w:w="651"/>
        <w:gridCol w:w="1012"/>
      </w:tblGrid>
      <w:tr w:rsidR="00BB5C76" w:rsidRPr="00834CDC" w14:paraId="32FB5C58" w14:textId="77777777" w:rsidTr="00BB5C76">
        <w:trPr>
          <w:cnfStyle w:val="100000000000" w:firstRow="1" w:lastRow="0" w:firstColumn="0" w:lastColumn="0" w:oddVBand="0" w:evenVBand="0" w:oddHBand="0" w:evenHBand="0" w:firstRowFirstColumn="0" w:firstRowLastColumn="0" w:lastRowFirstColumn="0" w:lastRowLastColumn="0"/>
          <w:divId w:val="1988506822"/>
          <w:tblHeader/>
        </w:trPr>
        <w:tc>
          <w:tcPr>
            <w:tcW w:w="4253" w:type="dxa"/>
            <w:vMerge w:val="restart"/>
            <w:hideMark/>
          </w:tcPr>
          <w:p w14:paraId="41AB111B" w14:textId="77777777" w:rsidR="00BB5C76" w:rsidRPr="00834CDC" w:rsidRDefault="00BB5C76" w:rsidP="00BB5C76">
            <w:pPr>
              <w:pStyle w:val="NormalWeb"/>
              <w:jc w:val="left"/>
              <w:rPr>
                <w:sz w:val="18"/>
                <w:szCs w:val="18"/>
              </w:rPr>
            </w:pPr>
            <w:r w:rsidRPr="00834CDC">
              <w:rPr>
                <w:sz w:val="18"/>
                <w:szCs w:val="18"/>
              </w:rPr>
              <w:t>Aboriginal and Torres Strait Islander status</w:t>
            </w:r>
          </w:p>
        </w:tc>
        <w:tc>
          <w:tcPr>
            <w:tcW w:w="5201" w:type="dxa"/>
            <w:gridSpan w:val="8"/>
            <w:hideMark/>
          </w:tcPr>
          <w:p w14:paraId="5ABC0589" w14:textId="70A699E2" w:rsidR="00BB5C76" w:rsidRPr="00834CDC" w:rsidRDefault="00BB5C76" w:rsidP="00457617">
            <w:pPr>
              <w:pStyle w:val="NormalWeb"/>
              <w:rPr>
                <w:sz w:val="18"/>
                <w:szCs w:val="18"/>
              </w:rPr>
            </w:pPr>
            <w:r w:rsidRPr="00834CDC">
              <w:rPr>
                <w:sz w:val="18"/>
                <w:szCs w:val="18"/>
              </w:rPr>
              <w:t xml:space="preserve">State or territory </w:t>
            </w:r>
            <w:r w:rsidRPr="00834CDC">
              <w:rPr>
                <w:sz w:val="18"/>
                <w:szCs w:val="18"/>
                <w:vertAlign w:val="superscript"/>
              </w:rPr>
              <w:t>c</w:t>
            </w:r>
          </w:p>
        </w:tc>
        <w:tc>
          <w:tcPr>
            <w:tcW w:w="1012" w:type="dxa"/>
            <w:hideMark/>
          </w:tcPr>
          <w:p w14:paraId="7A2D329B" w14:textId="77777777" w:rsidR="00BB5C76" w:rsidRPr="00834CDC" w:rsidRDefault="00BB5C76" w:rsidP="00457617">
            <w:pPr>
              <w:rPr>
                <w:sz w:val="18"/>
                <w:szCs w:val="18"/>
              </w:rPr>
            </w:pPr>
          </w:p>
        </w:tc>
      </w:tr>
      <w:tr w:rsidR="00BB5C76" w:rsidRPr="00834CDC" w14:paraId="59DD814F" w14:textId="77777777" w:rsidTr="00BB5C76">
        <w:trPr>
          <w:cnfStyle w:val="100000000000" w:firstRow="1" w:lastRow="0" w:firstColumn="0" w:lastColumn="0" w:oddVBand="0" w:evenVBand="0" w:oddHBand="0" w:evenHBand="0" w:firstRowFirstColumn="0" w:firstRowLastColumn="0" w:lastRowFirstColumn="0" w:lastRowLastColumn="0"/>
          <w:divId w:val="1988506822"/>
          <w:tblHeader/>
        </w:trPr>
        <w:tc>
          <w:tcPr>
            <w:tcW w:w="4253" w:type="dxa"/>
            <w:vMerge/>
            <w:hideMark/>
          </w:tcPr>
          <w:p w14:paraId="70127581" w14:textId="77777777" w:rsidR="00BB5C76" w:rsidRPr="00834CDC" w:rsidRDefault="00BB5C76" w:rsidP="00BB5C76">
            <w:pPr>
              <w:jc w:val="left"/>
              <w:rPr>
                <w:sz w:val="18"/>
                <w:szCs w:val="18"/>
              </w:rPr>
            </w:pPr>
          </w:p>
        </w:tc>
        <w:tc>
          <w:tcPr>
            <w:tcW w:w="650" w:type="dxa"/>
            <w:hideMark/>
          </w:tcPr>
          <w:p w14:paraId="0F32D864" w14:textId="77777777" w:rsidR="00BB5C76" w:rsidRPr="00834CDC" w:rsidRDefault="00BB5C76" w:rsidP="00457617">
            <w:pPr>
              <w:pStyle w:val="NormalWeb"/>
              <w:rPr>
                <w:sz w:val="18"/>
                <w:szCs w:val="18"/>
              </w:rPr>
            </w:pPr>
            <w:r w:rsidRPr="00834CDC">
              <w:rPr>
                <w:sz w:val="18"/>
                <w:szCs w:val="18"/>
              </w:rPr>
              <w:t>ACT</w:t>
            </w:r>
          </w:p>
        </w:tc>
        <w:tc>
          <w:tcPr>
            <w:tcW w:w="650" w:type="dxa"/>
            <w:hideMark/>
          </w:tcPr>
          <w:p w14:paraId="2CA437FD" w14:textId="77777777" w:rsidR="00BB5C76" w:rsidRPr="00834CDC" w:rsidRDefault="00BB5C76" w:rsidP="00457617">
            <w:pPr>
              <w:pStyle w:val="NormalWeb"/>
              <w:rPr>
                <w:sz w:val="18"/>
                <w:szCs w:val="18"/>
              </w:rPr>
            </w:pPr>
            <w:r w:rsidRPr="00834CDC">
              <w:rPr>
                <w:sz w:val="18"/>
                <w:szCs w:val="18"/>
              </w:rPr>
              <w:t>NSW</w:t>
            </w:r>
          </w:p>
        </w:tc>
        <w:tc>
          <w:tcPr>
            <w:tcW w:w="650" w:type="dxa"/>
            <w:hideMark/>
          </w:tcPr>
          <w:p w14:paraId="3304BF93" w14:textId="77777777" w:rsidR="00BB5C76" w:rsidRPr="00834CDC" w:rsidRDefault="00BB5C76" w:rsidP="00457617">
            <w:pPr>
              <w:pStyle w:val="NormalWeb"/>
              <w:rPr>
                <w:sz w:val="18"/>
                <w:szCs w:val="18"/>
              </w:rPr>
            </w:pPr>
            <w:r w:rsidRPr="00834CDC">
              <w:rPr>
                <w:sz w:val="18"/>
                <w:szCs w:val="18"/>
              </w:rPr>
              <w:t>NT</w:t>
            </w:r>
          </w:p>
        </w:tc>
        <w:tc>
          <w:tcPr>
            <w:tcW w:w="650" w:type="dxa"/>
            <w:hideMark/>
          </w:tcPr>
          <w:p w14:paraId="58363C00" w14:textId="77777777" w:rsidR="00BB5C76" w:rsidRPr="00834CDC" w:rsidRDefault="00BB5C76" w:rsidP="00457617">
            <w:pPr>
              <w:pStyle w:val="NormalWeb"/>
              <w:rPr>
                <w:sz w:val="18"/>
                <w:szCs w:val="18"/>
              </w:rPr>
            </w:pPr>
            <w:r w:rsidRPr="00834CDC">
              <w:rPr>
                <w:sz w:val="18"/>
                <w:szCs w:val="18"/>
              </w:rPr>
              <w:t>Qld</w:t>
            </w:r>
          </w:p>
        </w:tc>
        <w:tc>
          <w:tcPr>
            <w:tcW w:w="650" w:type="dxa"/>
            <w:hideMark/>
          </w:tcPr>
          <w:p w14:paraId="33A89E6C" w14:textId="77777777" w:rsidR="00BB5C76" w:rsidRPr="00834CDC" w:rsidRDefault="00BB5C76" w:rsidP="00457617">
            <w:pPr>
              <w:pStyle w:val="NormalWeb"/>
              <w:rPr>
                <w:sz w:val="18"/>
                <w:szCs w:val="18"/>
              </w:rPr>
            </w:pPr>
            <w:r w:rsidRPr="00834CDC">
              <w:rPr>
                <w:sz w:val="18"/>
                <w:szCs w:val="18"/>
              </w:rPr>
              <w:t>SA</w:t>
            </w:r>
          </w:p>
        </w:tc>
        <w:tc>
          <w:tcPr>
            <w:tcW w:w="650" w:type="dxa"/>
            <w:hideMark/>
          </w:tcPr>
          <w:p w14:paraId="66D26794" w14:textId="77777777" w:rsidR="00BB5C76" w:rsidRPr="00834CDC" w:rsidRDefault="00BB5C76" w:rsidP="00457617">
            <w:pPr>
              <w:pStyle w:val="NormalWeb"/>
              <w:rPr>
                <w:sz w:val="18"/>
                <w:szCs w:val="18"/>
              </w:rPr>
            </w:pPr>
            <w:r w:rsidRPr="00834CDC">
              <w:rPr>
                <w:sz w:val="18"/>
                <w:szCs w:val="18"/>
              </w:rPr>
              <w:t>Tas.</w:t>
            </w:r>
          </w:p>
        </w:tc>
        <w:tc>
          <w:tcPr>
            <w:tcW w:w="650" w:type="dxa"/>
            <w:hideMark/>
          </w:tcPr>
          <w:p w14:paraId="30DC8A82" w14:textId="77777777" w:rsidR="00BB5C76" w:rsidRPr="00834CDC" w:rsidRDefault="00BB5C76" w:rsidP="00457617">
            <w:pPr>
              <w:pStyle w:val="NormalWeb"/>
              <w:rPr>
                <w:sz w:val="18"/>
                <w:szCs w:val="18"/>
              </w:rPr>
            </w:pPr>
            <w:r w:rsidRPr="00834CDC">
              <w:rPr>
                <w:sz w:val="18"/>
                <w:szCs w:val="18"/>
              </w:rPr>
              <w:t>Vic.</w:t>
            </w:r>
          </w:p>
        </w:tc>
        <w:tc>
          <w:tcPr>
            <w:tcW w:w="651" w:type="dxa"/>
            <w:hideMark/>
          </w:tcPr>
          <w:p w14:paraId="17BA6CBA" w14:textId="77777777" w:rsidR="00BB5C76" w:rsidRPr="00834CDC" w:rsidRDefault="00BB5C76" w:rsidP="00457617">
            <w:pPr>
              <w:pStyle w:val="NormalWeb"/>
              <w:rPr>
                <w:sz w:val="18"/>
                <w:szCs w:val="18"/>
              </w:rPr>
            </w:pPr>
            <w:r w:rsidRPr="00834CDC">
              <w:rPr>
                <w:sz w:val="18"/>
                <w:szCs w:val="18"/>
              </w:rPr>
              <w:t>WA</w:t>
            </w:r>
          </w:p>
        </w:tc>
        <w:tc>
          <w:tcPr>
            <w:tcW w:w="1012" w:type="dxa"/>
            <w:hideMark/>
          </w:tcPr>
          <w:p w14:paraId="65E9EAB1" w14:textId="77777777" w:rsidR="00BB5C76" w:rsidRPr="00834CDC" w:rsidRDefault="00BB5C76" w:rsidP="00457617">
            <w:pPr>
              <w:pStyle w:val="NormalWeb"/>
              <w:rPr>
                <w:sz w:val="18"/>
                <w:szCs w:val="18"/>
              </w:rPr>
            </w:pPr>
            <w:r w:rsidRPr="00834CDC">
              <w:rPr>
                <w:sz w:val="18"/>
                <w:szCs w:val="18"/>
              </w:rPr>
              <w:t>Australia</w:t>
            </w:r>
          </w:p>
        </w:tc>
      </w:tr>
      <w:tr w:rsidR="00BB5C76" w:rsidRPr="00834CDC" w14:paraId="756341A7" w14:textId="77777777" w:rsidTr="00BB5C76">
        <w:trPr>
          <w:divId w:val="1988506822"/>
        </w:trPr>
        <w:tc>
          <w:tcPr>
            <w:tcW w:w="10466" w:type="dxa"/>
            <w:gridSpan w:val="10"/>
            <w:shd w:val="clear" w:color="auto" w:fill="F7ECDD"/>
            <w:hideMark/>
          </w:tcPr>
          <w:p w14:paraId="21B69AF4" w14:textId="77777777" w:rsidR="00BB5C76" w:rsidRPr="00834CDC" w:rsidRDefault="00BB5C76" w:rsidP="00BB5C76">
            <w:pPr>
              <w:pStyle w:val="NormalWeb"/>
              <w:jc w:val="left"/>
              <w:rPr>
                <w:b/>
                <w:bCs/>
                <w:sz w:val="18"/>
                <w:szCs w:val="18"/>
              </w:rPr>
            </w:pPr>
            <w:proofErr w:type="gramStart"/>
            <w:r w:rsidRPr="00834CDC">
              <w:rPr>
                <w:b/>
                <w:bCs/>
                <w:sz w:val="18"/>
                <w:szCs w:val="18"/>
              </w:rPr>
              <w:t xml:space="preserve">16 year </w:t>
            </w:r>
            <w:proofErr w:type="spellStart"/>
            <w:r w:rsidRPr="00834CDC">
              <w:rPr>
                <w:b/>
                <w:bCs/>
                <w:sz w:val="18"/>
                <w:szCs w:val="18"/>
              </w:rPr>
              <w:t>olds</w:t>
            </w:r>
            <w:proofErr w:type="spellEnd"/>
            <w:proofErr w:type="gramEnd"/>
            <w:r w:rsidRPr="00834CDC">
              <w:rPr>
                <w:b/>
                <w:bCs/>
                <w:sz w:val="18"/>
                <w:szCs w:val="18"/>
              </w:rPr>
              <w:t xml:space="preserve"> (cohort born 1 January to 31 December 2003)</w:t>
            </w:r>
          </w:p>
        </w:tc>
      </w:tr>
      <w:tr w:rsidR="00BB5C76" w:rsidRPr="00834CDC" w14:paraId="211707E1" w14:textId="77777777" w:rsidTr="00BB5C76">
        <w:trPr>
          <w:cnfStyle w:val="000000010000" w:firstRow="0" w:lastRow="0" w:firstColumn="0" w:lastColumn="0" w:oddVBand="0" w:evenVBand="0" w:oddHBand="0" w:evenHBand="1" w:firstRowFirstColumn="0" w:firstRowLastColumn="0" w:lastRowFirstColumn="0" w:lastRowLastColumn="0"/>
          <w:divId w:val="1988506822"/>
        </w:trPr>
        <w:tc>
          <w:tcPr>
            <w:tcW w:w="4253" w:type="dxa"/>
            <w:hideMark/>
          </w:tcPr>
          <w:p w14:paraId="7BDA9AA7" w14:textId="77777777" w:rsidR="00BB5C76" w:rsidRPr="00834CDC" w:rsidRDefault="00BB5C76" w:rsidP="00BB5C76">
            <w:pPr>
              <w:pStyle w:val="NormalWeb"/>
              <w:jc w:val="left"/>
              <w:rPr>
                <w:sz w:val="18"/>
                <w:szCs w:val="18"/>
              </w:rPr>
            </w:pPr>
            <w:r w:rsidRPr="00834CDC">
              <w:rPr>
                <w:sz w:val="18"/>
                <w:szCs w:val="18"/>
              </w:rPr>
              <w:t>Aboriginal and Torres Strait Islander</w:t>
            </w:r>
          </w:p>
        </w:tc>
        <w:tc>
          <w:tcPr>
            <w:tcW w:w="650" w:type="dxa"/>
            <w:hideMark/>
          </w:tcPr>
          <w:p w14:paraId="0C6BE398" w14:textId="77777777" w:rsidR="00BB5C76" w:rsidRPr="00834CDC" w:rsidRDefault="00BB5C76" w:rsidP="00457617">
            <w:pPr>
              <w:pStyle w:val="NormalWeb"/>
              <w:rPr>
                <w:sz w:val="18"/>
                <w:szCs w:val="18"/>
              </w:rPr>
            </w:pPr>
            <w:r w:rsidRPr="00834CDC">
              <w:rPr>
                <w:sz w:val="18"/>
                <w:szCs w:val="18"/>
              </w:rPr>
              <w:t>62.4</w:t>
            </w:r>
          </w:p>
        </w:tc>
        <w:tc>
          <w:tcPr>
            <w:tcW w:w="650" w:type="dxa"/>
            <w:hideMark/>
          </w:tcPr>
          <w:p w14:paraId="2206F97D" w14:textId="77777777" w:rsidR="00BB5C76" w:rsidRPr="00834CDC" w:rsidRDefault="00BB5C76" w:rsidP="00457617">
            <w:pPr>
              <w:pStyle w:val="NormalWeb"/>
              <w:rPr>
                <w:sz w:val="18"/>
                <w:szCs w:val="18"/>
              </w:rPr>
            </w:pPr>
            <w:r w:rsidRPr="00834CDC">
              <w:rPr>
                <w:sz w:val="18"/>
                <w:szCs w:val="18"/>
              </w:rPr>
              <w:t>64.9</w:t>
            </w:r>
          </w:p>
        </w:tc>
        <w:tc>
          <w:tcPr>
            <w:tcW w:w="650" w:type="dxa"/>
            <w:hideMark/>
          </w:tcPr>
          <w:p w14:paraId="009DFDE4" w14:textId="77777777" w:rsidR="00BB5C76" w:rsidRPr="00834CDC" w:rsidRDefault="00BB5C76" w:rsidP="00457617">
            <w:pPr>
              <w:pStyle w:val="NormalWeb"/>
              <w:rPr>
                <w:sz w:val="18"/>
                <w:szCs w:val="18"/>
              </w:rPr>
            </w:pPr>
            <w:r w:rsidRPr="00834CDC">
              <w:rPr>
                <w:sz w:val="18"/>
                <w:szCs w:val="18"/>
              </w:rPr>
              <w:t>77.1</w:t>
            </w:r>
          </w:p>
        </w:tc>
        <w:tc>
          <w:tcPr>
            <w:tcW w:w="650" w:type="dxa"/>
            <w:hideMark/>
          </w:tcPr>
          <w:p w14:paraId="4821C043" w14:textId="77777777" w:rsidR="00BB5C76" w:rsidRPr="00834CDC" w:rsidRDefault="00BB5C76" w:rsidP="00457617">
            <w:pPr>
              <w:pStyle w:val="NormalWeb"/>
              <w:rPr>
                <w:sz w:val="18"/>
                <w:szCs w:val="18"/>
              </w:rPr>
            </w:pPr>
            <w:r w:rsidRPr="00834CDC">
              <w:rPr>
                <w:sz w:val="18"/>
                <w:szCs w:val="18"/>
              </w:rPr>
              <w:t>66.2</w:t>
            </w:r>
          </w:p>
        </w:tc>
        <w:tc>
          <w:tcPr>
            <w:tcW w:w="650" w:type="dxa"/>
            <w:hideMark/>
          </w:tcPr>
          <w:p w14:paraId="51D9992A" w14:textId="77777777" w:rsidR="00BB5C76" w:rsidRPr="00834CDC" w:rsidRDefault="00BB5C76" w:rsidP="00457617">
            <w:pPr>
              <w:pStyle w:val="NormalWeb"/>
              <w:rPr>
                <w:sz w:val="18"/>
                <w:szCs w:val="18"/>
              </w:rPr>
            </w:pPr>
            <w:r w:rsidRPr="00834CDC">
              <w:rPr>
                <w:sz w:val="18"/>
                <w:szCs w:val="18"/>
              </w:rPr>
              <w:t>46.6</w:t>
            </w:r>
          </w:p>
        </w:tc>
        <w:tc>
          <w:tcPr>
            <w:tcW w:w="650" w:type="dxa"/>
            <w:hideMark/>
          </w:tcPr>
          <w:p w14:paraId="23D5C8DC" w14:textId="77777777" w:rsidR="00BB5C76" w:rsidRPr="00834CDC" w:rsidRDefault="00BB5C76" w:rsidP="00457617">
            <w:pPr>
              <w:pStyle w:val="NormalWeb"/>
              <w:rPr>
                <w:sz w:val="18"/>
                <w:szCs w:val="18"/>
              </w:rPr>
            </w:pPr>
            <w:r w:rsidRPr="00834CDC">
              <w:rPr>
                <w:sz w:val="18"/>
                <w:szCs w:val="18"/>
              </w:rPr>
              <w:t>78.5</w:t>
            </w:r>
          </w:p>
        </w:tc>
        <w:tc>
          <w:tcPr>
            <w:tcW w:w="650" w:type="dxa"/>
            <w:hideMark/>
          </w:tcPr>
          <w:p w14:paraId="5B876946" w14:textId="77777777" w:rsidR="00BB5C76" w:rsidRPr="00834CDC" w:rsidRDefault="00BB5C76" w:rsidP="00457617">
            <w:pPr>
              <w:pStyle w:val="NormalWeb"/>
              <w:rPr>
                <w:sz w:val="18"/>
                <w:szCs w:val="18"/>
              </w:rPr>
            </w:pPr>
            <w:r w:rsidRPr="00834CDC">
              <w:rPr>
                <w:sz w:val="18"/>
                <w:szCs w:val="18"/>
              </w:rPr>
              <w:t>59.8</w:t>
            </w:r>
          </w:p>
        </w:tc>
        <w:tc>
          <w:tcPr>
            <w:tcW w:w="651" w:type="dxa"/>
            <w:hideMark/>
          </w:tcPr>
          <w:p w14:paraId="74DE9BF6" w14:textId="77777777" w:rsidR="00BB5C76" w:rsidRPr="00834CDC" w:rsidRDefault="00BB5C76" w:rsidP="00457617">
            <w:pPr>
              <w:pStyle w:val="NormalWeb"/>
              <w:rPr>
                <w:sz w:val="18"/>
                <w:szCs w:val="18"/>
              </w:rPr>
            </w:pPr>
            <w:r w:rsidRPr="00834CDC">
              <w:rPr>
                <w:sz w:val="18"/>
                <w:szCs w:val="18"/>
              </w:rPr>
              <w:t>68.2</w:t>
            </w:r>
          </w:p>
        </w:tc>
        <w:tc>
          <w:tcPr>
            <w:tcW w:w="1012" w:type="dxa"/>
            <w:hideMark/>
          </w:tcPr>
          <w:p w14:paraId="1B121E09" w14:textId="77777777" w:rsidR="00BB5C76" w:rsidRPr="00834CDC" w:rsidRDefault="00BB5C76" w:rsidP="00457617">
            <w:pPr>
              <w:pStyle w:val="NormalWeb"/>
              <w:rPr>
                <w:sz w:val="18"/>
                <w:szCs w:val="18"/>
              </w:rPr>
            </w:pPr>
            <w:r w:rsidRPr="00834CDC">
              <w:rPr>
                <w:sz w:val="18"/>
                <w:szCs w:val="18"/>
              </w:rPr>
              <w:t>66.1</w:t>
            </w:r>
          </w:p>
        </w:tc>
      </w:tr>
      <w:tr w:rsidR="00BB5C76" w:rsidRPr="00834CDC" w14:paraId="422299A6" w14:textId="77777777" w:rsidTr="00BB5C76">
        <w:trPr>
          <w:divId w:val="1988506822"/>
        </w:trPr>
        <w:tc>
          <w:tcPr>
            <w:tcW w:w="4253" w:type="dxa"/>
            <w:hideMark/>
          </w:tcPr>
          <w:p w14:paraId="0B95F698" w14:textId="77777777" w:rsidR="00BB5C76" w:rsidRPr="00834CDC" w:rsidRDefault="00BB5C76" w:rsidP="00BB5C76">
            <w:pPr>
              <w:pStyle w:val="NormalWeb"/>
              <w:jc w:val="left"/>
              <w:rPr>
                <w:sz w:val="18"/>
                <w:szCs w:val="18"/>
              </w:rPr>
            </w:pPr>
            <w:r w:rsidRPr="00834CDC">
              <w:rPr>
                <w:sz w:val="18"/>
                <w:szCs w:val="18"/>
              </w:rPr>
              <w:t>Other</w:t>
            </w:r>
          </w:p>
        </w:tc>
        <w:tc>
          <w:tcPr>
            <w:tcW w:w="650" w:type="dxa"/>
            <w:hideMark/>
          </w:tcPr>
          <w:p w14:paraId="1321CD02" w14:textId="77777777" w:rsidR="00BB5C76" w:rsidRPr="00834CDC" w:rsidRDefault="00BB5C76" w:rsidP="00457617">
            <w:pPr>
              <w:pStyle w:val="NormalWeb"/>
              <w:rPr>
                <w:sz w:val="18"/>
                <w:szCs w:val="18"/>
              </w:rPr>
            </w:pPr>
            <w:r w:rsidRPr="00834CDC">
              <w:rPr>
                <w:sz w:val="18"/>
                <w:szCs w:val="18"/>
              </w:rPr>
              <w:t>80.0</w:t>
            </w:r>
          </w:p>
        </w:tc>
        <w:tc>
          <w:tcPr>
            <w:tcW w:w="650" w:type="dxa"/>
            <w:hideMark/>
          </w:tcPr>
          <w:p w14:paraId="12C28A84" w14:textId="77777777" w:rsidR="00BB5C76" w:rsidRPr="00834CDC" w:rsidRDefault="00BB5C76" w:rsidP="00457617">
            <w:pPr>
              <w:pStyle w:val="NormalWeb"/>
              <w:rPr>
                <w:sz w:val="18"/>
                <w:szCs w:val="18"/>
              </w:rPr>
            </w:pPr>
            <w:r w:rsidRPr="00834CDC">
              <w:rPr>
                <w:sz w:val="18"/>
                <w:szCs w:val="18"/>
              </w:rPr>
              <w:t>73.2</w:t>
            </w:r>
          </w:p>
        </w:tc>
        <w:tc>
          <w:tcPr>
            <w:tcW w:w="650" w:type="dxa"/>
            <w:hideMark/>
          </w:tcPr>
          <w:p w14:paraId="4C4893B0" w14:textId="77777777" w:rsidR="00BB5C76" w:rsidRPr="00834CDC" w:rsidRDefault="00BB5C76" w:rsidP="00457617">
            <w:pPr>
              <w:pStyle w:val="NormalWeb"/>
              <w:rPr>
                <w:sz w:val="18"/>
                <w:szCs w:val="18"/>
              </w:rPr>
            </w:pPr>
            <w:r w:rsidRPr="00834CDC">
              <w:rPr>
                <w:sz w:val="18"/>
                <w:szCs w:val="18"/>
              </w:rPr>
              <w:t>68.2</w:t>
            </w:r>
          </w:p>
        </w:tc>
        <w:tc>
          <w:tcPr>
            <w:tcW w:w="650" w:type="dxa"/>
            <w:hideMark/>
          </w:tcPr>
          <w:p w14:paraId="1756A773" w14:textId="77777777" w:rsidR="00BB5C76" w:rsidRPr="00834CDC" w:rsidRDefault="00BB5C76" w:rsidP="00457617">
            <w:pPr>
              <w:pStyle w:val="NormalWeb"/>
              <w:rPr>
                <w:sz w:val="18"/>
                <w:szCs w:val="18"/>
              </w:rPr>
            </w:pPr>
            <w:r w:rsidRPr="00834CDC">
              <w:rPr>
                <w:sz w:val="18"/>
                <w:szCs w:val="18"/>
              </w:rPr>
              <w:t>72.1</w:t>
            </w:r>
          </w:p>
        </w:tc>
        <w:tc>
          <w:tcPr>
            <w:tcW w:w="650" w:type="dxa"/>
            <w:hideMark/>
          </w:tcPr>
          <w:p w14:paraId="72629874" w14:textId="77777777" w:rsidR="00BB5C76" w:rsidRPr="00834CDC" w:rsidRDefault="00BB5C76" w:rsidP="00457617">
            <w:pPr>
              <w:pStyle w:val="NormalWeb"/>
              <w:rPr>
                <w:sz w:val="18"/>
                <w:szCs w:val="18"/>
              </w:rPr>
            </w:pPr>
            <w:r w:rsidRPr="00834CDC">
              <w:rPr>
                <w:sz w:val="18"/>
                <w:szCs w:val="18"/>
              </w:rPr>
              <w:t>55.8</w:t>
            </w:r>
          </w:p>
        </w:tc>
        <w:tc>
          <w:tcPr>
            <w:tcW w:w="650" w:type="dxa"/>
            <w:hideMark/>
          </w:tcPr>
          <w:p w14:paraId="4B7F8463" w14:textId="77777777" w:rsidR="00BB5C76" w:rsidRPr="00834CDC" w:rsidRDefault="00BB5C76" w:rsidP="00457617">
            <w:pPr>
              <w:pStyle w:val="NormalWeb"/>
              <w:rPr>
                <w:sz w:val="18"/>
                <w:szCs w:val="18"/>
              </w:rPr>
            </w:pPr>
            <w:r w:rsidRPr="00834CDC">
              <w:rPr>
                <w:sz w:val="18"/>
                <w:szCs w:val="18"/>
              </w:rPr>
              <w:t>76.5</w:t>
            </w:r>
          </w:p>
        </w:tc>
        <w:tc>
          <w:tcPr>
            <w:tcW w:w="650" w:type="dxa"/>
            <w:hideMark/>
          </w:tcPr>
          <w:p w14:paraId="7606B9AE" w14:textId="77777777" w:rsidR="00BB5C76" w:rsidRPr="00834CDC" w:rsidRDefault="00BB5C76" w:rsidP="00457617">
            <w:pPr>
              <w:pStyle w:val="NormalWeb"/>
              <w:rPr>
                <w:sz w:val="18"/>
                <w:szCs w:val="18"/>
              </w:rPr>
            </w:pPr>
            <w:r w:rsidRPr="00834CDC">
              <w:rPr>
                <w:sz w:val="18"/>
                <w:szCs w:val="18"/>
              </w:rPr>
              <w:t>71.8</w:t>
            </w:r>
          </w:p>
        </w:tc>
        <w:tc>
          <w:tcPr>
            <w:tcW w:w="651" w:type="dxa"/>
            <w:hideMark/>
          </w:tcPr>
          <w:p w14:paraId="7B0E41BE" w14:textId="77777777" w:rsidR="00BB5C76" w:rsidRPr="00834CDC" w:rsidRDefault="00BB5C76" w:rsidP="00457617">
            <w:pPr>
              <w:pStyle w:val="NormalWeb"/>
              <w:rPr>
                <w:sz w:val="18"/>
                <w:szCs w:val="18"/>
              </w:rPr>
            </w:pPr>
            <w:r w:rsidRPr="00834CDC">
              <w:rPr>
                <w:sz w:val="18"/>
                <w:szCs w:val="18"/>
              </w:rPr>
              <w:t>78.7</w:t>
            </w:r>
          </w:p>
        </w:tc>
        <w:tc>
          <w:tcPr>
            <w:tcW w:w="1012" w:type="dxa"/>
            <w:hideMark/>
          </w:tcPr>
          <w:p w14:paraId="6CFD07D6" w14:textId="77777777" w:rsidR="00BB5C76" w:rsidRPr="00834CDC" w:rsidRDefault="00BB5C76" w:rsidP="00457617">
            <w:pPr>
              <w:pStyle w:val="NormalWeb"/>
              <w:rPr>
                <w:sz w:val="18"/>
                <w:szCs w:val="18"/>
              </w:rPr>
            </w:pPr>
            <w:r w:rsidRPr="00834CDC">
              <w:rPr>
                <w:sz w:val="18"/>
                <w:szCs w:val="18"/>
              </w:rPr>
              <w:t>72.1</w:t>
            </w:r>
          </w:p>
        </w:tc>
      </w:tr>
      <w:tr w:rsidR="00BB5C76" w:rsidRPr="00834CDC" w14:paraId="2F571D91" w14:textId="77777777" w:rsidTr="00BB5C76">
        <w:trPr>
          <w:cnfStyle w:val="000000010000" w:firstRow="0" w:lastRow="0" w:firstColumn="0" w:lastColumn="0" w:oddVBand="0" w:evenVBand="0" w:oddHBand="0" w:evenHBand="1" w:firstRowFirstColumn="0" w:firstRowLastColumn="0" w:lastRowFirstColumn="0" w:lastRowLastColumn="0"/>
          <w:divId w:val="1988506822"/>
        </w:trPr>
        <w:tc>
          <w:tcPr>
            <w:tcW w:w="10466" w:type="dxa"/>
            <w:gridSpan w:val="10"/>
            <w:shd w:val="clear" w:color="auto" w:fill="F7ECDD"/>
            <w:hideMark/>
          </w:tcPr>
          <w:p w14:paraId="446D475A" w14:textId="77777777" w:rsidR="00BB5C76" w:rsidRPr="00834CDC" w:rsidRDefault="00BB5C76" w:rsidP="00BB5C76">
            <w:pPr>
              <w:pStyle w:val="NormalWeb"/>
              <w:jc w:val="left"/>
              <w:rPr>
                <w:b/>
                <w:bCs/>
                <w:sz w:val="18"/>
                <w:szCs w:val="18"/>
              </w:rPr>
            </w:pPr>
            <w:proofErr w:type="gramStart"/>
            <w:r w:rsidRPr="00834CDC">
              <w:rPr>
                <w:b/>
                <w:bCs/>
                <w:sz w:val="18"/>
                <w:szCs w:val="18"/>
              </w:rPr>
              <w:t xml:space="preserve">17 year </w:t>
            </w:r>
            <w:proofErr w:type="spellStart"/>
            <w:r w:rsidRPr="00834CDC">
              <w:rPr>
                <w:b/>
                <w:bCs/>
                <w:sz w:val="18"/>
                <w:szCs w:val="18"/>
              </w:rPr>
              <w:t>olds</w:t>
            </w:r>
            <w:proofErr w:type="spellEnd"/>
            <w:proofErr w:type="gramEnd"/>
            <w:r w:rsidRPr="00834CDC">
              <w:rPr>
                <w:b/>
                <w:bCs/>
                <w:sz w:val="18"/>
                <w:szCs w:val="18"/>
              </w:rPr>
              <w:t xml:space="preserve"> (cohort born 1 January to 31 December 2002)</w:t>
            </w:r>
          </w:p>
        </w:tc>
      </w:tr>
      <w:tr w:rsidR="00BB5C76" w:rsidRPr="00834CDC" w14:paraId="09DD1136" w14:textId="77777777" w:rsidTr="00BB5C76">
        <w:trPr>
          <w:divId w:val="1988506822"/>
        </w:trPr>
        <w:tc>
          <w:tcPr>
            <w:tcW w:w="4253" w:type="dxa"/>
            <w:hideMark/>
          </w:tcPr>
          <w:p w14:paraId="3C15FD4C" w14:textId="77777777" w:rsidR="00BB5C76" w:rsidRPr="00834CDC" w:rsidRDefault="00BB5C76" w:rsidP="00BB5C76">
            <w:pPr>
              <w:pStyle w:val="NormalWeb"/>
              <w:jc w:val="left"/>
              <w:rPr>
                <w:sz w:val="18"/>
                <w:szCs w:val="18"/>
              </w:rPr>
            </w:pPr>
            <w:r w:rsidRPr="00834CDC">
              <w:rPr>
                <w:sz w:val="18"/>
                <w:szCs w:val="18"/>
              </w:rPr>
              <w:t>Aboriginal and Torres Strait Islander</w:t>
            </w:r>
          </w:p>
        </w:tc>
        <w:tc>
          <w:tcPr>
            <w:tcW w:w="650" w:type="dxa"/>
            <w:hideMark/>
          </w:tcPr>
          <w:p w14:paraId="32A31A3C" w14:textId="77777777" w:rsidR="00BB5C76" w:rsidRPr="00834CDC" w:rsidRDefault="00BB5C76" w:rsidP="00457617">
            <w:pPr>
              <w:pStyle w:val="NormalWeb"/>
              <w:rPr>
                <w:sz w:val="18"/>
                <w:szCs w:val="18"/>
              </w:rPr>
            </w:pPr>
            <w:r w:rsidRPr="00834CDC">
              <w:rPr>
                <w:sz w:val="18"/>
                <w:szCs w:val="18"/>
              </w:rPr>
              <w:t>58.0</w:t>
            </w:r>
          </w:p>
        </w:tc>
        <w:tc>
          <w:tcPr>
            <w:tcW w:w="650" w:type="dxa"/>
            <w:hideMark/>
          </w:tcPr>
          <w:p w14:paraId="36325088" w14:textId="77777777" w:rsidR="00BB5C76" w:rsidRPr="00834CDC" w:rsidRDefault="00BB5C76" w:rsidP="00457617">
            <w:pPr>
              <w:pStyle w:val="NormalWeb"/>
              <w:rPr>
                <w:sz w:val="18"/>
                <w:szCs w:val="18"/>
              </w:rPr>
            </w:pPr>
            <w:r w:rsidRPr="00834CDC">
              <w:rPr>
                <w:sz w:val="18"/>
                <w:szCs w:val="18"/>
              </w:rPr>
              <w:t>59.1</w:t>
            </w:r>
          </w:p>
        </w:tc>
        <w:tc>
          <w:tcPr>
            <w:tcW w:w="650" w:type="dxa"/>
            <w:hideMark/>
          </w:tcPr>
          <w:p w14:paraId="434837FD" w14:textId="77777777" w:rsidR="00BB5C76" w:rsidRPr="00834CDC" w:rsidRDefault="00BB5C76" w:rsidP="00457617">
            <w:pPr>
              <w:pStyle w:val="NormalWeb"/>
              <w:rPr>
                <w:sz w:val="18"/>
                <w:szCs w:val="18"/>
              </w:rPr>
            </w:pPr>
            <w:r w:rsidRPr="00834CDC">
              <w:rPr>
                <w:sz w:val="18"/>
                <w:szCs w:val="18"/>
              </w:rPr>
              <w:t>78.4</w:t>
            </w:r>
          </w:p>
        </w:tc>
        <w:tc>
          <w:tcPr>
            <w:tcW w:w="650" w:type="dxa"/>
            <w:hideMark/>
          </w:tcPr>
          <w:p w14:paraId="4498C2CC" w14:textId="77777777" w:rsidR="00BB5C76" w:rsidRPr="00834CDC" w:rsidRDefault="00BB5C76" w:rsidP="00457617">
            <w:pPr>
              <w:pStyle w:val="NormalWeb"/>
              <w:rPr>
                <w:sz w:val="18"/>
                <w:szCs w:val="18"/>
              </w:rPr>
            </w:pPr>
            <w:r w:rsidRPr="00834CDC">
              <w:rPr>
                <w:sz w:val="18"/>
                <w:szCs w:val="18"/>
              </w:rPr>
              <w:t>66.7</w:t>
            </w:r>
          </w:p>
        </w:tc>
        <w:tc>
          <w:tcPr>
            <w:tcW w:w="650" w:type="dxa"/>
            <w:hideMark/>
          </w:tcPr>
          <w:p w14:paraId="3375D670" w14:textId="77777777" w:rsidR="00BB5C76" w:rsidRPr="00834CDC" w:rsidRDefault="00BB5C76" w:rsidP="00457617">
            <w:pPr>
              <w:pStyle w:val="NormalWeb"/>
              <w:rPr>
                <w:sz w:val="18"/>
                <w:szCs w:val="18"/>
              </w:rPr>
            </w:pPr>
            <w:r w:rsidRPr="00834CDC">
              <w:rPr>
                <w:sz w:val="18"/>
                <w:szCs w:val="18"/>
              </w:rPr>
              <w:t>24.4</w:t>
            </w:r>
          </w:p>
        </w:tc>
        <w:tc>
          <w:tcPr>
            <w:tcW w:w="650" w:type="dxa"/>
            <w:hideMark/>
          </w:tcPr>
          <w:p w14:paraId="4AB067B8" w14:textId="77777777" w:rsidR="00BB5C76" w:rsidRPr="00834CDC" w:rsidRDefault="00BB5C76" w:rsidP="00457617">
            <w:pPr>
              <w:pStyle w:val="NormalWeb"/>
              <w:rPr>
                <w:sz w:val="18"/>
                <w:szCs w:val="18"/>
              </w:rPr>
            </w:pPr>
            <w:r w:rsidRPr="00834CDC">
              <w:rPr>
                <w:sz w:val="18"/>
                <w:szCs w:val="18"/>
              </w:rPr>
              <w:t>78.0</w:t>
            </w:r>
          </w:p>
        </w:tc>
        <w:tc>
          <w:tcPr>
            <w:tcW w:w="650" w:type="dxa"/>
            <w:hideMark/>
          </w:tcPr>
          <w:p w14:paraId="6C87E04C" w14:textId="77777777" w:rsidR="00BB5C76" w:rsidRPr="00834CDC" w:rsidRDefault="00BB5C76" w:rsidP="00457617">
            <w:pPr>
              <w:pStyle w:val="NormalWeb"/>
              <w:rPr>
                <w:sz w:val="18"/>
                <w:szCs w:val="18"/>
              </w:rPr>
            </w:pPr>
            <w:r w:rsidRPr="00834CDC">
              <w:rPr>
                <w:sz w:val="18"/>
                <w:szCs w:val="18"/>
              </w:rPr>
              <w:t>68.5</w:t>
            </w:r>
          </w:p>
        </w:tc>
        <w:tc>
          <w:tcPr>
            <w:tcW w:w="651" w:type="dxa"/>
            <w:hideMark/>
          </w:tcPr>
          <w:p w14:paraId="33B4B760" w14:textId="77777777" w:rsidR="00BB5C76" w:rsidRPr="00834CDC" w:rsidRDefault="00BB5C76" w:rsidP="00457617">
            <w:pPr>
              <w:pStyle w:val="NormalWeb"/>
              <w:rPr>
                <w:sz w:val="18"/>
                <w:szCs w:val="18"/>
              </w:rPr>
            </w:pPr>
            <w:r w:rsidRPr="00834CDC">
              <w:rPr>
                <w:sz w:val="18"/>
                <w:szCs w:val="18"/>
              </w:rPr>
              <w:t>66.3</w:t>
            </w:r>
          </w:p>
        </w:tc>
        <w:tc>
          <w:tcPr>
            <w:tcW w:w="1012" w:type="dxa"/>
            <w:hideMark/>
          </w:tcPr>
          <w:p w14:paraId="36EBA9C7" w14:textId="77777777" w:rsidR="00BB5C76" w:rsidRPr="00834CDC" w:rsidRDefault="00BB5C76" w:rsidP="00457617">
            <w:pPr>
              <w:pStyle w:val="NormalWeb"/>
              <w:rPr>
                <w:sz w:val="18"/>
                <w:szCs w:val="18"/>
              </w:rPr>
            </w:pPr>
            <w:r w:rsidRPr="00834CDC">
              <w:rPr>
                <w:sz w:val="18"/>
                <w:szCs w:val="18"/>
              </w:rPr>
              <w:t>64.1</w:t>
            </w:r>
          </w:p>
        </w:tc>
      </w:tr>
      <w:tr w:rsidR="00BB5C76" w:rsidRPr="00834CDC" w14:paraId="5593D481" w14:textId="77777777" w:rsidTr="00BB5C76">
        <w:trPr>
          <w:cnfStyle w:val="000000010000" w:firstRow="0" w:lastRow="0" w:firstColumn="0" w:lastColumn="0" w:oddVBand="0" w:evenVBand="0" w:oddHBand="0" w:evenHBand="1" w:firstRowFirstColumn="0" w:firstRowLastColumn="0" w:lastRowFirstColumn="0" w:lastRowLastColumn="0"/>
          <w:divId w:val="1988506822"/>
        </w:trPr>
        <w:tc>
          <w:tcPr>
            <w:tcW w:w="4253" w:type="dxa"/>
            <w:hideMark/>
          </w:tcPr>
          <w:p w14:paraId="00E9F6E6" w14:textId="77777777" w:rsidR="00BB5C76" w:rsidRPr="00834CDC" w:rsidRDefault="00BB5C76" w:rsidP="00BB5C76">
            <w:pPr>
              <w:pStyle w:val="NormalWeb"/>
              <w:jc w:val="left"/>
              <w:rPr>
                <w:sz w:val="18"/>
                <w:szCs w:val="18"/>
              </w:rPr>
            </w:pPr>
            <w:r w:rsidRPr="00834CDC">
              <w:rPr>
                <w:sz w:val="18"/>
                <w:szCs w:val="18"/>
              </w:rPr>
              <w:t>Other</w:t>
            </w:r>
          </w:p>
        </w:tc>
        <w:tc>
          <w:tcPr>
            <w:tcW w:w="650" w:type="dxa"/>
            <w:hideMark/>
          </w:tcPr>
          <w:p w14:paraId="2AB18476" w14:textId="77777777" w:rsidR="00BB5C76" w:rsidRPr="00834CDC" w:rsidRDefault="00BB5C76" w:rsidP="00457617">
            <w:pPr>
              <w:pStyle w:val="NormalWeb"/>
              <w:rPr>
                <w:sz w:val="18"/>
                <w:szCs w:val="18"/>
              </w:rPr>
            </w:pPr>
            <w:r w:rsidRPr="00834CDC">
              <w:rPr>
                <w:sz w:val="18"/>
                <w:szCs w:val="18"/>
              </w:rPr>
              <w:t>81.1</w:t>
            </w:r>
          </w:p>
        </w:tc>
        <w:tc>
          <w:tcPr>
            <w:tcW w:w="650" w:type="dxa"/>
            <w:hideMark/>
          </w:tcPr>
          <w:p w14:paraId="77337177" w14:textId="77777777" w:rsidR="00BB5C76" w:rsidRPr="00834CDC" w:rsidRDefault="00BB5C76" w:rsidP="00457617">
            <w:pPr>
              <w:pStyle w:val="NormalWeb"/>
              <w:rPr>
                <w:sz w:val="18"/>
                <w:szCs w:val="18"/>
              </w:rPr>
            </w:pPr>
            <w:r w:rsidRPr="00834CDC">
              <w:rPr>
                <w:sz w:val="18"/>
                <w:szCs w:val="18"/>
              </w:rPr>
              <w:t>72.3</w:t>
            </w:r>
          </w:p>
        </w:tc>
        <w:tc>
          <w:tcPr>
            <w:tcW w:w="650" w:type="dxa"/>
            <w:hideMark/>
          </w:tcPr>
          <w:p w14:paraId="0B94DC54" w14:textId="77777777" w:rsidR="00BB5C76" w:rsidRPr="00834CDC" w:rsidRDefault="00BB5C76" w:rsidP="00457617">
            <w:pPr>
              <w:pStyle w:val="NormalWeb"/>
              <w:rPr>
                <w:sz w:val="18"/>
                <w:szCs w:val="18"/>
              </w:rPr>
            </w:pPr>
            <w:r w:rsidRPr="00834CDC">
              <w:rPr>
                <w:sz w:val="18"/>
                <w:szCs w:val="18"/>
              </w:rPr>
              <w:t>66.7</w:t>
            </w:r>
          </w:p>
        </w:tc>
        <w:tc>
          <w:tcPr>
            <w:tcW w:w="650" w:type="dxa"/>
            <w:hideMark/>
          </w:tcPr>
          <w:p w14:paraId="68D54892" w14:textId="77777777" w:rsidR="00BB5C76" w:rsidRPr="00834CDC" w:rsidRDefault="00BB5C76" w:rsidP="00457617">
            <w:pPr>
              <w:pStyle w:val="NormalWeb"/>
              <w:rPr>
                <w:sz w:val="18"/>
                <w:szCs w:val="18"/>
              </w:rPr>
            </w:pPr>
            <w:r w:rsidRPr="00834CDC">
              <w:rPr>
                <w:sz w:val="18"/>
                <w:szCs w:val="18"/>
              </w:rPr>
              <w:t>70.0</w:t>
            </w:r>
          </w:p>
        </w:tc>
        <w:tc>
          <w:tcPr>
            <w:tcW w:w="650" w:type="dxa"/>
            <w:hideMark/>
          </w:tcPr>
          <w:p w14:paraId="594E02DF" w14:textId="77777777" w:rsidR="00BB5C76" w:rsidRPr="00834CDC" w:rsidRDefault="00BB5C76" w:rsidP="00457617">
            <w:pPr>
              <w:pStyle w:val="NormalWeb"/>
              <w:rPr>
                <w:sz w:val="18"/>
                <w:szCs w:val="18"/>
              </w:rPr>
            </w:pPr>
            <w:r w:rsidRPr="00834CDC">
              <w:rPr>
                <w:sz w:val="18"/>
                <w:szCs w:val="18"/>
              </w:rPr>
              <w:t>16.4</w:t>
            </w:r>
          </w:p>
        </w:tc>
        <w:tc>
          <w:tcPr>
            <w:tcW w:w="650" w:type="dxa"/>
            <w:hideMark/>
          </w:tcPr>
          <w:p w14:paraId="20D10C31" w14:textId="77777777" w:rsidR="00BB5C76" w:rsidRPr="00834CDC" w:rsidRDefault="00BB5C76" w:rsidP="00457617">
            <w:pPr>
              <w:pStyle w:val="NormalWeb"/>
              <w:rPr>
                <w:sz w:val="18"/>
                <w:szCs w:val="18"/>
              </w:rPr>
            </w:pPr>
            <w:r w:rsidRPr="00834CDC">
              <w:rPr>
                <w:sz w:val="18"/>
                <w:szCs w:val="18"/>
              </w:rPr>
              <w:t>77.2</w:t>
            </w:r>
          </w:p>
        </w:tc>
        <w:tc>
          <w:tcPr>
            <w:tcW w:w="650" w:type="dxa"/>
            <w:hideMark/>
          </w:tcPr>
          <w:p w14:paraId="0ECD6BDA" w14:textId="77777777" w:rsidR="00BB5C76" w:rsidRPr="00834CDC" w:rsidRDefault="00BB5C76" w:rsidP="00457617">
            <w:pPr>
              <w:pStyle w:val="NormalWeb"/>
              <w:rPr>
                <w:sz w:val="18"/>
                <w:szCs w:val="18"/>
              </w:rPr>
            </w:pPr>
            <w:r w:rsidRPr="00834CDC">
              <w:rPr>
                <w:sz w:val="18"/>
                <w:szCs w:val="18"/>
              </w:rPr>
              <w:t>75.9</w:t>
            </w:r>
          </w:p>
        </w:tc>
        <w:tc>
          <w:tcPr>
            <w:tcW w:w="651" w:type="dxa"/>
            <w:hideMark/>
          </w:tcPr>
          <w:p w14:paraId="79AF3893" w14:textId="77777777" w:rsidR="00BB5C76" w:rsidRPr="00834CDC" w:rsidRDefault="00BB5C76" w:rsidP="00457617">
            <w:pPr>
              <w:pStyle w:val="NormalWeb"/>
              <w:rPr>
                <w:sz w:val="18"/>
                <w:szCs w:val="18"/>
              </w:rPr>
            </w:pPr>
            <w:r w:rsidRPr="00834CDC">
              <w:rPr>
                <w:sz w:val="18"/>
                <w:szCs w:val="18"/>
              </w:rPr>
              <w:t>76.2</w:t>
            </w:r>
          </w:p>
        </w:tc>
        <w:tc>
          <w:tcPr>
            <w:tcW w:w="1012" w:type="dxa"/>
            <w:hideMark/>
          </w:tcPr>
          <w:p w14:paraId="521A49F3" w14:textId="77777777" w:rsidR="00BB5C76" w:rsidRPr="00834CDC" w:rsidRDefault="00BB5C76" w:rsidP="00457617">
            <w:pPr>
              <w:pStyle w:val="NormalWeb"/>
              <w:rPr>
                <w:sz w:val="18"/>
                <w:szCs w:val="18"/>
              </w:rPr>
            </w:pPr>
            <w:r w:rsidRPr="00834CDC">
              <w:rPr>
                <w:sz w:val="18"/>
                <w:szCs w:val="18"/>
              </w:rPr>
              <w:t>69.5</w:t>
            </w:r>
          </w:p>
        </w:tc>
      </w:tr>
    </w:tbl>
    <w:p w14:paraId="234C41EA" w14:textId="77777777" w:rsidR="00BB5C76" w:rsidRPr="00834CDC" w:rsidRDefault="00BB5C76" w:rsidP="00C02498">
      <w:pPr>
        <w:pStyle w:val="CDIfootnotes"/>
        <w:divId w:val="1988506822"/>
      </w:pPr>
      <w:proofErr w:type="spellStart"/>
      <w:proofErr w:type="gramStart"/>
      <w:r w:rsidRPr="00834CDC">
        <w:t>a</w:t>
      </w:r>
      <w:proofErr w:type="spellEnd"/>
      <w:proofErr w:type="gramEnd"/>
      <w:r w:rsidRPr="00834CDC">
        <w:tab/>
        <w:t xml:space="preserve">Age assessed at 31 December 2019. Adolescents aged 16 years (born in 2003) were the first cohort eligible for a funded meningococcal ACWY vaccine under the NIP in place since April 2019. Prior to this, adolescent meningococcal ACWY vaccination </w:t>
      </w:r>
      <w:proofErr w:type="gramStart"/>
      <w:r w:rsidRPr="00834CDC">
        <w:t>was funded</w:t>
      </w:r>
      <w:proofErr w:type="gramEnd"/>
      <w:r w:rsidRPr="00834CDC">
        <w:t xml:space="preserve"> by state/territories with the programs in place for varying times and for various eligible risk groups or age cohorts.</w:t>
      </w:r>
    </w:p>
    <w:p w14:paraId="3F897ACF" w14:textId="77777777" w:rsidR="00BB5C76" w:rsidRPr="00834CDC" w:rsidRDefault="00BB5C76" w:rsidP="00C02498">
      <w:pPr>
        <w:pStyle w:val="CDIfootnotes"/>
        <w:divId w:val="1988506822"/>
      </w:pPr>
      <w:r w:rsidRPr="00834CDC">
        <w:t>b</w:t>
      </w:r>
      <w:r w:rsidRPr="00834CDC">
        <w:tab/>
        <w:t xml:space="preserve">Source: Australian Immunisation Register, data as </w:t>
      </w:r>
      <w:proofErr w:type="gramStart"/>
      <w:r w:rsidRPr="00834CDC">
        <w:t>at</w:t>
      </w:r>
      <w:proofErr w:type="gramEnd"/>
      <w:r w:rsidRPr="00834CDC">
        <w:t xml:space="preserve"> 31 March 2021.</w:t>
      </w:r>
    </w:p>
    <w:p w14:paraId="436D0D9B" w14:textId="57C256F1" w:rsidR="0033445F" w:rsidRPr="00834CDC" w:rsidRDefault="00BB5C76" w:rsidP="002B2576">
      <w:pPr>
        <w:pStyle w:val="CDIfootnotes"/>
        <w:divId w:val="1988506822"/>
      </w:pPr>
      <w:r w:rsidRPr="00834CDC">
        <w:t>c</w:t>
      </w:r>
      <w:r w:rsidRPr="00834CDC">
        <w:tab/>
        <w:t>ACT: Australian Capital Territory; NSW: New South Wales; NT: Northern Territory; Qld: Queensland; SA: South Australia; Tas.: Tasmania; Vic.: Victoria; WA: Western Australia.</w:t>
      </w:r>
    </w:p>
    <w:p w14:paraId="4BF4A734" w14:textId="77777777" w:rsidR="0033445F" w:rsidRPr="00834CDC" w:rsidRDefault="0033445F" w:rsidP="0033445F">
      <w:pPr>
        <w:pStyle w:val="Heading2"/>
        <w:divId w:val="1988506822"/>
      </w:pPr>
      <w:r w:rsidRPr="00834CDC">
        <w:t xml:space="preserve">Adults </w:t>
      </w:r>
    </w:p>
    <w:p w14:paraId="03BF44F2" w14:textId="77777777" w:rsidR="0033445F" w:rsidRPr="00834CDC" w:rsidRDefault="0033445F" w:rsidP="0033445F">
      <w:pPr>
        <w:pStyle w:val="Heading3"/>
        <w:divId w:val="1988506822"/>
      </w:pPr>
      <w:r w:rsidRPr="00834CDC">
        <w:t xml:space="preserve">Zoster </w:t>
      </w:r>
    </w:p>
    <w:p w14:paraId="5BC49D3A" w14:textId="77777777" w:rsidR="0033445F" w:rsidRPr="00834CDC" w:rsidRDefault="0033445F" w:rsidP="0033445F">
      <w:pPr>
        <w:divId w:val="1988506822"/>
      </w:pPr>
      <w:r w:rsidRPr="00834CDC">
        <w:t xml:space="preserve">Nationally, recorded zoster vaccine coverage for adults aged 70 years in 2019 was 33.2% among Aboriginal and Torres Strait Islander people and 30.5% in other people (Figure 29). Zoster coverage in Aboriginal and Torres Strait Islander adults ranged from 7.1% in the Australian Capital Territory to 46.4% in Tasmania and was higher among Aboriginal and Torres Strait Islander people than in other people in New South Wales, Victoria, Tasmania, and the Northern Territory. </w:t>
      </w:r>
    </w:p>
    <w:p w14:paraId="6E702853" w14:textId="77777777" w:rsidR="00A8645A" w:rsidRPr="00834CDC" w:rsidRDefault="00A8645A">
      <w:pPr>
        <w:rPr>
          <w:b/>
        </w:rPr>
      </w:pPr>
      <w:r w:rsidRPr="00834CDC">
        <w:br w:type="page"/>
      </w:r>
    </w:p>
    <w:p w14:paraId="4C67F693" w14:textId="38C1C47D" w:rsidR="00A8645A" w:rsidRPr="00834CDC" w:rsidRDefault="00A8645A" w:rsidP="00A8645A">
      <w:pPr>
        <w:pStyle w:val="CDIFigures"/>
        <w:divId w:val="1988506822"/>
      </w:pPr>
      <w:r w:rsidRPr="00834CDC">
        <w:lastRenderedPageBreak/>
        <w:t xml:space="preserve">Figure 29: Zoster vaccination coverage for 70 –&lt; 71 years, by state and </w:t>
      </w:r>
      <w:proofErr w:type="spellStart"/>
      <w:proofErr w:type="gramStart"/>
      <w:r w:rsidRPr="00834CDC">
        <w:t>territory,</w:t>
      </w:r>
      <w:r w:rsidRPr="00834CDC">
        <w:rPr>
          <w:vertAlign w:val="superscript"/>
        </w:rPr>
        <w:t>a</w:t>
      </w:r>
      <w:proofErr w:type="spellEnd"/>
      <w:proofErr w:type="gramEnd"/>
      <w:r w:rsidRPr="00834CDC">
        <w:t xml:space="preserve"> and Aboriginal and Torres Strait Islander status, Australia, 2019</w:t>
      </w:r>
      <w:r w:rsidR="006C707B">
        <w:t xml:space="preserve"> </w:t>
      </w:r>
      <w:r w:rsidRPr="00834CDC">
        <w:rPr>
          <w:vertAlign w:val="superscript"/>
        </w:rPr>
        <w:t>b</w:t>
      </w:r>
    </w:p>
    <w:p w14:paraId="4B6B43E3" w14:textId="77777777" w:rsidR="00A8645A" w:rsidRPr="00834CDC" w:rsidRDefault="00A8645A" w:rsidP="00A8645A">
      <w:pPr>
        <w:pStyle w:val="NormalWeb"/>
        <w:divId w:val="1988506822"/>
      </w:pPr>
      <w:r w:rsidRPr="00834CDC">
        <w:rPr>
          <w:noProof/>
        </w:rPr>
        <w:drawing>
          <wp:inline distT="0" distB="0" distL="0" distR="0" wp14:anchorId="6D435475" wp14:editId="782DEF8B">
            <wp:extent cx="6629400" cy="4328395"/>
            <wp:effectExtent l="0" t="0" r="0" b="0"/>
            <wp:docPr id="32" name="Picture 32" descr="Bar graph showing zoster vaccination coverage for 70-&lt;71 years olds for 2019, by jurisdiction and Aboriginal and Torres Strait Islander status. Coverage was higher in Aboriginal and Torres Strait Islander people compared with other people in NSW (26% vs 23%), Victoria (38% vs 29%), Tasmania (46% vs 36%), Northern Territory (19% vs 17%) and Australia overall (33% vs 31%).  The largest disparity was in the ACT where coverage was 7.1% in Aboriginal and Torres Strait Islander people compared with 32% of other Australian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ar graph showing zoster vaccination coverage for 70-&lt;71 years olds for 2019, by jurisdiction and Aboriginal and Torres Strait Islander status. Coverage was higher in Aboriginal and Torres Strait Islander people compared with other people in NSW (26% vs 23%), Victoria (38% vs 29%), Tasmania (46% vs 36%), Northern Territory (19% vs 17%) and Australia overall (33% vs 31%).  The largest disparity was in the ACT where coverage was 7.1% in Aboriginal and Torres Strait Islander people compared with 32% of other Australians. &#10;"/>
                    <pic:cNvPicPr>
                      <a:picLocks noChangeAspect="1" noChangeArrowheads="1"/>
                    </pic:cNvPicPr>
                  </pic:nvPicPr>
                  <pic:blipFill>
                    <a:blip r:link="rId40">
                      <a:extLst>
                        <a:ext uri="{28A0092B-C50C-407E-A947-70E740481C1C}">
                          <a14:useLocalDpi xmlns:a14="http://schemas.microsoft.com/office/drawing/2010/main" val="0"/>
                        </a:ext>
                      </a:extLst>
                    </a:blip>
                    <a:stretch>
                      <a:fillRect/>
                    </a:stretch>
                  </pic:blipFill>
                  <pic:spPr bwMode="auto">
                    <a:xfrm>
                      <a:off x="0" y="0"/>
                      <a:ext cx="6635789" cy="4332566"/>
                    </a:xfrm>
                    <a:prstGeom prst="rect">
                      <a:avLst/>
                    </a:prstGeom>
                  </pic:spPr>
                </pic:pic>
              </a:graphicData>
            </a:graphic>
          </wp:inline>
        </w:drawing>
      </w:r>
    </w:p>
    <w:p w14:paraId="6D18372D" w14:textId="77777777" w:rsidR="00A8645A" w:rsidRPr="00834CDC" w:rsidRDefault="00A8645A" w:rsidP="00A8645A">
      <w:pPr>
        <w:pStyle w:val="CDIfootnotes"/>
        <w:divId w:val="1988506822"/>
      </w:pPr>
      <w:proofErr w:type="gramStart"/>
      <w:r w:rsidRPr="00834CDC">
        <w:t>a</w:t>
      </w:r>
      <w:proofErr w:type="gramEnd"/>
      <w:r w:rsidRPr="00834CDC">
        <w:tab/>
        <w:t>ACT: Australian Capital Territory; NSW: New South Wales; NT: Northern Territory; Qld: Queensland; SA: South Australia; Tas.: Tasmania; Vic.: Victoria; WA: Western Australia.</w:t>
      </w:r>
    </w:p>
    <w:p w14:paraId="7316CA9E" w14:textId="154B9AD0" w:rsidR="00A8645A" w:rsidRPr="00834CDC" w:rsidRDefault="00A8645A" w:rsidP="00A8645A">
      <w:pPr>
        <w:pStyle w:val="CDIfootnotes"/>
        <w:divId w:val="1988506822"/>
      </w:pPr>
      <w:r w:rsidRPr="00834CDC">
        <w:t>b</w:t>
      </w:r>
      <w:r w:rsidRPr="00834CDC">
        <w:tab/>
        <w:t xml:space="preserve">Source: Australian Immunisation Register, data as </w:t>
      </w:r>
      <w:proofErr w:type="gramStart"/>
      <w:r w:rsidRPr="00834CDC">
        <w:t>at</w:t>
      </w:r>
      <w:proofErr w:type="gramEnd"/>
      <w:r w:rsidRPr="00834CDC">
        <w:t xml:space="preserve"> 31 March 2020.</w:t>
      </w:r>
    </w:p>
    <w:p w14:paraId="20D0A572" w14:textId="664B555D" w:rsidR="0033445F" w:rsidRPr="00834CDC" w:rsidRDefault="0033445F" w:rsidP="0033445F">
      <w:pPr>
        <w:pStyle w:val="Heading3"/>
        <w:divId w:val="1988506822"/>
      </w:pPr>
      <w:r w:rsidRPr="00834CDC">
        <w:t xml:space="preserve">Influenza vaccination – children, </w:t>
      </w:r>
      <w:proofErr w:type="gramStart"/>
      <w:r w:rsidRPr="00834CDC">
        <w:t>adolescents</w:t>
      </w:r>
      <w:proofErr w:type="gramEnd"/>
      <w:r w:rsidRPr="00834CDC">
        <w:t xml:space="preserve"> and adults </w:t>
      </w:r>
    </w:p>
    <w:p w14:paraId="7F67C50D" w14:textId="56A8F7A2" w:rsidR="00A80261" w:rsidRPr="00834CDC" w:rsidRDefault="0033445F" w:rsidP="0033445F">
      <w:pPr>
        <w:divId w:val="1988506822"/>
      </w:pPr>
      <w:r w:rsidRPr="00834CDC">
        <w:t xml:space="preserve">National vaccination uptake of at least one dose of influenza vaccine recorded on AIR in 2019 </w:t>
      </w:r>
      <w:proofErr w:type="gramStart"/>
      <w:r w:rsidRPr="00834CDC">
        <w:t>is presented</w:t>
      </w:r>
      <w:proofErr w:type="gramEnd"/>
      <w:r w:rsidRPr="00834CDC">
        <w:t xml:space="preserve"> by age group for Aboriginal and Torres Strait Islander people and other Australians in Figure 30. Influenza vaccination uptake among Aboriginal and Torres Strait Islander people was higher than that for other Australians for each age group. In the 10 –&lt; 15 years age group, influenza uptake was 29.4% among Aboriginal and Torres Strait Islander people, 11.4 percentage points higher than that of other Australians. The uptake of influenza vaccination among Aboriginal and Torres Strait Islander people was 31.1% in the 20 –&lt; 50 age group, 16.3 percentage points higher than that in other Australians. Similarly, influenza vaccination uptake was more than double in Aboriginal and Torres Strait Islander people than in other Australians in the 50 –&lt; </w:t>
      </w:r>
      <w:proofErr w:type="gramStart"/>
      <w:r w:rsidRPr="00834CDC">
        <w:t>65 year</w:t>
      </w:r>
      <w:proofErr w:type="gramEnd"/>
      <w:r w:rsidRPr="00834CDC">
        <w:t xml:space="preserve"> age group (52.7% vs 24.3%). The highest uptake was among those aged ≥ 75 years for both Aboriginal and Torres Strait Islander people and other Australians, with a differential of 21.1 percentage points (83.5% vs 62.4%). </w:t>
      </w:r>
    </w:p>
    <w:p w14:paraId="2B30E85B" w14:textId="77777777" w:rsidR="00A80261" w:rsidRPr="00834CDC" w:rsidRDefault="00A80261">
      <w:r w:rsidRPr="00834CDC">
        <w:br w:type="page"/>
      </w:r>
    </w:p>
    <w:p w14:paraId="0E4EC81F" w14:textId="7CAB28ED" w:rsidR="00A80261" w:rsidRPr="00834CDC" w:rsidRDefault="00A80261" w:rsidP="00A80261">
      <w:pPr>
        <w:pStyle w:val="CDIFigures"/>
        <w:divId w:val="1988506822"/>
      </w:pPr>
      <w:r w:rsidRPr="00834CDC">
        <w:rPr>
          <w:rStyle w:val="Strong"/>
          <w:b/>
          <w:bCs w:val="0"/>
        </w:rPr>
        <w:lastRenderedPageBreak/>
        <w:t xml:space="preserve">Figure 30: Recorded uptake of seasonal influenza vaccine </w:t>
      </w:r>
      <w:r w:rsidRPr="00834CDC">
        <w:rPr>
          <w:rStyle w:val="Strong"/>
          <w:b/>
          <w:bCs w:val="0"/>
          <w:vertAlign w:val="superscript"/>
        </w:rPr>
        <w:t>a</w:t>
      </w:r>
      <w:r w:rsidRPr="00834CDC">
        <w:rPr>
          <w:rStyle w:val="Strong"/>
          <w:b/>
          <w:bCs w:val="0"/>
        </w:rPr>
        <w:t xml:space="preserve"> by age group, and Aboriginal and Torres Strait Islander status, Australia, 2019 </w:t>
      </w:r>
      <w:r w:rsidRPr="00834CDC">
        <w:rPr>
          <w:rStyle w:val="Strong"/>
          <w:b/>
          <w:bCs w:val="0"/>
          <w:vertAlign w:val="superscript"/>
        </w:rPr>
        <w:t>b</w:t>
      </w:r>
    </w:p>
    <w:p w14:paraId="7F6017A9" w14:textId="77777777" w:rsidR="00A80261" w:rsidRPr="00834CDC" w:rsidRDefault="00A80261" w:rsidP="00A80261">
      <w:pPr>
        <w:pStyle w:val="NormalWeb"/>
        <w:divId w:val="1988506822"/>
      </w:pPr>
      <w:r w:rsidRPr="00834CDC">
        <w:rPr>
          <w:noProof/>
        </w:rPr>
        <w:drawing>
          <wp:inline distT="0" distB="0" distL="0" distR="0" wp14:anchorId="3C9FC557" wp14:editId="525B8F1D">
            <wp:extent cx="6629400" cy="4214499"/>
            <wp:effectExtent l="0" t="0" r="0" b="0"/>
            <wp:docPr id="33" name="Picture 33" descr="Bar chart showing the uptake of seasonal influenza vaccine in 2019, by age group and Aboriginal and Torres Strait Islander status. Uptake of the influenza vaccine was higher among Aboriginal and Torres Strait Islander people across all age groups. Coverage was 44% among Aboriginal and Torres Strait Islander children between 6 months and &lt;5 years. Coverage decreased with increasing age to 27% among Aboriginal and Torres Strait Islander people aged 15 to &lt;20 years and then increased again with increasing age to 84% in Aboriginal and Torres Strait Islander people aged 75 years and ol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ar chart showing the uptake of seasonal influenza vaccine in 2019, by age group and Aboriginal and Torres Strait Islander status. Uptake of the influenza vaccine was higher among Aboriginal and Torres Strait Islander people across all age groups. Coverage was 44% among Aboriginal and Torres Strait Islander children between 6 months and &lt;5 years. Coverage decreased with increasing age to 27% among Aboriginal and Torres Strait Islander people aged 15 to &lt;20 years and then increased again with increasing age to 84% in Aboriginal and Torres Strait Islander people aged 75 years and older.&#10;"/>
                    <pic:cNvPicPr>
                      <a:picLocks noChangeAspect="1" noChangeArrowheads="1"/>
                    </pic:cNvPicPr>
                  </pic:nvPicPr>
                  <pic:blipFill>
                    <a:blip r:link="rId41">
                      <a:extLst>
                        <a:ext uri="{28A0092B-C50C-407E-A947-70E740481C1C}">
                          <a14:useLocalDpi xmlns:a14="http://schemas.microsoft.com/office/drawing/2010/main" val="0"/>
                        </a:ext>
                      </a:extLst>
                    </a:blip>
                    <a:stretch>
                      <a:fillRect/>
                    </a:stretch>
                  </pic:blipFill>
                  <pic:spPr bwMode="auto">
                    <a:xfrm>
                      <a:off x="0" y="0"/>
                      <a:ext cx="6635796" cy="4218565"/>
                    </a:xfrm>
                    <a:prstGeom prst="rect">
                      <a:avLst/>
                    </a:prstGeom>
                  </pic:spPr>
                </pic:pic>
              </a:graphicData>
            </a:graphic>
          </wp:inline>
        </w:drawing>
      </w:r>
    </w:p>
    <w:p w14:paraId="2478BCC3" w14:textId="77777777" w:rsidR="00A80261" w:rsidRPr="00834CDC" w:rsidRDefault="00A80261" w:rsidP="00A80261">
      <w:pPr>
        <w:pStyle w:val="CDIfootnotes"/>
        <w:divId w:val="1988506822"/>
      </w:pPr>
      <w:proofErr w:type="spellStart"/>
      <w:r w:rsidRPr="00834CDC">
        <w:t>a</w:t>
      </w:r>
      <w:proofErr w:type="spellEnd"/>
      <w:r w:rsidRPr="00834CDC">
        <w:tab/>
        <w:t>Any influenza vaccine dose.</w:t>
      </w:r>
    </w:p>
    <w:p w14:paraId="021765CC" w14:textId="1D8E2288" w:rsidR="0033445F" w:rsidRPr="00834CDC" w:rsidRDefault="00A80261" w:rsidP="00A80261">
      <w:pPr>
        <w:pStyle w:val="CDIfootnotes"/>
        <w:divId w:val="1988506822"/>
      </w:pPr>
      <w:r w:rsidRPr="00834CDC">
        <w:t>b</w:t>
      </w:r>
      <w:r w:rsidRPr="00834CDC">
        <w:tab/>
        <w:t xml:space="preserve">Source: Australian Immunisation Register, data as </w:t>
      </w:r>
      <w:proofErr w:type="gramStart"/>
      <w:r w:rsidRPr="00834CDC">
        <w:t>at</w:t>
      </w:r>
      <w:proofErr w:type="gramEnd"/>
      <w:r w:rsidRPr="00834CDC">
        <w:t xml:space="preserve"> 31 March 2021.</w:t>
      </w:r>
    </w:p>
    <w:p w14:paraId="4AFF7E3B" w14:textId="77777777" w:rsidR="0033445F" w:rsidRPr="00834CDC" w:rsidRDefault="0033445F" w:rsidP="0033445F">
      <w:pPr>
        <w:pStyle w:val="Heading2"/>
        <w:divId w:val="1988506822"/>
      </w:pPr>
      <w:r w:rsidRPr="00834CDC">
        <w:t xml:space="preserve">Discussion </w:t>
      </w:r>
    </w:p>
    <w:p w14:paraId="469A76AC" w14:textId="77777777" w:rsidR="0033445F" w:rsidRPr="00834CDC" w:rsidRDefault="0033445F" w:rsidP="0033445F">
      <w:pPr>
        <w:divId w:val="1988506822"/>
      </w:pPr>
      <w:r w:rsidRPr="00834CDC">
        <w:t xml:space="preserve">In Australia, Aboriginal and Torres Strait Islander coverage estimates for ‘fully vaccinated’ coverage at 12, 24 and 60 months of age improved between 2016 and 2019, although coverage was lower each year than that of other children at 12 and 24 months of age. The percentage of Aboriginal and Torres Strait Islander children assessed as ‘fully vaccinated’ by 12 months of age increased by 3.3 percentage points over the four-year period, leading to a halving of the coverage differential between Aboriginal and Torres Strait Islander children and other children. ‘Fully vaccinated’ coverage estimated at 24 months of age decreased in late 2016 following the change in coverage algorithm to include 4 doses of </w:t>
      </w:r>
      <w:proofErr w:type="spellStart"/>
      <w:r w:rsidRPr="00834CDC">
        <w:t>DTPa</w:t>
      </w:r>
      <w:proofErr w:type="spellEnd"/>
      <w:r w:rsidRPr="00834CDC">
        <w:t xml:space="preserve">-containing </w:t>
      </w:r>
      <w:proofErr w:type="gramStart"/>
      <w:r w:rsidRPr="00834CDC">
        <w:t>vaccine, but</w:t>
      </w:r>
      <w:proofErr w:type="gramEnd"/>
      <w:r w:rsidRPr="00834CDC">
        <w:t xml:space="preserve"> increased from March 2017 to reach 88.8% in Aboriginal and Torres Strait Islander children at the end of 2019, 0.2 percentage points above the coverage rate at the beginning of the reporting period. Coverage assessed at 24 months of age is lower than that at 12 and 60 months, </w:t>
      </w:r>
      <w:proofErr w:type="gramStart"/>
      <w:r w:rsidRPr="00834CDC">
        <w:t>mainly due</w:t>
      </w:r>
      <w:proofErr w:type="gramEnd"/>
      <w:r w:rsidRPr="00834CDC">
        <w:t xml:space="preserve"> to the larger number of vaccines/antigens required to be ‘fully vaccinated’ at 24 months. </w:t>
      </w:r>
    </w:p>
    <w:p w14:paraId="2EC78B23" w14:textId="77777777" w:rsidR="0033445F" w:rsidRPr="00834CDC" w:rsidRDefault="0033445F" w:rsidP="0033445F">
      <w:pPr>
        <w:divId w:val="1988506822"/>
      </w:pPr>
      <w:r w:rsidRPr="00834CDC">
        <w:t xml:space="preserve">‘Fully vaccinated’ coverage by 60 months of age among Aboriginal and Torres Strait Islander children improved by 2.2 percentage points over the four-year period and was also 2.1 percentage points higher than coverage in other children by the end of 2019. The coverage estimates for Aboriginal and Torres Strait Islander children at 12, 24 and 60 months in 2019 varied </w:t>
      </w:r>
      <w:proofErr w:type="gramStart"/>
      <w:r w:rsidRPr="00834CDC">
        <w:t>substantially between</w:t>
      </w:r>
      <w:proofErr w:type="gramEnd"/>
      <w:r w:rsidRPr="00834CDC">
        <w:t xml:space="preserve"> states and territories and between SA4s. </w:t>
      </w:r>
    </w:p>
    <w:p w14:paraId="383191B6" w14:textId="77777777" w:rsidR="0033445F" w:rsidRPr="00834CDC" w:rsidRDefault="0033445F" w:rsidP="0033445F">
      <w:pPr>
        <w:divId w:val="1988506822"/>
      </w:pPr>
      <w:r w:rsidRPr="00834CDC">
        <w:t xml:space="preserve">Coverage for hepatitis A vaccine and the fourth dose of 13vPCV, which are funded under the NIP for Aboriginal and Torres Strait Islander children in four jurisdictions only (South Australia, Northern Territory, Queensland and </w:t>
      </w:r>
      <w:r w:rsidRPr="00834CDC">
        <w:lastRenderedPageBreak/>
        <w:t xml:space="preserve">Western Australia), remained suboptimal in 2019, at 72.2% and 62.0%, respectively, although coverage in the Northern Territory continued to be substantially higher than in the other three jurisdictions. Coverage of the fourth dose of 13vPCV vaccine only increased between 2016 and 2019 in South Australia (68.8% to 74.1%) and the Northern Territory (86.5% to 92.6%). Recorded national influenza vaccination uptake in Aboriginal and Torres Strait Islander children aged 6 months to 5 years increased </w:t>
      </w:r>
      <w:proofErr w:type="gramStart"/>
      <w:r w:rsidRPr="00834CDC">
        <w:t>substantially over</w:t>
      </w:r>
      <w:proofErr w:type="gramEnd"/>
      <w:r w:rsidRPr="00834CDC">
        <w:t xml:space="preserve"> the four-year reporting period, from 11.6% in 2016 to 43.6% in 2019, and now is very similar to uptake in other children (41.6%). Influenza vaccination is funded for all Aboriginal and Torres Strait Islander children aged 6 months and older, </w:t>
      </w:r>
      <w:proofErr w:type="gramStart"/>
      <w:r w:rsidRPr="00834CDC">
        <w:t>whereas</w:t>
      </w:r>
      <w:proofErr w:type="gramEnd"/>
      <w:r w:rsidRPr="00834CDC">
        <w:t xml:space="preserve"> it is only funded for non-Aboriginal and Torres Strait Islander children aged 6 months to 4 years with specified underlying medical conditions. </w:t>
      </w:r>
    </w:p>
    <w:p w14:paraId="60AFBE58" w14:textId="77777777" w:rsidR="0033445F" w:rsidRPr="00834CDC" w:rsidRDefault="0033445F" w:rsidP="0033445F">
      <w:pPr>
        <w:divId w:val="1988506822"/>
      </w:pPr>
      <w:r w:rsidRPr="00834CDC">
        <w:t xml:space="preserve">As Aboriginal and Torres Strait Islander children are more vulnerable to severe disease, </w:t>
      </w:r>
      <w:proofErr w:type="gramStart"/>
      <w:r w:rsidRPr="00834CDC">
        <w:t>timely</w:t>
      </w:r>
      <w:proofErr w:type="gramEnd"/>
      <w:r w:rsidRPr="00834CDC">
        <w:t xml:space="preserve"> vaccination, at the earliest appropriate age, remains an important public health goal. Most children do eventually complete the scheduled vaccination series, </w:t>
      </w:r>
      <w:proofErr w:type="gramStart"/>
      <w:r w:rsidRPr="00834CDC">
        <w:t>evident</w:t>
      </w:r>
      <w:proofErr w:type="gramEnd"/>
      <w:r w:rsidRPr="00834CDC">
        <w:t xml:space="preserve"> as ‘fully vaccinated’ coverage in Aboriginal and Torres Strait Islander children surpasses that of other children by the 60-month milestone. However, many Aboriginal and Torres Strait Islander children are still not vaccinated </w:t>
      </w:r>
      <w:proofErr w:type="gramStart"/>
      <w:r w:rsidRPr="00834CDC">
        <w:t>in a timely manner</w:t>
      </w:r>
      <w:proofErr w:type="gramEnd"/>
      <w:r w:rsidRPr="00834CDC">
        <w:t xml:space="preserve">; and, despite improvements in on-time vaccination between 2016 and 2019, delayed vaccination has continued to be a persistent concern for Aboriginal and Torres Strait Islander children in Australia. For each vaccine assessed, the percentage of Aboriginal and Torres Strait Islander children vaccinated on-time was </w:t>
      </w:r>
      <w:proofErr w:type="gramStart"/>
      <w:r w:rsidRPr="00834CDC">
        <w:t>substantially lower</w:t>
      </w:r>
      <w:proofErr w:type="gramEnd"/>
      <w:r w:rsidRPr="00834CDC">
        <w:t xml:space="preserve"> than the percentage for other children. Further compounding the timeliness issue for Aboriginal and Torres Strait Islander children is the higher percentage receiving these vaccines very late (</w:t>
      </w:r>
      <w:proofErr w:type="gramStart"/>
      <w:r w:rsidRPr="00834CDC">
        <w:t>i.e.</w:t>
      </w:r>
      <w:proofErr w:type="gramEnd"/>
      <w:r w:rsidRPr="00834CDC">
        <w:t xml:space="preserve"> at ≥ 7 months after the schedule point) compared with other children. Key strategies aimed at closing the vaccination timeliness gaps, between Aboriginal and Torres Strait Islander and other children, have included: improving Aboriginal and Torres Strait Islander identification; contacting parents of Aboriginal and Torres Strait Islander children before the child’s vaccination due date (pre-call notices); personalised vaccination calendars/applications; providing immunisation providers with tools to monitor timely coverage data for Aboriginal and Torres Strait Islander children; and promoting immunisation in local Aboriginal and Torres Strait Islander communities.</w:t>
      </w:r>
      <w:r w:rsidRPr="00834CDC">
        <w:rPr>
          <w:vertAlign w:val="superscript"/>
        </w:rPr>
        <w:t>243,244</w:t>
      </w:r>
      <w:r w:rsidRPr="00834CDC">
        <w:t xml:space="preserve"> A dedicated Aboriginal Immunisation Healthcare Worker Program, funded by NSW Health since 2012, is proving to be an effective public health intervention in that state, improving the timeliness of Aboriginal and Torres Strait Islander childhood vaccinations.</w:t>
      </w:r>
      <w:r w:rsidRPr="00834CDC">
        <w:rPr>
          <w:vertAlign w:val="superscript"/>
        </w:rPr>
        <w:t>245</w:t>
      </w:r>
      <w:r w:rsidRPr="00834CDC">
        <w:t xml:space="preserve"> </w:t>
      </w:r>
    </w:p>
    <w:p w14:paraId="51261DE5" w14:textId="77777777" w:rsidR="0033445F" w:rsidRPr="00834CDC" w:rsidRDefault="0033445F" w:rsidP="0033445F">
      <w:pPr>
        <w:divId w:val="1988506822"/>
      </w:pPr>
      <w:r w:rsidRPr="00834CDC">
        <w:t xml:space="preserve">Aboriginal and Torres Strait Islander adolescent and adult vaccination coverage data </w:t>
      </w:r>
      <w:proofErr w:type="gramStart"/>
      <w:r w:rsidRPr="00834CDC">
        <w:t>were presented</w:t>
      </w:r>
      <w:proofErr w:type="gramEnd"/>
      <w:r w:rsidRPr="00834CDC">
        <w:t xml:space="preserve"> for the first time in this series of reports. HPV vaccination coverage, now derived from the AIR rather than from the National HPV Vaccination Program Register as in earlier reports, is </w:t>
      </w:r>
      <w:proofErr w:type="gramStart"/>
      <w:r w:rsidRPr="00834CDC">
        <w:t>several</w:t>
      </w:r>
      <w:proofErr w:type="gramEnd"/>
      <w:r w:rsidRPr="00834CDC">
        <w:t xml:space="preserve"> percentage points higher among adolescent girls than among adolescent boys, for all birth cohorts and for both Aboriginal and Torres Strait Islander and other adolescents. Completion of the HPV vaccination schedule is lower in Aboriginal and Torres Strait Islander adolescents aged 15 years (77.9% for females, 71.8% for males) than in other adolescents (82.8% for females, 80.3% for males). With modelling of both sex HPV vaccination programs suggesting that sustained population vaccination coverage of over 80% will be sufficient for elimination of targeted HPV types, Australia looks well placed to achieve this.</w:t>
      </w:r>
      <w:r w:rsidRPr="00834CDC">
        <w:rPr>
          <w:vertAlign w:val="superscript"/>
        </w:rPr>
        <w:t>246</w:t>
      </w:r>
      <w:r w:rsidRPr="00834CDC">
        <w:t xml:space="preserve"> </w:t>
      </w:r>
    </w:p>
    <w:p w14:paraId="3E55B18F" w14:textId="77777777" w:rsidR="0033445F" w:rsidRPr="00834CDC" w:rsidRDefault="0033445F" w:rsidP="0033445F">
      <w:pPr>
        <w:divId w:val="1988506822"/>
      </w:pPr>
      <w:r w:rsidRPr="00834CDC">
        <w:t xml:space="preserve">For adolescents aged 17 years, national coverage of the meningococcal ACWY vaccine was 64.1% among Aboriginal and Torres Strait Islander adolescents and 69.5% among other adolescents. Coverage in this age group varied by </w:t>
      </w:r>
      <w:proofErr w:type="gramStart"/>
      <w:r w:rsidRPr="00834CDC">
        <w:t>jurisdiction</w:t>
      </w:r>
      <w:proofErr w:type="gramEnd"/>
      <w:r w:rsidRPr="00834CDC">
        <w:t xml:space="preserve">, reflecting the different programs in place and funded by states and territories, with the lowest coverage in South Australia for both Aboriginal and Torres Strait Islander (24.4%) and other (16.4%) adolescents. The low coverage in South Australia is </w:t>
      </w:r>
      <w:proofErr w:type="gramStart"/>
      <w:r w:rsidRPr="00834CDC">
        <w:t>likely due</w:t>
      </w:r>
      <w:proofErr w:type="gramEnd"/>
      <w:r w:rsidRPr="00834CDC">
        <w:t xml:space="preserve"> to the jurisdictional program being only for Aboriginal and Torres Strait Islander adolescents living in the Eyre and Far North, and Flinders and Upper North regions of South Australia. </w:t>
      </w:r>
    </w:p>
    <w:p w14:paraId="78898CD8" w14:textId="77777777" w:rsidR="0033445F" w:rsidRPr="00834CDC" w:rsidRDefault="0033445F" w:rsidP="0033445F">
      <w:pPr>
        <w:divId w:val="1988506822"/>
      </w:pPr>
      <w:r w:rsidRPr="00834CDC">
        <w:t xml:space="preserve">Recorded zoster vaccination coverage in 2019 was slightly higher in Aboriginal and Torres Strait Islander 70-year-olds than in other adults, but still relatively low at 33.2%. While recorded influenza vaccine coverage was </w:t>
      </w:r>
      <w:proofErr w:type="gramStart"/>
      <w:r w:rsidRPr="00834CDC">
        <w:t>relatively high</w:t>
      </w:r>
      <w:proofErr w:type="gramEnd"/>
      <w:r w:rsidRPr="00834CDC">
        <w:t xml:space="preserve"> in older Aboriginal and Torres Strait Islander adults, at 74.9% for those aged 65 –&lt; 75 years and 83.5% for 75 years and over, coverage in younger adults was suboptimal, ranging from 31.1% for those aged 20 –&lt; 50 years to 52.7% for </w:t>
      </w:r>
      <w:r w:rsidRPr="00834CDC">
        <w:lastRenderedPageBreak/>
        <w:t xml:space="preserve">50 –&lt; 65 years. Further efforts to increase uptake are </w:t>
      </w:r>
      <w:proofErr w:type="gramStart"/>
      <w:r w:rsidRPr="00834CDC">
        <w:t>required</w:t>
      </w:r>
      <w:proofErr w:type="gramEnd"/>
      <w:r w:rsidRPr="00834CDC">
        <w:t xml:space="preserve">, given that annual influenza vaccination is funded on the NIP for all Aboriginal and Torres Strait Islander adults, due to their increased risk of severe disease. However, influenza vaccine coverage was higher in Aboriginal and Torres Strait Islander adults in 2019 than in other adults, across all age groups, ranging from 16.3 percentage points higher for the 20 –&lt; </w:t>
      </w:r>
      <w:proofErr w:type="gramStart"/>
      <w:r w:rsidRPr="00834CDC">
        <w:t>50 year</w:t>
      </w:r>
      <w:proofErr w:type="gramEnd"/>
      <w:r w:rsidRPr="00834CDC">
        <w:t xml:space="preserve"> age group to 28.4 percentage points higher for the 50 –&lt; 65 year age group. Influenza vaccination </w:t>
      </w:r>
      <w:proofErr w:type="gramStart"/>
      <w:r w:rsidRPr="00834CDC">
        <w:t>is only funded</w:t>
      </w:r>
      <w:proofErr w:type="gramEnd"/>
      <w:r w:rsidRPr="00834CDC">
        <w:t xml:space="preserve"> for non- Aboriginal and Torres Strait Islander adults aged 65 years and over or with specified underlying medical conditions. Zoster and influenza vaccine coverage data presented should be regarded as </w:t>
      </w:r>
      <w:proofErr w:type="gramStart"/>
      <w:r w:rsidRPr="00834CDC">
        <w:t>minimum</w:t>
      </w:r>
      <w:proofErr w:type="gramEnd"/>
      <w:r w:rsidRPr="00834CDC">
        <w:t xml:space="preserve"> estimates due to likely substantial under-reporting of adult vaccinations. Completeness of reporting is </w:t>
      </w:r>
      <w:proofErr w:type="gramStart"/>
      <w:r w:rsidRPr="00834CDC">
        <w:t>anticipated</w:t>
      </w:r>
      <w:proofErr w:type="gramEnd"/>
      <w:r w:rsidRPr="00834CDC">
        <w:t xml:space="preserve"> to improve following introduction of mandatory reporting in 2021.</w:t>
      </w:r>
    </w:p>
    <w:p w14:paraId="4FED28C3" w14:textId="77777777" w:rsidR="0033445F" w:rsidRPr="00834CDC" w:rsidRDefault="0033445F" w:rsidP="004C5E20">
      <w:pPr>
        <w:pStyle w:val="Heading2"/>
        <w:spacing w:after="200"/>
        <w:divId w:val="1988506822"/>
      </w:pPr>
      <w:r w:rsidRPr="00834CDC">
        <w:t xml:space="preserve">Author details </w:t>
      </w:r>
    </w:p>
    <w:p w14:paraId="5841A910" w14:textId="77777777" w:rsidR="0033445F" w:rsidRPr="00834CDC" w:rsidRDefault="0033445F" w:rsidP="0033445F">
      <w:pPr>
        <w:divId w:val="1988506822"/>
      </w:pPr>
      <w:r w:rsidRPr="00834CDC">
        <w:t xml:space="preserve">This report was prepared at the National Centre for Immunisation Research and Surveillance (NCIRS) by: </w:t>
      </w:r>
    </w:p>
    <w:p w14:paraId="69FFBE0D" w14:textId="77777777" w:rsidR="0033445F" w:rsidRPr="00834CDC" w:rsidRDefault="0033445F" w:rsidP="00884876">
      <w:pPr>
        <w:pStyle w:val="NoSpacing"/>
        <w:divId w:val="1988506822"/>
      </w:pPr>
      <w:r w:rsidRPr="00834CDC">
        <w:t>Dr Joanne Jackson,</w:t>
      </w:r>
      <w:r w:rsidRPr="00834CDC">
        <w:rPr>
          <w:vertAlign w:val="superscript"/>
        </w:rPr>
        <w:t>1</w:t>
      </w:r>
      <w:r w:rsidRPr="00834CDC">
        <w:t xml:space="preserve"> </w:t>
      </w:r>
    </w:p>
    <w:p w14:paraId="132AE080" w14:textId="77777777" w:rsidR="0033445F" w:rsidRPr="00834CDC" w:rsidRDefault="0033445F" w:rsidP="00884876">
      <w:pPr>
        <w:pStyle w:val="NoSpacing"/>
        <w:divId w:val="1988506822"/>
      </w:pPr>
      <w:r w:rsidRPr="00834CDC">
        <w:t>Dr Nicole Sonneveld,</w:t>
      </w:r>
      <w:r w:rsidRPr="00834CDC">
        <w:rPr>
          <w:vertAlign w:val="superscript"/>
        </w:rPr>
        <w:t>1</w:t>
      </w:r>
      <w:r w:rsidRPr="00834CDC">
        <w:t xml:space="preserve"> </w:t>
      </w:r>
    </w:p>
    <w:p w14:paraId="6EF357ED" w14:textId="77777777" w:rsidR="0033445F" w:rsidRPr="00834CDC" w:rsidRDefault="0033445F" w:rsidP="00884876">
      <w:pPr>
        <w:pStyle w:val="NoSpacing"/>
        <w:divId w:val="1988506822"/>
      </w:pPr>
      <w:r w:rsidRPr="00834CDC">
        <w:t xml:space="preserve">Dr </w:t>
      </w:r>
      <w:proofErr w:type="spellStart"/>
      <w:r w:rsidRPr="00834CDC">
        <w:t>Harunor</w:t>
      </w:r>
      <w:proofErr w:type="spellEnd"/>
      <w:r w:rsidRPr="00834CDC">
        <w:t xml:space="preserve"> Rashid,</w:t>
      </w:r>
      <w:r w:rsidRPr="00834CDC">
        <w:rPr>
          <w:vertAlign w:val="superscript"/>
        </w:rPr>
        <w:t>1</w:t>
      </w:r>
      <w:r w:rsidRPr="00834CDC">
        <w:t xml:space="preserve"> </w:t>
      </w:r>
    </w:p>
    <w:p w14:paraId="08811F9A" w14:textId="77777777" w:rsidR="0033445F" w:rsidRPr="00834CDC" w:rsidRDefault="0033445F" w:rsidP="00884876">
      <w:pPr>
        <w:pStyle w:val="NoSpacing"/>
        <w:divId w:val="1988506822"/>
      </w:pPr>
      <w:r w:rsidRPr="00834CDC">
        <w:t>Larissa Karpish,</w:t>
      </w:r>
      <w:r w:rsidRPr="00834CDC">
        <w:rPr>
          <w:vertAlign w:val="superscript"/>
        </w:rPr>
        <w:t>1</w:t>
      </w:r>
      <w:r w:rsidRPr="00834CDC">
        <w:t xml:space="preserve"> </w:t>
      </w:r>
    </w:p>
    <w:p w14:paraId="5CA61E33" w14:textId="77777777" w:rsidR="0033445F" w:rsidRPr="00834CDC" w:rsidRDefault="0033445F" w:rsidP="00884876">
      <w:pPr>
        <w:pStyle w:val="NoSpacing"/>
        <w:divId w:val="1988506822"/>
      </w:pPr>
      <w:proofErr w:type="spellStart"/>
      <w:r w:rsidRPr="00834CDC">
        <w:t>Seaneen</w:t>
      </w:r>
      <w:proofErr w:type="spellEnd"/>
      <w:r w:rsidRPr="00834CDC">
        <w:t xml:space="preserve"> Wallace,</w:t>
      </w:r>
      <w:r w:rsidRPr="00834CDC">
        <w:rPr>
          <w:vertAlign w:val="superscript"/>
        </w:rPr>
        <w:t>1</w:t>
      </w:r>
      <w:r w:rsidRPr="00834CDC">
        <w:t xml:space="preserve"> </w:t>
      </w:r>
    </w:p>
    <w:p w14:paraId="6BE180C3" w14:textId="77777777" w:rsidR="0033445F" w:rsidRPr="00834CDC" w:rsidRDefault="0033445F" w:rsidP="00884876">
      <w:pPr>
        <w:pStyle w:val="NoSpacing"/>
        <w:divId w:val="1988506822"/>
      </w:pPr>
      <w:r w:rsidRPr="00834CDC">
        <w:t>A/Prof. Lisa Whop,</w:t>
      </w:r>
      <w:r w:rsidRPr="00834CDC">
        <w:rPr>
          <w:vertAlign w:val="superscript"/>
        </w:rPr>
        <w:t>2</w:t>
      </w:r>
      <w:r w:rsidRPr="00834CDC">
        <w:t xml:space="preserve"> </w:t>
      </w:r>
    </w:p>
    <w:p w14:paraId="4515AACE" w14:textId="77777777" w:rsidR="0033445F" w:rsidRPr="00834CDC" w:rsidRDefault="0033445F" w:rsidP="00884876">
      <w:pPr>
        <w:pStyle w:val="NoSpacing"/>
        <w:divId w:val="1988506822"/>
      </w:pPr>
      <w:r w:rsidRPr="00834CDC">
        <w:t>Cyra Patel,</w:t>
      </w:r>
      <w:r w:rsidRPr="00834CDC">
        <w:rPr>
          <w:vertAlign w:val="superscript"/>
        </w:rPr>
        <w:t>1</w:t>
      </w:r>
      <w:r w:rsidRPr="00834CDC">
        <w:t xml:space="preserve"> </w:t>
      </w:r>
    </w:p>
    <w:p w14:paraId="6B468550" w14:textId="77777777" w:rsidR="0033445F" w:rsidRPr="00834CDC" w:rsidRDefault="0033445F" w:rsidP="00884876">
      <w:pPr>
        <w:pStyle w:val="NoSpacing"/>
        <w:divId w:val="1988506822"/>
      </w:pPr>
      <w:r w:rsidRPr="00834CDC">
        <w:t>Prof. Julia Brotherton,</w:t>
      </w:r>
      <w:r w:rsidRPr="00834CDC">
        <w:rPr>
          <w:vertAlign w:val="superscript"/>
        </w:rPr>
        <w:t>1,3</w:t>
      </w:r>
      <w:r w:rsidRPr="00834CDC">
        <w:t xml:space="preserve"> </w:t>
      </w:r>
    </w:p>
    <w:p w14:paraId="0B753E29" w14:textId="77777777" w:rsidR="0033445F" w:rsidRPr="00834CDC" w:rsidRDefault="0033445F" w:rsidP="00884876">
      <w:pPr>
        <w:pStyle w:val="NoSpacing"/>
        <w:divId w:val="1988506822"/>
      </w:pPr>
      <w:r w:rsidRPr="00834CDC">
        <w:t>Han Wang,</w:t>
      </w:r>
      <w:r w:rsidRPr="00834CDC">
        <w:rPr>
          <w:vertAlign w:val="superscript"/>
        </w:rPr>
        <w:t>1</w:t>
      </w:r>
      <w:r w:rsidRPr="00834CDC">
        <w:t xml:space="preserve"> </w:t>
      </w:r>
    </w:p>
    <w:p w14:paraId="2BDE542E" w14:textId="77777777" w:rsidR="0033445F" w:rsidRPr="00834CDC" w:rsidRDefault="0033445F" w:rsidP="00884876">
      <w:pPr>
        <w:pStyle w:val="NoSpacing"/>
        <w:divId w:val="1988506822"/>
      </w:pPr>
      <w:r w:rsidRPr="00834CDC">
        <w:t>Dr Alexandra Hendry,</w:t>
      </w:r>
      <w:r w:rsidRPr="00834CDC">
        <w:rPr>
          <w:vertAlign w:val="superscript"/>
        </w:rPr>
        <w:t>1</w:t>
      </w:r>
      <w:r w:rsidRPr="00834CDC">
        <w:t xml:space="preserve"> </w:t>
      </w:r>
    </w:p>
    <w:p w14:paraId="0B5045C7" w14:textId="77777777" w:rsidR="0033445F" w:rsidRPr="00834CDC" w:rsidRDefault="0033445F" w:rsidP="00884876">
      <w:pPr>
        <w:pStyle w:val="NoSpacing"/>
        <w:divId w:val="1988506822"/>
      </w:pPr>
      <w:r w:rsidRPr="00834CDC">
        <w:t>Brynley Hull,</w:t>
      </w:r>
      <w:r w:rsidRPr="00834CDC">
        <w:rPr>
          <w:vertAlign w:val="superscript"/>
        </w:rPr>
        <w:t>1</w:t>
      </w:r>
      <w:r w:rsidRPr="00834CDC">
        <w:t xml:space="preserve"> </w:t>
      </w:r>
    </w:p>
    <w:p w14:paraId="21918756" w14:textId="77777777" w:rsidR="0033445F" w:rsidRPr="00834CDC" w:rsidRDefault="0033445F" w:rsidP="00884876">
      <w:pPr>
        <w:pStyle w:val="NoSpacing"/>
        <w:divId w:val="1988506822"/>
      </w:pPr>
      <w:r w:rsidRPr="00834CDC">
        <w:t>Katrina Clark,</w:t>
      </w:r>
      <w:r w:rsidRPr="00834CDC">
        <w:rPr>
          <w:vertAlign w:val="superscript"/>
        </w:rPr>
        <w:t>1</w:t>
      </w:r>
      <w:r w:rsidRPr="00834CDC">
        <w:t xml:space="preserve"> </w:t>
      </w:r>
    </w:p>
    <w:p w14:paraId="6701AFE1" w14:textId="77777777" w:rsidR="0033445F" w:rsidRPr="00834CDC" w:rsidRDefault="0033445F" w:rsidP="00884876">
      <w:pPr>
        <w:pStyle w:val="NoSpacing"/>
        <w:divId w:val="1988506822"/>
      </w:pPr>
      <w:r w:rsidRPr="00834CDC">
        <w:t>A/Prof. Stephen Lambert,</w:t>
      </w:r>
      <w:r w:rsidRPr="00834CDC">
        <w:rPr>
          <w:vertAlign w:val="superscript"/>
        </w:rPr>
        <w:t>1</w:t>
      </w:r>
      <w:r w:rsidRPr="00834CDC">
        <w:t xml:space="preserve"> </w:t>
      </w:r>
    </w:p>
    <w:p w14:paraId="46C52913" w14:textId="77777777" w:rsidR="0033445F" w:rsidRPr="00834CDC" w:rsidRDefault="0033445F" w:rsidP="00884876">
      <w:pPr>
        <w:pStyle w:val="NoSpacing"/>
        <w:divId w:val="1988506822"/>
      </w:pPr>
      <w:r w:rsidRPr="00834CDC">
        <w:t>Dr Aditi Dey,</w:t>
      </w:r>
      <w:r w:rsidRPr="00834CDC">
        <w:rPr>
          <w:vertAlign w:val="superscript"/>
        </w:rPr>
        <w:t>1,4</w:t>
      </w:r>
      <w:r w:rsidRPr="00834CDC">
        <w:t xml:space="preserve"> </w:t>
      </w:r>
    </w:p>
    <w:p w14:paraId="14C58BAE" w14:textId="0FC7DE01" w:rsidR="0033445F" w:rsidRPr="00834CDC" w:rsidRDefault="0033445F" w:rsidP="00884876">
      <w:pPr>
        <w:pStyle w:val="NoSpacing"/>
        <w:divId w:val="1988506822"/>
        <w:rPr>
          <w:vertAlign w:val="superscript"/>
        </w:rPr>
      </w:pPr>
      <w:r w:rsidRPr="00834CDC">
        <w:t>A/Prof. Frank Beard</w:t>
      </w:r>
      <w:r w:rsidRPr="00834CDC">
        <w:rPr>
          <w:vertAlign w:val="superscript"/>
        </w:rPr>
        <w:t xml:space="preserve">1,4 </w:t>
      </w:r>
    </w:p>
    <w:p w14:paraId="019C7DF8" w14:textId="77777777" w:rsidR="0043265E" w:rsidRPr="00834CDC" w:rsidRDefault="0043265E" w:rsidP="00884876">
      <w:pPr>
        <w:pStyle w:val="NoSpacing"/>
        <w:divId w:val="1988506822"/>
      </w:pPr>
    </w:p>
    <w:p w14:paraId="798C5A83" w14:textId="77777777" w:rsidR="0033445F" w:rsidRPr="00834CDC" w:rsidRDefault="0033445F" w:rsidP="00DC40E1">
      <w:pPr>
        <w:pStyle w:val="ListParagraph"/>
        <w:numPr>
          <w:ilvl w:val="0"/>
          <w:numId w:val="7"/>
        </w:numPr>
        <w:divId w:val="1988506822"/>
        <w:rPr>
          <w:rFonts w:eastAsia="Times New Roman"/>
        </w:rPr>
      </w:pPr>
      <w:r w:rsidRPr="00834CDC">
        <w:rPr>
          <w:rFonts w:eastAsia="Times New Roman"/>
        </w:rPr>
        <w:t xml:space="preserve">National Centre for Immunisation Research and Surveillance, Westmead, New South Wales, Australia </w:t>
      </w:r>
    </w:p>
    <w:p w14:paraId="18795EA9" w14:textId="77777777" w:rsidR="0033445F" w:rsidRPr="00834CDC" w:rsidRDefault="0033445F" w:rsidP="00DC40E1">
      <w:pPr>
        <w:pStyle w:val="ListParagraph"/>
        <w:numPr>
          <w:ilvl w:val="0"/>
          <w:numId w:val="7"/>
        </w:numPr>
        <w:divId w:val="1988506822"/>
        <w:rPr>
          <w:rFonts w:eastAsia="Times New Roman"/>
        </w:rPr>
      </w:pPr>
      <w:r w:rsidRPr="00834CDC">
        <w:rPr>
          <w:rFonts w:eastAsia="Times New Roman"/>
        </w:rPr>
        <w:t xml:space="preserve">National Centre for Epidemiology and Population Health, Australian National University, Canberra, Australia </w:t>
      </w:r>
    </w:p>
    <w:p w14:paraId="033131AB" w14:textId="77777777" w:rsidR="0033445F" w:rsidRPr="00834CDC" w:rsidRDefault="0033445F" w:rsidP="00DC40E1">
      <w:pPr>
        <w:pStyle w:val="ListParagraph"/>
        <w:numPr>
          <w:ilvl w:val="0"/>
          <w:numId w:val="7"/>
        </w:numPr>
        <w:divId w:val="1988506822"/>
        <w:rPr>
          <w:rFonts w:eastAsia="Times New Roman"/>
        </w:rPr>
      </w:pPr>
      <w:r w:rsidRPr="00834CDC">
        <w:rPr>
          <w:rFonts w:eastAsia="Times New Roman"/>
        </w:rPr>
        <w:t xml:space="preserve">Australian Centre for the Prevention of Cervical Cancer, Carlton, Victoria, Australia </w:t>
      </w:r>
    </w:p>
    <w:p w14:paraId="114B3069" w14:textId="77777777" w:rsidR="0033445F" w:rsidRPr="00834CDC" w:rsidRDefault="0033445F" w:rsidP="00DC40E1">
      <w:pPr>
        <w:pStyle w:val="ListParagraph"/>
        <w:numPr>
          <w:ilvl w:val="0"/>
          <w:numId w:val="7"/>
        </w:numPr>
        <w:divId w:val="1988506822"/>
        <w:rPr>
          <w:rFonts w:eastAsia="Times New Roman"/>
        </w:rPr>
      </w:pPr>
      <w:r w:rsidRPr="00834CDC">
        <w:rPr>
          <w:rFonts w:eastAsia="Times New Roman"/>
        </w:rPr>
        <w:t xml:space="preserve">The University of Sydney, New South Wales, Australia </w:t>
      </w:r>
    </w:p>
    <w:p w14:paraId="0C8CE3F9" w14:textId="77777777" w:rsidR="0033445F" w:rsidRPr="00834CDC" w:rsidRDefault="0033445F" w:rsidP="003B0A02">
      <w:pPr>
        <w:pStyle w:val="Heading3"/>
        <w:spacing w:after="200"/>
        <w:divId w:val="1988506822"/>
      </w:pPr>
      <w:r w:rsidRPr="00834CDC">
        <w:t xml:space="preserve">Corresponding author </w:t>
      </w:r>
    </w:p>
    <w:p w14:paraId="141277F0" w14:textId="77777777" w:rsidR="0033445F" w:rsidRPr="00834CDC" w:rsidRDefault="0033445F" w:rsidP="00AF54EF">
      <w:pPr>
        <w:pStyle w:val="NoSpacing"/>
        <w:divId w:val="1988506822"/>
      </w:pPr>
      <w:r w:rsidRPr="00834CDC">
        <w:t xml:space="preserve">Dr Joanne Jackson </w:t>
      </w:r>
    </w:p>
    <w:p w14:paraId="238FF9AC" w14:textId="77777777" w:rsidR="0033445F" w:rsidRPr="00834CDC" w:rsidRDefault="0033445F" w:rsidP="00AF54EF">
      <w:pPr>
        <w:pStyle w:val="NoSpacing"/>
        <w:divId w:val="1988506822"/>
      </w:pPr>
      <w:r w:rsidRPr="00834CDC">
        <w:t xml:space="preserve">National Centre for Immunisation Research and Surveillance, Locked Bag 4001, Westmead NSW 2145, Australia </w:t>
      </w:r>
    </w:p>
    <w:p w14:paraId="6569F9E6" w14:textId="77777777" w:rsidR="0033445F" w:rsidRPr="00834CDC" w:rsidRDefault="0033445F" w:rsidP="00AF54EF">
      <w:pPr>
        <w:pStyle w:val="NoSpacing"/>
        <w:divId w:val="1988506822"/>
      </w:pPr>
      <w:r w:rsidRPr="00834CDC">
        <w:t xml:space="preserve">Phone: +61 2 9845 1433 </w:t>
      </w:r>
    </w:p>
    <w:p w14:paraId="2DA4D229" w14:textId="77777777" w:rsidR="0033445F" w:rsidRPr="00834CDC" w:rsidRDefault="0033445F" w:rsidP="00AF54EF">
      <w:pPr>
        <w:pStyle w:val="NoSpacing"/>
        <w:divId w:val="1988506822"/>
      </w:pPr>
      <w:r w:rsidRPr="00834CDC">
        <w:t>Email: joanne.jackson1@health.nsw.gov.au</w:t>
      </w:r>
    </w:p>
    <w:p w14:paraId="2D39B1E2" w14:textId="77777777" w:rsidR="00E5458A" w:rsidRPr="00834CDC" w:rsidRDefault="00E5458A">
      <w:pPr>
        <w:rPr>
          <w:rFonts w:asciiTheme="majorHAnsi" w:eastAsiaTheme="majorEastAsia" w:hAnsiTheme="majorHAnsi" w:cstheme="majorBidi"/>
          <w:b/>
          <w:bCs/>
          <w:sz w:val="32"/>
          <w:szCs w:val="28"/>
        </w:rPr>
      </w:pPr>
      <w:r w:rsidRPr="00834CDC">
        <w:br w:type="page"/>
      </w:r>
    </w:p>
    <w:p w14:paraId="1F9DA9C8" w14:textId="66F3ACD1" w:rsidR="0033445F" w:rsidRPr="00834CDC" w:rsidRDefault="0033445F" w:rsidP="0033445F">
      <w:pPr>
        <w:pStyle w:val="Heading1"/>
        <w:divId w:val="1988506822"/>
      </w:pPr>
      <w:r w:rsidRPr="00834CDC">
        <w:lastRenderedPageBreak/>
        <w:t xml:space="preserve">References </w:t>
      </w:r>
    </w:p>
    <w:p w14:paraId="7E8723D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Ioannides S, Beard F, </w:t>
      </w:r>
      <w:proofErr w:type="spellStart"/>
      <w:r w:rsidRPr="00834CDC">
        <w:rPr>
          <w:rFonts w:eastAsia="Times New Roman"/>
        </w:rPr>
        <w:t>Larter</w:t>
      </w:r>
      <w:proofErr w:type="spellEnd"/>
      <w:r w:rsidRPr="00834CDC">
        <w:rPr>
          <w:rFonts w:eastAsia="Times New Roman"/>
        </w:rPr>
        <w:t xml:space="preserve"> N, Clark K, Wang H, Hendry A et al. Vaccine preventable diseases and vaccination coverage in Aboriginal and Torres Strait Islander people, Australia, 2011–2015.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2019;</w:t>
      </w:r>
      <w:proofErr w:type="gramStart"/>
      <w:r w:rsidRPr="00834CDC">
        <w:rPr>
          <w:rFonts w:eastAsia="Times New Roman"/>
        </w:rPr>
        <w:t>43</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https://doi.org/10.33321/cdi.2019.43.36. </w:t>
      </w:r>
    </w:p>
    <w:p w14:paraId="2177B6B2"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Menzies R, McIntyre P, Beard F. Vaccine preventable diseases and vaccination coverage in Aboriginal and Torres Strait Islander people, Australia, 1999 to 2002.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Q Rep</w:t>
      </w:r>
      <w:r w:rsidRPr="00834CDC">
        <w:rPr>
          <w:rFonts w:eastAsia="Times New Roman"/>
        </w:rPr>
        <w:t>. 2004;28(Suppl 1</w:t>
      </w:r>
      <w:proofErr w:type="gramStart"/>
      <w:r w:rsidRPr="00834CDC">
        <w:rPr>
          <w:rFonts w:eastAsia="Times New Roman"/>
        </w:rPr>
        <w:t>):S</w:t>
      </w:r>
      <w:proofErr w:type="gramEnd"/>
      <w:r w:rsidRPr="00834CDC">
        <w:rPr>
          <w:rFonts w:eastAsia="Times New Roman"/>
        </w:rPr>
        <w:t xml:space="preserve">1–45. </w:t>
      </w:r>
    </w:p>
    <w:p w14:paraId="08A8833D"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Menzies R, </w:t>
      </w:r>
      <w:proofErr w:type="spellStart"/>
      <w:r w:rsidRPr="00834CDC">
        <w:rPr>
          <w:rFonts w:eastAsia="Times New Roman"/>
        </w:rPr>
        <w:t>Turnour</w:t>
      </w:r>
      <w:proofErr w:type="spellEnd"/>
      <w:r w:rsidRPr="00834CDC">
        <w:rPr>
          <w:rFonts w:eastAsia="Times New Roman"/>
        </w:rPr>
        <w:t xml:space="preserve"> C, Chiu C, McIntyre P. Vaccine preventable diseases and vaccination coverage in Aboriginal and Torres Strait Islander people, Australia, 2003 to 2006.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Q Rep</w:t>
      </w:r>
      <w:r w:rsidRPr="00834CDC">
        <w:rPr>
          <w:rFonts w:eastAsia="Times New Roman"/>
        </w:rPr>
        <w:t>. 2008;32(Suppl</w:t>
      </w:r>
      <w:proofErr w:type="gramStart"/>
      <w:r w:rsidRPr="00834CDC">
        <w:rPr>
          <w:rFonts w:eastAsia="Times New Roman"/>
        </w:rPr>
        <w:t>):S</w:t>
      </w:r>
      <w:proofErr w:type="gramEnd"/>
      <w:r w:rsidRPr="00834CDC">
        <w:rPr>
          <w:rFonts w:eastAsia="Times New Roman"/>
        </w:rPr>
        <w:t xml:space="preserve">2–67. </w:t>
      </w:r>
    </w:p>
    <w:p w14:paraId="43BF73F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Naidu L, Chiu C, </w:t>
      </w:r>
      <w:proofErr w:type="spellStart"/>
      <w:r w:rsidRPr="00834CDC">
        <w:rPr>
          <w:rFonts w:eastAsia="Times New Roman"/>
        </w:rPr>
        <w:t>Habig</w:t>
      </w:r>
      <w:proofErr w:type="spellEnd"/>
      <w:r w:rsidRPr="00834CDC">
        <w:rPr>
          <w:rFonts w:eastAsia="Times New Roman"/>
        </w:rPr>
        <w:t xml:space="preserve"> A, </w:t>
      </w:r>
      <w:proofErr w:type="spellStart"/>
      <w:r w:rsidRPr="00834CDC">
        <w:rPr>
          <w:rFonts w:eastAsia="Times New Roman"/>
        </w:rPr>
        <w:t>Lowbridge</w:t>
      </w:r>
      <w:proofErr w:type="spellEnd"/>
      <w:r w:rsidRPr="00834CDC">
        <w:rPr>
          <w:rFonts w:eastAsia="Times New Roman"/>
        </w:rPr>
        <w:t xml:space="preserve"> C, Jayasinghe S, Wang H et al. Vaccine preventable diseases and vaccination coverage in Aboriginal and Torres Strait Islander People, Australia 2006-2010.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Q Rep</w:t>
      </w:r>
      <w:r w:rsidRPr="00834CDC">
        <w:rPr>
          <w:rFonts w:eastAsia="Times New Roman"/>
        </w:rPr>
        <w:t>. 2013;37(Suppl</w:t>
      </w:r>
      <w:proofErr w:type="gramStart"/>
      <w:r w:rsidRPr="00834CDC">
        <w:rPr>
          <w:rFonts w:eastAsia="Times New Roman"/>
        </w:rPr>
        <w:t>):S</w:t>
      </w:r>
      <w:proofErr w:type="gramEnd"/>
      <w:r w:rsidRPr="00834CDC">
        <w:rPr>
          <w:rFonts w:eastAsia="Times New Roman"/>
        </w:rPr>
        <w:t xml:space="preserve">1–92. </w:t>
      </w:r>
    </w:p>
    <w:p w14:paraId="22D04BB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Institute of Health and Welfare (AIHW). </w:t>
      </w:r>
      <w:r w:rsidRPr="00834CDC">
        <w:rPr>
          <w:rStyle w:val="Emphasis"/>
          <w:rFonts w:eastAsia="Times New Roman"/>
          <w:b w:val="0"/>
          <w:bCs w:val="0"/>
        </w:rPr>
        <w:t>Indigenous identification in hospital separations data: quality report</w:t>
      </w:r>
      <w:r w:rsidRPr="00834CDC">
        <w:rPr>
          <w:rFonts w:eastAsia="Times New Roman"/>
        </w:rPr>
        <w:t xml:space="preserve">. (Cat. no. IHW 90.) Canberra: Australian Government, AIHW; 1 May 2013. [Accessed on 26 September 2022.] Available from: https://www.aihw.gov.au/reports/indigenous-australians/indigenous-identification-in-hospital-separations/contents/table-of-contents. </w:t>
      </w:r>
    </w:p>
    <w:p w14:paraId="2BF52018"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AIHW. </w:t>
      </w:r>
      <w:r w:rsidRPr="00834CDC">
        <w:rPr>
          <w:rStyle w:val="Emphasis"/>
          <w:rFonts w:eastAsia="Times New Roman"/>
          <w:b w:val="0"/>
          <w:bCs w:val="0"/>
        </w:rPr>
        <w:t>Australian hospital statistics 2012–13</w:t>
      </w:r>
      <w:r w:rsidRPr="00834CDC">
        <w:rPr>
          <w:rFonts w:eastAsia="Times New Roman"/>
        </w:rPr>
        <w:t xml:space="preserve">. (Cat. no. HSE 145.) Canberra: Australian Government, AIHW; 30 April 2014. [Accessed on 26 September 2022.] Available from: https://www.aihw.gov.au/reports/hospitals/australian-hospital-statistics-2012-13/contents/table-of-contents. </w:t>
      </w:r>
    </w:p>
    <w:p w14:paraId="75DCFB2D"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Bright A, Denholm J, Coulter C, Waring J, </w:t>
      </w:r>
      <w:proofErr w:type="spellStart"/>
      <w:r w:rsidRPr="00834CDC">
        <w:rPr>
          <w:rFonts w:eastAsia="Times New Roman"/>
        </w:rPr>
        <w:t>Stapledon</w:t>
      </w:r>
      <w:proofErr w:type="spellEnd"/>
      <w:r w:rsidRPr="00834CDC">
        <w:rPr>
          <w:rFonts w:eastAsia="Times New Roman"/>
        </w:rPr>
        <w:t xml:space="preserve"> R. Tuberculosis notifications in Australia, 2015-2018.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2020;</w:t>
      </w:r>
      <w:proofErr w:type="gramStart"/>
      <w:r w:rsidRPr="00834CDC">
        <w:rPr>
          <w:rFonts w:eastAsia="Times New Roman"/>
        </w:rPr>
        <w:t>44</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https://doi.org/10.33321/cdi.2020.44.88. </w:t>
      </w:r>
    </w:p>
    <w:p w14:paraId="399CF1F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Bureau of Statistics. Estimates and Projections, Aboriginal and Torres Strait Islander Australians. [Webpage.] Canberra: Australian Bureau of Statistics; 11 July 2019. [Accessed on 13 December 2021.] Available from: https://www.abs.gov.au/statistics/people/aboriginal-and-torres-strait-islander-peoples/estimates-and-projections-aboriginal-and-torres-strait-islander-australians/latest-release. </w:t>
      </w:r>
    </w:p>
    <w:p w14:paraId="54FBA46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Marmot M. Social determinants and the health of Indigenous Australians. </w:t>
      </w:r>
      <w:r w:rsidRPr="00834CDC">
        <w:rPr>
          <w:rStyle w:val="Emphasis"/>
          <w:rFonts w:eastAsia="Times New Roman"/>
          <w:b w:val="0"/>
          <w:bCs w:val="0"/>
        </w:rPr>
        <w:t>Med J Aust</w:t>
      </w:r>
      <w:r w:rsidRPr="00834CDC">
        <w:rPr>
          <w:rFonts w:eastAsia="Times New Roman"/>
        </w:rPr>
        <w:t xml:space="preserve">. 2011;194(10):512–3. </w:t>
      </w:r>
      <w:proofErr w:type="spellStart"/>
      <w:r w:rsidRPr="00834CDC">
        <w:rPr>
          <w:rFonts w:eastAsia="Times New Roman"/>
        </w:rPr>
        <w:t>doi</w:t>
      </w:r>
      <w:proofErr w:type="spellEnd"/>
      <w:r w:rsidRPr="00834CDC">
        <w:rPr>
          <w:rFonts w:eastAsia="Times New Roman"/>
        </w:rPr>
        <w:t xml:space="preserve">: https://doi.org/10.5694/j.1326-5377.2011.tb03086.x. </w:t>
      </w:r>
    </w:p>
    <w:p w14:paraId="54DF50D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World Health Organization (WHO). </w:t>
      </w:r>
      <w:r w:rsidRPr="00834CDC">
        <w:rPr>
          <w:rStyle w:val="Emphasis"/>
          <w:rFonts w:eastAsia="Times New Roman"/>
          <w:b w:val="0"/>
          <w:bCs w:val="0"/>
        </w:rPr>
        <w:t>Closing the gap in a generation: health equity through action on the social determinants of health – Final report of the commission on social determinants of health</w:t>
      </w:r>
      <w:r w:rsidRPr="00834CDC">
        <w:rPr>
          <w:rFonts w:eastAsia="Times New Roman"/>
        </w:rPr>
        <w:t xml:space="preserve">. Geneva: WHO; 27 August 2008. [Accessed on 26 September 2022.] Available from: https://www.who.int/publications/i/item/WHO-IER-CSDH-08.1. </w:t>
      </w:r>
    </w:p>
    <w:p w14:paraId="162E571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Thurber KA, Barrett EM, Agostino J, Chamberlain C, Ward J, Wade V, et al. Risk of severe illness from COVID-19 among Aboriginal and Torres Strait Islander adults: the construct of ‘vulnerable populations’ obscures the root causes of health inequities. </w:t>
      </w:r>
      <w:r w:rsidRPr="00834CDC">
        <w:rPr>
          <w:rStyle w:val="Emphasis"/>
          <w:rFonts w:eastAsia="Times New Roman"/>
          <w:b w:val="0"/>
          <w:bCs w:val="0"/>
        </w:rPr>
        <w:t>Aust N Z J Public Health</w:t>
      </w:r>
      <w:r w:rsidRPr="00834CDC">
        <w:rPr>
          <w:rFonts w:eastAsia="Times New Roman"/>
        </w:rPr>
        <w:t xml:space="preserve">. 2021;45(6):658–63. </w:t>
      </w:r>
      <w:proofErr w:type="spellStart"/>
      <w:r w:rsidRPr="00834CDC">
        <w:rPr>
          <w:rFonts w:eastAsia="Times New Roman"/>
        </w:rPr>
        <w:t>doi</w:t>
      </w:r>
      <w:proofErr w:type="spellEnd"/>
      <w:r w:rsidRPr="00834CDC">
        <w:rPr>
          <w:rFonts w:eastAsia="Times New Roman"/>
        </w:rPr>
        <w:t xml:space="preserve">: https://doi.org/10.1111/1753-6405.13172. </w:t>
      </w:r>
    </w:p>
    <w:p w14:paraId="0AD03CFE"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AIHW. </w:t>
      </w:r>
      <w:r w:rsidRPr="00834CDC">
        <w:rPr>
          <w:rStyle w:val="Emphasis"/>
          <w:rFonts w:eastAsia="Times New Roman"/>
          <w:b w:val="0"/>
          <w:bCs w:val="0"/>
        </w:rPr>
        <w:t>Indigenous identification in hospital separations data: quality report</w:t>
      </w:r>
      <w:r w:rsidRPr="00834CDC">
        <w:rPr>
          <w:rFonts w:eastAsia="Times New Roman"/>
        </w:rPr>
        <w:t xml:space="preserve">. (Cat. no. HSE 85.) Canberra: Australian Government, AIHW; 19 February 2010. [Accessed on 29 November 2021.] Available from: https://www.aihw.gov.au/reports/hospitals/indigenous-identification-hospital-separations/contents/table-of-contents. </w:t>
      </w:r>
    </w:p>
    <w:p w14:paraId="71C086C1"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Bureau of Statistics. Causes of Death, Australia, 2015: Explanatory Notes. Deaths of Aboriginal and Torres Strait Islander persons. (Notes 56–66.) [Webpage.] Canberra: Australian Bureau of Statistics; </w:t>
      </w:r>
      <w:r w:rsidRPr="00834CDC">
        <w:rPr>
          <w:rFonts w:eastAsia="Times New Roman"/>
        </w:rPr>
        <w:lastRenderedPageBreak/>
        <w:t xml:space="preserve">28 September 2016. [Accessed on 29 November 2021.] Available from: https://www.abs.gov.au/AUSSTATS/abs@.nsf/Lookup/3303.0Explanatory%20Notes12015. </w:t>
      </w:r>
    </w:p>
    <w:p w14:paraId="01FE99F2"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Government Department of Health and Aged Care. Human Papillomavirus (HPV). [Internet.] Canberra: Australian Government Department of Health and Aged Care; 2016. [Accessed on 13 December 2021.] Available from: https://www.health.gov.au/diseases/human-papillomavirus-hpv. </w:t>
      </w:r>
    </w:p>
    <w:p w14:paraId="1F6487E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Kirby Institute. </w:t>
      </w:r>
      <w:r w:rsidRPr="00834CDC">
        <w:rPr>
          <w:rStyle w:val="Emphasis"/>
          <w:rFonts w:eastAsia="Times New Roman"/>
          <w:b w:val="0"/>
          <w:bCs w:val="0"/>
        </w:rPr>
        <w:t>Bloodborne viral and sexually transmissible infections in Aboriginal and Torres Strait Islander people. Annual surveillance report 2018</w:t>
      </w:r>
      <w:r w:rsidRPr="00834CDC">
        <w:rPr>
          <w:rFonts w:eastAsia="Times New Roman"/>
        </w:rPr>
        <w:t xml:space="preserve">. Sydney: University of New South Wales, Kirby Institute; 2018. Available from: https://kirby.unsw.edu.au/sites/default/files/kirby/report/KI_Aboriginal-Surveillance-Report-2018.pdf. </w:t>
      </w:r>
    </w:p>
    <w:p w14:paraId="6EBE31C2"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AIHW. </w:t>
      </w:r>
      <w:r w:rsidRPr="00834CDC">
        <w:rPr>
          <w:rStyle w:val="Emphasis"/>
          <w:rFonts w:eastAsia="Times New Roman"/>
          <w:b w:val="0"/>
          <w:bCs w:val="0"/>
        </w:rPr>
        <w:t>The burden of vaccine preventable diseases in Australia</w:t>
      </w:r>
      <w:r w:rsidRPr="00834CDC">
        <w:rPr>
          <w:rFonts w:eastAsia="Times New Roman"/>
        </w:rPr>
        <w:t xml:space="preserve">. (Cat. no. PHE 263.) Canberra: Australian Government, AIHW; 1 November 2019. [Accessed on 26 September 2022.] Available from: https://www.aihw.gov.au/reports/immunisation/the-burden-of-vaccine-preventable-diseases/summary. </w:t>
      </w:r>
    </w:p>
    <w:p w14:paraId="1187E0F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Little RJA, Rubin D. Chapter 3: Complete-case and available-case analysis, including weighting methods. In </w:t>
      </w:r>
      <w:r w:rsidRPr="00834CDC">
        <w:rPr>
          <w:rStyle w:val="Emphasis"/>
          <w:rFonts w:eastAsia="Times New Roman"/>
          <w:b w:val="0"/>
          <w:bCs w:val="0"/>
        </w:rPr>
        <w:t>Statistical Analysis with Missing Data</w:t>
      </w:r>
      <w:r w:rsidRPr="00834CDC">
        <w:rPr>
          <w:rFonts w:eastAsia="Times New Roman"/>
        </w:rPr>
        <w:t xml:space="preserve"> (</w:t>
      </w:r>
      <w:proofErr w:type="gramStart"/>
      <w:r w:rsidRPr="00834CDC">
        <w:rPr>
          <w:rFonts w:eastAsia="Times New Roman"/>
        </w:rPr>
        <w:t>3rd</w:t>
      </w:r>
      <w:proofErr w:type="gramEnd"/>
      <w:r w:rsidRPr="00834CDC">
        <w:rPr>
          <w:rFonts w:eastAsia="Times New Roman"/>
        </w:rPr>
        <w:t xml:space="preserve"> edition). Hoboken: Wiley; 2019. </w:t>
      </w:r>
    </w:p>
    <w:p w14:paraId="24CDC5B0"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Government Department of Health and Aged Care. National Notifiable Diseases Surveillance System (NNDSS). [Internet.] Canberra; Australian Government Department of Health and Aged Care. [Accessed on 3 December 2021.] Available from: https://www.health.gov.au/initiatives-and-programs/nndss. </w:t>
      </w:r>
    </w:p>
    <w:p w14:paraId="0525AAA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Improving Indigenous Identification in Communicable Disease Reporting Project Steering Committee. </w:t>
      </w:r>
      <w:r w:rsidRPr="00834CDC">
        <w:rPr>
          <w:rStyle w:val="Emphasis"/>
          <w:rFonts w:eastAsia="Times New Roman"/>
          <w:b w:val="0"/>
          <w:bCs w:val="0"/>
        </w:rPr>
        <w:t>Improving Indigenous identification in communicable disease reporting systems</w:t>
      </w:r>
      <w:r w:rsidRPr="00834CDC">
        <w:rPr>
          <w:rFonts w:eastAsia="Times New Roman"/>
        </w:rPr>
        <w:t xml:space="preserve">. Adelaide: University of Adelaide, Public Health Information Development Unit; November 2004. [Accessed on 26 September 2022.] Available from: https://phidu.torrens.edu.au/pdf/1999-2004/improving_indigenous_reporting_2004.pdf. </w:t>
      </w:r>
    </w:p>
    <w:p w14:paraId="110FDD7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Government Department of Health and Aged Care. </w:t>
      </w:r>
      <w:r w:rsidRPr="00834CDC">
        <w:rPr>
          <w:rStyle w:val="Emphasis"/>
          <w:rFonts w:eastAsia="Times New Roman"/>
          <w:b w:val="0"/>
          <w:bCs w:val="0"/>
        </w:rPr>
        <w:t>Hepatitis A – CDNA National Guidelines for Public Health Units</w:t>
      </w:r>
      <w:r w:rsidRPr="00834CDC">
        <w:rPr>
          <w:rFonts w:eastAsia="Times New Roman"/>
        </w:rPr>
        <w:t xml:space="preserve">. Canberra: Australian Government Department of Health and Aged Care; November 2018. [Accessed on 14 December 2021.] Available from: https://www.health.gov.au/resources/publications/hepatitis-a-cdna-national-guidelines-for-public-health-units. </w:t>
      </w:r>
    </w:p>
    <w:p w14:paraId="28AF3B07"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Government Department of Health and Aged Care. </w:t>
      </w:r>
      <w:r w:rsidRPr="00834CDC">
        <w:rPr>
          <w:rStyle w:val="Emphasis"/>
          <w:rFonts w:eastAsia="Times New Roman"/>
          <w:b w:val="0"/>
          <w:bCs w:val="0"/>
        </w:rPr>
        <w:t>Hepatitis B – CDNA National Guidelines for Public Health Units</w:t>
      </w:r>
      <w:r w:rsidRPr="00834CDC">
        <w:rPr>
          <w:rFonts w:eastAsia="Times New Roman"/>
        </w:rPr>
        <w:t xml:space="preserve">. Canberra: Australian Government Department of Health and Aged Care; February 2018. [Accessed on 4 December 2021.] Available from: https://www.health.gov.au/resources/publications/hepatitis-b-cdna-national-guidelines-for-public-health-units. </w:t>
      </w:r>
    </w:p>
    <w:p w14:paraId="65784280"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Government Department of Health and Aged Care. </w:t>
      </w:r>
      <w:r w:rsidRPr="00834CDC">
        <w:rPr>
          <w:rStyle w:val="Emphasis"/>
          <w:rFonts w:eastAsia="Times New Roman"/>
          <w:b w:val="0"/>
          <w:bCs w:val="0"/>
        </w:rPr>
        <w:t>Measles – CDNA National Guidelines for Public Health Units</w:t>
      </w:r>
      <w:r w:rsidRPr="00834CDC">
        <w:rPr>
          <w:rFonts w:eastAsia="Times New Roman"/>
        </w:rPr>
        <w:t xml:space="preserve">. Canberra: Australian Government Department of Health and Aged Care; May 2019. [Accessed on 14 December 2021] Available from: https://www.health.gov.au/resources/publications/measles-cdna-national-guidelines-for-public-health-units. </w:t>
      </w:r>
    </w:p>
    <w:p w14:paraId="519C02DD"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Government Department of Health and Aged Care. </w:t>
      </w:r>
      <w:r w:rsidRPr="00834CDC">
        <w:rPr>
          <w:rStyle w:val="Emphasis"/>
          <w:rFonts w:eastAsia="Times New Roman"/>
          <w:b w:val="0"/>
          <w:bCs w:val="0"/>
        </w:rPr>
        <w:t>Haemophilus influenzae type b invasive infection – CDNA National Guidelines for Public Health Units</w:t>
      </w:r>
      <w:r w:rsidRPr="00834CDC">
        <w:rPr>
          <w:rFonts w:eastAsia="Times New Roman"/>
        </w:rPr>
        <w:t xml:space="preserve">. Canberra: Australian Government Department of Health and Aged Care; 14 April 2014. [Accessed on 14 December 2021.] Available from: https://www.health.gov.au/resources/publications/haemophilus-influenzae-type-b-invasive-infection-cdna-national-guidelines-for-public-health-units. </w:t>
      </w:r>
    </w:p>
    <w:p w14:paraId="6926B45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Government Department of Health and Aged Care. </w:t>
      </w:r>
      <w:r w:rsidRPr="00834CDC">
        <w:rPr>
          <w:rStyle w:val="Emphasis"/>
          <w:rFonts w:eastAsia="Times New Roman"/>
          <w:b w:val="0"/>
          <w:bCs w:val="0"/>
        </w:rPr>
        <w:t>Invasive meningococcal disease – CDNA National Guidelines for Public Health Units</w:t>
      </w:r>
      <w:r w:rsidRPr="00834CDC">
        <w:rPr>
          <w:rFonts w:eastAsia="Times New Roman"/>
        </w:rPr>
        <w:t xml:space="preserve">. Canberra: Australian Government Department of Health and Aged Care; July 2017. [Accessed on 14 December 2021.] Available from: </w:t>
      </w:r>
      <w:r w:rsidRPr="00834CDC">
        <w:rPr>
          <w:rFonts w:eastAsia="Times New Roman"/>
        </w:rPr>
        <w:lastRenderedPageBreak/>
        <w:t xml:space="preserve">https://www.health.gov.au/resources/publications/invasive-meningococcal-disease-cdna-national-guidelines-for-public-health-units. </w:t>
      </w:r>
    </w:p>
    <w:p w14:paraId="0CE2836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Pennington K, Enhanced Invasive Pneumococcal Disease Surveillance Working Group, Communicable Diseases Network Australia. Invasive Pneumococcal Disease Surveillance, 1 April to 30 June 2019.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2020;</w:t>
      </w:r>
      <w:proofErr w:type="gramStart"/>
      <w:r w:rsidRPr="00834CDC">
        <w:rPr>
          <w:rFonts w:eastAsia="Times New Roman"/>
        </w:rPr>
        <w:t>44</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https://doi.org/10.33321/cdi.2020.44.38. </w:t>
      </w:r>
    </w:p>
    <w:p w14:paraId="68D870B7"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New South Wales Government Department of Health (NSW Health). Tetanus control guideline. [Internet.] Sydney: New South Wales Government, NSW Health; 1 July 2012. [Accessed on 19 May 2022.] Available from: https://www.health.nsw.gov.au/Infectious/controlguideline/Pages/tetanus.aspx. </w:t>
      </w:r>
    </w:p>
    <w:p w14:paraId="52691C4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NSW Health. Diphtheria control guideline. [Internet.] Sydney: New South Wales Government, NSW Health; 1 January 2017. [Accessed on 19 May 2022.] Available from: https://www.health.nsw.gov.au/Infectious/controlguideline/Pages/diphtheria.aspx. </w:t>
      </w:r>
    </w:p>
    <w:p w14:paraId="256FD7E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Government Department of Health and Aged Care. </w:t>
      </w:r>
      <w:r w:rsidRPr="00834CDC">
        <w:rPr>
          <w:rStyle w:val="Emphasis"/>
          <w:rFonts w:eastAsia="Times New Roman"/>
          <w:b w:val="0"/>
          <w:bCs w:val="0"/>
        </w:rPr>
        <w:t xml:space="preserve">Influenza infection (flu) – CDNA National Guidelines </w:t>
      </w:r>
      <w:proofErr w:type="gramStart"/>
      <w:r w:rsidRPr="00834CDC">
        <w:rPr>
          <w:rStyle w:val="Emphasis"/>
          <w:rFonts w:eastAsia="Times New Roman"/>
          <w:b w:val="0"/>
          <w:bCs w:val="0"/>
        </w:rPr>
        <w:t>For</w:t>
      </w:r>
      <w:proofErr w:type="gramEnd"/>
      <w:r w:rsidRPr="00834CDC">
        <w:rPr>
          <w:rStyle w:val="Emphasis"/>
          <w:rFonts w:eastAsia="Times New Roman"/>
          <w:b w:val="0"/>
          <w:bCs w:val="0"/>
        </w:rPr>
        <w:t xml:space="preserve"> Public Health Units</w:t>
      </w:r>
      <w:r w:rsidRPr="00834CDC">
        <w:rPr>
          <w:rFonts w:eastAsia="Times New Roman"/>
        </w:rPr>
        <w:t xml:space="preserve">. Canberra: Australian Government Department of Health and Aged Care; 18 January 2019. [Accessed on 13 December 2021.] Available from: https://www.health.gov.au/resources/publications/influenza-infection-flu-cdna-national-guidelines-for-public-health-units. </w:t>
      </w:r>
    </w:p>
    <w:p w14:paraId="4EBA33D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NSW Health. Rotavirus control guideline. [Internet.] Sydney: New South Wales Government, NSW Health; 1 July 2018. [Accessed on 13 December 2021.] Available from: https://www.health.nsw.gov.au/Infectious/controlguideline/Pages/rotavirus.aspx. </w:t>
      </w:r>
    </w:p>
    <w:p w14:paraId="5862F201"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Government Department of Health and Aged Care. </w:t>
      </w:r>
      <w:r w:rsidRPr="00834CDC">
        <w:rPr>
          <w:rStyle w:val="Emphasis"/>
          <w:rFonts w:eastAsia="Times New Roman"/>
          <w:b w:val="0"/>
          <w:bCs w:val="0"/>
        </w:rPr>
        <w:t>Pertussis (whooping cough) – CDNA National Guidelines for Public Health Units</w:t>
      </w:r>
      <w:r w:rsidRPr="00834CDC">
        <w:rPr>
          <w:rFonts w:eastAsia="Times New Roman"/>
        </w:rPr>
        <w:t xml:space="preserve">. Canberra: Australian Government Department of Health and Aged Care; March 2013. [Accessed on 14 December 2021.] Available from: https://www.health.gov.au/resources/publications/pertussis-whooping-cough-cdna-national-guidelines-for-public-health-units. </w:t>
      </w:r>
    </w:p>
    <w:p w14:paraId="66EAEDB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NSW Health. Mumps control guideline. [Internet.] Sydney: New South Wales Government, NSW Health. [Accessed on 13 December 2021.] Available from: https://www.health.nsw.gov.au/Infectious/controlguideline/Pages/mumps.aspx. </w:t>
      </w:r>
    </w:p>
    <w:p w14:paraId="5DAEB87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Westphal DW, Eastwood A, Levy A, Davies J, Huppatz C, Gilles M et al. A protracted mumps outbreak in Western Australia despite high vaccine coverage: a population-based surveillance study. </w:t>
      </w:r>
      <w:r w:rsidRPr="00834CDC">
        <w:rPr>
          <w:rStyle w:val="Emphasis"/>
          <w:rFonts w:eastAsia="Times New Roman"/>
          <w:b w:val="0"/>
          <w:bCs w:val="0"/>
        </w:rPr>
        <w:t>Lancet Infect Dis</w:t>
      </w:r>
      <w:r w:rsidRPr="00834CDC">
        <w:rPr>
          <w:rFonts w:eastAsia="Times New Roman"/>
        </w:rPr>
        <w:t xml:space="preserve">. 2019;19(2):177–84. </w:t>
      </w:r>
      <w:proofErr w:type="spellStart"/>
      <w:r w:rsidRPr="00834CDC">
        <w:rPr>
          <w:rFonts w:eastAsia="Times New Roman"/>
        </w:rPr>
        <w:t>doi</w:t>
      </w:r>
      <w:proofErr w:type="spellEnd"/>
      <w:r w:rsidRPr="00834CDC">
        <w:rPr>
          <w:rFonts w:eastAsia="Times New Roman"/>
        </w:rPr>
        <w:t xml:space="preserve">: https://doi.org/10.1016/S1473-3099(18)30498-5. </w:t>
      </w:r>
    </w:p>
    <w:p w14:paraId="12E84491"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Walker J, </w:t>
      </w:r>
      <w:proofErr w:type="spellStart"/>
      <w:r w:rsidRPr="00834CDC">
        <w:rPr>
          <w:rFonts w:eastAsia="Times New Roman"/>
        </w:rPr>
        <w:t>Adegbija</w:t>
      </w:r>
      <w:proofErr w:type="spellEnd"/>
      <w:r w:rsidRPr="00834CDC">
        <w:rPr>
          <w:rFonts w:eastAsia="Times New Roman"/>
        </w:rPr>
        <w:t xml:space="preserve"> O, Smoll N, Khan A, </w:t>
      </w:r>
      <w:proofErr w:type="spellStart"/>
      <w:r w:rsidRPr="00834CDC">
        <w:rPr>
          <w:rFonts w:eastAsia="Times New Roman"/>
        </w:rPr>
        <w:t>Whicker</w:t>
      </w:r>
      <w:proofErr w:type="spellEnd"/>
      <w:r w:rsidRPr="00834CDC">
        <w:rPr>
          <w:rFonts w:eastAsia="Times New Roman"/>
        </w:rPr>
        <w:t xml:space="preserve"> J, Carroll H et al. Epidemiology of mumps outbreaks and the impact of an </w:t>
      </w:r>
      <w:proofErr w:type="gramStart"/>
      <w:r w:rsidRPr="00834CDC">
        <w:rPr>
          <w:rFonts w:eastAsia="Times New Roman"/>
        </w:rPr>
        <w:t>additional</w:t>
      </w:r>
      <w:proofErr w:type="gramEnd"/>
      <w:r w:rsidRPr="00834CDC">
        <w:rPr>
          <w:rFonts w:eastAsia="Times New Roman"/>
        </w:rPr>
        <w:t xml:space="preserve"> dose of MMR vaccine for outbreak control in regional Queensland, Australia, 2017–2018.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2021;</w:t>
      </w:r>
      <w:proofErr w:type="gramStart"/>
      <w:r w:rsidRPr="00834CDC">
        <w:rPr>
          <w:rFonts w:eastAsia="Times New Roman"/>
        </w:rPr>
        <w:t>45</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https://doi.org/10.33321/cdi.2021.45.67. </w:t>
      </w:r>
    </w:p>
    <w:p w14:paraId="739B2825"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Schutze</w:t>
      </w:r>
      <w:proofErr w:type="spellEnd"/>
      <w:r w:rsidRPr="00834CDC">
        <w:rPr>
          <w:rFonts w:eastAsia="Times New Roman"/>
        </w:rPr>
        <w:t xml:space="preserve"> H, Jackson Pulver L, Harris M. What factors contribute to the continued low rates of Indigenous status identification in urban general practice? - A mixed-methods multiple site case study. </w:t>
      </w:r>
      <w:r w:rsidRPr="00834CDC">
        <w:rPr>
          <w:rStyle w:val="Emphasis"/>
          <w:rFonts w:eastAsia="Times New Roman"/>
          <w:b w:val="0"/>
          <w:bCs w:val="0"/>
        </w:rPr>
        <w:t>BMC Health Serv Res</w:t>
      </w:r>
      <w:r w:rsidRPr="00834CDC">
        <w:rPr>
          <w:rFonts w:eastAsia="Times New Roman"/>
        </w:rPr>
        <w:t>. 2017;17(1):</w:t>
      </w:r>
      <w:proofErr w:type="gramStart"/>
      <w:r w:rsidRPr="00834CDC">
        <w:rPr>
          <w:rFonts w:eastAsia="Times New Roman"/>
        </w:rPr>
        <w:t>95</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https://doi.org/10.1186/s12913-017-2017-6. </w:t>
      </w:r>
    </w:p>
    <w:p w14:paraId="225FF97F"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Scotney</w:t>
      </w:r>
      <w:proofErr w:type="spellEnd"/>
      <w:r w:rsidRPr="00834CDC">
        <w:rPr>
          <w:rFonts w:eastAsia="Times New Roman"/>
        </w:rPr>
        <w:t xml:space="preserve"> A, Guthrie JA, </w:t>
      </w:r>
      <w:proofErr w:type="spellStart"/>
      <w:r w:rsidRPr="00834CDC">
        <w:rPr>
          <w:rFonts w:eastAsia="Times New Roman"/>
        </w:rPr>
        <w:t>Lokuge</w:t>
      </w:r>
      <w:proofErr w:type="spellEnd"/>
      <w:r w:rsidRPr="00834CDC">
        <w:rPr>
          <w:rFonts w:eastAsia="Times New Roman"/>
        </w:rPr>
        <w:t xml:space="preserve"> K, Kelly PM. “Just ask!” Identifying as Indigenous in mainstream general practice settings: a consumer perspective. </w:t>
      </w:r>
      <w:r w:rsidRPr="00834CDC">
        <w:rPr>
          <w:rStyle w:val="Emphasis"/>
          <w:rFonts w:eastAsia="Times New Roman"/>
          <w:b w:val="0"/>
          <w:bCs w:val="0"/>
        </w:rPr>
        <w:t>Med J Aust</w:t>
      </w:r>
      <w:r w:rsidRPr="00834CDC">
        <w:rPr>
          <w:rFonts w:eastAsia="Times New Roman"/>
        </w:rPr>
        <w:t xml:space="preserve">. 2010;192(10):609. </w:t>
      </w:r>
      <w:proofErr w:type="spellStart"/>
      <w:r w:rsidRPr="00834CDC">
        <w:rPr>
          <w:rFonts w:eastAsia="Times New Roman"/>
        </w:rPr>
        <w:t>doi</w:t>
      </w:r>
      <w:proofErr w:type="spellEnd"/>
      <w:r w:rsidRPr="00834CDC">
        <w:rPr>
          <w:rFonts w:eastAsia="Times New Roman"/>
        </w:rPr>
        <w:t xml:space="preserve">: https://doi.org/10.5694/j.1326-5377.2010.tb03651.x. </w:t>
      </w:r>
    </w:p>
    <w:p w14:paraId="56F33FE6"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Kelaher</w:t>
      </w:r>
      <w:proofErr w:type="spellEnd"/>
      <w:r w:rsidRPr="00834CDC">
        <w:rPr>
          <w:rFonts w:eastAsia="Times New Roman"/>
        </w:rPr>
        <w:t xml:space="preserve"> M, Parry A, Day S, </w:t>
      </w:r>
      <w:proofErr w:type="spellStart"/>
      <w:r w:rsidRPr="00834CDC">
        <w:rPr>
          <w:rFonts w:eastAsia="Times New Roman"/>
        </w:rPr>
        <w:t>Paradies</w:t>
      </w:r>
      <w:proofErr w:type="spellEnd"/>
      <w:r w:rsidRPr="00834CDC">
        <w:rPr>
          <w:rFonts w:eastAsia="Times New Roman"/>
        </w:rPr>
        <w:t xml:space="preserve"> Y, Lawlor J, Solomon L. </w:t>
      </w:r>
      <w:r w:rsidRPr="00834CDC">
        <w:rPr>
          <w:rStyle w:val="Emphasis"/>
          <w:rFonts w:eastAsia="Times New Roman"/>
          <w:b w:val="0"/>
          <w:bCs w:val="0"/>
        </w:rPr>
        <w:t>Improving the identification of Aboriginal and Torres Strait Islander people in mainstream general practice</w:t>
      </w:r>
      <w:r w:rsidRPr="00834CDC">
        <w:rPr>
          <w:rFonts w:eastAsia="Times New Roman"/>
        </w:rPr>
        <w:t xml:space="preserve">. Melbourne: The </w:t>
      </w:r>
      <w:proofErr w:type="spellStart"/>
      <w:r w:rsidRPr="00834CDC">
        <w:rPr>
          <w:rFonts w:eastAsia="Times New Roman"/>
        </w:rPr>
        <w:t>Lowitja</w:t>
      </w:r>
      <w:proofErr w:type="spellEnd"/>
      <w:r w:rsidRPr="00834CDC">
        <w:rPr>
          <w:rFonts w:eastAsia="Times New Roman"/>
        </w:rPr>
        <w:t xml:space="preserve"> Institute; Canberra: Australian National University; August 2010. Available from: http://nceph.anu.edu.au/files/kelaher_indigenous_identification_report_pdf_13237.pdf. </w:t>
      </w:r>
    </w:p>
    <w:p w14:paraId="4CE72E5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Rowe SL, Cowie BC. Using data linkage to improve the completeness of Aboriginal and Torres Strait Islander status in communicable disease notifications in Victoria. </w:t>
      </w:r>
      <w:r w:rsidRPr="00834CDC">
        <w:rPr>
          <w:rStyle w:val="Emphasis"/>
          <w:rFonts w:eastAsia="Times New Roman"/>
          <w:b w:val="0"/>
          <w:bCs w:val="0"/>
        </w:rPr>
        <w:t>Aust N Z J Public Health</w:t>
      </w:r>
      <w:r w:rsidRPr="00834CDC">
        <w:rPr>
          <w:rFonts w:eastAsia="Times New Roman"/>
        </w:rPr>
        <w:t xml:space="preserve">. 2016;40(3):148–53. </w:t>
      </w:r>
      <w:proofErr w:type="spellStart"/>
      <w:r w:rsidRPr="00834CDC">
        <w:rPr>
          <w:rFonts w:eastAsia="Times New Roman"/>
        </w:rPr>
        <w:t>doi</w:t>
      </w:r>
      <w:proofErr w:type="spellEnd"/>
      <w:r w:rsidRPr="00834CDC">
        <w:rPr>
          <w:rFonts w:eastAsia="Times New Roman"/>
        </w:rPr>
        <w:t xml:space="preserve">: https://doi.org/10.1111/1753-6405.12434. </w:t>
      </w:r>
    </w:p>
    <w:p w14:paraId="5BE902D6"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lastRenderedPageBreak/>
        <w:t xml:space="preserve">AIHW. </w:t>
      </w:r>
      <w:r w:rsidRPr="00834CDC">
        <w:rPr>
          <w:rStyle w:val="Emphasis"/>
          <w:rFonts w:eastAsia="Times New Roman"/>
          <w:b w:val="0"/>
          <w:bCs w:val="0"/>
        </w:rPr>
        <w:t>National best practice guidelines for data linkage activities relating to Aboriginal and Torres Strait Islander people: 2012</w:t>
      </w:r>
      <w:r w:rsidRPr="00834CDC">
        <w:rPr>
          <w:rFonts w:eastAsia="Times New Roman"/>
        </w:rPr>
        <w:t xml:space="preserve">. (Cat. no. IHW 74.) Canberra: Australian Government, AIHW; 9 July 2012. [Accessed on 26 September 2022.] Available from: https://www.aihw.gov.au/reports/indigenous-australians/national-best-practice-guidelines-for-data-linkage/summary. </w:t>
      </w:r>
    </w:p>
    <w:p w14:paraId="151EC00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Butler DF, Myers AL. Changing epidemiology of </w:t>
      </w:r>
      <w:r w:rsidRPr="00834CDC">
        <w:rPr>
          <w:rStyle w:val="Emphasis"/>
          <w:rFonts w:eastAsia="Times New Roman"/>
          <w:b w:val="0"/>
          <w:bCs w:val="0"/>
        </w:rPr>
        <w:t>Haemophilus influenzae</w:t>
      </w:r>
      <w:r w:rsidRPr="00834CDC">
        <w:rPr>
          <w:rFonts w:eastAsia="Times New Roman"/>
        </w:rPr>
        <w:t xml:space="preserve"> in children. </w:t>
      </w:r>
      <w:r w:rsidRPr="00834CDC">
        <w:rPr>
          <w:rStyle w:val="Emphasis"/>
          <w:rFonts w:eastAsia="Times New Roman"/>
          <w:b w:val="0"/>
          <w:bCs w:val="0"/>
        </w:rPr>
        <w:t>Infect Dis Clin North Am</w:t>
      </w:r>
      <w:r w:rsidRPr="00834CDC">
        <w:rPr>
          <w:rFonts w:eastAsia="Times New Roman"/>
        </w:rPr>
        <w:t xml:space="preserve">. 2018;32(1):119–28. </w:t>
      </w:r>
      <w:proofErr w:type="spellStart"/>
      <w:r w:rsidRPr="00834CDC">
        <w:rPr>
          <w:rFonts w:eastAsia="Times New Roman"/>
        </w:rPr>
        <w:t>doi</w:t>
      </w:r>
      <w:proofErr w:type="spellEnd"/>
      <w:r w:rsidRPr="00834CDC">
        <w:rPr>
          <w:rFonts w:eastAsia="Times New Roman"/>
        </w:rPr>
        <w:t xml:space="preserve">: https://doi.org/10.1016/j.idc.2017.10.005. </w:t>
      </w:r>
    </w:p>
    <w:p w14:paraId="57B9C926"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Nanduri</w:t>
      </w:r>
      <w:proofErr w:type="spellEnd"/>
      <w:r w:rsidRPr="00834CDC">
        <w:rPr>
          <w:rFonts w:eastAsia="Times New Roman"/>
        </w:rPr>
        <w:t xml:space="preserve"> SA, Sutherland AR, Gordon LK, </w:t>
      </w:r>
      <w:proofErr w:type="spellStart"/>
      <w:r w:rsidRPr="00834CDC">
        <w:rPr>
          <w:rFonts w:eastAsia="Times New Roman"/>
        </w:rPr>
        <w:t>Santosham</w:t>
      </w:r>
      <w:proofErr w:type="spellEnd"/>
      <w:r w:rsidRPr="00834CDC">
        <w:rPr>
          <w:rFonts w:eastAsia="Times New Roman"/>
        </w:rPr>
        <w:t xml:space="preserve"> M. 23 – </w:t>
      </w:r>
      <w:r w:rsidRPr="00834CDC">
        <w:rPr>
          <w:rStyle w:val="Emphasis"/>
          <w:rFonts w:eastAsia="Times New Roman"/>
          <w:b w:val="0"/>
          <w:bCs w:val="0"/>
        </w:rPr>
        <w:t>Haemophilus influenzae</w:t>
      </w:r>
      <w:r w:rsidRPr="00834CDC">
        <w:rPr>
          <w:rFonts w:eastAsia="Times New Roman"/>
        </w:rPr>
        <w:t xml:space="preserve"> type b vaccines. In Plotkin SA, Orenstein WA, Offit PA, Edwards KM, eds. </w:t>
      </w:r>
      <w:r w:rsidRPr="00834CDC">
        <w:rPr>
          <w:rStyle w:val="Emphasis"/>
          <w:rFonts w:eastAsia="Times New Roman"/>
          <w:b w:val="0"/>
          <w:bCs w:val="0"/>
        </w:rPr>
        <w:t>Plotkin’s Vaccines</w:t>
      </w:r>
      <w:r w:rsidRPr="00834CDC">
        <w:rPr>
          <w:rFonts w:eastAsia="Times New Roman"/>
        </w:rPr>
        <w:t xml:space="preserve"> (</w:t>
      </w:r>
      <w:proofErr w:type="gramStart"/>
      <w:r w:rsidRPr="00834CDC">
        <w:rPr>
          <w:rFonts w:eastAsia="Times New Roman"/>
        </w:rPr>
        <w:t>7th</w:t>
      </w:r>
      <w:proofErr w:type="gramEnd"/>
      <w:r w:rsidRPr="00834CDC">
        <w:rPr>
          <w:rFonts w:eastAsia="Times New Roman"/>
        </w:rPr>
        <w:t xml:space="preserve"> edition). Amsterdam: Elsevier, 2018;301–</w:t>
      </w:r>
      <w:proofErr w:type="gramStart"/>
      <w:r w:rsidRPr="00834CDC">
        <w:rPr>
          <w:rFonts w:eastAsia="Times New Roman"/>
        </w:rPr>
        <w:t>18.e</w:t>
      </w:r>
      <w:proofErr w:type="gramEnd"/>
      <w:r w:rsidRPr="00834CDC">
        <w:rPr>
          <w:rFonts w:eastAsia="Times New Roman"/>
        </w:rPr>
        <w:t xml:space="preserve">10. </w:t>
      </w:r>
      <w:proofErr w:type="spellStart"/>
      <w:r w:rsidRPr="00834CDC">
        <w:rPr>
          <w:rFonts w:eastAsia="Times New Roman"/>
        </w:rPr>
        <w:t>doi</w:t>
      </w:r>
      <w:proofErr w:type="spellEnd"/>
      <w:r w:rsidRPr="00834CDC">
        <w:rPr>
          <w:rFonts w:eastAsia="Times New Roman"/>
        </w:rPr>
        <w:t xml:space="preserve">: https//doi.org/10.1016/B978-0-323-35761-6.00023-7. </w:t>
      </w:r>
    </w:p>
    <w:p w14:paraId="0D66934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McIntyre P. Vaccines against invasive </w:t>
      </w:r>
      <w:r w:rsidRPr="00834CDC">
        <w:rPr>
          <w:rStyle w:val="Emphasis"/>
          <w:rFonts w:eastAsia="Times New Roman"/>
          <w:b w:val="0"/>
          <w:bCs w:val="0"/>
        </w:rPr>
        <w:t>Haemophilus influenzae</w:t>
      </w:r>
      <w:r w:rsidRPr="00834CDC">
        <w:rPr>
          <w:rFonts w:eastAsia="Times New Roman"/>
        </w:rPr>
        <w:t xml:space="preserve"> type b disease.</w:t>
      </w:r>
      <w:r w:rsidRPr="00834CDC">
        <w:rPr>
          <w:rStyle w:val="Emphasis"/>
          <w:rFonts w:eastAsia="Times New Roman"/>
          <w:b w:val="0"/>
          <w:bCs w:val="0"/>
        </w:rPr>
        <w:t xml:space="preserve"> J </w:t>
      </w:r>
      <w:proofErr w:type="spellStart"/>
      <w:r w:rsidRPr="00834CDC">
        <w:rPr>
          <w:rStyle w:val="Emphasis"/>
          <w:rFonts w:eastAsia="Times New Roman"/>
          <w:b w:val="0"/>
          <w:bCs w:val="0"/>
        </w:rPr>
        <w:t>Paediatr</w:t>
      </w:r>
      <w:proofErr w:type="spellEnd"/>
      <w:r w:rsidRPr="00834CDC">
        <w:rPr>
          <w:rStyle w:val="Emphasis"/>
          <w:rFonts w:eastAsia="Times New Roman"/>
          <w:b w:val="0"/>
          <w:bCs w:val="0"/>
        </w:rPr>
        <w:t xml:space="preserve"> Child Health</w:t>
      </w:r>
      <w:r w:rsidRPr="00834CDC">
        <w:rPr>
          <w:rFonts w:eastAsia="Times New Roman"/>
        </w:rPr>
        <w:t xml:space="preserve">. 1994;30(1):14–8. </w:t>
      </w:r>
      <w:proofErr w:type="spellStart"/>
      <w:r w:rsidRPr="00834CDC">
        <w:rPr>
          <w:rFonts w:eastAsia="Times New Roman"/>
        </w:rPr>
        <w:t>doi</w:t>
      </w:r>
      <w:proofErr w:type="spellEnd"/>
      <w:r w:rsidRPr="00834CDC">
        <w:rPr>
          <w:rFonts w:eastAsia="Times New Roman"/>
        </w:rPr>
        <w:t xml:space="preserve">: https://doi.org/10.1111/j.1440-1754.1994.tb00558.x. </w:t>
      </w:r>
    </w:p>
    <w:p w14:paraId="332C7717"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Hanna JN, Wild BE. Bacterial meningitis in children under five years of age in Western Australia. </w:t>
      </w:r>
      <w:r w:rsidRPr="00834CDC">
        <w:rPr>
          <w:rStyle w:val="Emphasis"/>
          <w:rFonts w:eastAsia="Times New Roman"/>
          <w:b w:val="0"/>
          <w:bCs w:val="0"/>
        </w:rPr>
        <w:t>Med J Aust</w:t>
      </w:r>
      <w:r w:rsidRPr="00834CDC">
        <w:rPr>
          <w:rFonts w:eastAsia="Times New Roman"/>
        </w:rPr>
        <w:t xml:space="preserve">. 1991;155(3):160–4. </w:t>
      </w:r>
      <w:proofErr w:type="spellStart"/>
      <w:r w:rsidRPr="00834CDC">
        <w:rPr>
          <w:rFonts w:eastAsia="Times New Roman"/>
        </w:rPr>
        <w:t>doi</w:t>
      </w:r>
      <w:proofErr w:type="spellEnd"/>
      <w:r w:rsidRPr="00834CDC">
        <w:rPr>
          <w:rFonts w:eastAsia="Times New Roman"/>
        </w:rPr>
        <w:t xml:space="preserve">: https://doi.org/10.5694/j.1326-5377.1991.tb142183.x. </w:t>
      </w:r>
    </w:p>
    <w:p w14:paraId="4BE16999"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Horby</w:t>
      </w:r>
      <w:proofErr w:type="spellEnd"/>
      <w:r w:rsidRPr="00834CDC">
        <w:rPr>
          <w:rFonts w:eastAsia="Times New Roman"/>
        </w:rPr>
        <w:t xml:space="preserve"> P, Gilmour R, Wang H, McIntyre P. Progress towards </w:t>
      </w:r>
      <w:proofErr w:type="gramStart"/>
      <w:r w:rsidRPr="00834CDC">
        <w:rPr>
          <w:rFonts w:eastAsia="Times New Roman"/>
        </w:rPr>
        <w:t>eliminating</w:t>
      </w:r>
      <w:proofErr w:type="gramEnd"/>
      <w:r w:rsidRPr="00834CDC">
        <w:rPr>
          <w:rFonts w:eastAsia="Times New Roman"/>
        </w:rPr>
        <w:t xml:space="preserve"> Hib in Australia: an evaluation of </w:t>
      </w:r>
      <w:r w:rsidRPr="00834CDC">
        <w:rPr>
          <w:rStyle w:val="Emphasis"/>
          <w:rFonts w:eastAsia="Times New Roman"/>
          <w:b w:val="0"/>
          <w:bCs w:val="0"/>
        </w:rPr>
        <w:t>Haemophilus influenzae</w:t>
      </w:r>
      <w:r w:rsidRPr="00834CDC">
        <w:rPr>
          <w:rFonts w:eastAsia="Times New Roman"/>
        </w:rPr>
        <w:t xml:space="preserve"> type b prevention in Australia, 1 July 1993 to 30 June 2000.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Q Rep</w:t>
      </w:r>
      <w:r w:rsidRPr="00834CDC">
        <w:rPr>
          <w:rFonts w:eastAsia="Times New Roman"/>
        </w:rPr>
        <w:t xml:space="preserve">. 2003;27(3):324–41. </w:t>
      </w:r>
    </w:p>
    <w:p w14:paraId="219CEDE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Menzies RI, Singleton RJ. Vaccine preventable diseases and vaccination policy for Indigenous populations. </w:t>
      </w:r>
      <w:proofErr w:type="spellStart"/>
      <w:r w:rsidRPr="00834CDC">
        <w:rPr>
          <w:rStyle w:val="Emphasis"/>
          <w:rFonts w:eastAsia="Times New Roman"/>
          <w:b w:val="0"/>
          <w:bCs w:val="0"/>
        </w:rPr>
        <w:t>Pediatr</w:t>
      </w:r>
      <w:proofErr w:type="spellEnd"/>
      <w:r w:rsidRPr="00834CDC">
        <w:rPr>
          <w:rStyle w:val="Emphasis"/>
          <w:rFonts w:eastAsia="Times New Roman"/>
          <w:b w:val="0"/>
          <w:bCs w:val="0"/>
        </w:rPr>
        <w:t xml:space="preserve"> Clin North Am</w:t>
      </w:r>
      <w:r w:rsidRPr="00834CDC">
        <w:rPr>
          <w:rFonts w:eastAsia="Times New Roman"/>
        </w:rPr>
        <w:t xml:space="preserve">. 2009;56(6):1263–83. </w:t>
      </w:r>
      <w:proofErr w:type="spellStart"/>
      <w:r w:rsidRPr="00834CDC">
        <w:rPr>
          <w:rFonts w:eastAsia="Times New Roman"/>
        </w:rPr>
        <w:t>doi</w:t>
      </w:r>
      <w:proofErr w:type="spellEnd"/>
      <w:r w:rsidRPr="00834CDC">
        <w:rPr>
          <w:rFonts w:eastAsia="Times New Roman"/>
        </w:rPr>
        <w:t xml:space="preserve">: https://doi.org/10.1016/j.pcl.2009.09.006. </w:t>
      </w:r>
    </w:p>
    <w:p w14:paraId="1C603A52"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National Centre for Immunisation Research and Surveillance (NCIRS). </w:t>
      </w:r>
      <w:proofErr w:type="gramStart"/>
      <w:r w:rsidRPr="00834CDC">
        <w:rPr>
          <w:rStyle w:val="Emphasis"/>
          <w:rFonts w:eastAsia="Times New Roman"/>
          <w:b w:val="0"/>
          <w:bCs w:val="0"/>
        </w:rPr>
        <w:t>Significant events</w:t>
      </w:r>
      <w:proofErr w:type="gramEnd"/>
      <w:r w:rsidRPr="00834CDC">
        <w:rPr>
          <w:rStyle w:val="Emphasis"/>
          <w:rFonts w:eastAsia="Times New Roman"/>
          <w:b w:val="0"/>
          <w:bCs w:val="0"/>
        </w:rPr>
        <w:t xml:space="preserve"> in Haemophilus influenzae type b (Hib) vaccination practice in Australia</w:t>
      </w:r>
      <w:r w:rsidRPr="00834CDC">
        <w:rPr>
          <w:rFonts w:eastAsia="Times New Roman"/>
        </w:rPr>
        <w:t xml:space="preserve">. Sydney: NCIRS; July 2018. [Accessed on 12 October 2021.] Available from: https://www.ncirs.org.au/sites/default/files/2018-11/Haemophilus-influenzae-type-b-history-July-2018.pdf. </w:t>
      </w:r>
    </w:p>
    <w:p w14:paraId="32AA2F7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Menzies RI, </w:t>
      </w:r>
      <w:proofErr w:type="spellStart"/>
      <w:r w:rsidRPr="00834CDC">
        <w:rPr>
          <w:rFonts w:eastAsia="Times New Roman"/>
        </w:rPr>
        <w:t>Bremner</w:t>
      </w:r>
      <w:proofErr w:type="spellEnd"/>
      <w:r w:rsidRPr="00834CDC">
        <w:rPr>
          <w:rFonts w:eastAsia="Times New Roman"/>
        </w:rPr>
        <w:t xml:space="preserve"> KM, Wang H, Beard FH, McIntyre PB. Long-term trends in invasive </w:t>
      </w:r>
      <w:r w:rsidRPr="00834CDC">
        <w:rPr>
          <w:rStyle w:val="Emphasis"/>
          <w:rFonts w:eastAsia="Times New Roman"/>
          <w:b w:val="0"/>
          <w:bCs w:val="0"/>
        </w:rPr>
        <w:t>Haemophilus influenzae</w:t>
      </w:r>
      <w:r w:rsidRPr="00834CDC">
        <w:rPr>
          <w:rFonts w:eastAsia="Times New Roman"/>
        </w:rPr>
        <w:t xml:space="preserve"> type b disease among Indigenous Australian children following use of PRP-OMP and PRP-T vaccines. </w:t>
      </w:r>
      <w:proofErr w:type="spellStart"/>
      <w:r w:rsidRPr="00834CDC">
        <w:rPr>
          <w:rFonts w:eastAsia="Times New Roman"/>
        </w:rPr>
        <w:t>Pediatr</w:t>
      </w:r>
      <w:proofErr w:type="spellEnd"/>
      <w:r w:rsidRPr="00834CDC">
        <w:rPr>
          <w:rFonts w:eastAsia="Times New Roman"/>
        </w:rPr>
        <w:t xml:space="preserve"> Infect Dis J. 2015;34(6):621–6. </w:t>
      </w:r>
      <w:proofErr w:type="spellStart"/>
      <w:r w:rsidRPr="00834CDC">
        <w:rPr>
          <w:rFonts w:eastAsia="Times New Roman"/>
        </w:rPr>
        <w:t>doi</w:t>
      </w:r>
      <w:proofErr w:type="spellEnd"/>
      <w:r w:rsidRPr="00834CDC">
        <w:rPr>
          <w:rFonts w:eastAsia="Times New Roman"/>
        </w:rPr>
        <w:t xml:space="preserve">: https://doi.org/10.1097/INF.0000000000000681. </w:t>
      </w:r>
    </w:p>
    <w:p w14:paraId="45EC7DC4"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Ulanova M, Tsang RSW. Invasive </w:t>
      </w:r>
      <w:r w:rsidRPr="00834CDC">
        <w:rPr>
          <w:rStyle w:val="Emphasis"/>
          <w:rFonts w:eastAsia="Times New Roman"/>
          <w:b w:val="0"/>
          <w:bCs w:val="0"/>
        </w:rPr>
        <w:t>Haemophilus influenzae</w:t>
      </w:r>
      <w:r w:rsidRPr="00834CDC">
        <w:rPr>
          <w:rFonts w:eastAsia="Times New Roman"/>
        </w:rPr>
        <w:t xml:space="preserve"> disease: changing epidemiology and host–parasite interactions in the 21st century. </w:t>
      </w:r>
      <w:r w:rsidRPr="00834CDC">
        <w:rPr>
          <w:rStyle w:val="Emphasis"/>
          <w:rFonts w:eastAsia="Times New Roman"/>
          <w:b w:val="0"/>
          <w:bCs w:val="0"/>
        </w:rPr>
        <w:t xml:space="preserve">Infect Genet </w:t>
      </w:r>
      <w:proofErr w:type="spellStart"/>
      <w:r w:rsidRPr="00834CDC">
        <w:rPr>
          <w:rStyle w:val="Emphasis"/>
          <w:rFonts w:eastAsia="Times New Roman"/>
          <w:b w:val="0"/>
          <w:bCs w:val="0"/>
        </w:rPr>
        <w:t>Evol</w:t>
      </w:r>
      <w:proofErr w:type="spellEnd"/>
      <w:r w:rsidRPr="00834CDC">
        <w:rPr>
          <w:rFonts w:eastAsia="Times New Roman"/>
        </w:rPr>
        <w:t xml:space="preserve">. 2009;9(4):594–605. </w:t>
      </w:r>
      <w:proofErr w:type="spellStart"/>
      <w:r w:rsidRPr="00834CDC">
        <w:rPr>
          <w:rFonts w:eastAsia="Times New Roman"/>
        </w:rPr>
        <w:t>doi</w:t>
      </w:r>
      <w:proofErr w:type="spellEnd"/>
      <w:r w:rsidRPr="00834CDC">
        <w:rPr>
          <w:rFonts w:eastAsia="Times New Roman"/>
        </w:rPr>
        <w:t xml:space="preserve">: https://doi.org/10.1016/j.meegid.2009.03.001. </w:t>
      </w:r>
    </w:p>
    <w:p w14:paraId="1CA19A41"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Jacups</w:t>
      </w:r>
      <w:proofErr w:type="spellEnd"/>
      <w:r w:rsidRPr="00834CDC">
        <w:rPr>
          <w:rFonts w:eastAsia="Times New Roman"/>
        </w:rPr>
        <w:t xml:space="preserve"> SP, Morris PS, Leach AJ. </w:t>
      </w:r>
      <w:r w:rsidRPr="00834CDC">
        <w:rPr>
          <w:rStyle w:val="Emphasis"/>
          <w:rFonts w:eastAsia="Times New Roman"/>
          <w:b w:val="0"/>
          <w:bCs w:val="0"/>
        </w:rPr>
        <w:t>Haemophilus influenzae</w:t>
      </w:r>
      <w:r w:rsidRPr="00834CDC">
        <w:rPr>
          <w:rFonts w:eastAsia="Times New Roman"/>
        </w:rPr>
        <w:t xml:space="preserve"> type b carriage in Indigenous children and children attending childcare </w:t>
      </w:r>
      <w:proofErr w:type="spellStart"/>
      <w:r w:rsidRPr="00834CDC">
        <w:rPr>
          <w:rFonts w:eastAsia="Times New Roman"/>
        </w:rPr>
        <w:t>centers</w:t>
      </w:r>
      <w:proofErr w:type="spellEnd"/>
      <w:r w:rsidRPr="00834CDC">
        <w:rPr>
          <w:rFonts w:eastAsia="Times New Roman"/>
        </w:rPr>
        <w:t xml:space="preserve"> in the Northern Territory, Australia, spanning pre- and post-vaccine eras. </w:t>
      </w:r>
      <w:r w:rsidRPr="00834CDC">
        <w:rPr>
          <w:rStyle w:val="Emphasis"/>
          <w:rFonts w:eastAsia="Times New Roman"/>
          <w:b w:val="0"/>
          <w:bCs w:val="0"/>
        </w:rPr>
        <w:t>Vaccine</w:t>
      </w:r>
      <w:r w:rsidRPr="00834CDC">
        <w:rPr>
          <w:rFonts w:eastAsia="Times New Roman"/>
        </w:rPr>
        <w:t xml:space="preserve">. 2011;29(16):3083–8. </w:t>
      </w:r>
      <w:proofErr w:type="spellStart"/>
      <w:r w:rsidRPr="00834CDC">
        <w:rPr>
          <w:rFonts w:eastAsia="Times New Roman"/>
        </w:rPr>
        <w:t>doi</w:t>
      </w:r>
      <w:proofErr w:type="spellEnd"/>
      <w:r w:rsidRPr="00834CDC">
        <w:rPr>
          <w:rFonts w:eastAsia="Times New Roman"/>
        </w:rPr>
        <w:t xml:space="preserve">: https://doi.org/10.1016/j.vaccine.2010.09.030. </w:t>
      </w:r>
    </w:p>
    <w:p w14:paraId="7EA75F1D"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Guthridge S, McIntyre P, Isaacs D, Hanlon M, Patel M. Differing serologic responses to </w:t>
      </w:r>
      <w:proofErr w:type="gramStart"/>
      <w:r w:rsidRPr="00834CDC">
        <w:rPr>
          <w:rFonts w:eastAsia="Times New Roman"/>
        </w:rPr>
        <w:t>an</w:t>
      </w:r>
      <w:proofErr w:type="gramEnd"/>
      <w:r w:rsidRPr="00834CDC">
        <w:rPr>
          <w:rFonts w:eastAsia="Times New Roman"/>
        </w:rPr>
        <w:t xml:space="preserve"> </w:t>
      </w:r>
      <w:r w:rsidRPr="00834CDC">
        <w:rPr>
          <w:rStyle w:val="Emphasis"/>
          <w:rFonts w:eastAsia="Times New Roman"/>
          <w:b w:val="0"/>
          <w:bCs w:val="0"/>
        </w:rPr>
        <w:t>Haemophilus influenzae</w:t>
      </w:r>
      <w:r w:rsidRPr="00834CDC">
        <w:rPr>
          <w:rFonts w:eastAsia="Times New Roman"/>
        </w:rPr>
        <w:t xml:space="preserve"> type b polysaccharide–</w:t>
      </w:r>
      <w:r w:rsidRPr="00834CDC">
        <w:rPr>
          <w:rStyle w:val="Emphasis"/>
          <w:rFonts w:eastAsia="Times New Roman"/>
          <w:b w:val="0"/>
          <w:bCs w:val="0"/>
        </w:rPr>
        <w:t>Neisseria meningitidis</w:t>
      </w:r>
      <w:r w:rsidRPr="00834CDC">
        <w:rPr>
          <w:rFonts w:eastAsia="Times New Roman"/>
        </w:rPr>
        <w:t xml:space="preserve"> outer membrane protein conjugate (PRP–OMPC) vaccine in Australian Aboriginal and Caucasian infants — implications for disease epidemiology. </w:t>
      </w:r>
      <w:r w:rsidRPr="00834CDC">
        <w:rPr>
          <w:rStyle w:val="Emphasis"/>
          <w:rFonts w:eastAsia="Times New Roman"/>
          <w:b w:val="0"/>
          <w:bCs w:val="0"/>
        </w:rPr>
        <w:t>Vaccine</w:t>
      </w:r>
      <w:r w:rsidRPr="00834CDC">
        <w:rPr>
          <w:rFonts w:eastAsia="Times New Roman"/>
        </w:rPr>
        <w:t xml:space="preserve">. 2000;18(23):2584–91. </w:t>
      </w:r>
      <w:proofErr w:type="spellStart"/>
      <w:r w:rsidRPr="00834CDC">
        <w:rPr>
          <w:rFonts w:eastAsia="Times New Roman"/>
        </w:rPr>
        <w:t>doi</w:t>
      </w:r>
      <w:proofErr w:type="spellEnd"/>
      <w:r w:rsidRPr="00834CDC">
        <w:rPr>
          <w:rFonts w:eastAsia="Times New Roman"/>
        </w:rPr>
        <w:t xml:space="preserve">: https://doi.org/10.1016/s0264-410x(99)00549-6. </w:t>
      </w:r>
    </w:p>
    <w:p w14:paraId="75F8E1E1"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Maguire JE, Beard F, </w:t>
      </w:r>
      <w:proofErr w:type="spellStart"/>
      <w:r w:rsidRPr="00834CDC">
        <w:rPr>
          <w:rFonts w:eastAsia="Times New Roman"/>
        </w:rPr>
        <w:t>Meder</w:t>
      </w:r>
      <w:proofErr w:type="spellEnd"/>
      <w:r w:rsidRPr="00834CDC">
        <w:rPr>
          <w:rFonts w:eastAsia="Times New Roman"/>
        </w:rPr>
        <w:t xml:space="preserve"> K, Dey A, Macartney K, McIntyre P. Australian vaccine preventable disease epidemiological review series: invasive </w:t>
      </w:r>
      <w:r w:rsidRPr="00834CDC">
        <w:rPr>
          <w:rStyle w:val="Emphasis"/>
          <w:rFonts w:eastAsia="Times New Roman"/>
          <w:b w:val="0"/>
          <w:bCs w:val="0"/>
        </w:rPr>
        <w:t>Haemophilus influenzae</w:t>
      </w:r>
      <w:r w:rsidRPr="00834CDC">
        <w:rPr>
          <w:rFonts w:eastAsia="Times New Roman"/>
        </w:rPr>
        <w:t xml:space="preserve"> type b disease, 2000-2017.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2020;</w:t>
      </w:r>
      <w:proofErr w:type="gramStart"/>
      <w:r w:rsidRPr="00834CDC">
        <w:rPr>
          <w:rFonts w:eastAsia="Times New Roman"/>
        </w:rPr>
        <w:t>44</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https://doi.org/10.33321/cdi.2020.44.11. </w:t>
      </w:r>
    </w:p>
    <w:p w14:paraId="67FE68CD"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Averhoff</w:t>
      </w:r>
      <w:proofErr w:type="spellEnd"/>
      <w:r w:rsidRPr="00834CDC">
        <w:rPr>
          <w:rFonts w:eastAsia="Times New Roman"/>
        </w:rPr>
        <w:t xml:space="preserve"> FM, </w:t>
      </w:r>
      <w:proofErr w:type="spellStart"/>
      <w:r w:rsidRPr="00834CDC">
        <w:rPr>
          <w:rFonts w:eastAsia="Times New Roman"/>
        </w:rPr>
        <w:t>Khudyakov</w:t>
      </w:r>
      <w:proofErr w:type="spellEnd"/>
      <w:r w:rsidRPr="00834CDC">
        <w:rPr>
          <w:rFonts w:eastAsia="Times New Roman"/>
        </w:rPr>
        <w:t xml:space="preserve"> Y, Nelson NP. 24 – Hepatitis A vaccines. In Plotkin SA, Orenstein WA, Offit PA, Edwards KM, eds. </w:t>
      </w:r>
      <w:r w:rsidRPr="00834CDC">
        <w:rPr>
          <w:rStyle w:val="Emphasis"/>
          <w:rFonts w:eastAsia="Times New Roman"/>
          <w:b w:val="0"/>
          <w:bCs w:val="0"/>
        </w:rPr>
        <w:t>Plotkin’s Vaccines</w:t>
      </w:r>
      <w:r w:rsidRPr="00834CDC">
        <w:rPr>
          <w:rFonts w:eastAsia="Times New Roman"/>
        </w:rPr>
        <w:t xml:space="preserve"> (</w:t>
      </w:r>
      <w:proofErr w:type="gramStart"/>
      <w:r w:rsidRPr="00834CDC">
        <w:rPr>
          <w:rFonts w:eastAsia="Times New Roman"/>
        </w:rPr>
        <w:t>7th</w:t>
      </w:r>
      <w:proofErr w:type="gramEnd"/>
      <w:r w:rsidRPr="00834CDC">
        <w:rPr>
          <w:rFonts w:eastAsia="Times New Roman"/>
        </w:rPr>
        <w:t xml:space="preserve"> edition). Amsterdam: Elsevier, 2018;319–</w:t>
      </w:r>
      <w:proofErr w:type="gramStart"/>
      <w:r w:rsidRPr="00834CDC">
        <w:rPr>
          <w:rFonts w:eastAsia="Times New Roman"/>
        </w:rPr>
        <w:t>41.e</w:t>
      </w:r>
      <w:proofErr w:type="gramEnd"/>
      <w:r w:rsidRPr="00834CDC">
        <w:rPr>
          <w:rFonts w:eastAsia="Times New Roman"/>
        </w:rPr>
        <w:t xml:space="preserve">15. </w:t>
      </w:r>
      <w:proofErr w:type="spellStart"/>
      <w:r w:rsidRPr="00834CDC">
        <w:rPr>
          <w:rFonts w:eastAsia="Times New Roman"/>
        </w:rPr>
        <w:t>doi</w:t>
      </w:r>
      <w:proofErr w:type="spellEnd"/>
      <w:r w:rsidRPr="00834CDC">
        <w:rPr>
          <w:rFonts w:eastAsia="Times New Roman"/>
        </w:rPr>
        <w:t xml:space="preserve">: https//doi.org/10.1016/B978-0-323-35761-6.00024-9. </w:t>
      </w:r>
    </w:p>
    <w:p w14:paraId="26076840"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World Health Organisation (WHO). WHO position paper on hepatitis A vaccines – June </w:t>
      </w:r>
      <w:proofErr w:type="gramStart"/>
      <w:r w:rsidRPr="00834CDC">
        <w:rPr>
          <w:rFonts w:eastAsia="Times New Roman"/>
        </w:rPr>
        <w:t>2012.</w:t>
      </w:r>
      <w:proofErr w:type="gramEnd"/>
      <w:r w:rsidRPr="00834CDC">
        <w:rPr>
          <w:rFonts w:eastAsia="Times New Roman"/>
        </w:rPr>
        <w:t xml:space="preserve"> </w:t>
      </w:r>
      <w:proofErr w:type="spellStart"/>
      <w:r w:rsidRPr="00834CDC">
        <w:rPr>
          <w:rStyle w:val="Emphasis"/>
          <w:rFonts w:eastAsia="Times New Roman"/>
          <w:b w:val="0"/>
          <w:bCs w:val="0"/>
        </w:rPr>
        <w:t>Wkly</w:t>
      </w:r>
      <w:proofErr w:type="spellEnd"/>
      <w:r w:rsidRPr="00834CDC">
        <w:rPr>
          <w:rStyle w:val="Emphasis"/>
          <w:rFonts w:eastAsia="Times New Roman"/>
          <w:b w:val="0"/>
          <w:bCs w:val="0"/>
        </w:rPr>
        <w:t xml:space="preserve"> Epidemiol Rec</w:t>
      </w:r>
      <w:r w:rsidRPr="00834CDC">
        <w:rPr>
          <w:rFonts w:eastAsia="Times New Roman"/>
        </w:rPr>
        <w:t xml:space="preserve">. 2012;87(28/29):261–76. </w:t>
      </w:r>
    </w:p>
    <w:p w14:paraId="053728A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Jacobsen KH, Wiersma ST. Hepatitis A virus seroprevalence by age and world region, 1990 and 2005. </w:t>
      </w:r>
      <w:r w:rsidRPr="00834CDC">
        <w:rPr>
          <w:rStyle w:val="Emphasis"/>
          <w:rFonts w:eastAsia="Times New Roman"/>
          <w:b w:val="0"/>
          <w:bCs w:val="0"/>
        </w:rPr>
        <w:t>Vaccine</w:t>
      </w:r>
      <w:r w:rsidRPr="00834CDC">
        <w:rPr>
          <w:rFonts w:eastAsia="Times New Roman"/>
        </w:rPr>
        <w:t xml:space="preserve">. 2010;28(41):6653–7. </w:t>
      </w:r>
      <w:proofErr w:type="spellStart"/>
      <w:r w:rsidRPr="00834CDC">
        <w:rPr>
          <w:rFonts w:eastAsia="Times New Roman"/>
        </w:rPr>
        <w:t>doi</w:t>
      </w:r>
      <w:proofErr w:type="spellEnd"/>
      <w:r w:rsidRPr="00834CDC">
        <w:rPr>
          <w:rFonts w:eastAsia="Times New Roman"/>
        </w:rPr>
        <w:t xml:space="preserve">: https://doi.org/10.1016/j.vaccine.2010.08.037. </w:t>
      </w:r>
    </w:p>
    <w:p w14:paraId="3020755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lastRenderedPageBreak/>
        <w:t xml:space="preserve">Franklin N, Camphor H, Wright R, Stafford R, Glasgow K, Sheppeard V. Outbreak of hepatitis A genotype IB in Australia associated with imported frozen pomegranate arils. </w:t>
      </w:r>
      <w:r w:rsidRPr="00834CDC">
        <w:rPr>
          <w:rStyle w:val="Emphasis"/>
          <w:rFonts w:eastAsia="Times New Roman"/>
          <w:b w:val="0"/>
          <w:bCs w:val="0"/>
        </w:rPr>
        <w:t>Epidemiol Infect</w:t>
      </w:r>
      <w:r w:rsidRPr="00834CDC">
        <w:rPr>
          <w:rFonts w:eastAsia="Times New Roman"/>
        </w:rPr>
        <w:t>. 2019;</w:t>
      </w:r>
      <w:proofErr w:type="gramStart"/>
      <w:r w:rsidRPr="00834CDC">
        <w:rPr>
          <w:rFonts w:eastAsia="Times New Roman"/>
        </w:rPr>
        <w:t>147:e</w:t>
      </w:r>
      <w:proofErr w:type="gramEnd"/>
      <w:r w:rsidRPr="00834CDC">
        <w:rPr>
          <w:rFonts w:eastAsia="Times New Roman"/>
        </w:rPr>
        <w:t xml:space="preserve">74. </w:t>
      </w:r>
      <w:proofErr w:type="spellStart"/>
      <w:r w:rsidRPr="00834CDC">
        <w:rPr>
          <w:rFonts w:eastAsia="Times New Roman"/>
        </w:rPr>
        <w:t>doi</w:t>
      </w:r>
      <w:proofErr w:type="spellEnd"/>
      <w:r w:rsidRPr="00834CDC">
        <w:rPr>
          <w:rFonts w:eastAsia="Times New Roman"/>
        </w:rPr>
        <w:t xml:space="preserve">: https://doi.org/10.1017/S0950268818003515. </w:t>
      </w:r>
    </w:p>
    <w:p w14:paraId="6842C4E0"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NSW Health. Hepatitis A linked to imported frozen pomegranate. [Internet.] Sydney: New South Wales Government, NSW Health; 8 June 2018. [Accessed on 29 November 2021.] Available from: https://www.health.nsw.gov.au/Infectious/alerts/Pages/hep-A-pomegranate.aspx. </w:t>
      </w:r>
    </w:p>
    <w:p w14:paraId="6487B4A4"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Victorian Government Department of Health. Hepatitis A risk in Victoria [Internet.] Melbourne: Victorian Government Department of Health; 20 December 2021. [Accessed on 1 April 2022.] Available from: https://www.health.vic.gov.au/infectious-diseases/hepatitis-a-risk-in-victoria. </w:t>
      </w:r>
    </w:p>
    <w:p w14:paraId="4529EDA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NSW Health. </w:t>
      </w:r>
      <w:r w:rsidRPr="00834CDC">
        <w:rPr>
          <w:rStyle w:val="Emphasis"/>
          <w:rFonts w:eastAsia="Times New Roman"/>
          <w:b w:val="0"/>
          <w:bCs w:val="0"/>
        </w:rPr>
        <w:t>OzFoodNet: Enhancing Foodborne Disease Surveillance Across Australia. NSW Annual Report 2017</w:t>
      </w:r>
      <w:r w:rsidRPr="00834CDC">
        <w:rPr>
          <w:rFonts w:eastAsia="Times New Roman"/>
        </w:rPr>
        <w:t xml:space="preserve">. Sydney: New South Wales Government, NSW Health, Communicable Diseases Branch; July 2018. [Accessed on 29 November 2021.] Available from: https://www.health.nsw.gov.au/Infectious/foodborne/Publications/nsw-ofn-annual-report-2017.pdf. </w:t>
      </w:r>
    </w:p>
    <w:p w14:paraId="748F76C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NSW Health. </w:t>
      </w:r>
      <w:r w:rsidRPr="00834CDC">
        <w:rPr>
          <w:rStyle w:val="Emphasis"/>
          <w:rFonts w:eastAsia="Times New Roman"/>
          <w:b w:val="0"/>
          <w:bCs w:val="0"/>
        </w:rPr>
        <w:t>OzFoodNet: Enhancing Foodborne Disease Surveillance Across Australia. NSW Annual Report 2016</w:t>
      </w:r>
      <w:r w:rsidRPr="00834CDC">
        <w:rPr>
          <w:rFonts w:eastAsia="Times New Roman"/>
        </w:rPr>
        <w:t xml:space="preserve">. Sydney: New South Wales Government, NSW Health, Communicable Diseases Branch; April 2017. [Accessed on 29 November 2021.] Available from: https://www.health.nsw.gov.au/Infectious/foodborne/Publications/nsw-ofn-annual-report-2016.pdf. </w:t>
      </w:r>
    </w:p>
    <w:p w14:paraId="3ECCE9A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NSW Health. Hepatitis A outbreak related to person-to-person transmission in Sydney 2017/18. [Internet.] Sydney: New South Wales Government, NSW Health. [Accessed on 29 November 2021.] Available from: https://www.health.nsw.gov.au/Infectious/alerts/Pages/hep-A-outbreak-person-to-person.aspx. </w:t>
      </w:r>
    </w:p>
    <w:p w14:paraId="562D0748"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Tasmanian Government Department of Health. Hepatitis A vaccine for at risk groups. [Internet.] Hobart: Tasmanian Government Department of Health; 2019. [Accessed on 29 November 2021.] Available from: https://www.health.tas.gov.au/news/2019/hepatitis_a_vaccine_for_at_risk_groups. </w:t>
      </w:r>
    </w:p>
    <w:p w14:paraId="187D3DE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Victorian Government Department of Health. Hepatitis A outbreak. [Internet.] Melbourne: Victorian Government Department of Health; 20 August 2020. [Accessed on 29 November 2021.] Available from: https://www.health.vic.gov.au/health-advisories/hepatitis-a-outbreak-0. </w:t>
      </w:r>
    </w:p>
    <w:p w14:paraId="17BCC49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Thompson C, Dey A, </w:t>
      </w:r>
      <w:proofErr w:type="spellStart"/>
      <w:r w:rsidRPr="00834CDC">
        <w:rPr>
          <w:rFonts w:eastAsia="Times New Roman"/>
        </w:rPr>
        <w:t>Fearnley</w:t>
      </w:r>
      <w:proofErr w:type="spellEnd"/>
      <w:r w:rsidRPr="00834CDC">
        <w:rPr>
          <w:rFonts w:eastAsia="Times New Roman"/>
        </w:rPr>
        <w:t xml:space="preserve"> E, Polkinghorne B, Beard F. Impact of the national targeted Hepatitis A immunisation program in Australia: 2000–2014. </w:t>
      </w:r>
      <w:r w:rsidRPr="00834CDC">
        <w:rPr>
          <w:rStyle w:val="Emphasis"/>
          <w:rFonts w:eastAsia="Times New Roman"/>
          <w:b w:val="0"/>
          <w:bCs w:val="0"/>
        </w:rPr>
        <w:t>Vaccine</w:t>
      </w:r>
      <w:r w:rsidRPr="00834CDC">
        <w:rPr>
          <w:rFonts w:eastAsia="Times New Roman"/>
        </w:rPr>
        <w:t xml:space="preserve">. 2017;35(1):170–6. </w:t>
      </w:r>
      <w:proofErr w:type="spellStart"/>
      <w:r w:rsidRPr="00834CDC">
        <w:rPr>
          <w:rFonts w:eastAsia="Times New Roman"/>
        </w:rPr>
        <w:t>doi</w:t>
      </w:r>
      <w:proofErr w:type="spellEnd"/>
      <w:r w:rsidRPr="00834CDC">
        <w:rPr>
          <w:rFonts w:eastAsia="Times New Roman"/>
        </w:rPr>
        <w:t xml:space="preserve">: https://doi.org/10.1016/j.vaccine.2016.11.002. </w:t>
      </w:r>
    </w:p>
    <w:p w14:paraId="3FCE065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Technical Advisory Group on Immunisation (ATAGI). Australian Immunisation Handbook. [Website.] Canberra: Australian Government Department of Health and Aged Care. Available from: https://immunisationhandbook.health.gov.au/contents. </w:t>
      </w:r>
    </w:p>
    <w:p w14:paraId="5DD5B6EE"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Vodstrcil</w:t>
      </w:r>
      <w:proofErr w:type="spellEnd"/>
      <w:r w:rsidRPr="00834CDC">
        <w:rPr>
          <w:rFonts w:eastAsia="Times New Roman"/>
        </w:rPr>
        <w:t xml:space="preserve"> LA, Fairley CK, Williamson DA, Bradshaw CS, Chen MY, Chow EPF. Immunity to hepatitis A among men who have sex with men attending a large sexual health clinic in Melbourne, Australia, 2012–2018. </w:t>
      </w:r>
      <w:r w:rsidRPr="00834CDC">
        <w:rPr>
          <w:rStyle w:val="Emphasis"/>
          <w:rFonts w:eastAsia="Times New Roman"/>
          <w:b w:val="0"/>
          <w:bCs w:val="0"/>
        </w:rPr>
        <w:t xml:space="preserve">Sex </w:t>
      </w:r>
      <w:proofErr w:type="spellStart"/>
      <w:r w:rsidRPr="00834CDC">
        <w:rPr>
          <w:rStyle w:val="Emphasis"/>
          <w:rFonts w:eastAsia="Times New Roman"/>
          <w:b w:val="0"/>
          <w:bCs w:val="0"/>
        </w:rPr>
        <w:t>Transm</w:t>
      </w:r>
      <w:proofErr w:type="spellEnd"/>
      <w:r w:rsidRPr="00834CDC">
        <w:rPr>
          <w:rStyle w:val="Emphasis"/>
          <w:rFonts w:eastAsia="Times New Roman"/>
          <w:b w:val="0"/>
          <w:bCs w:val="0"/>
        </w:rPr>
        <w:t xml:space="preserve"> Infect</w:t>
      </w:r>
      <w:r w:rsidRPr="00834CDC">
        <w:rPr>
          <w:rFonts w:eastAsia="Times New Roman"/>
        </w:rPr>
        <w:t xml:space="preserve">. 2020;96(4):265–70. </w:t>
      </w:r>
      <w:proofErr w:type="spellStart"/>
      <w:r w:rsidRPr="00834CDC">
        <w:rPr>
          <w:rFonts w:eastAsia="Times New Roman"/>
        </w:rPr>
        <w:t>doi</w:t>
      </w:r>
      <w:proofErr w:type="spellEnd"/>
      <w:r w:rsidRPr="00834CDC">
        <w:rPr>
          <w:rFonts w:eastAsia="Times New Roman"/>
        </w:rPr>
        <w:t xml:space="preserve">: https://doi.org/10.1136/sextrans-2019-054327. </w:t>
      </w:r>
    </w:p>
    <w:p w14:paraId="6AD7B04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Heywood AE, </w:t>
      </w:r>
      <w:proofErr w:type="spellStart"/>
      <w:r w:rsidRPr="00834CDC">
        <w:rPr>
          <w:rFonts w:eastAsia="Times New Roman"/>
        </w:rPr>
        <w:t>Nothdurft</w:t>
      </w:r>
      <w:proofErr w:type="spellEnd"/>
      <w:r w:rsidRPr="00834CDC">
        <w:rPr>
          <w:rFonts w:eastAsia="Times New Roman"/>
        </w:rPr>
        <w:t xml:space="preserve"> H, Tessier D, Moodley M, </w:t>
      </w:r>
      <w:proofErr w:type="spellStart"/>
      <w:r w:rsidRPr="00834CDC">
        <w:rPr>
          <w:rFonts w:eastAsia="Times New Roman"/>
        </w:rPr>
        <w:t>Rombo</w:t>
      </w:r>
      <w:proofErr w:type="spellEnd"/>
      <w:r w:rsidRPr="00834CDC">
        <w:rPr>
          <w:rFonts w:eastAsia="Times New Roman"/>
        </w:rPr>
        <w:t xml:space="preserve"> L, </w:t>
      </w:r>
      <w:proofErr w:type="spellStart"/>
      <w:r w:rsidRPr="00834CDC">
        <w:rPr>
          <w:rFonts w:eastAsia="Times New Roman"/>
        </w:rPr>
        <w:t>Marano</w:t>
      </w:r>
      <w:proofErr w:type="spellEnd"/>
      <w:r w:rsidRPr="00834CDC">
        <w:rPr>
          <w:rFonts w:eastAsia="Times New Roman"/>
        </w:rPr>
        <w:t xml:space="preserve"> C et al. Pre-travel advice, attitudes and hepatitis A and B vaccination rates among travellers from seven countries. </w:t>
      </w:r>
      <w:r w:rsidRPr="00834CDC">
        <w:rPr>
          <w:rStyle w:val="Emphasis"/>
          <w:rFonts w:eastAsia="Times New Roman"/>
          <w:b w:val="0"/>
          <w:bCs w:val="0"/>
        </w:rPr>
        <w:t>J Travel Med</w:t>
      </w:r>
      <w:r w:rsidRPr="00834CDC">
        <w:rPr>
          <w:rFonts w:eastAsia="Times New Roman"/>
        </w:rPr>
        <w:t>. 2016;24(1</w:t>
      </w:r>
      <w:proofErr w:type="gramStart"/>
      <w:r w:rsidRPr="00834CDC">
        <w:rPr>
          <w:rFonts w:eastAsia="Times New Roman"/>
        </w:rPr>
        <w:t>):taw</w:t>
      </w:r>
      <w:proofErr w:type="gramEnd"/>
      <w:r w:rsidRPr="00834CDC">
        <w:rPr>
          <w:rFonts w:eastAsia="Times New Roman"/>
        </w:rPr>
        <w:t xml:space="preserve">069. </w:t>
      </w:r>
      <w:proofErr w:type="spellStart"/>
      <w:r w:rsidRPr="00834CDC">
        <w:rPr>
          <w:rFonts w:eastAsia="Times New Roman"/>
        </w:rPr>
        <w:t>doi</w:t>
      </w:r>
      <w:proofErr w:type="spellEnd"/>
      <w:r w:rsidRPr="00834CDC">
        <w:rPr>
          <w:rFonts w:eastAsia="Times New Roman"/>
        </w:rPr>
        <w:t xml:space="preserve">: https://doi.org/10.1093/jtm/taw069. </w:t>
      </w:r>
    </w:p>
    <w:p w14:paraId="6F93BD7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Van Damme P, Ward JW, </w:t>
      </w:r>
      <w:proofErr w:type="spellStart"/>
      <w:r w:rsidRPr="00834CDC">
        <w:rPr>
          <w:rFonts w:eastAsia="Times New Roman"/>
        </w:rPr>
        <w:t>Shouval</w:t>
      </w:r>
      <w:proofErr w:type="spellEnd"/>
      <w:r w:rsidRPr="00834CDC">
        <w:rPr>
          <w:rFonts w:eastAsia="Times New Roman"/>
        </w:rPr>
        <w:t xml:space="preserve"> D, Zanetti A. 25 – Hepatitis B vaccines. In Plotkin SA, Orenstein WA, Offit PA, Edwards KM, eds. </w:t>
      </w:r>
      <w:r w:rsidRPr="00834CDC">
        <w:rPr>
          <w:rStyle w:val="Emphasis"/>
          <w:rFonts w:eastAsia="Times New Roman"/>
          <w:b w:val="0"/>
          <w:bCs w:val="0"/>
        </w:rPr>
        <w:t>Plotkin’s Vaccines</w:t>
      </w:r>
      <w:r w:rsidRPr="00834CDC">
        <w:rPr>
          <w:rFonts w:eastAsia="Times New Roman"/>
        </w:rPr>
        <w:t xml:space="preserve"> (</w:t>
      </w:r>
      <w:proofErr w:type="gramStart"/>
      <w:r w:rsidRPr="00834CDC">
        <w:rPr>
          <w:rFonts w:eastAsia="Times New Roman"/>
        </w:rPr>
        <w:t>7th</w:t>
      </w:r>
      <w:proofErr w:type="gramEnd"/>
      <w:r w:rsidRPr="00834CDC">
        <w:rPr>
          <w:rFonts w:eastAsia="Times New Roman"/>
        </w:rPr>
        <w:t xml:space="preserve"> edition). Amsterdam: Elsevier, 2018;342–</w:t>
      </w:r>
      <w:proofErr w:type="gramStart"/>
      <w:r w:rsidRPr="00834CDC">
        <w:rPr>
          <w:rFonts w:eastAsia="Times New Roman"/>
        </w:rPr>
        <w:t>74.e</w:t>
      </w:r>
      <w:proofErr w:type="gramEnd"/>
      <w:r w:rsidRPr="00834CDC">
        <w:rPr>
          <w:rFonts w:eastAsia="Times New Roman"/>
        </w:rPr>
        <w:t xml:space="preserve">17. </w:t>
      </w:r>
      <w:proofErr w:type="spellStart"/>
      <w:r w:rsidRPr="00834CDC">
        <w:rPr>
          <w:rFonts w:eastAsia="Times New Roman"/>
        </w:rPr>
        <w:t>doi</w:t>
      </w:r>
      <w:proofErr w:type="spellEnd"/>
      <w:r w:rsidRPr="00834CDC">
        <w:rPr>
          <w:rFonts w:eastAsia="Times New Roman"/>
        </w:rPr>
        <w:t xml:space="preserve">: https//doi.org/10.1016/B978-0-323-35761-6.00025-0. </w:t>
      </w:r>
    </w:p>
    <w:p w14:paraId="11D82DF7"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Amin J, O’Connell D, Bartlett M, Tracey E, Kaldor J, Law M et al. Liver cancer and hepatitis B and C in New South Wales, 1990-2002: a linkage study. </w:t>
      </w:r>
      <w:r w:rsidRPr="00834CDC">
        <w:rPr>
          <w:rStyle w:val="Emphasis"/>
          <w:rFonts w:eastAsia="Times New Roman"/>
          <w:b w:val="0"/>
          <w:bCs w:val="0"/>
        </w:rPr>
        <w:t>Aust N Z J Public Health</w:t>
      </w:r>
      <w:r w:rsidRPr="00834CDC">
        <w:rPr>
          <w:rFonts w:eastAsia="Times New Roman"/>
        </w:rPr>
        <w:t xml:space="preserve">. 2007;31(5):475–82. </w:t>
      </w:r>
      <w:proofErr w:type="spellStart"/>
      <w:r w:rsidRPr="00834CDC">
        <w:rPr>
          <w:rFonts w:eastAsia="Times New Roman"/>
        </w:rPr>
        <w:t>doi</w:t>
      </w:r>
      <w:proofErr w:type="spellEnd"/>
      <w:r w:rsidRPr="00834CDC">
        <w:rPr>
          <w:rFonts w:eastAsia="Times New Roman"/>
        </w:rPr>
        <w:t xml:space="preserve">: https://doi.org/10.1111/j.1753-6405.2007.00121.x. </w:t>
      </w:r>
    </w:p>
    <w:p w14:paraId="2D6804F8"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lastRenderedPageBreak/>
        <w:t xml:space="preserve">Graham S, </w:t>
      </w:r>
      <w:proofErr w:type="spellStart"/>
      <w:r w:rsidRPr="00834CDC">
        <w:rPr>
          <w:rFonts w:eastAsia="Times New Roman"/>
        </w:rPr>
        <w:t>Maclachlan</w:t>
      </w:r>
      <w:proofErr w:type="spellEnd"/>
      <w:r w:rsidRPr="00834CDC">
        <w:rPr>
          <w:rFonts w:eastAsia="Times New Roman"/>
        </w:rPr>
        <w:t xml:space="preserve"> JH, </w:t>
      </w:r>
      <w:proofErr w:type="spellStart"/>
      <w:r w:rsidRPr="00834CDC">
        <w:rPr>
          <w:rFonts w:eastAsia="Times New Roman"/>
        </w:rPr>
        <w:t>Gunaratnam</w:t>
      </w:r>
      <w:proofErr w:type="spellEnd"/>
      <w:r w:rsidRPr="00834CDC">
        <w:rPr>
          <w:rFonts w:eastAsia="Times New Roman"/>
        </w:rPr>
        <w:t xml:space="preserve"> P, Cowie BC. Chronic hepatitis B prevalence in Australian Aboriginal and Torres Strait Islander people before and after implementing a universal vaccination program: a systematic review and meta-analysis. </w:t>
      </w:r>
      <w:r w:rsidRPr="00834CDC">
        <w:rPr>
          <w:rStyle w:val="Emphasis"/>
          <w:rFonts w:eastAsia="Times New Roman"/>
          <w:b w:val="0"/>
          <w:bCs w:val="0"/>
        </w:rPr>
        <w:t>Sex Health</w:t>
      </w:r>
      <w:r w:rsidRPr="00834CDC">
        <w:rPr>
          <w:rFonts w:eastAsia="Times New Roman"/>
        </w:rPr>
        <w:t xml:space="preserve">. 2019;16(3):201–11. </w:t>
      </w:r>
      <w:proofErr w:type="spellStart"/>
      <w:r w:rsidRPr="00834CDC">
        <w:rPr>
          <w:rFonts w:eastAsia="Times New Roman"/>
        </w:rPr>
        <w:t>doi</w:t>
      </w:r>
      <w:proofErr w:type="spellEnd"/>
      <w:r w:rsidRPr="00834CDC">
        <w:rPr>
          <w:rFonts w:eastAsia="Times New Roman"/>
        </w:rPr>
        <w:t xml:space="preserve">: https://doi.org/10.1071/SH18150. </w:t>
      </w:r>
    </w:p>
    <w:p w14:paraId="0A936654"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Davies J, Li SQ, Tong SY, Baird RW, Beaman M, Higgins G et al. </w:t>
      </w:r>
      <w:proofErr w:type="gramStart"/>
      <w:r w:rsidRPr="00834CDC">
        <w:rPr>
          <w:rFonts w:eastAsia="Times New Roman"/>
        </w:rPr>
        <w:t>Establishing</w:t>
      </w:r>
      <w:proofErr w:type="gramEnd"/>
      <w:r w:rsidRPr="00834CDC">
        <w:rPr>
          <w:rFonts w:eastAsia="Times New Roman"/>
        </w:rPr>
        <w:t xml:space="preserve"> contemporary trends in hepatitis B </w:t>
      </w:r>
      <w:proofErr w:type="spellStart"/>
      <w:r w:rsidRPr="00834CDC">
        <w:rPr>
          <w:rFonts w:eastAsia="Times New Roman"/>
        </w:rPr>
        <w:t>sero</w:t>
      </w:r>
      <w:proofErr w:type="spellEnd"/>
      <w:r w:rsidRPr="00834CDC">
        <w:rPr>
          <w:rFonts w:eastAsia="Times New Roman"/>
        </w:rPr>
        <w:t xml:space="preserve">-epidemiology in an Indigenous population. </w:t>
      </w:r>
      <w:proofErr w:type="spellStart"/>
      <w:r w:rsidRPr="00834CDC">
        <w:rPr>
          <w:rStyle w:val="Emphasis"/>
          <w:rFonts w:eastAsia="Times New Roman"/>
          <w:b w:val="0"/>
          <w:bCs w:val="0"/>
        </w:rPr>
        <w:t>PLoS</w:t>
      </w:r>
      <w:proofErr w:type="spellEnd"/>
      <w:r w:rsidRPr="00834CDC">
        <w:rPr>
          <w:rStyle w:val="Emphasis"/>
          <w:rFonts w:eastAsia="Times New Roman"/>
          <w:b w:val="0"/>
          <w:bCs w:val="0"/>
        </w:rPr>
        <w:t xml:space="preserve"> One</w:t>
      </w:r>
      <w:r w:rsidRPr="00834CDC">
        <w:rPr>
          <w:rFonts w:eastAsia="Times New Roman"/>
        </w:rPr>
        <w:t>. 2017;12(9</w:t>
      </w:r>
      <w:proofErr w:type="gramStart"/>
      <w:r w:rsidRPr="00834CDC">
        <w:rPr>
          <w:rFonts w:eastAsia="Times New Roman"/>
        </w:rPr>
        <w:t>):e</w:t>
      </w:r>
      <w:proofErr w:type="gramEnd"/>
      <w:r w:rsidRPr="00834CDC">
        <w:rPr>
          <w:rFonts w:eastAsia="Times New Roman"/>
        </w:rPr>
        <w:t xml:space="preserve">0184082. </w:t>
      </w:r>
      <w:proofErr w:type="spellStart"/>
      <w:r w:rsidRPr="00834CDC">
        <w:rPr>
          <w:rFonts w:eastAsia="Times New Roman"/>
        </w:rPr>
        <w:t>doi</w:t>
      </w:r>
      <w:proofErr w:type="spellEnd"/>
      <w:r w:rsidRPr="00834CDC">
        <w:rPr>
          <w:rFonts w:eastAsia="Times New Roman"/>
        </w:rPr>
        <w:t xml:space="preserve">: https://doi.org/10.1371/journal.pone.0184082. </w:t>
      </w:r>
    </w:p>
    <w:p w14:paraId="53C95BE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Reekie J, Kaldor JM, </w:t>
      </w:r>
      <w:proofErr w:type="spellStart"/>
      <w:r w:rsidRPr="00834CDC">
        <w:rPr>
          <w:rFonts w:eastAsia="Times New Roman"/>
        </w:rPr>
        <w:t>Mak</w:t>
      </w:r>
      <w:proofErr w:type="spellEnd"/>
      <w:r w:rsidRPr="00834CDC">
        <w:rPr>
          <w:rFonts w:eastAsia="Times New Roman"/>
        </w:rPr>
        <w:t xml:space="preserve"> DB, Ward J, Donovan B, Hocking JS et al. Long-term impact of childhood hepatitis B vaccination programs on prevalence among Aboriginal and non-Aboriginal women giving birth in Western Australia. </w:t>
      </w:r>
      <w:r w:rsidRPr="00834CDC">
        <w:rPr>
          <w:rStyle w:val="Emphasis"/>
          <w:rFonts w:eastAsia="Times New Roman"/>
          <w:b w:val="0"/>
          <w:bCs w:val="0"/>
        </w:rPr>
        <w:t>Vaccine</w:t>
      </w:r>
      <w:r w:rsidRPr="00834CDC">
        <w:rPr>
          <w:rFonts w:eastAsia="Times New Roman"/>
        </w:rPr>
        <w:t xml:space="preserve">. 2018;36(23):3296–300. </w:t>
      </w:r>
      <w:proofErr w:type="spellStart"/>
      <w:r w:rsidRPr="00834CDC">
        <w:rPr>
          <w:rFonts w:eastAsia="Times New Roman"/>
        </w:rPr>
        <w:t>doi</w:t>
      </w:r>
      <w:proofErr w:type="spellEnd"/>
      <w:r w:rsidRPr="00834CDC">
        <w:rPr>
          <w:rFonts w:eastAsia="Times New Roman"/>
        </w:rPr>
        <w:t xml:space="preserve">: https://doi.org/10.1016/j.vaccine.2018.04.057. </w:t>
      </w:r>
    </w:p>
    <w:p w14:paraId="6ED6F638"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Connelly M, Bruce MG, </w:t>
      </w:r>
      <w:proofErr w:type="spellStart"/>
      <w:r w:rsidRPr="00834CDC">
        <w:rPr>
          <w:rFonts w:eastAsia="Times New Roman"/>
        </w:rPr>
        <w:t>Bulkow</w:t>
      </w:r>
      <w:proofErr w:type="spellEnd"/>
      <w:r w:rsidRPr="00834CDC">
        <w:rPr>
          <w:rFonts w:eastAsia="Times New Roman"/>
        </w:rPr>
        <w:t xml:space="preserve"> L, Snowball M, McMahon BJ. The changing epidemiology and aetiology of hepatocellular carcinoma from 1969 through 2013 in Alaska Native people. </w:t>
      </w:r>
      <w:r w:rsidRPr="00834CDC">
        <w:rPr>
          <w:rStyle w:val="Emphasis"/>
          <w:rFonts w:eastAsia="Times New Roman"/>
          <w:b w:val="0"/>
          <w:bCs w:val="0"/>
        </w:rPr>
        <w:t>Liver Int</w:t>
      </w:r>
      <w:r w:rsidRPr="00834CDC">
        <w:rPr>
          <w:rFonts w:eastAsia="Times New Roman"/>
        </w:rPr>
        <w:t xml:space="preserve">. 2016;36(12):1829–35. </w:t>
      </w:r>
      <w:proofErr w:type="spellStart"/>
      <w:r w:rsidRPr="00834CDC">
        <w:rPr>
          <w:rFonts w:eastAsia="Times New Roman"/>
        </w:rPr>
        <w:t>doi</w:t>
      </w:r>
      <w:proofErr w:type="spellEnd"/>
      <w:r w:rsidRPr="00834CDC">
        <w:rPr>
          <w:rFonts w:eastAsia="Times New Roman"/>
        </w:rPr>
        <w:t xml:space="preserve">: https://doi.org/10.1111/liv.13173. </w:t>
      </w:r>
    </w:p>
    <w:p w14:paraId="47B0AB9E"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Mohammed H, McMillan M, Marshall HS. Social and </w:t>
      </w:r>
      <w:proofErr w:type="spellStart"/>
      <w:r w:rsidRPr="00834CDC">
        <w:rPr>
          <w:rFonts w:eastAsia="Times New Roman"/>
        </w:rPr>
        <w:t>behavioral</w:t>
      </w:r>
      <w:proofErr w:type="spellEnd"/>
      <w:r w:rsidRPr="00834CDC">
        <w:rPr>
          <w:rFonts w:eastAsia="Times New Roman"/>
        </w:rPr>
        <w:t xml:space="preserve"> predictors of two-doses 4CMenB vaccine series among adolescents enrolled in a cluster randomized controlled trial in Australia. </w:t>
      </w:r>
      <w:r w:rsidRPr="00834CDC">
        <w:rPr>
          <w:rStyle w:val="Emphasis"/>
          <w:rFonts w:eastAsia="Times New Roman"/>
          <w:b w:val="0"/>
          <w:bCs w:val="0"/>
        </w:rPr>
        <w:t xml:space="preserve">Hum </w:t>
      </w:r>
      <w:proofErr w:type="spellStart"/>
      <w:r w:rsidRPr="00834CDC">
        <w:rPr>
          <w:rStyle w:val="Emphasis"/>
          <w:rFonts w:eastAsia="Times New Roman"/>
          <w:b w:val="0"/>
          <w:bCs w:val="0"/>
        </w:rPr>
        <w:t>Vaccin</w:t>
      </w:r>
      <w:proofErr w:type="spellEnd"/>
      <w:r w:rsidRPr="00834CDC">
        <w:rPr>
          <w:rStyle w:val="Emphasis"/>
          <w:rFonts w:eastAsia="Times New Roman"/>
          <w:b w:val="0"/>
          <w:bCs w:val="0"/>
        </w:rPr>
        <w:t xml:space="preserve"> </w:t>
      </w:r>
      <w:proofErr w:type="spellStart"/>
      <w:r w:rsidRPr="00834CDC">
        <w:rPr>
          <w:rStyle w:val="Emphasis"/>
          <w:rFonts w:eastAsia="Times New Roman"/>
          <w:b w:val="0"/>
          <w:bCs w:val="0"/>
        </w:rPr>
        <w:t>Immunother</w:t>
      </w:r>
      <w:proofErr w:type="spellEnd"/>
      <w:r w:rsidRPr="00834CDC">
        <w:rPr>
          <w:rFonts w:eastAsia="Times New Roman"/>
        </w:rPr>
        <w:t xml:space="preserve">. 2021;18(1):1953345. </w:t>
      </w:r>
      <w:proofErr w:type="spellStart"/>
      <w:r w:rsidRPr="00834CDC">
        <w:rPr>
          <w:rFonts w:eastAsia="Times New Roman"/>
        </w:rPr>
        <w:t>doi</w:t>
      </w:r>
      <w:proofErr w:type="spellEnd"/>
      <w:r w:rsidRPr="00834CDC">
        <w:rPr>
          <w:rFonts w:eastAsia="Times New Roman"/>
        </w:rPr>
        <w:t xml:space="preserve">: https://doi.org/10.1080/21645515.2021.1953345. </w:t>
      </w:r>
    </w:p>
    <w:p w14:paraId="5FB4AE2E"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Brotherton JM, Murray SL, Hall MA, Andrewartha LK, Banks CA, Meijer D et al. Human papillomavirus vaccine coverage among female Australian adolescents: success of the school-based approach. </w:t>
      </w:r>
      <w:r w:rsidRPr="00834CDC">
        <w:rPr>
          <w:rStyle w:val="Emphasis"/>
          <w:rFonts w:eastAsia="Times New Roman"/>
          <w:b w:val="0"/>
          <w:bCs w:val="0"/>
        </w:rPr>
        <w:t>Med J Aust</w:t>
      </w:r>
      <w:r w:rsidRPr="00834CDC">
        <w:rPr>
          <w:rFonts w:eastAsia="Times New Roman"/>
        </w:rPr>
        <w:t xml:space="preserve">. 2013;199(9):614–7. </w:t>
      </w:r>
      <w:proofErr w:type="spellStart"/>
      <w:r w:rsidRPr="00834CDC">
        <w:rPr>
          <w:rFonts w:eastAsia="Times New Roman"/>
        </w:rPr>
        <w:t>doi</w:t>
      </w:r>
      <w:proofErr w:type="spellEnd"/>
      <w:r w:rsidRPr="00834CDC">
        <w:rPr>
          <w:rFonts w:eastAsia="Times New Roman"/>
        </w:rPr>
        <w:t xml:space="preserve">: https://doi.org/10.5694/mja13.10272. </w:t>
      </w:r>
    </w:p>
    <w:p w14:paraId="318AF620"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Cheah BC, Davies J, Singh GR, Wood N, Jackson K, Littlejohn M et al. Sub-optimal protection against past hepatitis B virus infection where subtype mismatch exists between vaccine and circulating viral genotype in northern Australia. </w:t>
      </w:r>
      <w:r w:rsidRPr="00834CDC">
        <w:rPr>
          <w:rStyle w:val="Emphasis"/>
          <w:rFonts w:eastAsia="Times New Roman"/>
          <w:b w:val="0"/>
          <w:bCs w:val="0"/>
        </w:rPr>
        <w:t>Vaccine</w:t>
      </w:r>
      <w:r w:rsidRPr="00834CDC">
        <w:rPr>
          <w:rFonts w:eastAsia="Times New Roman"/>
        </w:rPr>
        <w:t xml:space="preserve">. 2018;36(24):3533–40. </w:t>
      </w:r>
      <w:proofErr w:type="spellStart"/>
      <w:r w:rsidRPr="00834CDC">
        <w:rPr>
          <w:rFonts w:eastAsia="Times New Roman"/>
        </w:rPr>
        <w:t>doi</w:t>
      </w:r>
      <w:proofErr w:type="spellEnd"/>
      <w:r w:rsidRPr="00834CDC">
        <w:rPr>
          <w:rFonts w:eastAsia="Times New Roman"/>
        </w:rPr>
        <w:t xml:space="preserve">: https://doi.org/10.1016/j.vaccine.2018.01.062. </w:t>
      </w:r>
    </w:p>
    <w:p w14:paraId="3B10F42E"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Narayana S, Nugent M, Woodman R, Larkin M, Ramachandran J, Muller K et al. Quality measures for hepatitis B in a remote Australian Aboriginal community. </w:t>
      </w:r>
      <w:r w:rsidRPr="00834CDC">
        <w:rPr>
          <w:rStyle w:val="Emphasis"/>
          <w:rFonts w:eastAsia="Times New Roman"/>
          <w:b w:val="0"/>
          <w:bCs w:val="0"/>
        </w:rPr>
        <w:t>J Gastroenterol Hepatol</w:t>
      </w:r>
      <w:r w:rsidRPr="00834CDC">
        <w:rPr>
          <w:rFonts w:eastAsia="Times New Roman"/>
        </w:rPr>
        <w:t>. 2020;35(Suppl):</w:t>
      </w:r>
      <w:proofErr w:type="gramStart"/>
      <w:r w:rsidRPr="00834CDC">
        <w:rPr>
          <w:rFonts w:eastAsia="Times New Roman"/>
        </w:rPr>
        <w:t>54</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https://doi.org/10.1111/jgh.15269. </w:t>
      </w:r>
    </w:p>
    <w:p w14:paraId="1474584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Wattiaux AL, Yin JK, Beard F, </w:t>
      </w:r>
      <w:proofErr w:type="spellStart"/>
      <w:r w:rsidRPr="00834CDC">
        <w:rPr>
          <w:rFonts w:eastAsia="Times New Roman"/>
        </w:rPr>
        <w:t>Wesselingh</w:t>
      </w:r>
      <w:proofErr w:type="spellEnd"/>
      <w:r w:rsidRPr="00834CDC">
        <w:rPr>
          <w:rFonts w:eastAsia="Times New Roman"/>
        </w:rPr>
        <w:t xml:space="preserve"> S, Cowie B, Ward J et al. Hepatitis B immunization for indigenous adults, Australia. </w:t>
      </w:r>
      <w:r w:rsidRPr="00834CDC">
        <w:rPr>
          <w:rStyle w:val="Emphasis"/>
          <w:rFonts w:eastAsia="Times New Roman"/>
          <w:b w:val="0"/>
          <w:bCs w:val="0"/>
        </w:rPr>
        <w:t>Bull World Health Organ</w:t>
      </w:r>
      <w:r w:rsidRPr="00834CDC">
        <w:rPr>
          <w:rFonts w:eastAsia="Times New Roman"/>
        </w:rPr>
        <w:t xml:space="preserve">. 2016;94(11):826–34A. </w:t>
      </w:r>
      <w:proofErr w:type="spellStart"/>
      <w:r w:rsidRPr="00834CDC">
        <w:rPr>
          <w:rFonts w:eastAsia="Times New Roman"/>
        </w:rPr>
        <w:t>doi</w:t>
      </w:r>
      <w:proofErr w:type="spellEnd"/>
      <w:r w:rsidRPr="00834CDC">
        <w:rPr>
          <w:rFonts w:eastAsia="Times New Roman"/>
        </w:rPr>
        <w:t xml:space="preserve">: https://doi.org/10.2471/BLT.16.169524. </w:t>
      </w:r>
    </w:p>
    <w:p w14:paraId="4E6BBE9D"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Wigg</w:t>
      </w:r>
      <w:proofErr w:type="spellEnd"/>
      <w:r w:rsidRPr="00834CDC">
        <w:rPr>
          <w:rFonts w:eastAsia="Times New Roman"/>
        </w:rPr>
        <w:t xml:space="preserve"> AJ, Narayana SK, </w:t>
      </w:r>
      <w:proofErr w:type="spellStart"/>
      <w:r w:rsidRPr="00834CDC">
        <w:rPr>
          <w:rFonts w:eastAsia="Times New Roman"/>
        </w:rPr>
        <w:t>Hartel</w:t>
      </w:r>
      <w:proofErr w:type="spellEnd"/>
      <w:r w:rsidRPr="00834CDC">
        <w:rPr>
          <w:rFonts w:eastAsia="Times New Roman"/>
        </w:rPr>
        <w:t xml:space="preserve"> G, Medlin L, Pratt G, Powell EE et al. Hepatocellular carcinoma amongst Aboriginal and Torres Strait Islander peoples of Australia. </w:t>
      </w:r>
      <w:proofErr w:type="spellStart"/>
      <w:r w:rsidRPr="00834CDC">
        <w:rPr>
          <w:rStyle w:val="Emphasis"/>
          <w:rFonts w:eastAsia="Times New Roman"/>
          <w:b w:val="0"/>
          <w:bCs w:val="0"/>
        </w:rPr>
        <w:t>EClinicalMedicine</w:t>
      </w:r>
      <w:proofErr w:type="spellEnd"/>
      <w:r w:rsidRPr="00834CDC">
        <w:rPr>
          <w:rFonts w:eastAsia="Times New Roman"/>
        </w:rPr>
        <w:t xml:space="preserve">. </w:t>
      </w:r>
      <w:proofErr w:type="gramStart"/>
      <w:r w:rsidRPr="00834CDC">
        <w:rPr>
          <w:rFonts w:eastAsia="Times New Roman"/>
        </w:rPr>
        <w:t>2021;36:100919</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https://doi.org/10.1016/j.eclinm.2021.100919. </w:t>
      </w:r>
    </w:p>
    <w:p w14:paraId="167C5B90"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Parker C, Tong SY, Dempsey K, Condon J, Sharma SK, Chen JW et al. Hepatocellular carcinoma in Australia’s Northern Territory: high incidence and poor outcome. </w:t>
      </w:r>
      <w:r w:rsidRPr="00834CDC">
        <w:rPr>
          <w:rStyle w:val="Emphasis"/>
          <w:rFonts w:eastAsia="Times New Roman"/>
          <w:b w:val="0"/>
          <w:bCs w:val="0"/>
        </w:rPr>
        <w:t>Med J Aust</w:t>
      </w:r>
      <w:r w:rsidRPr="00834CDC">
        <w:rPr>
          <w:rFonts w:eastAsia="Times New Roman"/>
        </w:rPr>
        <w:t xml:space="preserve">. 2014;201(8):470–4. </w:t>
      </w:r>
      <w:proofErr w:type="spellStart"/>
      <w:r w:rsidRPr="00834CDC">
        <w:rPr>
          <w:rFonts w:eastAsia="Times New Roman"/>
        </w:rPr>
        <w:t>doi</w:t>
      </w:r>
      <w:proofErr w:type="spellEnd"/>
      <w:r w:rsidRPr="00834CDC">
        <w:rPr>
          <w:rFonts w:eastAsia="Times New Roman"/>
        </w:rPr>
        <w:t xml:space="preserve">: https://doi.org/10.5694/mja13.11117. </w:t>
      </w:r>
    </w:p>
    <w:p w14:paraId="3BD1649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Condon JR, Zhang X, Dempsey K, </w:t>
      </w:r>
      <w:proofErr w:type="spellStart"/>
      <w:r w:rsidRPr="00834CDC">
        <w:rPr>
          <w:rFonts w:eastAsia="Times New Roman"/>
        </w:rPr>
        <w:t>Garling</w:t>
      </w:r>
      <w:proofErr w:type="spellEnd"/>
      <w:r w:rsidRPr="00834CDC">
        <w:rPr>
          <w:rFonts w:eastAsia="Times New Roman"/>
        </w:rPr>
        <w:t xml:space="preserve"> L, Guthridge S. Trends in cancer incidence and survival for Indigenous and non-Indigenous people in the Northern Territory. </w:t>
      </w:r>
      <w:r w:rsidRPr="00834CDC">
        <w:rPr>
          <w:rStyle w:val="Emphasis"/>
          <w:rFonts w:eastAsia="Times New Roman"/>
          <w:b w:val="0"/>
          <w:bCs w:val="0"/>
        </w:rPr>
        <w:t>Med J Aust</w:t>
      </w:r>
      <w:r w:rsidRPr="00834CDC">
        <w:rPr>
          <w:rFonts w:eastAsia="Times New Roman"/>
        </w:rPr>
        <w:t xml:space="preserve">. 2016;205(10):454–8. </w:t>
      </w:r>
      <w:proofErr w:type="spellStart"/>
      <w:r w:rsidRPr="00834CDC">
        <w:rPr>
          <w:rFonts w:eastAsia="Times New Roman"/>
        </w:rPr>
        <w:t>doi</w:t>
      </w:r>
      <w:proofErr w:type="spellEnd"/>
      <w:r w:rsidRPr="00834CDC">
        <w:rPr>
          <w:rFonts w:eastAsia="Times New Roman"/>
        </w:rPr>
        <w:t xml:space="preserve">: https://doi.org/10.5694/mja16.00588. </w:t>
      </w:r>
    </w:p>
    <w:p w14:paraId="6B0C3D42"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AIHW. Cancer in Aboriginal and Torres Strait Islander people of Australia. (Cat. no. CAN 109.) [Web report.] Canberra: Australian Government, AIHW; 15 March 2018. [Accessed on 26 September 2022.] Available from: https://www.aihw.gov.au/reports/cancer/cancer-in-indigenous-australians. </w:t>
      </w:r>
    </w:p>
    <w:p w14:paraId="4F96EF5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Bouvard V, Baan R, </w:t>
      </w:r>
      <w:proofErr w:type="spellStart"/>
      <w:r w:rsidRPr="00834CDC">
        <w:rPr>
          <w:rFonts w:eastAsia="Times New Roman"/>
        </w:rPr>
        <w:t>Straif</w:t>
      </w:r>
      <w:proofErr w:type="spellEnd"/>
      <w:r w:rsidRPr="00834CDC">
        <w:rPr>
          <w:rFonts w:eastAsia="Times New Roman"/>
        </w:rPr>
        <w:t xml:space="preserve"> K, Grosse Y, </w:t>
      </w:r>
      <w:proofErr w:type="spellStart"/>
      <w:r w:rsidRPr="00834CDC">
        <w:rPr>
          <w:rFonts w:eastAsia="Times New Roman"/>
        </w:rPr>
        <w:t>Lauby-Secretan</w:t>
      </w:r>
      <w:proofErr w:type="spellEnd"/>
      <w:r w:rsidRPr="00834CDC">
        <w:rPr>
          <w:rFonts w:eastAsia="Times New Roman"/>
        </w:rPr>
        <w:t xml:space="preserve"> B, El </w:t>
      </w:r>
      <w:proofErr w:type="spellStart"/>
      <w:r w:rsidRPr="00834CDC">
        <w:rPr>
          <w:rFonts w:eastAsia="Times New Roman"/>
        </w:rPr>
        <w:t>Ghissassi</w:t>
      </w:r>
      <w:proofErr w:type="spellEnd"/>
      <w:r w:rsidRPr="00834CDC">
        <w:rPr>
          <w:rFonts w:eastAsia="Times New Roman"/>
        </w:rPr>
        <w:t xml:space="preserve"> F et al. A review of human carcinogens—part B: biological agents. </w:t>
      </w:r>
      <w:r w:rsidRPr="00834CDC">
        <w:rPr>
          <w:rStyle w:val="Emphasis"/>
          <w:rFonts w:eastAsia="Times New Roman"/>
          <w:b w:val="0"/>
          <w:bCs w:val="0"/>
        </w:rPr>
        <w:t>Lancet Oncol</w:t>
      </w:r>
      <w:r w:rsidRPr="00834CDC">
        <w:rPr>
          <w:rFonts w:eastAsia="Times New Roman"/>
        </w:rPr>
        <w:t xml:space="preserve">. 2009;10(4):321–2. </w:t>
      </w:r>
      <w:proofErr w:type="spellStart"/>
      <w:r w:rsidRPr="00834CDC">
        <w:rPr>
          <w:rFonts w:eastAsia="Times New Roman"/>
        </w:rPr>
        <w:t>doi</w:t>
      </w:r>
      <w:proofErr w:type="spellEnd"/>
      <w:r w:rsidRPr="00834CDC">
        <w:rPr>
          <w:rFonts w:eastAsia="Times New Roman"/>
        </w:rPr>
        <w:t xml:space="preserve">: https://doi.org/10.1016/s1470-2045(09)70096-8. </w:t>
      </w:r>
    </w:p>
    <w:p w14:paraId="6C6962ED"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AIHW. </w:t>
      </w:r>
      <w:r w:rsidRPr="00834CDC">
        <w:rPr>
          <w:rStyle w:val="Emphasis"/>
          <w:rFonts w:eastAsia="Times New Roman"/>
          <w:b w:val="0"/>
          <w:bCs w:val="0"/>
        </w:rPr>
        <w:t>National Cervical Screening Program monitoring report 2021</w:t>
      </w:r>
      <w:r w:rsidRPr="00834CDC">
        <w:rPr>
          <w:rFonts w:eastAsia="Times New Roman"/>
        </w:rPr>
        <w:t xml:space="preserve">. (Cat. no. CAN 141.) Canberra: Australian Government, AIHW; 3 December 2021. [Accessed on 26 September 2022.] Available from: </w:t>
      </w:r>
      <w:r w:rsidRPr="00834CDC">
        <w:rPr>
          <w:rFonts w:eastAsia="Times New Roman"/>
        </w:rPr>
        <w:lastRenderedPageBreak/>
        <w:t xml:space="preserve">https://www.aihw.gov.au/reports/cancer-screening/national-cervical-screening-program-monitoring-rep/formats. </w:t>
      </w:r>
    </w:p>
    <w:p w14:paraId="22051B61"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Garland SM, Brotherton JM, Condon JR, McIntyre PB, Stevens MP, Smith DW et al. Human papillomavirus prevalence among Indigenous and non-Indigenous Australian women prior to a national HPV vaccination program. </w:t>
      </w:r>
      <w:r w:rsidRPr="00834CDC">
        <w:rPr>
          <w:rStyle w:val="Emphasis"/>
          <w:rFonts w:eastAsia="Times New Roman"/>
          <w:b w:val="0"/>
          <w:bCs w:val="0"/>
        </w:rPr>
        <w:t>BMC Medicine</w:t>
      </w:r>
      <w:r w:rsidRPr="00834CDC">
        <w:rPr>
          <w:rFonts w:eastAsia="Times New Roman"/>
        </w:rPr>
        <w:t xml:space="preserve">. 2011;9(1):104. </w:t>
      </w:r>
      <w:proofErr w:type="spellStart"/>
      <w:r w:rsidRPr="00834CDC">
        <w:rPr>
          <w:rFonts w:eastAsia="Times New Roman"/>
        </w:rPr>
        <w:t>doi</w:t>
      </w:r>
      <w:proofErr w:type="spellEnd"/>
      <w:r w:rsidRPr="00834CDC">
        <w:rPr>
          <w:rFonts w:eastAsia="Times New Roman"/>
        </w:rPr>
        <w:t xml:space="preserve">: https://doi.org/10.1186/1741-7015-9-104. </w:t>
      </w:r>
    </w:p>
    <w:p w14:paraId="38F826B0"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Whop LJ, Garvey G, Baade P, Cunningham J, </w:t>
      </w:r>
      <w:proofErr w:type="spellStart"/>
      <w:r w:rsidRPr="00834CDC">
        <w:rPr>
          <w:rFonts w:eastAsia="Times New Roman"/>
        </w:rPr>
        <w:t>Lokuge</w:t>
      </w:r>
      <w:proofErr w:type="spellEnd"/>
      <w:r w:rsidRPr="00834CDC">
        <w:rPr>
          <w:rFonts w:eastAsia="Times New Roman"/>
        </w:rPr>
        <w:t xml:space="preserve"> K, Brotherton JM et al. The first comprehensive report on Indigenous Australian women’s inequalities in cervical screening: a retrospective registry cohort study in Queensland, Australia (2000-2011). </w:t>
      </w:r>
      <w:r w:rsidRPr="00834CDC">
        <w:rPr>
          <w:rStyle w:val="Emphasis"/>
          <w:rFonts w:eastAsia="Times New Roman"/>
          <w:b w:val="0"/>
          <w:bCs w:val="0"/>
        </w:rPr>
        <w:t>Cancer</w:t>
      </w:r>
      <w:r w:rsidRPr="00834CDC">
        <w:rPr>
          <w:rFonts w:eastAsia="Times New Roman"/>
        </w:rPr>
        <w:t xml:space="preserve">. 2016;122(10):1560–9. </w:t>
      </w:r>
      <w:proofErr w:type="spellStart"/>
      <w:r w:rsidRPr="00834CDC">
        <w:rPr>
          <w:rFonts w:eastAsia="Times New Roman"/>
        </w:rPr>
        <w:t>doi</w:t>
      </w:r>
      <w:proofErr w:type="spellEnd"/>
      <w:r w:rsidRPr="00834CDC">
        <w:rPr>
          <w:rFonts w:eastAsia="Times New Roman"/>
        </w:rPr>
        <w:t xml:space="preserve">: https://doi.org/10.1002/cncr.29954. </w:t>
      </w:r>
    </w:p>
    <w:p w14:paraId="22F10E9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Chesson HW, Dunne EF, Hariri S, Markowitz LE. The estimated lifetime probability of </w:t>
      </w:r>
      <w:proofErr w:type="gramStart"/>
      <w:r w:rsidRPr="00834CDC">
        <w:rPr>
          <w:rFonts w:eastAsia="Times New Roman"/>
        </w:rPr>
        <w:t>acquiring</w:t>
      </w:r>
      <w:proofErr w:type="gramEnd"/>
      <w:r w:rsidRPr="00834CDC">
        <w:rPr>
          <w:rFonts w:eastAsia="Times New Roman"/>
        </w:rPr>
        <w:t xml:space="preserve"> human papillomavirus in the United States. </w:t>
      </w:r>
      <w:r w:rsidRPr="00834CDC">
        <w:rPr>
          <w:rStyle w:val="Emphasis"/>
          <w:rFonts w:eastAsia="Times New Roman"/>
          <w:b w:val="0"/>
          <w:bCs w:val="0"/>
        </w:rPr>
        <w:t xml:space="preserve">Sex </w:t>
      </w:r>
      <w:proofErr w:type="spellStart"/>
      <w:r w:rsidRPr="00834CDC">
        <w:rPr>
          <w:rStyle w:val="Emphasis"/>
          <w:rFonts w:eastAsia="Times New Roman"/>
          <w:b w:val="0"/>
          <w:bCs w:val="0"/>
        </w:rPr>
        <w:t>Transm</w:t>
      </w:r>
      <w:proofErr w:type="spellEnd"/>
      <w:r w:rsidRPr="00834CDC">
        <w:rPr>
          <w:rStyle w:val="Emphasis"/>
          <w:rFonts w:eastAsia="Times New Roman"/>
          <w:b w:val="0"/>
          <w:bCs w:val="0"/>
        </w:rPr>
        <w:t xml:space="preserve"> Dis</w:t>
      </w:r>
      <w:r w:rsidRPr="00834CDC">
        <w:rPr>
          <w:rFonts w:eastAsia="Times New Roman"/>
        </w:rPr>
        <w:t xml:space="preserve">. 2014;41(11):660–4. </w:t>
      </w:r>
      <w:proofErr w:type="spellStart"/>
      <w:r w:rsidRPr="00834CDC">
        <w:rPr>
          <w:rFonts w:eastAsia="Times New Roman"/>
        </w:rPr>
        <w:t>doi</w:t>
      </w:r>
      <w:proofErr w:type="spellEnd"/>
      <w:r w:rsidRPr="00834CDC">
        <w:rPr>
          <w:rFonts w:eastAsia="Times New Roman"/>
        </w:rPr>
        <w:t xml:space="preserve">: https://doi.org/10.1097/OLQ.0000000000000193. </w:t>
      </w:r>
    </w:p>
    <w:p w14:paraId="14C9C33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National Health and Medical Research Council (NHMRC) Centre of Research Excellence in Cervical Cancer Control (C4). </w:t>
      </w:r>
      <w:r w:rsidRPr="00834CDC">
        <w:rPr>
          <w:rStyle w:val="Emphasis"/>
          <w:rFonts w:eastAsia="Times New Roman"/>
          <w:b w:val="0"/>
          <w:bCs w:val="0"/>
        </w:rPr>
        <w:t>2021 Cervical Cancer Elimination Progress Report: Australia’s progress towards the elimination of cervical cancer as a public health problem</w:t>
      </w:r>
      <w:r w:rsidRPr="00834CDC">
        <w:rPr>
          <w:rFonts w:eastAsia="Times New Roman"/>
        </w:rPr>
        <w:t xml:space="preserve">. Melbourne: NHMRC C4; 26 March 2021. Available from: https://www.cervicalcancercontrol.org.au/wp-content/uploads/2021/03/2021-C4-CRE-Elim-Report.pdf. </w:t>
      </w:r>
    </w:p>
    <w:p w14:paraId="1B52372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Tabrizi SN, Brotherton JML, Kaldor JM, Skinner SR, Liu B, Bateson D et al. Assessment of herd immunity and cross-protection following a human papillomavirus vaccination programme: a repeat cross-sectional study. </w:t>
      </w:r>
      <w:r w:rsidRPr="00834CDC">
        <w:rPr>
          <w:rStyle w:val="Emphasis"/>
          <w:rFonts w:eastAsia="Times New Roman"/>
          <w:b w:val="0"/>
          <w:bCs w:val="0"/>
        </w:rPr>
        <w:t>Lancet Infect Dis</w:t>
      </w:r>
      <w:r w:rsidRPr="00834CDC">
        <w:rPr>
          <w:rFonts w:eastAsia="Times New Roman"/>
        </w:rPr>
        <w:t xml:space="preserve">. 2014;14(190):958–66. </w:t>
      </w:r>
      <w:proofErr w:type="spellStart"/>
      <w:r w:rsidRPr="00834CDC">
        <w:rPr>
          <w:rFonts w:eastAsia="Times New Roman"/>
        </w:rPr>
        <w:t>doi</w:t>
      </w:r>
      <w:proofErr w:type="spellEnd"/>
      <w:r w:rsidRPr="00834CDC">
        <w:rPr>
          <w:rFonts w:eastAsia="Times New Roman"/>
        </w:rPr>
        <w:t xml:space="preserve">: https://doi.org/10.1016/S1473-3099(14)70841-2. </w:t>
      </w:r>
    </w:p>
    <w:p w14:paraId="3C1B5CF0"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Machalek</w:t>
      </w:r>
      <w:proofErr w:type="spellEnd"/>
      <w:r w:rsidRPr="00834CDC">
        <w:rPr>
          <w:rFonts w:eastAsia="Times New Roman"/>
        </w:rPr>
        <w:t xml:space="preserve"> DA, Garland SM, Brotherton JML, Bateson D, McNamee K, Stewart M et al. Very low prevalence of vaccine human papillomavirus (HPV) types among 18- to </w:t>
      </w:r>
      <w:proofErr w:type="gramStart"/>
      <w:r w:rsidRPr="00834CDC">
        <w:rPr>
          <w:rFonts w:eastAsia="Times New Roman"/>
        </w:rPr>
        <w:t>35-year old</w:t>
      </w:r>
      <w:proofErr w:type="gramEnd"/>
      <w:r w:rsidRPr="00834CDC">
        <w:rPr>
          <w:rFonts w:eastAsia="Times New Roman"/>
        </w:rPr>
        <w:t xml:space="preserve"> Australian women, nine years following implementation of vaccination. </w:t>
      </w:r>
      <w:r w:rsidRPr="00834CDC">
        <w:rPr>
          <w:rStyle w:val="Emphasis"/>
          <w:rFonts w:eastAsia="Times New Roman"/>
          <w:b w:val="0"/>
          <w:bCs w:val="0"/>
        </w:rPr>
        <w:t>J Infect Dis</w:t>
      </w:r>
      <w:r w:rsidRPr="00834CDC">
        <w:rPr>
          <w:rFonts w:eastAsia="Times New Roman"/>
        </w:rPr>
        <w:t>. 2018;217(10):1590–</w:t>
      </w:r>
      <w:proofErr w:type="gramStart"/>
      <w:r w:rsidRPr="00834CDC">
        <w:rPr>
          <w:rFonts w:eastAsia="Times New Roman"/>
        </w:rPr>
        <w:t>600</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https://doi.org/10.1093/infdis/jiy075. </w:t>
      </w:r>
    </w:p>
    <w:p w14:paraId="00C947B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McGregor S, </w:t>
      </w:r>
      <w:proofErr w:type="spellStart"/>
      <w:r w:rsidRPr="00834CDC">
        <w:rPr>
          <w:rFonts w:eastAsia="Times New Roman"/>
        </w:rPr>
        <w:t>Saulo</w:t>
      </w:r>
      <w:proofErr w:type="spellEnd"/>
      <w:r w:rsidRPr="00834CDC">
        <w:rPr>
          <w:rFonts w:eastAsia="Times New Roman"/>
        </w:rPr>
        <w:t xml:space="preserve"> D, Brotherton JML, Liu B, Phillips S, Skinner SR et al. Decline in prevalence of human papillomavirus infection following vaccination among Australian Indigenous women, a population at higher risk of cervical cancer: the VIP-I </w:t>
      </w:r>
      <w:proofErr w:type="gramStart"/>
      <w:r w:rsidRPr="00834CDC">
        <w:rPr>
          <w:rFonts w:eastAsia="Times New Roman"/>
        </w:rPr>
        <w:t>study</w:t>
      </w:r>
      <w:proofErr w:type="gramEnd"/>
      <w:r w:rsidRPr="00834CDC">
        <w:rPr>
          <w:rFonts w:eastAsia="Times New Roman"/>
        </w:rPr>
        <w:t xml:space="preserve">. </w:t>
      </w:r>
      <w:r w:rsidRPr="00834CDC">
        <w:rPr>
          <w:rStyle w:val="Emphasis"/>
          <w:rFonts w:eastAsia="Times New Roman"/>
          <w:b w:val="0"/>
          <w:bCs w:val="0"/>
        </w:rPr>
        <w:t>Vaccine</w:t>
      </w:r>
      <w:r w:rsidRPr="00834CDC">
        <w:rPr>
          <w:rFonts w:eastAsia="Times New Roman"/>
        </w:rPr>
        <w:t xml:space="preserve">. 2018;36(29):4311–6. </w:t>
      </w:r>
      <w:proofErr w:type="spellStart"/>
      <w:r w:rsidRPr="00834CDC">
        <w:rPr>
          <w:rFonts w:eastAsia="Times New Roman"/>
        </w:rPr>
        <w:t>doi</w:t>
      </w:r>
      <w:proofErr w:type="spellEnd"/>
      <w:r w:rsidRPr="00834CDC">
        <w:rPr>
          <w:rFonts w:eastAsia="Times New Roman"/>
        </w:rPr>
        <w:t xml:space="preserve">: https://doi.org/10.1016/j.vaccine.2018.05.104. </w:t>
      </w:r>
    </w:p>
    <w:p w14:paraId="44D214B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Jamieson LM, </w:t>
      </w:r>
      <w:proofErr w:type="spellStart"/>
      <w:r w:rsidRPr="00834CDC">
        <w:rPr>
          <w:rFonts w:eastAsia="Times New Roman"/>
        </w:rPr>
        <w:t>Antonsson</w:t>
      </w:r>
      <w:proofErr w:type="spellEnd"/>
      <w:r w:rsidRPr="00834CDC">
        <w:rPr>
          <w:rFonts w:eastAsia="Times New Roman"/>
        </w:rPr>
        <w:t xml:space="preserve"> A, Garvey G, Ju X, Smith M, Logan RM et al. Prevalence of oral human papillomavirus infection among Australian Indigenous adults. </w:t>
      </w:r>
      <w:r w:rsidRPr="00834CDC">
        <w:rPr>
          <w:rStyle w:val="Emphasis"/>
          <w:rFonts w:eastAsia="Times New Roman"/>
          <w:b w:val="0"/>
          <w:bCs w:val="0"/>
        </w:rPr>
        <w:t xml:space="preserve">JAMA </w:t>
      </w:r>
      <w:proofErr w:type="spellStart"/>
      <w:r w:rsidRPr="00834CDC">
        <w:rPr>
          <w:rStyle w:val="Emphasis"/>
          <w:rFonts w:eastAsia="Times New Roman"/>
          <w:b w:val="0"/>
          <w:bCs w:val="0"/>
        </w:rPr>
        <w:t>Netw</w:t>
      </w:r>
      <w:proofErr w:type="spellEnd"/>
      <w:r w:rsidRPr="00834CDC">
        <w:rPr>
          <w:rStyle w:val="Emphasis"/>
          <w:rFonts w:eastAsia="Times New Roman"/>
          <w:b w:val="0"/>
          <w:bCs w:val="0"/>
        </w:rPr>
        <w:t xml:space="preserve"> Open</w:t>
      </w:r>
      <w:r w:rsidRPr="00834CDC">
        <w:rPr>
          <w:rFonts w:eastAsia="Times New Roman"/>
        </w:rPr>
        <w:t>. 2020;3(6</w:t>
      </w:r>
      <w:proofErr w:type="gramStart"/>
      <w:r w:rsidRPr="00834CDC">
        <w:rPr>
          <w:rFonts w:eastAsia="Times New Roman"/>
        </w:rPr>
        <w:t>):e</w:t>
      </w:r>
      <w:proofErr w:type="gramEnd"/>
      <w:r w:rsidRPr="00834CDC">
        <w:rPr>
          <w:rFonts w:eastAsia="Times New Roman"/>
        </w:rPr>
        <w:t xml:space="preserve">204951. </w:t>
      </w:r>
      <w:proofErr w:type="spellStart"/>
      <w:r w:rsidRPr="00834CDC">
        <w:rPr>
          <w:rFonts w:eastAsia="Times New Roman"/>
        </w:rPr>
        <w:t>doi</w:t>
      </w:r>
      <w:proofErr w:type="spellEnd"/>
      <w:r w:rsidRPr="00834CDC">
        <w:rPr>
          <w:rFonts w:eastAsia="Times New Roman"/>
        </w:rPr>
        <w:t xml:space="preserve">: https://doi.org/10.1001/jamanetworkopen.2020.4951. </w:t>
      </w:r>
    </w:p>
    <w:p w14:paraId="4A71C8BC"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Antonsson</w:t>
      </w:r>
      <w:proofErr w:type="spellEnd"/>
      <w:r w:rsidRPr="00834CDC">
        <w:rPr>
          <w:rFonts w:eastAsia="Times New Roman"/>
        </w:rPr>
        <w:t xml:space="preserve"> A, Cornford M, Perry S, Davis M, Dunne MP, Whiteman DC. Prevalence and risk factors for oral HPV infection in young Australians. </w:t>
      </w:r>
      <w:proofErr w:type="spellStart"/>
      <w:r w:rsidRPr="00834CDC">
        <w:rPr>
          <w:rStyle w:val="Emphasis"/>
          <w:rFonts w:eastAsia="Times New Roman"/>
          <w:b w:val="0"/>
          <w:bCs w:val="0"/>
        </w:rPr>
        <w:t>PLoS</w:t>
      </w:r>
      <w:proofErr w:type="spellEnd"/>
      <w:r w:rsidRPr="00834CDC">
        <w:rPr>
          <w:rStyle w:val="Emphasis"/>
          <w:rFonts w:eastAsia="Times New Roman"/>
          <w:b w:val="0"/>
          <w:bCs w:val="0"/>
        </w:rPr>
        <w:t xml:space="preserve"> One</w:t>
      </w:r>
      <w:r w:rsidRPr="00834CDC">
        <w:rPr>
          <w:rFonts w:eastAsia="Times New Roman"/>
        </w:rPr>
        <w:t>. 2014;9(3</w:t>
      </w:r>
      <w:proofErr w:type="gramStart"/>
      <w:r w:rsidRPr="00834CDC">
        <w:rPr>
          <w:rFonts w:eastAsia="Times New Roman"/>
        </w:rPr>
        <w:t>):e</w:t>
      </w:r>
      <w:proofErr w:type="gramEnd"/>
      <w:r w:rsidRPr="00834CDC">
        <w:rPr>
          <w:rFonts w:eastAsia="Times New Roman"/>
        </w:rPr>
        <w:t xml:space="preserve">91761. </w:t>
      </w:r>
      <w:proofErr w:type="spellStart"/>
      <w:r w:rsidRPr="00834CDC">
        <w:rPr>
          <w:rFonts w:eastAsia="Times New Roman"/>
        </w:rPr>
        <w:t>doi</w:t>
      </w:r>
      <w:proofErr w:type="spellEnd"/>
      <w:r w:rsidRPr="00834CDC">
        <w:rPr>
          <w:rFonts w:eastAsia="Times New Roman"/>
        </w:rPr>
        <w:t xml:space="preserve">: https://doi.org/10.1371/journal.pone.0091761. </w:t>
      </w:r>
    </w:p>
    <w:p w14:paraId="0A2EBD3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Smith MA, Liu B, McIntyre P, Menzies R, Dey A, </w:t>
      </w:r>
      <w:proofErr w:type="spellStart"/>
      <w:r w:rsidRPr="00834CDC">
        <w:rPr>
          <w:rFonts w:eastAsia="Times New Roman"/>
        </w:rPr>
        <w:t>Canfell</w:t>
      </w:r>
      <w:proofErr w:type="spellEnd"/>
      <w:r w:rsidRPr="00834CDC">
        <w:rPr>
          <w:rFonts w:eastAsia="Times New Roman"/>
        </w:rPr>
        <w:t xml:space="preserve"> K. Fall in genital warts diagnoses in the general and Indigenous Australian population following implementation of a national human papillomavirus vaccination program: analysis of routinely collected national hospital data. </w:t>
      </w:r>
      <w:r w:rsidRPr="00834CDC">
        <w:rPr>
          <w:rStyle w:val="Emphasis"/>
          <w:rFonts w:eastAsia="Times New Roman"/>
          <w:b w:val="0"/>
          <w:bCs w:val="0"/>
        </w:rPr>
        <w:t>J Infect Dis</w:t>
      </w:r>
      <w:r w:rsidRPr="00834CDC">
        <w:rPr>
          <w:rFonts w:eastAsia="Times New Roman"/>
        </w:rPr>
        <w:t xml:space="preserve">. 2015;211(1):91–9. </w:t>
      </w:r>
      <w:proofErr w:type="spellStart"/>
      <w:r w:rsidRPr="00834CDC">
        <w:rPr>
          <w:rFonts w:eastAsia="Times New Roman"/>
        </w:rPr>
        <w:t>doi</w:t>
      </w:r>
      <w:proofErr w:type="spellEnd"/>
      <w:r w:rsidRPr="00834CDC">
        <w:rPr>
          <w:rFonts w:eastAsia="Times New Roman"/>
        </w:rPr>
        <w:t xml:space="preserve">: https://doi.org/10.1093/infdis/jiu370. </w:t>
      </w:r>
    </w:p>
    <w:p w14:paraId="3E1D0C6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Ali H, McManus H, O Connor CC, </w:t>
      </w:r>
      <w:proofErr w:type="spellStart"/>
      <w:r w:rsidRPr="00834CDC">
        <w:rPr>
          <w:rFonts w:eastAsia="Times New Roman"/>
        </w:rPr>
        <w:t>Callander</w:t>
      </w:r>
      <w:proofErr w:type="spellEnd"/>
      <w:r w:rsidRPr="00834CDC">
        <w:rPr>
          <w:rFonts w:eastAsia="Times New Roman"/>
        </w:rPr>
        <w:t xml:space="preserve"> D, Kong M, Graham S et al. Human papillomavirus vaccination and genital warts in young indigenous Australians: national sentinel surveillance data. </w:t>
      </w:r>
      <w:r w:rsidRPr="00834CDC">
        <w:rPr>
          <w:rStyle w:val="Emphasis"/>
          <w:rFonts w:eastAsia="Times New Roman"/>
          <w:b w:val="0"/>
          <w:bCs w:val="0"/>
        </w:rPr>
        <w:t>Med J Aust</w:t>
      </w:r>
      <w:r w:rsidRPr="00834CDC">
        <w:rPr>
          <w:rFonts w:eastAsia="Times New Roman"/>
        </w:rPr>
        <w:t xml:space="preserve">. 2017;206(5):204–9. </w:t>
      </w:r>
      <w:proofErr w:type="spellStart"/>
      <w:r w:rsidRPr="00834CDC">
        <w:rPr>
          <w:rFonts w:eastAsia="Times New Roman"/>
        </w:rPr>
        <w:t>doi</w:t>
      </w:r>
      <w:proofErr w:type="spellEnd"/>
      <w:r w:rsidRPr="00834CDC">
        <w:rPr>
          <w:rFonts w:eastAsia="Times New Roman"/>
        </w:rPr>
        <w:t xml:space="preserve">: https://doi.org/10.5694/mja16.00597. </w:t>
      </w:r>
    </w:p>
    <w:p w14:paraId="7B714160"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Kirby Institute. </w:t>
      </w:r>
      <w:r w:rsidRPr="00834CDC">
        <w:rPr>
          <w:rStyle w:val="Emphasis"/>
          <w:rFonts w:eastAsia="Times New Roman"/>
          <w:b w:val="0"/>
          <w:bCs w:val="0"/>
        </w:rPr>
        <w:t xml:space="preserve">National update on HIV, viral </w:t>
      </w:r>
      <w:proofErr w:type="gramStart"/>
      <w:r w:rsidRPr="00834CDC">
        <w:rPr>
          <w:rStyle w:val="Emphasis"/>
          <w:rFonts w:eastAsia="Times New Roman"/>
          <w:b w:val="0"/>
          <w:bCs w:val="0"/>
        </w:rPr>
        <w:t>hepatitis</w:t>
      </w:r>
      <w:proofErr w:type="gramEnd"/>
      <w:r w:rsidRPr="00834CDC">
        <w:rPr>
          <w:rStyle w:val="Emphasis"/>
          <w:rFonts w:eastAsia="Times New Roman"/>
          <w:b w:val="0"/>
          <w:bCs w:val="0"/>
        </w:rPr>
        <w:t xml:space="preserve"> and sexually transmissible infections in Australia 2009–2018</w:t>
      </w:r>
      <w:r w:rsidRPr="00834CDC">
        <w:rPr>
          <w:rFonts w:eastAsia="Times New Roman"/>
        </w:rPr>
        <w:t xml:space="preserve">. Sydney: University of New South Wales, Kirby Institute; 4 November 2020. Available from: https://kirby.unsw.edu.au/report/national-update-hiv-viral-hepatitis-and-sexually-transmissible-infections-australia-2009-2018. </w:t>
      </w:r>
    </w:p>
    <w:p w14:paraId="42E5F30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lastRenderedPageBreak/>
        <w:t xml:space="preserve">Australian Bureau of Statistics. Estimates of Aboriginal and Torres Strait Islander Australians (June 2016). [Webpage.] Canberra; Australian Bureau of Statistics; 31 August 2018. Available from: https://www.abs.gov.au/statistics/people/aboriginal-and-torres-strait-islander-peoples/estimates-aboriginal-and-torres-strait-islander-australians/jun-2016. </w:t>
      </w:r>
    </w:p>
    <w:p w14:paraId="0AA9A78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AIHW. </w:t>
      </w:r>
      <w:r w:rsidRPr="00834CDC">
        <w:rPr>
          <w:rStyle w:val="Emphasis"/>
          <w:rFonts w:eastAsia="Times New Roman"/>
          <w:b w:val="0"/>
          <w:bCs w:val="0"/>
        </w:rPr>
        <w:t>Cervical screening in Australia 2019</w:t>
      </w:r>
      <w:r w:rsidRPr="00834CDC">
        <w:rPr>
          <w:rFonts w:eastAsia="Times New Roman"/>
        </w:rPr>
        <w:t xml:space="preserve">. (Cat. no. CAN 124.) Canberra: Australian Government, AIHW; 6 May 2019. [Accessed on 19 May 2022.] Available from: https://www.aihw.gov.au/reports/cancer-screening/cervical-screening-in-australia-2019/summary. </w:t>
      </w:r>
    </w:p>
    <w:p w14:paraId="298C477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Brotherton JM, </w:t>
      </w:r>
      <w:proofErr w:type="spellStart"/>
      <w:r w:rsidRPr="00834CDC">
        <w:rPr>
          <w:rFonts w:eastAsia="Times New Roman"/>
        </w:rPr>
        <w:t>Gertig</w:t>
      </w:r>
      <w:proofErr w:type="spellEnd"/>
      <w:r w:rsidRPr="00834CDC">
        <w:rPr>
          <w:rFonts w:eastAsia="Times New Roman"/>
        </w:rPr>
        <w:t xml:space="preserve"> DM, May C, Chappell G, Saville M. HPV vaccine impact in Australian women: ready for an HPV-based screening program. </w:t>
      </w:r>
      <w:r w:rsidRPr="00834CDC">
        <w:rPr>
          <w:rStyle w:val="Emphasis"/>
          <w:rFonts w:eastAsia="Times New Roman"/>
          <w:b w:val="0"/>
          <w:bCs w:val="0"/>
        </w:rPr>
        <w:t>Med J Aust</w:t>
      </w:r>
      <w:r w:rsidRPr="00834CDC">
        <w:rPr>
          <w:rFonts w:eastAsia="Times New Roman"/>
        </w:rPr>
        <w:t xml:space="preserve">. 2016;204(5):184–e1. </w:t>
      </w:r>
      <w:proofErr w:type="spellStart"/>
      <w:r w:rsidRPr="00834CDC">
        <w:rPr>
          <w:rFonts w:eastAsia="Times New Roman"/>
        </w:rPr>
        <w:t>doi</w:t>
      </w:r>
      <w:proofErr w:type="spellEnd"/>
      <w:r w:rsidRPr="00834CDC">
        <w:rPr>
          <w:rFonts w:eastAsia="Times New Roman"/>
        </w:rPr>
        <w:t xml:space="preserve">: https://doi.org/10.5694/mja15.01038. </w:t>
      </w:r>
    </w:p>
    <w:p w14:paraId="059EC29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AIHW. </w:t>
      </w:r>
      <w:r w:rsidRPr="00834CDC">
        <w:rPr>
          <w:rStyle w:val="Emphasis"/>
          <w:rFonts w:eastAsia="Times New Roman"/>
          <w:b w:val="0"/>
          <w:bCs w:val="0"/>
        </w:rPr>
        <w:t>National Cervical Screening Program monitoring report 2019</w:t>
      </w:r>
      <w:r w:rsidRPr="00834CDC">
        <w:rPr>
          <w:rFonts w:eastAsia="Times New Roman"/>
        </w:rPr>
        <w:t xml:space="preserve">. (Cat. no. CAN 132.) Canberra: Australian Government, AIHW; 2 December 2019. [Accessed on 26 September 2022.] Available from: https://www.aihw.gov.au/reports/cancer-screening/national-cervical-screening-monitoring-2019/data. </w:t>
      </w:r>
    </w:p>
    <w:p w14:paraId="369C5906"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Novakovic D, Cheng ATL, </w:t>
      </w:r>
      <w:proofErr w:type="spellStart"/>
      <w:r w:rsidRPr="00834CDC">
        <w:rPr>
          <w:rFonts w:eastAsia="Times New Roman"/>
        </w:rPr>
        <w:t>Zurynski</w:t>
      </w:r>
      <w:proofErr w:type="spellEnd"/>
      <w:r w:rsidRPr="00834CDC">
        <w:rPr>
          <w:rFonts w:eastAsia="Times New Roman"/>
        </w:rPr>
        <w:t xml:space="preserve"> Y, </w:t>
      </w:r>
      <w:proofErr w:type="spellStart"/>
      <w:r w:rsidRPr="00834CDC">
        <w:rPr>
          <w:rFonts w:eastAsia="Times New Roman"/>
        </w:rPr>
        <w:t>Booy</w:t>
      </w:r>
      <w:proofErr w:type="spellEnd"/>
      <w:r w:rsidRPr="00834CDC">
        <w:rPr>
          <w:rFonts w:eastAsia="Times New Roman"/>
        </w:rPr>
        <w:t xml:space="preserve"> R, Walker PJ, Berkowitz R, et al. A prospective study of the incidence of juvenile-onset recurrent respiratory papillomatosis after implementation of a national HPV vaccination program.</w:t>
      </w:r>
      <w:r w:rsidRPr="00834CDC">
        <w:rPr>
          <w:rStyle w:val="Emphasis"/>
          <w:rFonts w:eastAsia="Times New Roman"/>
          <w:b w:val="0"/>
          <w:bCs w:val="0"/>
        </w:rPr>
        <w:t xml:space="preserve"> J Infect Dis</w:t>
      </w:r>
      <w:r w:rsidRPr="00834CDC">
        <w:rPr>
          <w:rFonts w:eastAsia="Times New Roman"/>
        </w:rPr>
        <w:t xml:space="preserve">. 2018;217(2):208–12. </w:t>
      </w:r>
      <w:proofErr w:type="spellStart"/>
      <w:r w:rsidRPr="00834CDC">
        <w:rPr>
          <w:rFonts w:eastAsia="Times New Roman"/>
        </w:rPr>
        <w:t>doi</w:t>
      </w:r>
      <w:proofErr w:type="spellEnd"/>
      <w:r w:rsidRPr="00834CDC">
        <w:rPr>
          <w:rFonts w:eastAsia="Times New Roman"/>
        </w:rPr>
        <w:t xml:space="preserve">: https://doi.org/10.1093/infdis/jix498. </w:t>
      </w:r>
    </w:p>
    <w:p w14:paraId="2710152C"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Drolet</w:t>
      </w:r>
      <w:proofErr w:type="spellEnd"/>
      <w:r w:rsidRPr="00834CDC">
        <w:rPr>
          <w:rFonts w:eastAsia="Times New Roman"/>
        </w:rPr>
        <w:t xml:space="preserve"> M, </w:t>
      </w:r>
      <w:proofErr w:type="spellStart"/>
      <w:r w:rsidRPr="00834CDC">
        <w:rPr>
          <w:rFonts w:eastAsia="Times New Roman"/>
        </w:rPr>
        <w:t>Laprise</w:t>
      </w:r>
      <w:proofErr w:type="spellEnd"/>
      <w:r w:rsidRPr="00834CDC">
        <w:rPr>
          <w:rFonts w:eastAsia="Times New Roman"/>
        </w:rPr>
        <w:t xml:space="preserve"> J-F, Brotherton JML, Donovan B, Fairley CK, Ali H et al. The impact of human papillomavirus catch-up vaccination in Australia: implications for introduction of multiple age cohort vaccination and postvaccination data interpretation. </w:t>
      </w:r>
      <w:r w:rsidRPr="00834CDC">
        <w:rPr>
          <w:rStyle w:val="Emphasis"/>
          <w:rFonts w:eastAsia="Times New Roman"/>
          <w:b w:val="0"/>
          <w:bCs w:val="0"/>
        </w:rPr>
        <w:t>J Infect Dis</w:t>
      </w:r>
      <w:r w:rsidRPr="00834CDC">
        <w:rPr>
          <w:rFonts w:eastAsia="Times New Roman"/>
        </w:rPr>
        <w:t xml:space="preserve">. 2017;216(10):1205–9. </w:t>
      </w:r>
      <w:proofErr w:type="spellStart"/>
      <w:r w:rsidRPr="00834CDC">
        <w:rPr>
          <w:rFonts w:eastAsia="Times New Roman"/>
        </w:rPr>
        <w:t>doi</w:t>
      </w:r>
      <w:proofErr w:type="spellEnd"/>
      <w:r w:rsidRPr="00834CDC">
        <w:rPr>
          <w:rFonts w:eastAsia="Times New Roman"/>
        </w:rPr>
        <w:t xml:space="preserve">: https://doi.org/10.1093/infdis/jix476. </w:t>
      </w:r>
    </w:p>
    <w:p w14:paraId="2F08F23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Schiller J, Lowy D. Explanations for the high potency of HPV prophylactic vaccines. </w:t>
      </w:r>
      <w:r w:rsidRPr="00834CDC">
        <w:rPr>
          <w:rStyle w:val="Emphasis"/>
          <w:rFonts w:eastAsia="Times New Roman"/>
          <w:b w:val="0"/>
          <w:bCs w:val="0"/>
        </w:rPr>
        <w:t>Vaccine</w:t>
      </w:r>
      <w:r w:rsidRPr="00834CDC">
        <w:rPr>
          <w:rFonts w:eastAsia="Times New Roman"/>
        </w:rPr>
        <w:t xml:space="preserve">. 2018;36(32 </w:t>
      </w:r>
      <w:proofErr w:type="spellStart"/>
      <w:r w:rsidRPr="00834CDC">
        <w:rPr>
          <w:rFonts w:eastAsia="Times New Roman"/>
        </w:rPr>
        <w:t>pt</w:t>
      </w:r>
      <w:proofErr w:type="spellEnd"/>
      <w:r w:rsidRPr="00834CDC">
        <w:rPr>
          <w:rFonts w:eastAsia="Times New Roman"/>
        </w:rPr>
        <w:t xml:space="preserve"> A):4768–73. </w:t>
      </w:r>
      <w:proofErr w:type="spellStart"/>
      <w:r w:rsidRPr="00834CDC">
        <w:rPr>
          <w:rFonts w:eastAsia="Times New Roman"/>
        </w:rPr>
        <w:t>doi</w:t>
      </w:r>
      <w:proofErr w:type="spellEnd"/>
      <w:r w:rsidRPr="00834CDC">
        <w:rPr>
          <w:rFonts w:eastAsia="Times New Roman"/>
        </w:rPr>
        <w:t xml:space="preserve">: https://doi.org/10.1016/j.vaccine.2017.12.079. </w:t>
      </w:r>
    </w:p>
    <w:p w14:paraId="05419296"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Drolet</w:t>
      </w:r>
      <w:proofErr w:type="spellEnd"/>
      <w:r w:rsidRPr="00834CDC">
        <w:rPr>
          <w:rFonts w:eastAsia="Times New Roman"/>
        </w:rPr>
        <w:t xml:space="preserve"> M, </w:t>
      </w:r>
      <w:proofErr w:type="spellStart"/>
      <w:r w:rsidRPr="00834CDC">
        <w:rPr>
          <w:rFonts w:eastAsia="Times New Roman"/>
        </w:rPr>
        <w:t>Bénard</w:t>
      </w:r>
      <w:proofErr w:type="spellEnd"/>
      <w:r w:rsidRPr="00834CDC">
        <w:rPr>
          <w:rFonts w:eastAsia="Times New Roman"/>
        </w:rPr>
        <w:t xml:space="preserve"> É, </w:t>
      </w:r>
      <w:proofErr w:type="spellStart"/>
      <w:r w:rsidRPr="00834CDC">
        <w:rPr>
          <w:rFonts w:eastAsia="Times New Roman"/>
        </w:rPr>
        <w:t>Boily</w:t>
      </w:r>
      <w:proofErr w:type="spellEnd"/>
      <w:r w:rsidRPr="00834CDC">
        <w:rPr>
          <w:rFonts w:eastAsia="Times New Roman"/>
        </w:rPr>
        <w:t xml:space="preserve"> MC, Ali H, </w:t>
      </w:r>
      <w:proofErr w:type="spellStart"/>
      <w:r w:rsidRPr="00834CDC">
        <w:rPr>
          <w:rFonts w:eastAsia="Times New Roman"/>
        </w:rPr>
        <w:t>Baandrup</w:t>
      </w:r>
      <w:proofErr w:type="spellEnd"/>
      <w:r w:rsidRPr="00834CDC">
        <w:rPr>
          <w:rFonts w:eastAsia="Times New Roman"/>
        </w:rPr>
        <w:t xml:space="preserve"> L, Bauer H et al. Population-level impact and herd effects following human papillomavirus vaccination programmes: a systematic review and meta-analysis. </w:t>
      </w:r>
      <w:r w:rsidRPr="00834CDC">
        <w:rPr>
          <w:rStyle w:val="Emphasis"/>
          <w:rFonts w:eastAsia="Times New Roman"/>
          <w:b w:val="0"/>
          <w:bCs w:val="0"/>
        </w:rPr>
        <w:t>Lancet Infect Dis</w:t>
      </w:r>
      <w:r w:rsidRPr="00834CDC">
        <w:rPr>
          <w:rFonts w:eastAsia="Times New Roman"/>
        </w:rPr>
        <w:t xml:space="preserve">. 2015;15(5):565–80. </w:t>
      </w:r>
      <w:proofErr w:type="spellStart"/>
      <w:r w:rsidRPr="00834CDC">
        <w:rPr>
          <w:rFonts w:eastAsia="Times New Roman"/>
        </w:rPr>
        <w:t>doi</w:t>
      </w:r>
      <w:proofErr w:type="spellEnd"/>
      <w:r w:rsidRPr="00834CDC">
        <w:rPr>
          <w:rFonts w:eastAsia="Times New Roman"/>
        </w:rPr>
        <w:t xml:space="preserve">: https://doi.org/10.1016/S1473-3099(14)71073-4. </w:t>
      </w:r>
    </w:p>
    <w:p w14:paraId="3FA12D1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Government Department of Health and Aged Care. National Cervical Screening Program. [Internet.] Canberra: Australian Government Department of Health and Aged Care. [Accessed on 29 May 2018.] Available from: https://www.health.gov.au/initiatives-and-programs/national-cervical-screening-program. </w:t>
      </w:r>
    </w:p>
    <w:p w14:paraId="254C298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National Pathology Accreditation Advisory Council (NPAAC). </w:t>
      </w:r>
      <w:r w:rsidRPr="00834CDC">
        <w:rPr>
          <w:rStyle w:val="Emphasis"/>
          <w:rFonts w:eastAsia="Times New Roman"/>
          <w:b w:val="0"/>
          <w:bCs w:val="0"/>
        </w:rPr>
        <w:t>The requirements for laboratories reporting tests for the National Cervical Screening Program</w:t>
      </w:r>
      <w:r w:rsidRPr="00834CDC">
        <w:rPr>
          <w:rFonts w:eastAsia="Times New Roman"/>
        </w:rPr>
        <w:t xml:space="preserve"> (</w:t>
      </w:r>
      <w:proofErr w:type="gramStart"/>
      <w:r w:rsidRPr="00834CDC">
        <w:rPr>
          <w:rFonts w:eastAsia="Times New Roman"/>
        </w:rPr>
        <w:t>2nd</w:t>
      </w:r>
      <w:proofErr w:type="gramEnd"/>
      <w:r w:rsidRPr="00834CDC">
        <w:rPr>
          <w:rFonts w:eastAsia="Times New Roman"/>
        </w:rPr>
        <w:t xml:space="preserve"> edition). Canberra: Australian Government Department of Health and Aged Care; 26 September 2019. [Accessed on 19 May 2022.] Available from: https://www1.health.gov.au/internet/main/publishing.nsf/Content/npaac-cervical-screening. </w:t>
      </w:r>
    </w:p>
    <w:p w14:paraId="75E19C72"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World Health Organization (WHO). </w:t>
      </w:r>
      <w:r w:rsidRPr="00834CDC">
        <w:rPr>
          <w:rStyle w:val="Emphasis"/>
          <w:rFonts w:eastAsia="Times New Roman"/>
          <w:b w:val="0"/>
          <w:bCs w:val="0"/>
        </w:rPr>
        <w:t>Global strategy to accelerate the elimination of cervical cancer as a public health problem</w:t>
      </w:r>
      <w:r w:rsidRPr="00834CDC">
        <w:rPr>
          <w:rFonts w:eastAsia="Times New Roman"/>
        </w:rPr>
        <w:t xml:space="preserve">. Geneva: WHO; 17 November 2020. Available from: https://www.who.int/publications/i/item/9789240014107. </w:t>
      </w:r>
    </w:p>
    <w:p w14:paraId="6B3BA60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Hall MT, Simms KT, Lew JB, Smith MA, Brotherton JML, Saville M et al. The projected timeframe until cervical cancer elimination in Australia: a modelling study. </w:t>
      </w:r>
      <w:r w:rsidRPr="00834CDC">
        <w:rPr>
          <w:rStyle w:val="Emphasis"/>
          <w:rFonts w:eastAsia="Times New Roman"/>
          <w:b w:val="0"/>
          <w:bCs w:val="0"/>
        </w:rPr>
        <w:t>Lancet Public Health</w:t>
      </w:r>
      <w:r w:rsidRPr="00834CDC">
        <w:rPr>
          <w:rFonts w:eastAsia="Times New Roman"/>
        </w:rPr>
        <w:t>. 2019;4(1</w:t>
      </w:r>
      <w:proofErr w:type="gramStart"/>
      <w:r w:rsidRPr="00834CDC">
        <w:rPr>
          <w:rFonts w:eastAsia="Times New Roman"/>
        </w:rPr>
        <w:t>):e</w:t>
      </w:r>
      <w:proofErr w:type="gramEnd"/>
      <w:r w:rsidRPr="00834CDC">
        <w:rPr>
          <w:rFonts w:eastAsia="Times New Roman"/>
        </w:rPr>
        <w:t xml:space="preserve">19–27. </w:t>
      </w:r>
      <w:proofErr w:type="spellStart"/>
      <w:r w:rsidRPr="00834CDC">
        <w:rPr>
          <w:rFonts w:eastAsia="Times New Roman"/>
        </w:rPr>
        <w:t>doi</w:t>
      </w:r>
      <w:proofErr w:type="spellEnd"/>
      <w:r w:rsidRPr="00834CDC">
        <w:rPr>
          <w:rFonts w:eastAsia="Times New Roman"/>
        </w:rPr>
        <w:t xml:space="preserve">: https://doi.org/10.1016/S2468-2667(18)30183-X. </w:t>
      </w:r>
    </w:p>
    <w:p w14:paraId="6A5DCBB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Whop LJ, Smith MA, Butler TL, Adcock A, Bartholomew K, Goodman MT et al. Achieving cervical cancer elimination among Indigenous women. </w:t>
      </w:r>
      <w:proofErr w:type="spellStart"/>
      <w:r w:rsidRPr="00834CDC">
        <w:rPr>
          <w:rStyle w:val="Emphasis"/>
          <w:rFonts w:eastAsia="Times New Roman"/>
          <w:b w:val="0"/>
          <w:bCs w:val="0"/>
        </w:rPr>
        <w:t>Prev</w:t>
      </w:r>
      <w:proofErr w:type="spellEnd"/>
      <w:r w:rsidRPr="00834CDC">
        <w:rPr>
          <w:rStyle w:val="Emphasis"/>
          <w:rFonts w:eastAsia="Times New Roman"/>
          <w:b w:val="0"/>
          <w:bCs w:val="0"/>
        </w:rPr>
        <w:t xml:space="preserve"> Med</w:t>
      </w:r>
      <w:r w:rsidRPr="00834CDC">
        <w:rPr>
          <w:rFonts w:eastAsia="Times New Roman"/>
        </w:rPr>
        <w:t xml:space="preserve">. </w:t>
      </w:r>
      <w:proofErr w:type="gramStart"/>
      <w:r w:rsidRPr="00834CDC">
        <w:rPr>
          <w:rFonts w:eastAsia="Times New Roman"/>
        </w:rPr>
        <w:t>2021;144:106314</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https://doi.org/10.1016/j.ypmed.2020.106314. </w:t>
      </w:r>
    </w:p>
    <w:p w14:paraId="2B5DE01D"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Zambon</w:t>
      </w:r>
      <w:proofErr w:type="spellEnd"/>
      <w:r w:rsidRPr="00834CDC">
        <w:rPr>
          <w:rFonts w:eastAsia="Times New Roman"/>
        </w:rPr>
        <w:t xml:space="preserve"> M. Influenza and other emerging respiratory viruses. </w:t>
      </w:r>
      <w:r w:rsidRPr="00834CDC">
        <w:rPr>
          <w:rStyle w:val="Emphasis"/>
          <w:rFonts w:eastAsia="Times New Roman"/>
          <w:b w:val="0"/>
          <w:bCs w:val="0"/>
        </w:rPr>
        <w:t>Medicine (Abingdon)</w:t>
      </w:r>
      <w:r w:rsidRPr="00834CDC">
        <w:rPr>
          <w:rFonts w:eastAsia="Times New Roman"/>
        </w:rPr>
        <w:t xml:space="preserve">. 2014;42(1):45–51. </w:t>
      </w:r>
      <w:proofErr w:type="spellStart"/>
      <w:r w:rsidRPr="00834CDC">
        <w:rPr>
          <w:rFonts w:eastAsia="Times New Roman"/>
        </w:rPr>
        <w:t>doi</w:t>
      </w:r>
      <w:proofErr w:type="spellEnd"/>
      <w:r w:rsidRPr="00834CDC">
        <w:rPr>
          <w:rFonts w:eastAsia="Times New Roman"/>
        </w:rPr>
        <w:t xml:space="preserve">: https://doi.org/10.1016/j.mpmed.2013.10.017. </w:t>
      </w:r>
    </w:p>
    <w:p w14:paraId="4B6B72D4"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lastRenderedPageBreak/>
        <w:t xml:space="preserve">Luke CJ, Lakdawala SS, Subbarao K. 32 – Influenza vaccine - live. In Plotkin SA, Orenstein WA, Offit PA, Edwards KM, eds. </w:t>
      </w:r>
      <w:r w:rsidRPr="00834CDC">
        <w:rPr>
          <w:rStyle w:val="Emphasis"/>
          <w:rFonts w:eastAsia="Times New Roman"/>
          <w:b w:val="0"/>
          <w:bCs w:val="0"/>
        </w:rPr>
        <w:t>Plotkin’s Vaccines</w:t>
      </w:r>
      <w:r w:rsidRPr="00834CDC">
        <w:rPr>
          <w:rFonts w:eastAsia="Times New Roman"/>
        </w:rPr>
        <w:t xml:space="preserve"> (</w:t>
      </w:r>
      <w:proofErr w:type="gramStart"/>
      <w:r w:rsidRPr="00834CDC">
        <w:rPr>
          <w:rFonts w:eastAsia="Times New Roman"/>
        </w:rPr>
        <w:t>7th</w:t>
      </w:r>
      <w:proofErr w:type="gramEnd"/>
      <w:r w:rsidRPr="00834CDC">
        <w:rPr>
          <w:rFonts w:eastAsia="Times New Roman"/>
        </w:rPr>
        <w:t xml:space="preserve"> edition). Amsterdam: Elsevier, 2018;489–510.e7. </w:t>
      </w:r>
      <w:proofErr w:type="spellStart"/>
      <w:r w:rsidRPr="00834CDC">
        <w:rPr>
          <w:rFonts w:eastAsia="Times New Roman"/>
        </w:rPr>
        <w:t>doi</w:t>
      </w:r>
      <w:proofErr w:type="spellEnd"/>
      <w:r w:rsidRPr="00834CDC">
        <w:rPr>
          <w:rFonts w:eastAsia="Times New Roman"/>
        </w:rPr>
        <w:t xml:space="preserve">: https//doi.org/10.1016/B978-0-323-35761-6.00032-8. </w:t>
      </w:r>
    </w:p>
    <w:p w14:paraId="742114FD"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Li-Kim-Moy J, Yin JK, Patel C, Beard FH, Chiu C, Macartney KK et al. Australian vaccine preventable disease epidemiological review series: influenza 2006 to 2015.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Q Rep</w:t>
      </w:r>
      <w:r w:rsidRPr="00834CDC">
        <w:rPr>
          <w:rFonts w:eastAsia="Times New Roman"/>
        </w:rPr>
        <w:t>. 2016;40(4</w:t>
      </w:r>
      <w:proofErr w:type="gramStart"/>
      <w:r w:rsidRPr="00834CDC">
        <w:rPr>
          <w:rFonts w:eastAsia="Times New Roman"/>
        </w:rPr>
        <w:t>):E</w:t>
      </w:r>
      <w:proofErr w:type="gramEnd"/>
      <w:r w:rsidRPr="00834CDC">
        <w:rPr>
          <w:rFonts w:eastAsia="Times New Roman"/>
        </w:rPr>
        <w:t xml:space="preserve">482–95. </w:t>
      </w:r>
    </w:p>
    <w:p w14:paraId="342F3648"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Nair H, Brooks WA, Katz M, Roca A, Berkley JA, </w:t>
      </w:r>
      <w:proofErr w:type="spellStart"/>
      <w:r w:rsidRPr="00834CDC">
        <w:rPr>
          <w:rFonts w:eastAsia="Times New Roman"/>
        </w:rPr>
        <w:t>Madhi</w:t>
      </w:r>
      <w:proofErr w:type="spellEnd"/>
      <w:r w:rsidRPr="00834CDC">
        <w:rPr>
          <w:rFonts w:eastAsia="Times New Roman"/>
        </w:rPr>
        <w:t xml:space="preserve"> SA et al. Global burden of respiratory infections due to seasonal influenza in young children: a systematic review and meta-analysis. </w:t>
      </w:r>
      <w:r w:rsidRPr="00834CDC">
        <w:rPr>
          <w:rStyle w:val="Emphasis"/>
          <w:rFonts w:eastAsia="Times New Roman"/>
          <w:b w:val="0"/>
          <w:bCs w:val="0"/>
        </w:rPr>
        <w:t>Lancet</w:t>
      </w:r>
      <w:r w:rsidRPr="00834CDC">
        <w:rPr>
          <w:rFonts w:eastAsia="Times New Roman"/>
        </w:rPr>
        <w:t xml:space="preserve">. 2011;378(9807):1917–30. </w:t>
      </w:r>
      <w:proofErr w:type="spellStart"/>
      <w:r w:rsidRPr="00834CDC">
        <w:rPr>
          <w:rFonts w:eastAsia="Times New Roman"/>
        </w:rPr>
        <w:t>doi</w:t>
      </w:r>
      <w:proofErr w:type="spellEnd"/>
      <w:r w:rsidRPr="00834CDC">
        <w:rPr>
          <w:rFonts w:eastAsia="Times New Roman"/>
        </w:rPr>
        <w:t xml:space="preserve">: https://doi.org/10.1016/S0140-6736(11)61051-9. </w:t>
      </w:r>
    </w:p>
    <w:p w14:paraId="1242321D"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Mertz D, Lo CKF, </w:t>
      </w:r>
      <w:proofErr w:type="spellStart"/>
      <w:r w:rsidRPr="00834CDC">
        <w:rPr>
          <w:rFonts w:eastAsia="Times New Roman"/>
        </w:rPr>
        <w:t>Lytvyn</w:t>
      </w:r>
      <w:proofErr w:type="spellEnd"/>
      <w:r w:rsidRPr="00834CDC">
        <w:rPr>
          <w:rFonts w:eastAsia="Times New Roman"/>
        </w:rPr>
        <w:t xml:space="preserve"> L, Ortiz JR, Loeb M. Pregnancy as a risk factor for severe influenza infection: an individual participant data meta-analysis. </w:t>
      </w:r>
      <w:r w:rsidRPr="00834CDC">
        <w:rPr>
          <w:rStyle w:val="Emphasis"/>
          <w:rFonts w:eastAsia="Times New Roman"/>
          <w:b w:val="0"/>
          <w:bCs w:val="0"/>
        </w:rPr>
        <w:t>BMC Infect Dis</w:t>
      </w:r>
      <w:r w:rsidRPr="00834CDC">
        <w:rPr>
          <w:rFonts w:eastAsia="Times New Roman"/>
        </w:rPr>
        <w:t xml:space="preserve">. 2019;19(1):683. </w:t>
      </w:r>
      <w:proofErr w:type="spellStart"/>
      <w:r w:rsidRPr="00834CDC">
        <w:rPr>
          <w:rFonts w:eastAsia="Times New Roman"/>
        </w:rPr>
        <w:t>doi</w:t>
      </w:r>
      <w:proofErr w:type="spellEnd"/>
      <w:r w:rsidRPr="00834CDC">
        <w:rPr>
          <w:rFonts w:eastAsia="Times New Roman"/>
        </w:rPr>
        <w:t xml:space="preserve">: https://doi.org/10.1186/s12879-019-4318-3. </w:t>
      </w:r>
    </w:p>
    <w:p w14:paraId="108940BB"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Tenforde</w:t>
      </w:r>
      <w:proofErr w:type="spellEnd"/>
      <w:r w:rsidRPr="00834CDC">
        <w:rPr>
          <w:rFonts w:eastAsia="Times New Roman"/>
        </w:rPr>
        <w:t xml:space="preserve"> MW, Kondor RJG, Chung JR, Zimmerman RK, </w:t>
      </w:r>
      <w:proofErr w:type="spellStart"/>
      <w:r w:rsidRPr="00834CDC">
        <w:rPr>
          <w:rFonts w:eastAsia="Times New Roman"/>
        </w:rPr>
        <w:t>Nowalk</w:t>
      </w:r>
      <w:proofErr w:type="spellEnd"/>
      <w:r w:rsidRPr="00834CDC">
        <w:rPr>
          <w:rFonts w:eastAsia="Times New Roman"/>
        </w:rPr>
        <w:t xml:space="preserve"> MP, Jackson ML et al. Effect of antigenic drift on influenza vaccine effectiveness in the United States – 2019–2020. </w:t>
      </w:r>
      <w:r w:rsidRPr="00834CDC">
        <w:rPr>
          <w:rStyle w:val="Emphasis"/>
          <w:rFonts w:eastAsia="Times New Roman"/>
          <w:b w:val="0"/>
          <w:bCs w:val="0"/>
        </w:rPr>
        <w:t>Clin Infect Dis</w:t>
      </w:r>
      <w:r w:rsidRPr="00834CDC">
        <w:rPr>
          <w:rFonts w:eastAsia="Times New Roman"/>
        </w:rPr>
        <w:t>. 2021;73(11</w:t>
      </w:r>
      <w:proofErr w:type="gramStart"/>
      <w:r w:rsidRPr="00834CDC">
        <w:rPr>
          <w:rFonts w:eastAsia="Times New Roman"/>
        </w:rPr>
        <w:t>):e</w:t>
      </w:r>
      <w:proofErr w:type="gramEnd"/>
      <w:r w:rsidRPr="00834CDC">
        <w:rPr>
          <w:rFonts w:eastAsia="Times New Roman"/>
        </w:rPr>
        <w:t xml:space="preserve">4244–50. </w:t>
      </w:r>
      <w:proofErr w:type="spellStart"/>
      <w:r w:rsidRPr="00834CDC">
        <w:rPr>
          <w:rFonts w:eastAsia="Times New Roman"/>
        </w:rPr>
        <w:t>doi</w:t>
      </w:r>
      <w:proofErr w:type="spellEnd"/>
      <w:r w:rsidRPr="00834CDC">
        <w:rPr>
          <w:rFonts w:eastAsia="Times New Roman"/>
        </w:rPr>
        <w:t xml:space="preserve">: https://doi.org/10.1093/cid/ciaa1884. </w:t>
      </w:r>
    </w:p>
    <w:p w14:paraId="7C84F044"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Krammer</w:t>
      </w:r>
      <w:proofErr w:type="spellEnd"/>
      <w:r w:rsidRPr="00834CDC">
        <w:rPr>
          <w:rFonts w:eastAsia="Times New Roman"/>
        </w:rPr>
        <w:t xml:space="preserve"> F, Smith GJD, </w:t>
      </w:r>
      <w:proofErr w:type="spellStart"/>
      <w:r w:rsidRPr="00834CDC">
        <w:rPr>
          <w:rFonts w:eastAsia="Times New Roman"/>
        </w:rPr>
        <w:t>Fouchier</w:t>
      </w:r>
      <w:proofErr w:type="spellEnd"/>
      <w:r w:rsidRPr="00834CDC">
        <w:rPr>
          <w:rFonts w:eastAsia="Times New Roman"/>
        </w:rPr>
        <w:t xml:space="preserve"> RAM, Peiris M, </w:t>
      </w:r>
      <w:proofErr w:type="spellStart"/>
      <w:r w:rsidRPr="00834CDC">
        <w:rPr>
          <w:rFonts w:eastAsia="Times New Roman"/>
        </w:rPr>
        <w:t>Kedzierska</w:t>
      </w:r>
      <w:proofErr w:type="spellEnd"/>
      <w:r w:rsidRPr="00834CDC">
        <w:rPr>
          <w:rFonts w:eastAsia="Times New Roman"/>
        </w:rPr>
        <w:t xml:space="preserve"> K, Doherty PC et al. Influenza. </w:t>
      </w:r>
      <w:r w:rsidRPr="00834CDC">
        <w:rPr>
          <w:rStyle w:val="Emphasis"/>
          <w:rFonts w:eastAsia="Times New Roman"/>
          <w:b w:val="0"/>
          <w:bCs w:val="0"/>
        </w:rPr>
        <w:t>Nat Rev Dis Primers</w:t>
      </w:r>
      <w:r w:rsidRPr="00834CDC">
        <w:rPr>
          <w:rFonts w:eastAsia="Times New Roman"/>
        </w:rPr>
        <w:t>. 2018;4(1):</w:t>
      </w:r>
      <w:proofErr w:type="gramStart"/>
      <w:r w:rsidRPr="00834CDC">
        <w:rPr>
          <w:rFonts w:eastAsia="Times New Roman"/>
        </w:rPr>
        <w:t>3</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https://doi.org/10.1038/s41572-018-0002-y. </w:t>
      </w:r>
    </w:p>
    <w:p w14:paraId="1302529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Moa A, Trent M, Menzies R. Severity of the 2019 influenza season in Australia – a comparison between 2017 and 2019 H3N2 influenza seasons. </w:t>
      </w:r>
      <w:r w:rsidRPr="00834CDC">
        <w:rPr>
          <w:rStyle w:val="Emphasis"/>
          <w:rFonts w:eastAsia="Times New Roman"/>
          <w:b w:val="0"/>
          <w:bCs w:val="0"/>
        </w:rPr>
        <w:t>Global Biosecurity</w:t>
      </w:r>
      <w:r w:rsidRPr="00834CDC">
        <w:rPr>
          <w:rFonts w:eastAsia="Times New Roman"/>
        </w:rPr>
        <w:t xml:space="preserve">. 2019;1(3). Available from: https://jglobalbiosecurity.com/articles/10.31646/gbio.47/. </w:t>
      </w:r>
    </w:p>
    <w:p w14:paraId="5B276EA7"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Cheng AC, Holmes M, Dwyer DE, Senanayake S, Cooley L, Irving LB et al. Influenza epidemiology in patients admitted to sentinel Australian hospitals in 2018: the Influenza Complications Alert Network (FluCAN).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2019;</w:t>
      </w:r>
      <w:proofErr w:type="gramStart"/>
      <w:r w:rsidRPr="00834CDC">
        <w:rPr>
          <w:rFonts w:eastAsia="Times New Roman"/>
        </w:rPr>
        <w:t>43</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https://doi.org/10.33321/cdi.2019.43.48. </w:t>
      </w:r>
    </w:p>
    <w:p w14:paraId="12CCE9E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Moberley S, Carlson S, </w:t>
      </w:r>
      <w:proofErr w:type="spellStart"/>
      <w:r w:rsidRPr="00834CDC">
        <w:rPr>
          <w:rFonts w:eastAsia="Times New Roman"/>
        </w:rPr>
        <w:t>Durrheim</w:t>
      </w:r>
      <w:proofErr w:type="spellEnd"/>
      <w:r w:rsidRPr="00834CDC">
        <w:rPr>
          <w:rFonts w:eastAsia="Times New Roman"/>
        </w:rPr>
        <w:t xml:space="preserve"> D, Dalton C. </w:t>
      </w:r>
      <w:proofErr w:type="spellStart"/>
      <w:r w:rsidRPr="00834CDC">
        <w:rPr>
          <w:rFonts w:eastAsia="Times New Roman"/>
        </w:rPr>
        <w:t>Flutracking</w:t>
      </w:r>
      <w:proofErr w:type="spellEnd"/>
      <w:r w:rsidRPr="00834CDC">
        <w:rPr>
          <w:rFonts w:eastAsia="Times New Roman"/>
        </w:rPr>
        <w:t xml:space="preserve">: Weekly online community-based surveillance of influenza-like illness in Australia, 2017 Annual Report.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2019;</w:t>
      </w:r>
      <w:proofErr w:type="gramStart"/>
      <w:r w:rsidRPr="00834CDC">
        <w:rPr>
          <w:rFonts w:eastAsia="Times New Roman"/>
        </w:rPr>
        <w:t>43</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https://doi.org/10.33321/cdi.2019.43.31. </w:t>
      </w:r>
    </w:p>
    <w:p w14:paraId="5A368967"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Strebel</w:t>
      </w:r>
      <w:proofErr w:type="spellEnd"/>
      <w:r w:rsidRPr="00834CDC">
        <w:rPr>
          <w:rFonts w:eastAsia="Times New Roman"/>
        </w:rPr>
        <w:t xml:space="preserve"> PM, </w:t>
      </w:r>
      <w:proofErr w:type="spellStart"/>
      <w:r w:rsidRPr="00834CDC">
        <w:rPr>
          <w:rFonts w:eastAsia="Times New Roman"/>
        </w:rPr>
        <w:t>Papania</w:t>
      </w:r>
      <w:proofErr w:type="spellEnd"/>
      <w:r w:rsidRPr="00834CDC">
        <w:rPr>
          <w:rFonts w:eastAsia="Times New Roman"/>
        </w:rPr>
        <w:t xml:space="preserve"> MJ, </w:t>
      </w:r>
      <w:proofErr w:type="spellStart"/>
      <w:r w:rsidRPr="00834CDC">
        <w:rPr>
          <w:rFonts w:eastAsia="Times New Roman"/>
        </w:rPr>
        <w:t>Gastañaduy</w:t>
      </w:r>
      <w:proofErr w:type="spellEnd"/>
      <w:r w:rsidRPr="00834CDC">
        <w:rPr>
          <w:rFonts w:eastAsia="Times New Roman"/>
        </w:rPr>
        <w:t xml:space="preserve"> PA, Goodson JL. 37 – Measles vaccines. In Plotkin SA, Orenstein WA, Offit PA, Edwards KM, eds. </w:t>
      </w:r>
      <w:r w:rsidRPr="00834CDC">
        <w:rPr>
          <w:rStyle w:val="Emphasis"/>
          <w:rFonts w:eastAsia="Times New Roman"/>
          <w:b w:val="0"/>
          <w:bCs w:val="0"/>
        </w:rPr>
        <w:t>Plotkin’s Vaccines</w:t>
      </w:r>
      <w:r w:rsidRPr="00834CDC">
        <w:rPr>
          <w:rFonts w:eastAsia="Times New Roman"/>
        </w:rPr>
        <w:t xml:space="preserve"> (</w:t>
      </w:r>
      <w:proofErr w:type="gramStart"/>
      <w:r w:rsidRPr="00834CDC">
        <w:rPr>
          <w:rFonts w:eastAsia="Times New Roman"/>
        </w:rPr>
        <w:t>7th</w:t>
      </w:r>
      <w:proofErr w:type="gramEnd"/>
      <w:r w:rsidRPr="00834CDC">
        <w:rPr>
          <w:rFonts w:eastAsia="Times New Roman"/>
        </w:rPr>
        <w:t xml:space="preserve"> edition). Amsterdam: Elsevier, 2018;579–618.e21. </w:t>
      </w:r>
      <w:proofErr w:type="spellStart"/>
      <w:r w:rsidRPr="00834CDC">
        <w:rPr>
          <w:rFonts w:eastAsia="Times New Roman"/>
        </w:rPr>
        <w:t>doi</w:t>
      </w:r>
      <w:proofErr w:type="spellEnd"/>
      <w:r w:rsidRPr="00834CDC">
        <w:rPr>
          <w:rFonts w:eastAsia="Times New Roman"/>
        </w:rPr>
        <w:t xml:space="preserve">: https//doi.org/10.1016/B978-0-323-35761-6.00037-7. </w:t>
      </w:r>
    </w:p>
    <w:p w14:paraId="7942149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Guerra FM, Crowcroft NS, Friedman L, </w:t>
      </w:r>
      <w:proofErr w:type="spellStart"/>
      <w:r w:rsidRPr="00834CDC">
        <w:rPr>
          <w:rFonts w:eastAsia="Times New Roman"/>
        </w:rPr>
        <w:t>Deeks</w:t>
      </w:r>
      <w:proofErr w:type="spellEnd"/>
      <w:r w:rsidRPr="00834CDC">
        <w:rPr>
          <w:rFonts w:eastAsia="Times New Roman"/>
        </w:rPr>
        <w:t xml:space="preserve"> SL, Halperin SA, </w:t>
      </w:r>
      <w:proofErr w:type="spellStart"/>
      <w:r w:rsidRPr="00834CDC">
        <w:rPr>
          <w:rFonts w:eastAsia="Times New Roman"/>
        </w:rPr>
        <w:t>Severini</w:t>
      </w:r>
      <w:proofErr w:type="spellEnd"/>
      <w:r w:rsidRPr="00834CDC">
        <w:rPr>
          <w:rFonts w:eastAsia="Times New Roman"/>
        </w:rPr>
        <w:t xml:space="preserve"> A et al. Waning of measles maternal antibody in infants in measles elimination settings – a systematic literature review. </w:t>
      </w:r>
      <w:r w:rsidRPr="00834CDC">
        <w:rPr>
          <w:rStyle w:val="Emphasis"/>
          <w:rFonts w:eastAsia="Times New Roman"/>
          <w:b w:val="0"/>
          <w:bCs w:val="0"/>
        </w:rPr>
        <w:t>Vaccine</w:t>
      </w:r>
      <w:r w:rsidRPr="00834CDC">
        <w:rPr>
          <w:rFonts w:eastAsia="Times New Roman"/>
        </w:rPr>
        <w:t xml:space="preserve">. 2018;36(10):1248–55. </w:t>
      </w:r>
      <w:proofErr w:type="spellStart"/>
      <w:r w:rsidRPr="00834CDC">
        <w:rPr>
          <w:rFonts w:eastAsia="Times New Roman"/>
        </w:rPr>
        <w:t>doi</w:t>
      </w:r>
      <w:proofErr w:type="spellEnd"/>
      <w:r w:rsidRPr="00834CDC">
        <w:rPr>
          <w:rFonts w:eastAsia="Times New Roman"/>
        </w:rPr>
        <w:t xml:space="preserve">: https://doi.org/10.1016/j.vaccine.2018.01.002. </w:t>
      </w:r>
    </w:p>
    <w:p w14:paraId="771E20A7"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Winkler NE, Dey A, Quinn HE, Pourmarzi D, Lambert S, McIntyre P et al. Australian vaccine preventable disease epidemiological review series: measles, 2012–2019.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2022;</w:t>
      </w:r>
      <w:proofErr w:type="gramStart"/>
      <w:r w:rsidRPr="00834CDC">
        <w:rPr>
          <w:rFonts w:eastAsia="Times New Roman"/>
        </w:rPr>
        <w:t>46</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https://doi.org/10.33321/cdi.2022.46.38. </w:t>
      </w:r>
    </w:p>
    <w:p w14:paraId="59D7A17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Hull BP, Beard FH, Hendry AJ, Dey A, Macartney K. “No jab, no pay”: catch-up vaccination activity during its first two years. </w:t>
      </w:r>
      <w:r w:rsidRPr="00834CDC">
        <w:rPr>
          <w:rStyle w:val="Emphasis"/>
          <w:rFonts w:eastAsia="Times New Roman"/>
          <w:b w:val="0"/>
          <w:bCs w:val="0"/>
        </w:rPr>
        <w:t>Med J Aust</w:t>
      </w:r>
      <w:r w:rsidRPr="00834CDC">
        <w:rPr>
          <w:rFonts w:eastAsia="Times New Roman"/>
        </w:rPr>
        <w:t xml:space="preserve">. 2020;213(8):364–9. </w:t>
      </w:r>
      <w:proofErr w:type="spellStart"/>
      <w:r w:rsidRPr="00834CDC">
        <w:rPr>
          <w:rFonts w:eastAsia="Times New Roman"/>
        </w:rPr>
        <w:t>doi</w:t>
      </w:r>
      <w:proofErr w:type="spellEnd"/>
      <w:r w:rsidRPr="00834CDC">
        <w:rPr>
          <w:rFonts w:eastAsia="Times New Roman"/>
        </w:rPr>
        <w:t xml:space="preserve">: https://doi.org/10.5694/mja2.50780. </w:t>
      </w:r>
    </w:p>
    <w:p w14:paraId="405A9412"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Craig AT, Heywood AE, Worth H. Measles epidemic in Samoa and other Pacific islands. </w:t>
      </w:r>
      <w:r w:rsidRPr="00834CDC">
        <w:rPr>
          <w:rStyle w:val="Emphasis"/>
          <w:rFonts w:eastAsia="Times New Roman"/>
          <w:b w:val="0"/>
          <w:bCs w:val="0"/>
        </w:rPr>
        <w:t>Lancet Infect Dis</w:t>
      </w:r>
      <w:r w:rsidRPr="00834CDC">
        <w:rPr>
          <w:rFonts w:eastAsia="Times New Roman"/>
        </w:rPr>
        <w:t xml:space="preserve">. 2020;20(3):273–5. </w:t>
      </w:r>
      <w:proofErr w:type="spellStart"/>
      <w:r w:rsidRPr="00834CDC">
        <w:rPr>
          <w:rFonts w:eastAsia="Times New Roman"/>
        </w:rPr>
        <w:t>doi</w:t>
      </w:r>
      <w:proofErr w:type="spellEnd"/>
      <w:r w:rsidRPr="00834CDC">
        <w:rPr>
          <w:rFonts w:eastAsia="Times New Roman"/>
        </w:rPr>
        <w:t xml:space="preserve">: https://doi.org/10.1016/S1473-3099(20)30053-0. </w:t>
      </w:r>
    </w:p>
    <w:p w14:paraId="6DEF4CB4"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Paules CI, Marston HD, Fauci AS. Measles in 2019 – going backward. </w:t>
      </w:r>
      <w:r w:rsidRPr="00834CDC">
        <w:rPr>
          <w:rStyle w:val="Emphasis"/>
          <w:rFonts w:eastAsia="Times New Roman"/>
          <w:b w:val="0"/>
          <w:bCs w:val="0"/>
        </w:rPr>
        <w:t xml:space="preserve">N </w:t>
      </w:r>
      <w:proofErr w:type="spellStart"/>
      <w:r w:rsidRPr="00834CDC">
        <w:rPr>
          <w:rStyle w:val="Emphasis"/>
          <w:rFonts w:eastAsia="Times New Roman"/>
          <w:b w:val="0"/>
          <w:bCs w:val="0"/>
        </w:rPr>
        <w:t>Engl</w:t>
      </w:r>
      <w:proofErr w:type="spellEnd"/>
      <w:r w:rsidRPr="00834CDC">
        <w:rPr>
          <w:rStyle w:val="Emphasis"/>
          <w:rFonts w:eastAsia="Times New Roman"/>
          <w:b w:val="0"/>
          <w:bCs w:val="0"/>
        </w:rPr>
        <w:t xml:space="preserve"> J Med</w:t>
      </w:r>
      <w:r w:rsidRPr="00834CDC">
        <w:rPr>
          <w:rFonts w:eastAsia="Times New Roman"/>
        </w:rPr>
        <w:t xml:space="preserve">. 2019;380(23):2185–7. </w:t>
      </w:r>
      <w:proofErr w:type="spellStart"/>
      <w:r w:rsidRPr="00834CDC">
        <w:rPr>
          <w:rFonts w:eastAsia="Times New Roman"/>
        </w:rPr>
        <w:t>doi</w:t>
      </w:r>
      <w:proofErr w:type="spellEnd"/>
      <w:r w:rsidRPr="00834CDC">
        <w:rPr>
          <w:rFonts w:eastAsia="Times New Roman"/>
        </w:rPr>
        <w:t xml:space="preserve">: https://doi.org/10.1056/NEJMp1905099. </w:t>
      </w:r>
    </w:p>
    <w:p w14:paraId="105E9140"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Northern Territory Government Department of Health (NT Health). Measles Update – Vaccination program extended. [Internet.] Darwin: NT Health; 28 March 2019. [Accessed on 3 December 2021.] Available from: https://health.nt.gov.au/news/pre-2020/measles-update-vaccination-program-extended. </w:t>
      </w:r>
    </w:p>
    <w:p w14:paraId="16F70178"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NCIRS. History of immunisation in Australia. [Internet.] Sydney: NCIRS; February 2022. [Accessed on 4 April 2022.] Available from: https://ncirs.org.au/health-professionals/history-immunisation-australia. </w:t>
      </w:r>
    </w:p>
    <w:p w14:paraId="1D001B6F"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lastRenderedPageBreak/>
        <w:t>Granoff</w:t>
      </w:r>
      <w:proofErr w:type="spellEnd"/>
      <w:r w:rsidRPr="00834CDC">
        <w:rPr>
          <w:rFonts w:eastAsia="Times New Roman"/>
        </w:rPr>
        <w:t xml:space="preserve"> DM, Pollard AJ, Harrison LH. 39 – Meningococcal capsular group B vaccines. In Plotkin SA, Orenstein WA, Offit PA, Edwards KM, eds. </w:t>
      </w:r>
      <w:r w:rsidRPr="00834CDC">
        <w:rPr>
          <w:rStyle w:val="Emphasis"/>
          <w:rFonts w:eastAsia="Times New Roman"/>
          <w:b w:val="0"/>
          <w:bCs w:val="0"/>
        </w:rPr>
        <w:t>Plotkin’s Vaccines</w:t>
      </w:r>
      <w:r w:rsidRPr="00834CDC">
        <w:rPr>
          <w:rFonts w:eastAsia="Times New Roman"/>
        </w:rPr>
        <w:t xml:space="preserve"> (</w:t>
      </w:r>
      <w:proofErr w:type="gramStart"/>
      <w:r w:rsidRPr="00834CDC">
        <w:rPr>
          <w:rFonts w:eastAsia="Times New Roman"/>
        </w:rPr>
        <w:t>7th</w:t>
      </w:r>
      <w:proofErr w:type="gramEnd"/>
      <w:r w:rsidRPr="00834CDC">
        <w:rPr>
          <w:rFonts w:eastAsia="Times New Roman"/>
        </w:rPr>
        <w:t xml:space="preserve"> edition). Amsterdam: Elsevier, 2018;644–</w:t>
      </w:r>
      <w:proofErr w:type="gramStart"/>
      <w:r w:rsidRPr="00834CDC">
        <w:rPr>
          <w:rFonts w:eastAsia="Times New Roman"/>
        </w:rPr>
        <w:t>62.e</w:t>
      </w:r>
      <w:proofErr w:type="gramEnd"/>
      <w:r w:rsidRPr="00834CDC">
        <w:rPr>
          <w:rFonts w:eastAsia="Times New Roman"/>
        </w:rPr>
        <w:t xml:space="preserve">6. </w:t>
      </w:r>
      <w:proofErr w:type="spellStart"/>
      <w:r w:rsidRPr="00834CDC">
        <w:rPr>
          <w:rFonts w:eastAsia="Times New Roman"/>
        </w:rPr>
        <w:t>doi</w:t>
      </w:r>
      <w:proofErr w:type="spellEnd"/>
      <w:r w:rsidRPr="00834CDC">
        <w:rPr>
          <w:rFonts w:eastAsia="Times New Roman"/>
        </w:rPr>
        <w:t xml:space="preserve">: https//doi.org/10.1016/B978-0-323-35761-6.00053-5. </w:t>
      </w:r>
    </w:p>
    <w:p w14:paraId="282925B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Harrison LH, </w:t>
      </w:r>
      <w:proofErr w:type="spellStart"/>
      <w:r w:rsidRPr="00834CDC">
        <w:rPr>
          <w:rFonts w:eastAsia="Times New Roman"/>
        </w:rPr>
        <w:t>Granoff</w:t>
      </w:r>
      <w:proofErr w:type="spellEnd"/>
      <w:r w:rsidRPr="00834CDC">
        <w:rPr>
          <w:rFonts w:eastAsia="Times New Roman"/>
        </w:rPr>
        <w:t xml:space="preserve"> DM, Pollard AJ. 38 – Meningococcal capsular group A, C, W, and Y conjugate vaccines. In Plotkin SA, Orenstein WA, Offit PA, Edwards KM, eds. Plotkin’s Vaccines (</w:t>
      </w:r>
      <w:proofErr w:type="gramStart"/>
      <w:r w:rsidRPr="00834CDC">
        <w:rPr>
          <w:rFonts w:eastAsia="Times New Roman"/>
        </w:rPr>
        <w:t>7th</w:t>
      </w:r>
      <w:proofErr w:type="gramEnd"/>
      <w:r w:rsidRPr="00834CDC">
        <w:rPr>
          <w:rFonts w:eastAsia="Times New Roman"/>
        </w:rPr>
        <w:t xml:space="preserve"> edition). Amsterdam: Elsevier, 2018;619–</w:t>
      </w:r>
      <w:proofErr w:type="gramStart"/>
      <w:r w:rsidRPr="00834CDC">
        <w:rPr>
          <w:rFonts w:eastAsia="Times New Roman"/>
        </w:rPr>
        <w:t>43.e</w:t>
      </w:r>
      <w:proofErr w:type="gramEnd"/>
      <w:r w:rsidRPr="00834CDC">
        <w:rPr>
          <w:rFonts w:eastAsia="Times New Roman"/>
        </w:rPr>
        <w:t xml:space="preserve">11. </w:t>
      </w:r>
      <w:proofErr w:type="spellStart"/>
      <w:r w:rsidRPr="00834CDC">
        <w:rPr>
          <w:rFonts w:eastAsia="Times New Roman"/>
        </w:rPr>
        <w:t>doi</w:t>
      </w:r>
      <w:proofErr w:type="spellEnd"/>
      <w:r w:rsidRPr="00834CDC">
        <w:rPr>
          <w:rFonts w:eastAsia="Times New Roman"/>
        </w:rPr>
        <w:t xml:space="preserve">: https//doi.org/10.1016/B978-0-323-35761-6.00038-9. </w:t>
      </w:r>
    </w:p>
    <w:p w14:paraId="4D981C98"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Wang B, </w:t>
      </w:r>
      <w:proofErr w:type="spellStart"/>
      <w:r w:rsidRPr="00834CDC">
        <w:rPr>
          <w:rFonts w:eastAsia="Times New Roman"/>
        </w:rPr>
        <w:t>Santoreneos</w:t>
      </w:r>
      <w:proofErr w:type="spellEnd"/>
      <w:r w:rsidRPr="00834CDC">
        <w:rPr>
          <w:rFonts w:eastAsia="Times New Roman"/>
        </w:rPr>
        <w:t xml:space="preserve"> R, Giles L, Haji Ali </w:t>
      </w:r>
      <w:proofErr w:type="spellStart"/>
      <w:r w:rsidRPr="00834CDC">
        <w:rPr>
          <w:rFonts w:eastAsia="Times New Roman"/>
        </w:rPr>
        <w:t>Afzali</w:t>
      </w:r>
      <w:proofErr w:type="spellEnd"/>
      <w:r w:rsidRPr="00834CDC">
        <w:rPr>
          <w:rFonts w:eastAsia="Times New Roman"/>
        </w:rPr>
        <w:t xml:space="preserve"> H, Marshall H. Case fatality rates of invasive meningococcal disease by serogroup and age: a systematic review and meta-analysis. </w:t>
      </w:r>
      <w:r w:rsidRPr="00834CDC">
        <w:rPr>
          <w:rStyle w:val="Emphasis"/>
          <w:rFonts w:eastAsia="Times New Roman"/>
          <w:b w:val="0"/>
          <w:bCs w:val="0"/>
        </w:rPr>
        <w:t>Vaccine</w:t>
      </w:r>
      <w:r w:rsidRPr="00834CDC">
        <w:rPr>
          <w:rFonts w:eastAsia="Times New Roman"/>
        </w:rPr>
        <w:t xml:space="preserve">. 2019;37(21):2768–82. </w:t>
      </w:r>
      <w:proofErr w:type="spellStart"/>
      <w:r w:rsidRPr="00834CDC">
        <w:rPr>
          <w:rFonts w:eastAsia="Times New Roman"/>
        </w:rPr>
        <w:t>doi</w:t>
      </w:r>
      <w:proofErr w:type="spellEnd"/>
      <w:r w:rsidRPr="00834CDC">
        <w:rPr>
          <w:rFonts w:eastAsia="Times New Roman"/>
        </w:rPr>
        <w:t xml:space="preserve">: https://doi.org/10.1016/j.vaccine.2019.04.020. </w:t>
      </w:r>
    </w:p>
    <w:p w14:paraId="5F8DC184"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Wang B, Clarke M, Thomas N, Howell S, Haji Ali </w:t>
      </w:r>
      <w:proofErr w:type="spellStart"/>
      <w:r w:rsidRPr="00834CDC">
        <w:rPr>
          <w:rFonts w:eastAsia="Times New Roman"/>
        </w:rPr>
        <w:t>Afzali</w:t>
      </w:r>
      <w:proofErr w:type="spellEnd"/>
      <w:r w:rsidRPr="00834CDC">
        <w:rPr>
          <w:rFonts w:eastAsia="Times New Roman"/>
        </w:rPr>
        <w:t xml:space="preserve"> H, Marshall H. The clinical burden and predictors of sequelae following invasive meningococcal disease in Australian children. </w:t>
      </w:r>
      <w:proofErr w:type="spellStart"/>
      <w:r w:rsidRPr="00834CDC">
        <w:rPr>
          <w:rStyle w:val="Emphasis"/>
          <w:rFonts w:eastAsia="Times New Roman"/>
          <w:b w:val="0"/>
          <w:bCs w:val="0"/>
        </w:rPr>
        <w:t>Pediatr</w:t>
      </w:r>
      <w:proofErr w:type="spellEnd"/>
      <w:r w:rsidRPr="00834CDC">
        <w:rPr>
          <w:rStyle w:val="Emphasis"/>
          <w:rFonts w:eastAsia="Times New Roman"/>
          <w:b w:val="0"/>
          <w:bCs w:val="0"/>
        </w:rPr>
        <w:t xml:space="preserve"> Infect Dis J</w:t>
      </w:r>
      <w:r w:rsidRPr="00834CDC">
        <w:rPr>
          <w:rFonts w:eastAsia="Times New Roman"/>
        </w:rPr>
        <w:t xml:space="preserve">. 2014;33(3):316–8. </w:t>
      </w:r>
      <w:proofErr w:type="spellStart"/>
      <w:r w:rsidRPr="00834CDC">
        <w:rPr>
          <w:rFonts w:eastAsia="Times New Roman"/>
        </w:rPr>
        <w:t>doi</w:t>
      </w:r>
      <w:proofErr w:type="spellEnd"/>
      <w:r w:rsidRPr="00834CDC">
        <w:rPr>
          <w:rFonts w:eastAsia="Times New Roman"/>
        </w:rPr>
        <w:t xml:space="preserve">: https://doi.org/10.1097/INF.0000000000000043. </w:t>
      </w:r>
    </w:p>
    <w:p w14:paraId="5C45DE0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Viner RM, </w:t>
      </w:r>
      <w:proofErr w:type="spellStart"/>
      <w:r w:rsidRPr="00834CDC">
        <w:rPr>
          <w:rFonts w:eastAsia="Times New Roman"/>
        </w:rPr>
        <w:t>Booy</w:t>
      </w:r>
      <w:proofErr w:type="spellEnd"/>
      <w:r w:rsidRPr="00834CDC">
        <w:rPr>
          <w:rFonts w:eastAsia="Times New Roman"/>
        </w:rPr>
        <w:t xml:space="preserve"> R, Johnson H, Edmunds WJ, Hudson L, Bedford H et al. Outcomes of invasive meningococcal serogroup B disease in children and adolescents (MOSAIC): a case-control study. </w:t>
      </w:r>
      <w:r w:rsidRPr="00834CDC">
        <w:rPr>
          <w:rStyle w:val="Emphasis"/>
          <w:rFonts w:eastAsia="Times New Roman"/>
          <w:b w:val="0"/>
          <w:bCs w:val="0"/>
        </w:rPr>
        <w:t>Lancet Neurol</w:t>
      </w:r>
      <w:r w:rsidRPr="00834CDC">
        <w:rPr>
          <w:rFonts w:eastAsia="Times New Roman"/>
        </w:rPr>
        <w:t xml:space="preserve">. 2012;11(9):774-83. </w:t>
      </w:r>
      <w:proofErr w:type="spellStart"/>
      <w:r w:rsidRPr="00834CDC">
        <w:rPr>
          <w:rFonts w:eastAsia="Times New Roman"/>
        </w:rPr>
        <w:t>doi</w:t>
      </w:r>
      <w:proofErr w:type="spellEnd"/>
      <w:r w:rsidRPr="00834CDC">
        <w:rPr>
          <w:rFonts w:eastAsia="Times New Roman"/>
        </w:rPr>
        <w:t xml:space="preserve">: https://doi.org/10.1016/S1474-4422(12)70180-1. </w:t>
      </w:r>
    </w:p>
    <w:p w14:paraId="7F63ED7C"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Strifler</w:t>
      </w:r>
      <w:proofErr w:type="spellEnd"/>
      <w:r w:rsidRPr="00834CDC">
        <w:rPr>
          <w:rFonts w:eastAsia="Times New Roman"/>
        </w:rPr>
        <w:t xml:space="preserve"> L, Morris SK, Dang V, Tu HAT, Minhas RS, Jamieson FB et al. The health burden of invasive meningococcal disease: a systematic review. </w:t>
      </w:r>
      <w:r w:rsidRPr="00834CDC">
        <w:rPr>
          <w:rStyle w:val="Emphasis"/>
          <w:rFonts w:eastAsia="Times New Roman"/>
          <w:b w:val="0"/>
          <w:bCs w:val="0"/>
        </w:rPr>
        <w:t xml:space="preserve">J </w:t>
      </w:r>
      <w:proofErr w:type="spellStart"/>
      <w:r w:rsidRPr="00834CDC">
        <w:rPr>
          <w:rStyle w:val="Emphasis"/>
          <w:rFonts w:eastAsia="Times New Roman"/>
          <w:b w:val="0"/>
          <w:bCs w:val="0"/>
        </w:rPr>
        <w:t>Pediatric</w:t>
      </w:r>
      <w:proofErr w:type="spellEnd"/>
      <w:r w:rsidRPr="00834CDC">
        <w:rPr>
          <w:rStyle w:val="Emphasis"/>
          <w:rFonts w:eastAsia="Times New Roman"/>
          <w:b w:val="0"/>
          <w:bCs w:val="0"/>
        </w:rPr>
        <w:t xml:space="preserve"> Infect Dis Soc</w:t>
      </w:r>
      <w:r w:rsidRPr="00834CDC">
        <w:rPr>
          <w:rFonts w:eastAsia="Times New Roman"/>
        </w:rPr>
        <w:t xml:space="preserve">. 2016;5(4):417–30. </w:t>
      </w:r>
      <w:proofErr w:type="spellStart"/>
      <w:r w:rsidRPr="00834CDC">
        <w:rPr>
          <w:rFonts w:eastAsia="Times New Roman"/>
        </w:rPr>
        <w:t>doi</w:t>
      </w:r>
      <w:proofErr w:type="spellEnd"/>
      <w:r w:rsidRPr="00834CDC">
        <w:rPr>
          <w:rFonts w:eastAsia="Times New Roman"/>
        </w:rPr>
        <w:t xml:space="preserve">: https://doi.org/10.1093/jpids/piv065. </w:t>
      </w:r>
    </w:p>
    <w:p w14:paraId="379AB5A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Sudbury EL, O’Sullivan S, Lister D, Varghese D, </w:t>
      </w:r>
      <w:proofErr w:type="spellStart"/>
      <w:r w:rsidRPr="00834CDC">
        <w:rPr>
          <w:rFonts w:eastAsia="Times New Roman"/>
        </w:rPr>
        <w:t>Satharasinghe</w:t>
      </w:r>
      <w:proofErr w:type="spellEnd"/>
      <w:r w:rsidRPr="00834CDC">
        <w:rPr>
          <w:rFonts w:eastAsia="Times New Roman"/>
        </w:rPr>
        <w:t xml:space="preserve"> K. Case manifestations and public health response for outbreak of meningococcal W disease, Central Australia, 2017. </w:t>
      </w:r>
      <w:proofErr w:type="spellStart"/>
      <w:r w:rsidRPr="00834CDC">
        <w:rPr>
          <w:rStyle w:val="Emphasis"/>
          <w:rFonts w:eastAsia="Times New Roman"/>
          <w:b w:val="0"/>
          <w:bCs w:val="0"/>
        </w:rPr>
        <w:t>Emerg</w:t>
      </w:r>
      <w:proofErr w:type="spellEnd"/>
      <w:r w:rsidRPr="00834CDC">
        <w:rPr>
          <w:rStyle w:val="Emphasis"/>
          <w:rFonts w:eastAsia="Times New Roman"/>
          <w:b w:val="0"/>
          <w:bCs w:val="0"/>
        </w:rPr>
        <w:t xml:space="preserve"> Infect Dis</w:t>
      </w:r>
      <w:r w:rsidRPr="00834CDC">
        <w:rPr>
          <w:rFonts w:eastAsia="Times New Roman"/>
        </w:rPr>
        <w:t xml:space="preserve">. 2020;26(7):1355–63. </w:t>
      </w:r>
      <w:proofErr w:type="spellStart"/>
      <w:r w:rsidRPr="00834CDC">
        <w:rPr>
          <w:rFonts w:eastAsia="Times New Roman"/>
        </w:rPr>
        <w:t>doi</w:t>
      </w:r>
      <w:proofErr w:type="spellEnd"/>
      <w:r w:rsidRPr="00834CDC">
        <w:rPr>
          <w:rFonts w:eastAsia="Times New Roman"/>
        </w:rPr>
        <w:t xml:space="preserve">: https://doi.org/10.3201/eid2607.181941. </w:t>
      </w:r>
    </w:p>
    <w:p w14:paraId="4538324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Sharma K, Chiu C, Wood N. Meningococcal vaccines in Australia: a 2019 update. </w:t>
      </w:r>
      <w:r w:rsidRPr="00834CDC">
        <w:rPr>
          <w:rStyle w:val="Emphasis"/>
          <w:rFonts w:eastAsia="Times New Roman"/>
          <w:b w:val="0"/>
          <w:bCs w:val="0"/>
        </w:rPr>
        <w:t xml:space="preserve">Aust </w:t>
      </w:r>
      <w:proofErr w:type="spellStart"/>
      <w:r w:rsidRPr="00834CDC">
        <w:rPr>
          <w:rStyle w:val="Emphasis"/>
          <w:rFonts w:eastAsia="Times New Roman"/>
          <w:b w:val="0"/>
          <w:bCs w:val="0"/>
        </w:rPr>
        <w:t>Prescr</w:t>
      </w:r>
      <w:proofErr w:type="spellEnd"/>
      <w:r w:rsidRPr="00834CDC">
        <w:rPr>
          <w:rFonts w:eastAsia="Times New Roman"/>
        </w:rPr>
        <w:t xml:space="preserve">. 2019;42(4):131–5. </w:t>
      </w:r>
      <w:proofErr w:type="spellStart"/>
      <w:r w:rsidRPr="00834CDC">
        <w:rPr>
          <w:rFonts w:eastAsia="Times New Roman"/>
        </w:rPr>
        <w:t>doi</w:t>
      </w:r>
      <w:proofErr w:type="spellEnd"/>
      <w:r w:rsidRPr="00834CDC">
        <w:rPr>
          <w:rFonts w:eastAsia="Times New Roman"/>
        </w:rPr>
        <w:t xml:space="preserve">: https://doi.org/10.18773/austprescr.2019.042. </w:t>
      </w:r>
    </w:p>
    <w:p w14:paraId="17ED500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Archer BN, Chiu CK, Jayasinghe SH, Richmond PC, </w:t>
      </w:r>
      <w:proofErr w:type="spellStart"/>
      <w:r w:rsidRPr="00834CDC">
        <w:rPr>
          <w:rFonts w:eastAsia="Times New Roman"/>
        </w:rPr>
        <w:t>McVernon</w:t>
      </w:r>
      <w:proofErr w:type="spellEnd"/>
      <w:r w:rsidRPr="00834CDC">
        <w:rPr>
          <w:rFonts w:eastAsia="Times New Roman"/>
        </w:rPr>
        <w:t xml:space="preserve"> J, </w:t>
      </w:r>
      <w:proofErr w:type="spellStart"/>
      <w:r w:rsidRPr="00834CDC">
        <w:rPr>
          <w:rFonts w:eastAsia="Times New Roman"/>
        </w:rPr>
        <w:t>Lahra</w:t>
      </w:r>
      <w:proofErr w:type="spellEnd"/>
      <w:r w:rsidRPr="00834CDC">
        <w:rPr>
          <w:rFonts w:eastAsia="Times New Roman"/>
        </w:rPr>
        <w:t xml:space="preserve"> MM et al. Epidemiology of invasive meningococcal B disease in Australia, 1999-2015: priority populations for vaccination. </w:t>
      </w:r>
      <w:r w:rsidRPr="00834CDC">
        <w:rPr>
          <w:rStyle w:val="Emphasis"/>
          <w:rFonts w:eastAsia="Times New Roman"/>
          <w:b w:val="0"/>
          <w:bCs w:val="0"/>
        </w:rPr>
        <w:t>Med J Aust</w:t>
      </w:r>
      <w:r w:rsidRPr="00834CDC">
        <w:rPr>
          <w:rFonts w:eastAsia="Times New Roman"/>
        </w:rPr>
        <w:t xml:space="preserve">. 2017;207(9):382–7. </w:t>
      </w:r>
      <w:proofErr w:type="spellStart"/>
      <w:r w:rsidRPr="00834CDC">
        <w:rPr>
          <w:rFonts w:eastAsia="Times New Roman"/>
        </w:rPr>
        <w:t>doi</w:t>
      </w:r>
      <w:proofErr w:type="spellEnd"/>
      <w:r w:rsidRPr="00834CDC">
        <w:rPr>
          <w:rFonts w:eastAsia="Times New Roman"/>
        </w:rPr>
        <w:t xml:space="preserve">: https://doi.org/10.5694/mja16.01340. </w:t>
      </w:r>
    </w:p>
    <w:p w14:paraId="06247AB6"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Baker M, McNicholas A, Garrett N, Jones N, Stewart J, </w:t>
      </w:r>
      <w:proofErr w:type="spellStart"/>
      <w:r w:rsidRPr="00834CDC">
        <w:rPr>
          <w:rFonts w:eastAsia="Times New Roman"/>
        </w:rPr>
        <w:t>Koberstein</w:t>
      </w:r>
      <w:proofErr w:type="spellEnd"/>
      <w:r w:rsidRPr="00834CDC">
        <w:rPr>
          <w:rFonts w:eastAsia="Times New Roman"/>
        </w:rPr>
        <w:t xml:space="preserve"> V et al. Household crowding a major risk factor for epidemic meningococcal disease in Auckland children. </w:t>
      </w:r>
      <w:proofErr w:type="spellStart"/>
      <w:r w:rsidRPr="00834CDC">
        <w:rPr>
          <w:rStyle w:val="Emphasis"/>
          <w:rFonts w:eastAsia="Times New Roman"/>
          <w:b w:val="0"/>
          <w:bCs w:val="0"/>
        </w:rPr>
        <w:t>Pediatr</w:t>
      </w:r>
      <w:proofErr w:type="spellEnd"/>
      <w:r w:rsidRPr="00834CDC">
        <w:rPr>
          <w:rStyle w:val="Emphasis"/>
          <w:rFonts w:eastAsia="Times New Roman"/>
          <w:b w:val="0"/>
          <w:bCs w:val="0"/>
        </w:rPr>
        <w:t xml:space="preserve"> Infect Dis J</w:t>
      </w:r>
      <w:r w:rsidRPr="00834CDC">
        <w:rPr>
          <w:rFonts w:eastAsia="Times New Roman"/>
        </w:rPr>
        <w:t xml:space="preserve">. 2000;19(10):983–90. </w:t>
      </w:r>
      <w:proofErr w:type="spellStart"/>
      <w:r w:rsidRPr="00834CDC">
        <w:rPr>
          <w:rFonts w:eastAsia="Times New Roman"/>
        </w:rPr>
        <w:t>doi</w:t>
      </w:r>
      <w:proofErr w:type="spellEnd"/>
      <w:r w:rsidRPr="00834CDC">
        <w:rPr>
          <w:rFonts w:eastAsia="Times New Roman"/>
        </w:rPr>
        <w:t xml:space="preserve">: https://doi.org/10.1097/00006454-200010000-00009. </w:t>
      </w:r>
    </w:p>
    <w:p w14:paraId="40843AE2"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Murray RL, Britton J, Leonardi-Bee J. Second hand smoke exposure and the risk of invasive meningococcal disease in children: systematic review and meta-analysis. </w:t>
      </w:r>
      <w:r w:rsidRPr="00834CDC">
        <w:rPr>
          <w:rStyle w:val="Emphasis"/>
          <w:rFonts w:eastAsia="Times New Roman"/>
          <w:b w:val="0"/>
          <w:bCs w:val="0"/>
        </w:rPr>
        <w:t>BMC Public Health</w:t>
      </w:r>
      <w:r w:rsidRPr="00834CDC">
        <w:rPr>
          <w:rFonts w:eastAsia="Times New Roman"/>
        </w:rPr>
        <w:t xml:space="preserve">. </w:t>
      </w:r>
      <w:proofErr w:type="gramStart"/>
      <w:r w:rsidRPr="00834CDC">
        <w:rPr>
          <w:rFonts w:eastAsia="Times New Roman"/>
        </w:rPr>
        <w:t>2012;12:1062</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https://doi.org/10.1186/1471-2458-12-1062. </w:t>
      </w:r>
    </w:p>
    <w:p w14:paraId="2BD3D4B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Pharmaceutical Benefits Advisory Committee (PBAC). </w:t>
      </w:r>
      <w:r w:rsidRPr="00834CDC">
        <w:rPr>
          <w:rStyle w:val="Emphasis"/>
          <w:rFonts w:eastAsia="Times New Roman"/>
          <w:b w:val="0"/>
          <w:bCs w:val="0"/>
        </w:rPr>
        <w:t>Public Summary Document – November 2019 PBAC Meeting. 7.05 Multicomponent meningococcal group B vaccine</w:t>
      </w:r>
      <w:r w:rsidRPr="00834CDC">
        <w:rPr>
          <w:rFonts w:eastAsia="Times New Roman"/>
        </w:rPr>
        <w:t xml:space="preserve">. Canberra: Australian Government Department of Health and Aged Care; 2020. [Accessed on 19 May 2022.] Available from: https://www.pbs.gov.au/industry/listing/elements/pbac-meetings/psd/2019-11/files/multicomponent-meningococcal-b-vaccine-psd-november-2019.pdf. </w:t>
      </w:r>
    </w:p>
    <w:p w14:paraId="7894E19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Marshall HS, Lally N, Flood L, Phillips P. First </w:t>
      </w:r>
      <w:proofErr w:type="spellStart"/>
      <w:r w:rsidRPr="00834CDC">
        <w:rPr>
          <w:rFonts w:eastAsia="Times New Roman"/>
        </w:rPr>
        <w:t>statewide</w:t>
      </w:r>
      <w:proofErr w:type="spellEnd"/>
      <w:r w:rsidRPr="00834CDC">
        <w:rPr>
          <w:rFonts w:eastAsia="Times New Roman"/>
        </w:rPr>
        <w:t xml:space="preserve"> meningococcal B vaccine program in infants, </w:t>
      </w:r>
      <w:proofErr w:type="gramStart"/>
      <w:r w:rsidRPr="00834CDC">
        <w:rPr>
          <w:rFonts w:eastAsia="Times New Roman"/>
        </w:rPr>
        <w:t>children</w:t>
      </w:r>
      <w:proofErr w:type="gramEnd"/>
      <w:r w:rsidRPr="00834CDC">
        <w:rPr>
          <w:rFonts w:eastAsia="Times New Roman"/>
        </w:rPr>
        <w:t xml:space="preserve"> and adolescents: evidence for implementation in South Australia. </w:t>
      </w:r>
      <w:r w:rsidRPr="00834CDC">
        <w:rPr>
          <w:rStyle w:val="Emphasis"/>
          <w:rFonts w:eastAsia="Times New Roman"/>
          <w:b w:val="0"/>
          <w:bCs w:val="0"/>
        </w:rPr>
        <w:t>Med J Aust</w:t>
      </w:r>
      <w:r w:rsidRPr="00834CDC">
        <w:rPr>
          <w:rFonts w:eastAsia="Times New Roman"/>
        </w:rPr>
        <w:t xml:space="preserve">. 2020;212(2):89–93. </w:t>
      </w:r>
      <w:proofErr w:type="spellStart"/>
      <w:r w:rsidRPr="00834CDC">
        <w:rPr>
          <w:rFonts w:eastAsia="Times New Roman"/>
        </w:rPr>
        <w:t>doi</w:t>
      </w:r>
      <w:proofErr w:type="spellEnd"/>
      <w:r w:rsidRPr="00834CDC">
        <w:rPr>
          <w:rFonts w:eastAsia="Times New Roman"/>
        </w:rPr>
        <w:t xml:space="preserve">: https://doi.org/10.5694/mja2.50481. </w:t>
      </w:r>
    </w:p>
    <w:p w14:paraId="029F985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Marshall HS, McMillan M, Koehler AP, Lawrence A, Sullivan TR, MacLennan JM et al. Meningococcal B vaccine and meningococcal carriage in adolescents in Australia. </w:t>
      </w:r>
      <w:r w:rsidRPr="00834CDC">
        <w:rPr>
          <w:rStyle w:val="Emphasis"/>
          <w:rFonts w:eastAsia="Times New Roman"/>
          <w:b w:val="0"/>
          <w:bCs w:val="0"/>
        </w:rPr>
        <w:t xml:space="preserve">N </w:t>
      </w:r>
      <w:proofErr w:type="spellStart"/>
      <w:r w:rsidRPr="00834CDC">
        <w:rPr>
          <w:rStyle w:val="Emphasis"/>
          <w:rFonts w:eastAsia="Times New Roman"/>
          <w:b w:val="0"/>
          <w:bCs w:val="0"/>
        </w:rPr>
        <w:t>Engl</w:t>
      </w:r>
      <w:proofErr w:type="spellEnd"/>
      <w:r w:rsidRPr="00834CDC">
        <w:rPr>
          <w:rStyle w:val="Emphasis"/>
          <w:rFonts w:eastAsia="Times New Roman"/>
          <w:b w:val="0"/>
          <w:bCs w:val="0"/>
        </w:rPr>
        <w:t xml:space="preserve"> J Med</w:t>
      </w:r>
      <w:r w:rsidRPr="00834CDC">
        <w:rPr>
          <w:rFonts w:eastAsia="Times New Roman"/>
        </w:rPr>
        <w:t xml:space="preserve">. 2020;382(4):318–27. </w:t>
      </w:r>
      <w:proofErr w:type="spellStart"/>
      <w:r w:rsidRPr="00834CDC">
        <w:rPr>
          <w:rFonts w:eastAsia="Times New Roman"/>
        </w:rPr>
        <w:t>doi</w:t>
      </w:r>
      <w:proofErr w:type="spellEnd"/>
      <w:r w:rsidRPr="00834CDC">
        <w:rPr>
          <w:rFonts w:eastAsia="Times New Roman"/>
        </w:rPr>
        <w:t xml:space="preserve">: https://doi.org/10.1056/NEJMoa1900236. </w:t>
      </w:r>
    </w:p>
    <w:p w14:paraId="3FA4929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Patel C, Chiu CK, Beard FH, Crawford NW, Macartney K. One disease, two vaccines: challenges in prevention of meningococcal disease. </w:t>
      </w:r>
      <w:r w:rsidRPr="00834CDC">
        <w:rPr>
          <w:rStyle w:val="Emphasis"/>
          <w:rFonts w:eastAsia="Times New Roman"/>
          <w:b w:val="0"/>
          <w:bCs w:val="0"/>
        </w:rPr>
        <w:t>Med J Aust</w:t>
      </w:r>
      <w:r w:rsidRPr="00834CDC">
        <w:rPr>
          <w:rFonts w:eastAsia="Times New Roman"/>
        </w:rPr>
        <w:t>. 2020;212(10):453–</w:t>
      </w:r>
      <w:proofErr w:type="gramStart"/>
      <w:r w:rsidRPr="00834CDC">
        <w:rPr>
          <w:rFonts w:eastAsia="Times New Roman"/>
        </w:rPr>
        <w:t>6.e</w:t>
      </w:r>
      <w:proofErr w:type="gramEnd"/>
      <w:r w:rsidRPr="00834CDC">
        <w:rPr>
          <w:rFonts w:eastAsia="Times New Roman"/>
        </w:rPr>
        <w:t xml:space="preserve">1. </w:t>
      </w:r>
      <w:proofErr w:type="spellStart"/>
      <w:r w:rsidRPr="00834CDC">
        <w:rPr>
          <w:rFonts w:eastAsia="Times New Roman"/>
        </w:rPr>
        <w:t>doi</w:t>
      </w:r>
      <w:proofErr w:type="spellEnd"/>
      <w:r w:rsidRPr="00834CDC">
        <w:rPr>
          <w:rFonts w:eastAsia="Times New Roman"/>
        </w:rPr>
        <w:t xml:space="preserve">: https://doi.org/10.5694/mja2.50567. </w:t>
      </w:r>
    </w:p>
    <w:p w14:paraId="27982876"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lastRenderedPageBreak/>
        <w:t>Hviid</w:t>
      </w:r>
      <w:proofErr w:type="spellEnd"/>
      <w:r w:rsidRPr="00834CDC">
        <w:rPr>
          <w:rFonts w:eastAsia="Times New Roman"/>
        </w:rPr>
        <w:t xml:space="preserve"> A, Rubin S, </w:t>
      </w:r>
      <w:proofErr w:type="spellStart"/>
      <w:r w:rsidRPr="00834CDC">
        <w:rPr>
          <w:rFonts w:eastAsia="Times New Roman"/>
        </w:rPr>
        <w:t>Mühlemann</w:t>
      </w:r>
      <w:proofErr w:type="spellEnd"/>
      <w:r w:rsidRPr="00834CDC">
        <w:rPr>
          <w:rFonts w:eastAsia="Times New Roman"/>
        </w:rPr>
        <w:t xml:space="preserve"> K. Mumps. </w:t>
      </w:r>
      <w:r w:rsidRPr="00834CDC">
        <w:rPr>
          <w:rStyle w:val="Emphasis"/>
          <w:rFonts w:eastAsia="Times New Roman"/>
          <w:b w:val="0"/>
          <w:bCs w:val="0"/>
        </w:rPr>
        <w:t>Lancet</w:t>
      </w:r>
      <w:r w:rsidRPr="00834CDC">
        <w:rPr>
          <w:rFonts w:eastAsia="Times New Roman"/>
        </w:rPr>
        <w:t xml:space="preserve">. 2008;371(9616):932–44. </w:t>
      </w:r>
      <w:proofErr w:type="spellStart"/>
      <w:r w:rsidRPr="00834CDC">
        <w:rPr>
          <w:rFonts w:eastAsia="Times New Roman"/>
        </w:rPr>
        <w:t>doi</w:t>
      </w:r>
      <w:proofErr w:type="spellEnd"/>
      <w:r w:rsidRPr="00834CDC">
        <w:rPr>
          <w:rFonts w:eastAsia="Times New Roman"/>
        </w:rPr>
        <w:t xml:space="preserve">: https://doi.org/10.1016/S0140-6736(08)60419-5. </w:t>
      </w:r>
    </w:p>
    <w:p w14:paraId="1355088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Rubin SA. 40 – Mumps vaccines. In Plotkin SA, Orenstein WA, Offit PA, Edwards KM, eds. Plotkin’s Vaccines (</w:t>
      </w:r>
      <w:proofErr w:type="gramStart"/>
      <w:r w:rsidRPr="00834CDC">
        <w:rPr>
          <w:rFonts w:eastAsia="Times New Roman"/>
        </w:rPr>
        <w:t>7th</w:t>
      </w:r>
      <w:proofErr w:type="gramEnd"/>
      <w:r w:rsidRPr="00834CDC">
        <w:rPr>
          <w:rFonts w:eastAsia="Times New Roman"/>
        </w:rPr>
        <w:t xml:space="preserve"> edition). Amsterdam: Elsevier, 2018;663–</w:t>
      </w:r>
      <w:proofErr w:type="gramStart"/>
      <w:r w:rsidRPr="00834CDC">
        <w:rPr>
          <w:rFonts w:eastAsia="Times New Roman"/>
        </w:rPr>
        <w:t>88.e</w:t>
      </w:r>
      <w:proofErr w:type="gramEnd"/>
      <w:r w:rsidRPr="00834CDC">
        <w:rPr>
          <w:rFonts w:eastAsia="Times New Roman"/>
        </w:rPr>
        <w:t xml:space="preserve">11. </w:t>
      </w:r>
      <w:proofErr w:type="spellStart"/>
      <w:r w:rsidRPr="00834CDC">
        <w:rPr>
          <w:rFonts w:eastAsia="Times New Roman"/>
        </w:rPr>
        <w:t>doi</w:t>
      </w:r>
      <w:proofErr w:type="spellEnd"/>
      <w:r w:rsidRPr="00834CDC">
        <w:rPr>
          <w:rFonts w:eastAsia="Times New Roman"/>
        </w:rPr>
        <w:t xml:space="preserve">: https//doi.org/10.1016/B978-0-323-35761-6.00039-0. </w:t>
      </w:r>
    </w:p>
    <w:p w14:paraId="40356F86"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Westphal D. Vaccine effectiveness during a large mumps outbreak in Western Australia. [Conference presentation.] Public Health Association of Australia (PHAA), </w:t>
      </w:r>
      <w:r w:rsidRPr="00834CDC">
        <w:rPr>
          <w:rStyle w:val="Emphasis"/>
          <w:rFonts w:eastAsia="Times New Roman"/>
          <w:b w:val="0"/>
          <w:bCs w:val="0"/>
        </w:rPr>
        <w:t>15th National Immunisation Conference: ‘Immunisation: the jigsaw - fitting the pieces two decades on’</w:t>
      </w:r>
      <w:r w:rsidRPr="00834CDC">
        <w:rPr>
          <w:rFonts w:eastAsia="Times New Roman"/>
        </w:rPr>
        <w:t xml:space="preserve">. Brisbane: Brisbane Convention and Exhibition Centre; 8 June 2016. </w:t>
      </w:r>
    </w:p>
    <w:p w14:paraId="5D0435E7"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Bag SK, Dey A, Wang H, Beard FH. Australian vaccine preventable disease epidemiological review series: mumps 2008–2012.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Q Rep</w:t>
      </w:r>
      <w:r w:rsidRPr="00834CDC">
        <w:rPr>
          <w:rFonts w:eastAsia="Times New Roman"/>
        </w:rPr>
        <w:t>. 2015;39(1</w:t>
      </w:r>
      <w:proofErr w:type="gramStart"/>
      <w:r w:rsidRPr="00834CDC">
        <w:rPr>
          <w:rFonts w:eastAsia="Times New Roman"/>
        </w:rPr>
        <w:t>):E</w:t>
      </w:r>
      <w:proofErr w:type="gramEnd"/>
      <w:r w:rsidRPr="00834CDC">
        <w:rPr>
          <w:rFonts w:eastAsia="Times New Roman"/>
        </w:rPr>
        <w:t xml:space="preserve">10–8. </w:t>
      </w:r>
    </w:p>
    <w:p w14:paraId="0594D10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Bangor-Jones RD, Dowse GK, </w:t>
      </w:r>
      <w:proofErr w:type="spellStart"/>
      <w:r w:rsidRPr="00834CDC">
        <w:rPr>
          <w:rFonts w:eastAsia="Times New Roman"/>
        </w:rPr>
        <w:t>Giele</w:t>
      </w:r>
      <w:proofErr w:type="spellEnd"/>
      <w:r w:rsidRPr="00834CDC">
        <w:rPr>
          <w:rFonts w:eastAsia="Times New Roman"/>
        </w:rPr>
        <w:t xml:space="preserve"> CM, Van </w:t>
      </w:r>
      <w:proofErr w:type="spellStart"/>
      <w:r w:rsidRPr="00834CDC">
        <w:rPr>
          <w:rFonts w:eastAsia="Times New Roman"/>
        </w:rPr>
        <w:t>Buynder</w:t>
      </w:r>
      <w:proofErr w:type="spellEnd"/>
      <w:r w:rsidRPr="00834CDC">
        <w:rPr>
          <w:rFonts w:eastAsia="Times New Roman"/>
        </w:rPr>
        <w:t xml:space="preserve"> PG, Hodge MM, Whitty MM. A prolonged mumps outbreak among highly vaccinated Aboriginal people in the Kimberley region of Western Australia. </w:t>
      </w:r>
      <w:r w:rsidRPr="00834CDC">
        <w:rPr>
          <w:rStyle w:val="Emphasis"/>
          <w:rFonts w:eastAsia="Times New Roman"/>
          <w:b w:val="0"/>
          <w:bCs w:val="0"/>
        </w:rPr>
        <w:t>Med J Aust</w:t>
      </w:r>
      <w:r w:rsidRPr="00834CDC">
        <w:rPr>
          <w:rFonts w:eastAsia="Times New Roman"/>
        </w:rPr>
        <w:t xml:space="preserve">. 2009;191(7):398–401. </w:t>
      </w:r>
      <w:proofErr w:type="spellStart"/>
      <w:r w:rsidRPr="00834CDC">
        <w:rPr>
          <w:rFonts w:eastAsia="Times New Roman"/>
        </w:rPr>
        <w:t>doi</w:t>
      </w:r>
      <w:proofErr w:type="spellEnd"/>
      <w:r w:rsidRPr="00834CDC">
        <w:rPr>
          <w:rFonts w:eastAsia="Times New Roman"/>
        </w:rPr>
        <w:t xml:space="preserve">: https://doi.org/10.5694/j.1326-5377.2009.tb02850.x. </w:t>
      </w:r>
    </w:p>
    <w:p w14:paraId="3924123F"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Centers</w:t>
      </w:r>
      <w:proofErr w:type="spellEnd"/>
      <w:r w:rsidRPr="00834CDC">
        <w:rPr>
          <w:rFonts w:eastAsia="Times New Roman"/>
        </w:rPr>
        <w:t xml:space="preserve"> for Disease Control and Prevention (CDC). Mumps cases and outbreaks. [Internet.] Atlanta: Federal Government of the United States of America, United States Department of Health and Human Services, CDC. [Accessed on 30 June 2020.] Available from: https://www.cdc.gov/mumps/outbreaks.html. </w:t>
      </w:r>
    </w:p>
    <w:p w14:paraId="37DCDBC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Fields VS, Safi H, Waters C, </w:t>
      </w:r>
      <w:proofErr w:type="spellStart"/>
      <w:r w:rsidRPr="00834CDC">
        <w:rPr>
          <w:rFonts w:eastAsia="Times New Roman"/>
        </w:rPr>
        <w:t>Dillaha</w:t>
      </w:r>
      <w:proofErr w:type="spellEnd"/>
      <w:r w:rsidRPr="00834CDC">
        <w:rPr>
          <w:rFonts w:eastAsia="Times New Roman"/>
        </w:rPr>
        <w:t xml:space="preserve"> J, Capelle L, </w:t>
      </w:r>
      <w:proofErr w:type="spellStart"/>
      <w:r w:rsidRPr="00834CDC">
        <w:rPr>
          <w:rFonts w:eastAsia="Times New Roman"/>
        </w:rPr>
        <w:t>Riklon</w:t>
      </w:r>
      <w:proofErr w:type="spellEnd"/>
      <w:r w:rsidRPr="00834CDC">
        <w:rPr>
          <w:rFonts w:eastAsia="Times New Roman"/>
        </w:rPr>
        <w:t xml:space="preserve"> S et al. Mumps in a highly vaccinated Marshallese community in Arkansas, USA: an outbreak report. </w:t>
      </w:r>
      <w:r w:rsidRPr="00834CDC">
        <w:rPr>
          <w:rStyle w:val="Emphasis"/>
          <w:rFonts w:eastAsia="Times New Roman"/>
          <w:b w:val="0"/>
          <w:bCs w:val="0"/>
        </w:rPr>
        <w:t>Lancet Infect Dis</w:t>
      </w:r>
      <w:r w:rsidRPr="00834CDC">
        <w:rPr>
          <w:rFonts w:eastAsia="Times New Roman"/>
        </w:rPr>
        <w:t xml:space="preserve">. 2019;19(2):185-92. </w:t>
      </w:r>
      <w:proofErr w:type="spellStart"/>
      <w:r w:rsidRPr="00834CDC">
        <w:rPr>
          <w:rFonts w:eastAsia="Times New Roman"/>
        </w:rPr>
        <w:t>doi</w:t>
      </w:r>
      <w:proofErr w:type="spellEnd"/>
      <w:r w:rsidRPr="00834CDC">
        <w:rPr>
          <w:rFonts w:eastAsia="Times New Roman"/>
        </w:rPr>
        <w:t xml:space="preserve">: https://doi.org/10.1016/S1473-3099(18)30607-8. </w:t>
      </w:r>
    </w:p>
    <w:p w14:paraId="2EE7E916"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Shah M, </w:t>
      </w:r>
      <w:proofErr w:type="spellStart"/>
      <w:r w:rsidRPr="00834CDC">
        <w:rPr>
          <w:rFonts w:eastAsia="Times New Roman"/>
        </w:rPr>
        <w:t>Quinlisk</w:t>
      </w:r>
      <w:proofErr w:type="spellEnd"/>
      <w:r w:rsidRPr="00834CDC">
        <w:rPr>
          <w:rFonts w:eastAsia="Times New Roman"/>
        </w:rPr>
        <w:t xml:space="preserve"> P, Weigel A, Riley J, James L, Patterson J et al. Mumps outbreak in a highly vaccinated university-affiliated setting before and after a measles-mumps-rubella vaccination campaign—Iowa, July 2015 – May 2016. </w:t>
      </w:r>
      <w:r w:rsidRPr="00834CDC">
        <w:rPr>
          <w:rStyle w:val="Emphasis"/>
          <w:rFonts w:eastAsia="Times New Roman"/>
          <w:b w:val="0"/>
          <w:bCs w:val="0"/>
        </w:rPr>
        <w:t>Clin Infect Dis</w:t>
      </w:r>
      <w:r w:rsidRPr="00834CDC">
        <w:rPr>
          <w:rFonts w:eastAsia="Times New Roman"/>
        </w:rPr>
        <w:t xml:space="preserve">. 2018;66(1):81–8. </w:t>
      </w:r>
      <w:proofErr w:type="spellStart"/>
      <w:r w:rsidRPr="00834CDC">
        <w:rPr>
          <w:rFonts w:eastAsia="Times New Roman"/>
        </w:rPr>
        <w:t>doi</w:t>
      </w:r>
      <w:proofErr w:type="spellEnd"/>
      <w:r w:rsidRPr="00834CDC">
        <w:rPr>
          <w:rFonts w:eastAsia="Times New Roman"/>
        </w:rPr>
        <w:t xml:space="preserve">: https://doi.org/10.1093/cid/cix718. </w:t>
      </w:r>
    </w:p>
    <w:p w14:paraId="11E5C6A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Albertson JP, Clegg WJ, Reid HD, </w:t>
      </w:r>
      <w:proofErr w:type="spellStart"/>
      <w:r w:rsidRPr="00834CDC">
        <w:rPr>
          <w:rFonts w:eastAsia="Times New Roman"/>
        </w:rPr>
        <w:t>Arbise</w:t>
      </w:r>
      <w:proofErr w:type="spellEnd"/>
      <w:r w:rsidRPr="00834CDC">
        <w:rPr>
          <w:rFonts w:eastAsia="Times New Roman"/>
        </w:rPr>
        <w:t xml:space="preserve"> BS, </w:t>
      </w:r>
      <w:proofErr w:type="spellStart"/>
      <w:r w:rsidRPr="00834CDC">
        <w:rPr>
          <w:rFonts w:eastAsia="Times New Roman"/>
        </w:rPr>
        <w:t>Pryde</w:t>
      </w:r>
      <w:proofErr w:type="spellEnd"/>
      <w:r w:rsidRPr="00834CDC">
        <w:rPr>
          <w:rFonts w:eastAsia="Times New Roman"/>
        </w:rPr>
        <w:t xml:space="preserve"> J, </w:t>
      </w:r>
      <w:proofErr w:type="spellStart"/>
      <w:r w:rsidRPr="00834CDC">
        <w:rPr>
          <w:rFonts w:eastAsia="Times New Roman"/>
        </w:rPr>
        <w:t>Vaid</w:t>
      </w:r>
      <w:proofErr w:type="spellEnd"/>
      <w:r w:rsidRPr="00834CDC">
        <w:rPr>
          <w:rFonts w:eastAsia="Times New Roman"/>
        </w:rPr>
        <w:t xml:space="preserve"> A et al. Mumps outbreak at a university and recommendation for a third dose of measles-mumps-rubella vaccine – Illinois, 2015–2016. </w:t>
      </w:r>
      <w:r w:rsidRPr="00834CDC">
        <w:rPr>
          <w:rStyle w:val="Emphasis"/>
          <w:rFonts w:eastAsia="Times New Roman"/>
          <w:b w:val="0"/>
          <w:bCs w:val="0"/>
        </w:rPr>
        <w:t xml:space="preserve">MMWR </w:t>
      </w:r>
      <w:proofErr w:type="spellStart"/>
      <w:r w:rsidRPr="00834CDC">
        <w:rPr>
          <w:rStyle w:val="Emphasis"/>
          <w:rFonts w:eastAsia="Times New Roman"/>
          <w:b w:val="0"/>
          <w:bCs w:val="0"/>
        </w:rPr>
        <w:t>Morb</w:t>
      </w:r>
      <w:proofErr w:type="spellEnd"/>
      <w:r w:rsidRPr="00834CDC">
        <w:rPr>
          <w:rStyle w:val="Emphasis"/>
          <w:rFonts w:eastAsia="Times New Roman"/>
          <w:b w:val="0"/>
          <w:bCs w:val="0"/>
        </w:rPr>
        <w:t xml:space="preserve"> Mortal </w:t>
      </w:r>
      <w:proofErr w:type="spellStart"/>
      <w:r w:rsidRPr="00834CDC">
        <w:rPr>
          <w:rStyle w:val="Emphasis"/>
          <w:rFonts w:eastAsia="Times New Roman"/>
          <w:b w:val="0"/>
          <w:bCs w:val="0"/>
        </w:rPr>
        <w:t>Wkly</w:t>
      </w:r>
      <w:proofErr w:type="spellEnd"/>
      <w:r w:rsidRPr="00834CDC">
        <w:rPr>
          <w:rStyle w:val="Emphasis"/>
          <w:rFonts w:eastAsia="Times New Roman"/>
          <w:b w:val="0"/>
          <w:bCs w:val="0"/>
        </w:rPr>
        <w:t xml:space="preserve"> Rep</w:t>
      </w:r>
      <w:r w:rsidRPr="00834CDC">
        <w:rPr>
          <w:rFonts w:eastAsia="Times New Roman"/>
        </w:rPr>
        <w:t xml:space="preserve">. 2016;65(29):731–4. </w:t>
      </w:r>
      <w:proofErr w:type="spellStart"/>
      <w:r w:rsidRPr="00834CDC">
        <w:rPr>
          <w:rFonts w:eastAsia="Times New Roman"/>
        </w:rPr>
        <w:t>doi</w:t>
      </w:r>
      <w:proofErr w:type="spellEnd"/>
      <w:r w:rsidRPr="00834CDC">
        <w:rPr>
          <w:rFonts w:eastAsia="Times New Roman"/>
        </w:rPr>
        <w:t xml:space="preserve">: https://doi.org/10.15585/mmwr.mm6529a2. </w:t>
      </w:r>
    </w:p>
    <w:p w14:paraId="3702264B"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Deeks</w:t>
      </w:r>
      <w:proofErr w:type="spellEnd"/>
      <w:r w:rsidRPr="00834CDC">
        <w:rPr>
          <w:rFonts w:eastAsia="Times New Roman"/>
        </w:rPr>
        <w:t xml:space="preserve"> SL, Lim GH, Simpson MA, Gagne L, Gubbay J, </w:t>
      </w:r>
      <w:proofErr w:type="spellStart"/>
      <w:r w:rsidRPr="00834CDC">
        <w:rPr>
          <w:rFonts w:eastAsia="Times New Roman"/>
        </w:rPr>
        <w:t>Kristjanson</w:t>
      </w:r>
      <w:proofErr w:type="spellEnd"/>
      <w:r w:rsidRPr="00834CDC">
        <w:rPr>
          <w:rFonts w:eastAsia="Times New Roman"/>
        </w:rPr>
        <w:t xml:space="preserve"> E et al. An assessment of mumps vaccine effectiveness by dose during an outbreak in Canada. </w:t>
      </w:r>
      <w:r w:rsidRPr="00834CDC">
        <w:rPr>
          <w:rStyle w:val="Emphasis"/>
          <w:rFonts w:eastAsia="Times New Roman"/>
          <w:b w:val="0"/>
          <w:bCs w:val="0"/>
        </w:rPr>
        <w:t>CMAJ</w:t>
      </w:r>
      <w:r w:rsidRPr="00834CDC">
        <w:rPr>
          <w:rFonts w:eastAsia="Times New Roman"/>
        </w:rPr>
        <w:t xml:space="preserve">. 2011;183(9):1014–20. </w:t>
      </w:r>
      <w:proofErr w:type="spellStart"/>
      <w:r w:rsidRPr="00834CDC">
        <w:rPr>
          <w:rFonts w:eastAsia="Times New Roman"/>
        </w:rPr>
        <w:t>doi</w:t>
      </w:r>
      <w:proofErr w:type="spellEnd"/>
      <w:r w:rsidRPr="00834CDC">
        <w:rPr>
          <w:rFonts w:eastAsia="Times New Roman"/>
        </w:rPr>
        <w:t xml:space="preserve">: https://doi.org/10.1503/cmaj.101371. </w:t>
      </w:r>
    </w:p>
    <w:p w14:paraId="6883E53C"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Indenbaum</w:t>
      </w:r>
      <w:proofErr w:type="spellEnd"/>
      <w:r w:rsidRPr="00834CDC">
        <w:rPr>
          <w:rFonts w:eastAsia="Times New Roman"/>
        </w:rPr>
        <w:t xml:space="preserve"> V, </w:t>
      </w:r>
      <w:proofErr w:type="spellStart"/>
      <w:r w:rsidRPr="00834CDC">
        <w:rPr>
          <w:rFonts w:eastAsia="Times New Roman"/>
        </w:rPr>
        <w:t>Hübschen</w:t>
      </w:r>
      <w:proofErr w:type="spellEnd"/>
      <w:r w:rsidRPr="00834CDC">
        <w:rPr>
          <w:rFonts w:eastAsia="Times New Roman"/>
        </w:rPr>
        <w:t xml:space="preserve"> JM, Stein-Zamir C, Mendelson E, </w:t>
      </w:r>
      <w:proofErr w:type="spellStart"/>
      <w:r w:rsidRPr="00834CDC">
        <w:rPr>
          <w:rFonts w:eastAsia="Times New Roman"/>
        </w:rPr>
        <w:t>Sofer</w:t>
      </w:r>
      <w:proofErr w:type="spellEnd"/>
      <w:r w:rsidRPr="00834CDC">
        <w:rPr>
          <w:rFonts w:eastAsia="Times New Roman"/>
        </w:rPr>
        <w:t xml:space="preserve"> D, </w:t>
      </w:r>
      <w:proofErr w:type="spellStart"/>
      <w:r w:rsidRPr="00834CDC">
        <w:rPr>
          <w:rFonts w:eastAsia="Times New Roman"/>
        </w:rPr>
        <w:t>Hindiyeh</w:t>
      </w:r>
      <w:proofErr w:type="spellEnd"/>
      <w:r w:rsidRPr="00834CDC">
        <w:rPr>
          <w:rFonts w:eastAsia="Times New Roman"/>
        </w:rPr>
        <w:t xml:space="preserve"> M et al. Ongoing mumps outbreak in Israel, January to August 2017. </w:t>
      </w:r>
      <w:r w:rsidRPr="00834CDC">
        <w:rPr>
          <w:rStyle w:val="Emphasis"/>
          <w:rFonts w:eastAsia="Times New Roman"/>
          <w:b w:val="0"/>
          <w:bCs w:val="0"/>
        </w:rPr>
        <w:t xml:space="preserve">Euro </w:t>
      </w:r>
      <w:proofErr w:type="spellStart"/>
      <w:r w:rsidRPr="00834CDC">
        <w:rPr>
          <w:rStyle w:val="Emphasis"/>
          <w:rFonts w:eastAsia="Times New Roman"/>
          <w:b w:val="0"/>
          <w:bCs w:val="0"/>
        </w:rPr>
        <w:t>Surveill</w:t>
      </w:r>
      <w:proofErr w:type="spellEnd"/>
      <w:r w:rsidRPr="00834CDC">
        <w:rPr>
          <w:rFonts w:eastAsia="Times New Roman"/>
        </w:rPr>
        <w:t xml:space="preserve">. 2017;22(35):30605. </w:t>
      </w:r>
      <w:proofErr w:type="spellStart"/>
      <w:r w:rsidRPr="00834CDC">
        <w:rPr>
          <w:rFonts w:eastAsia="Times New Roman"/>
        </w:rPr>
        <w:t>doi</w:t>
      </w:r>
      <w:proofErr w:type="spellEnd"/>
      <w:r w:rsidRPr="00834CDC">
        <w:rPr>
          <w:rFonts w:eastAsia="Times New Roman"/>
        </w:rPr>
        <w:t xml:space="preserve">: https://doi.org/10.2807/1560-7917.ES.2017.22.35.30605. </w:t>
      </w:r>
    </w:p>
    <w:p w14:paraId="26FE0E68"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Willocks LJ, </w:t>
      </w:r>
      <w:proofErr w:type="spellStart"/>
      <w:r w:rsidRPr="00834CDC">
        <w:rPr>
          <w:rFonts w:eastAsia="Times New Roman"/>
        </w:rPr>
        <w:t>Guerendiain</w:t>
      </w:r>
      <w:proofErr w:type="spellEnd"/>
      <w:r w:rsidRPr="00834CDC">
        <w:rPr>
          <w:rFonts w:eastAsia="Times New Roman"/>
        </w:rPr>
        <w:t xml:space="preserve"> D, Austin HI, Morrison KE, Cameron RL, Templeton KE et al. An outbreak of mumps with genetic strain variation in a highly vaccinated student population in Scotland. </w:t>
      </w:r>
      <w:r w:rsidRPr="00834CDC">
        <w:rPr>
          <w:rStyle w:val="Emphasis"/>
          <w:rFonts w:eastAsia="Times New Roman"/>
          <w:b w:val="0"/>
          <w:bCs w:val="0"/>
        </w:rPr>
        <w:t>Epidemiol Infect</w:t>
      </w:r>
      <w:r w:rsidRPr="00834CDC">
        <w:rPr>
          <w:rFonts w:eastAsia="Times New Roman"/>
        </w:rPr>
        <w:t xml:space="preserve">. 2017;145(15):3219–25. </w:t>
      </w:r>
      <w:proofErr w:type="spellStart"/>
      <w:r w:rsidRPr="00834CDC">
        <w:rPr>
          <w:rFonts w:eastAsia="Times New Roman"/>
        </w:rPr>
        <w:t>doi</w:t>
      </w:r>
      <w:proofErr w:type="spellEnd"/>
      <w:r w:rsidRPr="00834CDC">
        <w:rPr>
          <w:rFonts w:eastAsia="Times New Roman"/>
        </w:rPr>
        <w:t xml:space="preserve">: https://doi.org/10.1017/S0950268817002102. </w:t>
      </w:r>
    </w:p>
    <w:p w14:paraId="7B7B7CED"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Di </w:t>
      </w:r>
      <w:proofErr w:type="spellStart"/>
      <w:r w:rsidRPr="00834CDC">
        <w:rPr>
          <w:rFonts w:eastAsia="Times New Roman"/>
        </w:rPr>
        <w:t>Pietrantonj</w:t>
      </w:r>
      <w:proofErr w:type="spellEnd"/>
      <w:r w:rsidRPr="00834CDC">
        <w:rPr>
          <w:rFonts w:eastAsia="Times New Roman"/>
        </w:rPr>
        <w:t xml:space="preserve"> C, </w:t>
      </w:r>
      <w:proofErr w:type="spellStart"/>
      <w:r w:rsidRPr="00834CDC">
        <w:rPr>
          <w:rFonts w:eastAsia="Times New Roman"/>
        </w:rPr>
        <w:t>Rivetti</w:t>
      </w:r>
      <w:proofErr w:type="spellEnd"/>
      <w:r w:rsidRPr="00834CDC">
        <w:rPr>
          <w:rFonts w:eastAsia="Times New Roman"/>
        </w:rPr>
        <w:t xml:space="preserve"> A, Marchione P, </w:t>
      </w:r>
      <w:proofErr w:type="spellStart"/>
      <w:r w:rsidRPr="00834CDC">
        <w:rPr>
          <w:rFonts w:eastAsia="Times New Roman"/>
        </w:rPr>
        <w:t>Debalini</w:t>
      </w:r>
      <w:proofErr w:type="spellEnd"/>
      <w:r w:rsidRPr="00834CDC">
        <w:rPr>
          <w:rFonts w:eastAsia="Times New Roman"/>
        </w:rPr>
        <w:t xml:space="preserve"> MG, </w:t>
      </w:r>
      <w:proofErr w:type="spellStart"/>
      <w:r w:rsidRPr="00834CDC">
        <w:rPr>
          <w:rFonts w:eastAsia="Times New Roman"/>
        </w:rPr>
        <w:t>Demicheli</w:t>
      </w:r>
      <w:proofErr w:type="spellEnd"/>
      <w:r w:rsidRPr="00834CDC">
        <w:rPr>
          <w:rFonts w:eastAsia="Times New Roman"/>
        </w:rPr>
        <w:t xml:space="preserve"> V. Vaccines for measles, mumps, rubella, and varicella in children. </w:t>
      </w:r>
      <w:r w:rsidRPr="00834CDC">
        <w:rPr>
          <w:rStyle w:val="Emphasis"/>
          <w:rFonts w:eastAsia="Times New Roman"/>
          <w:b w:val="0"/>
          <w:bCs w:val="0"/>
        </w:rPr>
        <w:t>Cochrane Database Syst Rev</w:t>
      </w:r>
      <w:r w:rsidRPr="00834CDC">
        <w:rPr>
          <w:rFonts w:eastAsia="Times New Roman"/>
        </w:rPr>
        <w:t xml:space="preserve">. 2020;4(4):CD004407. </w:t>
      </w:r>
      <w:proofErr w:type="spellStart"/>
      <w:r w:rsidRPr="00834CDC">
        <w:rPr>
          <w:rFonts w:eastAsia="Times New Roman"/>
        </w:rPr>
        <w:t>doi</w:t>
      </w:r>
      <w:proofErr w:type="spellEnd"/>
      <w:r w:rsidRPr="00834CDC">
        <w:rPr>
          <w:rFonts w:eastAsia="Times New Roman"/>
        </w:rPr>
        <w:t xml:space="preserve">: https://doi.org/10.1002/14651858.CD004407.pub4. </w:t>
      </w:r>
    </w:p>
    <w:p w14:paraId="4B74856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Eriksen J, </w:t>
      </w:r>
      <w:proofErr w:type="spellStart"/>
      <w:r w:rsidRPr="00834CDC">
        <w:rPr>
          <w:rFonts w:eastAsia="Times New Roman"/>
        </w:rPr>
        <w:t>Davidkin</w:t>
      </w:r>
      <w:proofErr w:type="spellEnd"/>
      <w:r w:rsidRPr="00834CDC">
        <w:rPr>
          <w:rFonts w:eastAsia="Times New Roman"/>
        </w:rPr>
        <w:t xml:space="preserve"> I, </w:t>
      </w:r>
      <w:proofErr w:type="spellStart"/>
      <w:r w:rsidRPr="00834CDC">
        <w:rPr>
          <w:rFonts w:eastAsia="Times New Roman"/>
        </w:rPr>
        <w:t>Kafatos</w:t>
      </w:r>
      <w:proofErr w:type="spellEnd"/>
      <w:r w:rsidRPr="00834CDC">
        <w:rPr>
          <w:rFonts w:eastAsia="Times New Roman"/>
        </w:rPr>
        <w:t xml:space="preserve"> G, Andrews N, Barbara C, Cohen D et al. </w:t>
      </w:r>
      <w:proofErr w:type="spellStart"/>
      <w:r w:rsidRPr="00834CDC">
        <w:rPr>
          <w:rFonts w:eastAsia="Times New Roman"/>
        </w:rPr>
        <w:t>Seroepidemiology</w:t>
      </w:r>
      <w:proofErr w:type="spellEnd"/>
      <w:r w:rsidRPr="00834CDC">
        <w:rPr>
          <w:rFonts w:eastAsia="Times New Roman"/>
        </w:rPr>
        <w:t xml:space="preserve"> of mumps in Europe (1996–2008): why do outbreaks occur in highly vaccinated populations? </w:t>
      </w:r>
      <w:r w:rsidRPr="00834CDC">
        <w:rPr>
          <w:rStyle w:val="Emphasis"/>
          <w:rFonts w:eastAsia="Times New Roman"/>
          <w:b w:val="0"/>
          <w:bCs w:val="0"/>
        </w:rPr>
        <w:t>Epidemiol Infect</w:t>
      </w:r>
      <w:r w:rsidRPr="00834CDC">
        <w:rPr>
          <w:rFonts w:eastAsia="Times New Roman"/>
        </w:rPr>
        <w:t xml:space="preserve">. 2013;141(3):651–66. </w:t>
      </w:r>
      <w:proofErr w:type="spellStart"/>
      <w:r w:rsidRPr="00834CDC">
        <w:rPr>
          <w:rFonts w:eastAsia="Times New Roman"/>
        </w:rPr>
        <w:t>doi</w:t>
      </w:r>
      <w:proofErr w:type="spellEnd"/>
      <w:r w:rsidRPr="00834CDC">
        <w:rPr>
          <w:rFonts w:eastAsia="Times New Roman"/>
        </w:rPr>
        <w:t xml:space="preserve">: https://doi.org/10.1017/S0950268812001136. </w:t>
      </w:r>
    </w:p>
    <w:p w14:paraId="502FDE8C"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Cardemil</w:t>
      </w:r>
      <w:proofErr w:type="spellEnd"/>
      <w:r w:rsidRPr="00834CDC">
        <w:rPr>
          <w:rFonts w:eastAsia="Times New Roman"/>
        </w:rPr>
        <w:t xml:space="preserve"> </w:t>
      </w:r>
      <w:proofErr w:type="gramStart"/>
      <w:r w:rsidRPr="00834CDC">
        <w:rPr>
          <w:rFonts w:eastAsia="Times New Roman"/>
        </w:rPr>
        <w:t>CV</w:t>
      </w:r>
      <w:proofErr w:type="gramEnd"/>
      <w:r w:rsidRPr="00834CDC">
        <w:rPr>
          <w:rFonts w:eastAsia="Times New Roman"/>
        </w:rPr>
        <w:t xml:space="preserve">, Dahl RM, James L, </w:t>
      </w:r>
      <w:proofErr w:type="spellStart"/>
      <w:r w:rsidRPr="00834CDC">
        <w:rPr>
          <w:rFonts w:eastAsia="Times New Roman"/>
        </w:rPr>
        <w:t>Wannemuehler</w:t>
      </w:r>
      <w:proofErr w:type="spellEnd"/>
      <w:r w:rsidRPr="00834CDC">
        <w:rPr>
          <w:rFonts w:eastAsia="Times New Roman"/>
        </w:rPr>
        <w:t xml:space="preserve"> K, Gary HE, Shah M et al. Effectiveness of a third dose of MMR vaccine for mumps outbreak control. </w:t>
      </w:r>
      <w:r w:rsidRPr="00834CDC">
        <w:rPr>
          <w:rStyle w:val="Emphasis"/>
          <w:rFonts w:eastAsia="Times New Roman"/>
          <w:b w:val="0"/>
          <w:bCs w:val="0"/>
        </w:rPr>
        <w:t xml:space="preserve">N </w:t>
      </w:r>
      <w:proofErr w:type="spellStart"/>
      <w:r w:rsidRPr="00834CDC">
        <w:rPr>
          <w:rStyle w:val="Emphasis"/>
          <w:rFonts w:eastAsia="Times New Roman"/>
          <w:b w:val="0"/>
          <w:bCs w:val="0"/>
        </w:rPr>
        <w:t>Engl</w:t>
      </w:r>
      <w:proofErr w:type="spellEnd"/>
      <w:r w:rsidRPr="00834CDC">
        <w:rPr>
          <w:rStyle w:val="Emphasis"/>
          <w:rFonts w:eastAsia="Times New Roman"/>
          <w:b w:val="0"/>
          <w:bCs w:val="0"/>
        </w:rPr>
        <w:t xml:space="preserve"> J Med</w:t>
      </w:r>
      <w:r w:rsidRPr="00834CDC">
        <w:rPr>
          <w:rFonts w:eastAsia="Times New Roman"/>
        </w:rPr>
        <w:t xml:space="preserve">. 2017;377(10):947–56. </w:t>
      </w:r>
      <w:proofErr w:type="spellStart"/>
      <w:r w:rsidRPr="00834CDC">
        <w:rPr>
          <w:rFonts w:eastAsia="Times New Roman"/>
        </w:rPr>
        <w:t>doi</w:t>
      </w:r>
      <w:proofErr w:type="spellEnd"/>
      <w:r w:rsidRPr="00834CDC">
        <w:rPr>
          <w:rFonts w:eastAsia="Times New Roman"/>
        </w:rPr>
        <w:t xml:space="preserve">: https://doi.org/10.1056/NEJMoa1703309. </w:t>
      </w:r>
    </w:p>
    <w:p w14:paraId="577977ED"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Marin M, Marlow M, Moore KL, Patel M. Recommendation of the Advisory Committee on Immunization Practices for use of a third dose of mumps virus-containing vaccine in persons at increased risk for mumps </w:t>
      </w:r>
      <w:r w:rsidRPr="00834CDC">
        <w:rPr>
          <w:rFonts w:eastAsia="Times New Roman"/>
        </w:rPr>
        <w:lastRenderedPageBreak/>
        <w:t xml:space="preserve">during an outbreak. </w:t>
      </w:r>
      <w:r w:rsidRPr="00834CDC">
        <w:rPr>
          <w:rStyle w:val="Emphasis"/>
          <w:rFonts w:eastAsia="Times New Roman"/>
          <w:b w:val="0"/>
          <w:bCs w:val="0"/>
        </w:rPr>
        <w:t xml:space="preserve">MMWR </w:t>
      </w:r>
      <w:proofErr w:type="spellStart"/>
      <w:r w:rsidRPr="00834CDC">
        <w:rPr>
          <w:rStyle w:val="Emphasis"/>
          <w:rFonts w:eastAsia="Times New Roman"/>
          <w:b w:val="0"/>
          <w:bCs w:val="0"/>
        </w:rPr>
        <w:t>Morb</w:t>
      </w:r>
      <w:proofErr w:type="spellEnd"/>
      <w:r w:rsidRPr="00834CDC">
        <w:rPr>
          <w:rStyle w:val="Emphasis"/>
          <w:rFonts w:eastAsia="Times New Roman"/>
          <w:b w:val="0"/>
          <w:bCs w:val="0"/>
        </w:rPr>
        <w:t xml:space="preserve"> Mortal </w:t>
      </w:r>
      <w:proofErr w:type="spellStart"/>
      <w:r w:rsidRPr="00834CDC">
        <w:rPr>
          <w:rStyle w:val="Emphasis"/>
          <w:rFonts w:eastAsia="Times New Roman"/>
          <w:b w:val="0"/>
          <w:bCs w:val="0"/>
        </w:rPr>
        <w:t>Wkly</w:t>
      </w:r>
      <w:proofErr w:type="spellEnd"/>
      <w:r w:rsidRPr="00834CDC">
        <w:rPr>
          <w:rStyle w:val="Emphasis"/>
          <w:rFonts w:eastAsia="Times New Roman"/>
          <w:b w:val="0"/>
          <w:bCs w:val="0"/>
        </w:rPr>
        <w:t xml:space="preserve"> Rep</w:t>
      </w:r>
      <w:r w:rsidRPr="00834CDC">
        <w:rPr>
          <w:rFonts w:eastAsia="Times New Roman"/>
        </w:rPr>
        <w:t xml:space="preserve">. 2018;67(1):33–8. </w:t>
      </w:r>
      <w:proofErr w:type="spellStart"/>
      <w:r w:rsidRPr="00834CDC">
        <w:rPr>
          <w:rFonts w:eastAsia="Times New Roman"/>
        </w:rPr>
        <w:t>doi</w:t>
      </w:r>
      <w:proofErr w:type="spellEnd"/>
      <w:r w:rsidRPr="00834CDC">
        <w:rPr>
          <w:rFonts w:eastAsia="Times New Roman"/>
        </w:rPr>
        <w:t xml:space="preserve">: https://doi.org/10.15585/mmwr.mm6701a7. </w:t>
      </w:r>
    </w:p>
    <w:p w14:paraId="69FA9B7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Patel C, Beard F, Hendry A, Quinn H, Dey A, Macartney K et al. Australian mumps serosurvey 2012–2013: any cause for concern?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2020;</w:t>
      </w:r>
      <w:proofErr w:type="gramStart"/>
      <w:r w:rsidRPr="00834CDC">
        <w:rPr>
          <w:rFonts w:eastAsia="Times New Roman"/>
        </w:rPr>
        <w:t>44</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https://doi.org/10.33321/cdi.2020.44.67. </w:t>
      </w:r>
    </w:p>
    <w:p w14:paraId="4E2BBC76"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Gidding HF, Quinn HE, </w:t>
      </w:r>
      <w:proofErr w:type="spellStart"/>
      <w:r w:rsidRPr="00834CDC">
        <w:rPr>
          <w:rFonts w:eastAsia="Times New Roman"/>
        </w:rPr>
        <w:t>Hueston</w:t>
      </w:r>
      <w:proofErr w:type="spellEnd"/>
      <w:r w:rsidRPr="00834CDC">
        <w:rPr>
          <w:rFonts w:eastAsia="Times New Roman"/>
        </w:rPr>
        <w:t xml:space="preserve"> L, Dwyer DE, McIntyre PB. Declining measles antibodies in the era of elimination: Australia’s experience. </w:t>
      </w:r>
      <w:r w:rsidRPr="00834CDC">
        <w:rPr>
          <w:rStyle w:val="Emphasis"/>
          <w:rFonts w:eastAsia="Times New Roman"/>
          <w:b w:val="0"/>
          <w:bCs w:val="0"/>
        </w:rPr>
        <w:t>Vaccine</w:t>
      </w:r>
      <w:r w:rsidRPr="00834CDC">
        <w:rPr>
          <w:rFonts w:eastAsia="Times New Roman"/>
        </w:rPr>
        <w:t xml:space="preserve">. 2018;36(4):507–13. </w:t>
      </w:r>
      <w:proofErr w:type="spellStart"/>
      <w:r w:rsidRPr="00834CDC">
        <w:rPr>
          <w:rFonts w:eastAsia="Times New Roman"/>
        </w:rPr>
        <w:t>doi</w:t>
      </w:r>
      <w:proofErr w:type="spellEnd"/>
      <w:r w:rsidRPr="00834CDC">
        <w:rPr>
          <w:rFonts w:eastAsia="Times New Roman"/>
        </w:rPr>
        <w:t xml:space="preserve">: https://doi.org/10.1016/j.vaccine.2017.12.002. </w:t>
      </w:r>
    </w:p>
    <w:p w14:paraId="7EE9E197"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Edirisuriya</w:t>
      </w:r>
      <w:proofErr w:type="spellEnd"/>
      <w:r w:rsidRPr="00834CDC">
        <w:rPr>
          <w:rFonts w:eastAsia="Times New Roman"/>
        </w:rPr>
        <w:t xml:space="preserve"> C, Beard FH, Hendry AJ, Dey A, Gidding HF, </w:t>
      </w:r>
      <w:proofErr w:type="spellStart"/>
      <w:r w:rsidRPr="00834CDC">
        <w:rPr>
          <w:rFonts w:eastAsia="Times New Roman"/>
        </w:rPr>
        <w:t>Hueston</w:t>
      </w:r>
      <w:proofErr w:type="spellEnd"/>
      <w:r w:rsidRPr="00834CDC">
        <w:rPr>
          <w:rFonts w:eastAsia="Times New Roman"/>
        </w:rPr>
        <w:t xml:space="preserve"> L et al. Australian rubella serosurvey 2012–2013: on track for elimination? </w:t>
      </w:r>
      <w:r w:rsidRPr="00834CDC">
        <w:rPr>
          <w:rStyle w:val="Emphasis"/>
          <w:rFonts w:eastAsia="Times New Roman"/>
          <w:b w:val="0"/>
          <w:bCs w:val="0"/>
        </w:rPr>
        <w:t>Vaccine</w:t>
      </w:r>
      <w:r w:rsidRPr="00834CDC">
        <w:rPr>
          <w:rFonts w:eastAsia="Times New Roman"/>
        </w:rPr>
        <w:t xml:space="preserve">. 2018;36(20):2794–8. </w:t>
      </w:r>
      <w:proofErr w:type="spellStart"/>
      <w:r w:rsidRPr="00834CDC">
        <w:rPr>
          <w:rFonts w:eastAsia="Times New Roman"/>
        </w:rPr>
        <w:t>doi</w:t>
      </w:r>
      <w:proofErr w:type="spellEnd"/>
      <w:r w:rsidRPr="00834CDC">
        <w:rPr>
          <w:rFonts w:eastAsia="Times New Roman"/>
        </w:rPr>
        <w:t xml:space="preserve">: https://doi.org/10.1016/j.vaccine.2018.03.086. </w:t>
      </w:r>
    </w:p>
    <w:p w14:paraId="6D805F2E"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Anderson RM. The concept of herd immunity and the design of community-based immunization programmes. </w:t>
      </w:r>
      <w:r w:rsidRPr="00834CDC">
        <w:rPr>
          <w:rStyle w:val="Emphasis"/>
          <w:rFonts w:eastAsia="Times New Roman"/>
          <w:b w:val="0"/>
          <w:bCs w:val="0"/>
        </w:rPr>
        <w:t>Vaccine</w:t>
      </w:r>
      <w:r w:rsidRPr="00834CDC">
        <w:rPr>
          <w:rFonts w:eastAsia="Times New Roman"/>
        </w:rPr>
        <w:t xml:space="preserve">. 1992;10(13):928–35. </w:t>
      </w:r>
      <w:proofErr w:type="spellStart"/>
      <w:r w:rsidRPr="00834CDC">
        <w:rPr>
          <w:rFonts w:eastAsia="Times New Roman"/>
        </w:rPr>
        <w:t>doi</w:t>
      </w:r>
      <w:proofErr w:type="spellEnd"/>
      <w:r w:rsidRPr="00834CDC">
        <w:rPr>
          <w:rFonts w:eastAsia="Times New Roman"/>
        </w:rPr>
        <w:t xml:space="preserve">: https://doi.org/10.1016/0264-410x(92)90327-g. </w:t>
      </w:r>
    </w:p>
    <w:p w14:paraId="70D05554"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Edwards KM, Decker MD. 44 – Pertussis vaccines. In Plotkin SA, Orenstein WA, Offit PA, Edwards KM, eds. Plotkin’s Vaccines (</w:t>
      </w:r>
      <w:proofErr w:type="gramStart"/>
      <w:r w:rsidRPr="00834CDC">
        <w:rPr>
          <w:rFonts w:eastAsia="Times New Roman"/>
        </w:rPr>
        <w:t>7th</w:t>
      </w:r>
      <w:proofErr w:type="gramEnd"/>
      <w:r w:rsidRPr="00834CDC">
        <w:rPr>
          <w:rFonts w:eastAsia="Times New Roman"/>
        </w:rPr>
        <w:t xml:space="preserve"> edition). Amsterdam: Elsevier, 2018;711–</w:t>
      </w:r>
      <w:proofErr w:type="gramStart"/>
      <w:r w:rsidRPr="00834CDC">
        <w:rPr>
          <w:rFonts w:eastAsia="Times New Roman"/>
        </w:rPr>
        <w:t>61.e</w:t>
      </w:r>
      <w:proofErr w:type="gramEnd"/>
      <w:r w:rsidRPr="00834CDC">
        <w:rPr>
          <w:rFonts w:eastAsia="Times New Roman"/>
        </w:rPr>
        <w:t xml:space="preserve">16. </w:t>
      </w:r>
      <w:proofErr w:type="spellStart"/>
      <w:r w:rsidRPr="00834CDC">
        <w:rPr>
          <w:rFonts w:eastAsia="Times New Roman"/>
        </w:rPr>
        <w:t>doi</w:t>
      </w:r>
      <w:proofErr w:type="spellEnd"/>
      <w:r w:rsidRPr="00834CDC">
        <w:rPr>
          <w:rFonts w:eastAsia="Times New Roman"/>
        </w:rPr>
        <w:t xml:space="preserve">: https//doi.org/10.1016/B978-0-323-35761-6.00043-2. </w:t>
      </w:r>
    </w:p>
    <w:p w14:paraId="03666DD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Lovie-Toon YG, Hall KK, Chang AB, Anderson J, O’Grady KAF. Immunisation timeliness in a cohort of urban Aboriginal and Torres Strait Islander children. </w:t>
      </w:r>
      <w:r w:rsidRPr="00834CDC">
        <w:rPr>
          <w:rStyle w:val="Emphasis"/>
          <w:rFonts w:eastAsia="Times New Roman"/>
          <w:b w:val="0"/>
          <w:bCs w:val="0"/>
        </w:rPr>
        <w:t>BMC Public Health</w:t>
      </w:r>
      <w:r w:rsidRPr="00834CDC">
        <w:rPr>
          <w:rFonts w:eastAsia="Times New Roman"/>
        </w:rPr>
        <w:t xml:space="preserve">. 2016;16(1):1159. </w:t>
      </w:r>
      <w:proofErr w:type="spellStart"/>
      <w:r w:rsidRPr="00834CDC">
        <w:rPr>
          <w:rFonts w:eastAsia="Times New Roman"/>
        </w:rPr>
        <w:t>doi</w:t>
      </w:r>
      <w:proofErr w:type="spellEnd"/>
      <w:r w:rsidRPr="00834CDC">
        <w:rPr>
          <w:rFonts w:eastAsia="Times New Roman"/>
        </w:rPr>
        <w:t xml:space="preserve">: https://doi.org/10.1186/s12889-016-3825-z. </w:t>
      </w:r>
    </w:p>
    <w:p w14:paraId="0B9030A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Moore HC, Fathima P, Gidding HF, de Klerk N, Liu B, Sheppeard V et al. Assessment of on-time vaccination coverage in population subgroups: a record linkage cohort study. </w:t>
      </w:r>
      <w:r w:rsidRPr="00834CDC">
        <w:rPr>
          <w:rStyle w:val="Emphasis"/>
          <w:rFonts w:eastAsia="Times New Roman"/>
          <w:b w:val="0"/>
          <w:bCs w:val="0"/>
        </w:rPr>
        <w:t>Vaccine</w:t>
      </w:r>
      <w:r w:rsidRPr="00834CDC">
        <w:rPr>
          <w:rFonts w:eastAsia="Times New Roman"/>
        </w:rPr>
        <w:t xml:space="preserve">. 2018;36(28):4062–9. </w:t>
      </w:r>
      <w:proofErr w:type="spellStart"/>
      <w:r w:rsidRPr="00834CDC">
        <w:rPr>
          <w:rFonts w:eastAsia="Times New Roman"/>
        </w:rPr>
        <w:t>doi</w:t>
      </w:r>
      <w:proofErr w:type="spellEnd"/>
      <w:r w:rsidRPr="00834CDC">
        <w:rPr>
          <w:rFonts w:eastAsia="Times New Roman"/>
        </w:rPr>
        <w:t xml:space="preserve">: https://doi.org/10.1016/j.vaccine.2018.05.084. </w:t>
      </w:r>
    </w:p>
    <w:p w14:paraId="35A7AAA6"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Gidding HF, Flack LK, Andrews RM, Snelling TL, McIntyre PB, Moore HC et al. Infant, </w:t>
      </w:r>
      <w:proofErr w:type="gramStart"/>
      <w:r w:rsidRPr="00834CDC">
        <w:rPr>
          <w:rFonts w:eastAsia="Times New Roman"/>
        </w:rPr>
        <w:t>maternal</w:t>
      </w:r>
      <w:proofErr w:type="gramEnd"/>
      <w:r w:rsidRPr="00834CDC">
        <w:rPr>
          <w:rFonts w:eastAsia="Times New Roman"/>
        </w:rPr>
        <w:t xml:space="preserve"> and demographic predictors of delayed vaccination: a population-based cohort study. </w:t>
      </w:r>
      <w:r w:rsidRPr="00834CDC">
        <w:rPr>
          <w:rStyle w:val="Emphasis"/>
          <w:rFonts w:eastAsia="Times New Roman"/>
          <w:b w:val="0"/>
          <w:bCs w:val="0"/>
        </w:rPr>
        <w:t>Vaccine</w:t>
      </w:r>
      <w:r w:rsidRPr="00834CDC">
        <w:rPr>
          <w:rFonts w:eastAsia="Times New Roman"/>
        </w:rPr>
        <w:t xml:space="preserve">. 2020;38(38):6057–64. </w:t>
      </w:r>
      <w:proofErr w:type="spellStart"/>
      <w:r w:rsidRPr="00834CDC">
        <w:rPr>
          <w:rFonts w:eastAsia="Times New Roman"/>
        </w:rPr>
        <w:t>doi</w:t>
      </w:r>
      <w:proofErr w:type="spellEnd"/>
      <w:r w:rsidRPr="00834CDC">
        <w:rPr>
          <w:rFonts w:eastAsia="Times New Roman"/>
        </w:rPr>
        <w:t xml:space="preserve">: https://doi.org/10.1016/j.vaccine.2019.09.091. </w:t>
      </w:r>
    </w:p>
    <w:p w14:paraId="7C4A6151"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Krishnaswamy S, Cheng AC, Wallace EM, Buttery J, Giles ML. Understanding the barriers to uptake of antenatal vaccination by women from culturally and linguistically diverse backgrounds: a cross-sectional study. </w:t>
      </w:r>
      <w:r w:rsidRPr="00834CDC">
        <w:rPr>
          <w:rStyle w:val="Emphasis"/>
          <w:rFonts w:eastAsia="Times New Roman"/>
          <w:b w:val="0"/>
          <w:bCs w:val="0"/>
        </w:rPr>
        <w:t xml:space="preserve">Hum </w:t>
      </w:r>
      <w:proofErr w:type="spellStart"/>
      <w:r w:rsidRPr="00834CDC">
        <w:rPr>
          <w:rStyle w:val="Emphasis"/>
          <w:rFonts w:eastAsia="Times New Roman"/>
          <w:b w:val="0"/>
          <w:bCs w:val="0"/>
        </w:rPr>
        <w:t>Vaccin</w:t>
      </w:r>
      <w:proofErr w:type="spellEnd"/>
      <w:r w:rsidRPr="00834CDC">
        <w:rPr>
          <w:rStyle w:val="Emphasis"/>
          <w:rFonts w:eastAsia="Times New Roman"/>
          <w:b w:val="0"/>
          <w:bCs w:val="0"/>
        </w:rPr>
        <w:t xml:space="preserve"> </w:t>
      </w:r>
      <w:proofErr w:type="spellStart"/>
      <w:r w:rsidRPr="00834CDC">
        <w:rPr>
          <w:rStyle w:val="Emphasis"/>
          <w:rFonts w:eastAsia="Times New Roman"/>
          <w:b w:val="0"/>
          <w:bCs w:val="0"/>
        </w:rPr>
        <w:t>Immunother</w:t>
      </w:r>
      <w:proofErr w:type="spellEnd"/>
      <w:r w:rsidRPr="00834CDC">
        <w:rPr>
          <w:rFonts w:eastAsia="Times New Roman"/>
        </w:rPr>
        <w:t xml:space="preserve">. 2018;14(7):1591–8. </w:t>
      </w:r>
      <w:proofErr w:type="spellStart"/>
      <w:r w:rsidRPr="00834CDC">
        <w:rPr>
          <w:rFonts w:eastAsia="Times New Roman"/>
        </w:rPr>
        <w:t>doi</w:t>
      </w:r>
      <w:proofErr w:type="spellEnd"/>
      <w:r w:rsidRPr="00834CDC">
        <w:rPr>
          <w:rFonts w:eastAsia="Times New Roman"/>
        </w:rPr>
        <w:t xml:space="preserve">: https://doi.org/10.1080/21645515.2018.1445455. </w:t>
      </w:r>
    </w:p>
    <w:p w14:paraId="4C84576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Lotter K, Regan AK, Thomas T, </w:t>
      </w:r>
      <w:proofErr w:type="spellStart"/>
      <w:r w:rsidRPr="00834CDC">
        <w:rPr>
          <w:rFonts w:eastAsia="Times New Roman"/>
        </w:rPr>
        <w:t>Effler</w:t>
      </w:r>
      <w:proofErr w:type="spellEnd"/>
      <w:r w:rsidRPr="00834CDC">
        <w:rPr>
          <w:rFonts w:eastAsia="Times New Roman"/>
        </w:rPr>
        <w:t xml:space="preserve"> PV, </w:t>
      </w:r>
      <w:proofErr w:type="spellStart"/>
      <w:r w:rsidRPr="00834CDC">
        <w:rPr>
          <w:rFonts w:eastAsia="Times New Roman"/>
        </w:rPr>
        <w:t>Mak</w:t>
      </w:r>
      <w:proofErr w:type="spellEnd"/>
      <w:r w:rsidRPr="00834CDC">
        <w:rPr>
          <w:rFonts w:eastAsia="Times New Roman"/>
        </w:rPr>
        <w:t xml:space="preserve"> DB. Antenatal influenza and pertussis vaccine uptake among Aboriginal mothers in Western Australia. </w:t>
      </w:r>
      <w:r w:rsidRPr="00834CDC">
        <w:rPr>
          <w:rStyle w:val="Emphasis"/>
          <w:rFonts w:eastAsia="Times New Roman"/>
          <w:b w:val="0"/>
          <w:bCs w:val="0"/>
        </w:rPr>
        <w:t xml:space="preserve">Aust N Z J </w:t>
      </w:r>
      <w:proofErr w:type="spellStart"/>
      <w:r w:rsidRPr="00834CDC">
        <w:rPr>
          <w:rStyle w:val="Emphasis"/>
          <w:rFonts w:eastAsia="Times New Roman"/>
          <w:b w:val="0"/>
          <w:bCs w:val="0"/>
        </w:rPr>
        <w:t>Obstet</w:t>
      </w:r>
      <w:proofErr w:type="spellEnd"/>
      <w:r w:rsidRPr="00834CDC">
        <w:rPr>
          <w:rStyle w:val="Emphasis"/>
          <w:rFonts w:eastAsia="Times New Roman"/>
          <w:b w:val="0"/>
          <w:bCs w:val="0"/>
        </w:rPr>
        <w:t xml:space="preserve"> </w:t>
      </w:r>
      <w:proofErr w:type="spellStart"/>
      <w:r w:rsidRPr="00834CDC">
        <w:rPr>
          <w:rStyle w:val="Emphasis"/>
          <w:rFonts w:eastAsia="Times New Roman"/>
          <w:b w:val="0"/>
          <w:bCs w:val="0"/>
        </w:rPr>
        <w:t>Gynaecol</w:t>
      </w:r>
      <w:proofErr w:type="spellEnd"/>
      <w:r w:rsidRPr="00834CDC">
        <w:rPr>
          <w:rFonts w:eastAsia="Times New Roman"/>
        </w:rPr>
        <w:t xml:space="preserve">. 2018;58(4):417–24. </w:t>
      </w:r>
      <w:proofErr w:type="spellStart"/>
      <w:r w:rsidRPr="00834CDC">
        <w:rPr>
          <w:rFonts w:eastAsia="Times New Roman"/>
        </w:rPr>
        <w:t>doi</w:t>
      </w:r>
      <w:proofErr w:type="spellEnd"/>
      <w:r w:rsidRPr="00834CDC">
        <w:rPr>
          <w:rFonts w:eastAsia="Times New Roman"/>
        </w:rPr>
        <w:t xml:space="preserve">: https://doi.org/10.1111/ajo.12739. </w:t>
      </w:r>
    </w:p>
    <w:p w14:paraId="0C1A4212"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McHugh L, Andrews RM, </w:t>
      </w:r>
      <w:proofErr w:type="spellStart"/>
      <w:r w:rsidRPr="00834CDC">
        <w:rPr>
          <w:rFonts w:eastAsia="Times New Roman"/>
        </w:rPr>
        <w:t>Leckning</w:t>
      </w:r>
      <w:proofErr w:type="spellEnd"/>
      <w:r w:rsidRPr="00834CDC">
        <w:rPr>
          <w:rFonts w:eastAsia="Times New Roman"/>
        </w:rPr>
        <w:t xml:space="preserve"> B, Snelling T, </w:t>
      </w:r>
      <w:proofErr w:type="spellStart"/>
      <w:r w:rsidRPr="00834CDC">
        <w:rPr>
          <w:rFonts w:eastAsia="Times New Roman"/>
        </w:rPr>
        <w:t>Binks</w:t>
      </w:r>
      <w:proofErr w:type="spellEnd"/>
      <w:r w:rsidRPr="00834CDC">
        <w:rPr>
          <w:rFonts w:eastAsia="Times New Roman"/>
        </w:rPr>
        <w:t xml:space="preserve"> MJ. Baseline incidence of adverse birth outcomes and infant influenza and pertussis hospitalisations prior to the introduction of influenza and pertussis vaccination in pregnancy: a data linkage study of 78 382 mother-infant pairs, Northern Territory, Australia, 1994–2015. </w:t>
      </w:r>
      <w:r w:rsidRPr="00834CDC">
        <w:rPr>
          <w:rStyle w:val="Emphasis"/>
          <w:rFonts w:eastAsia="Times New Roman"/>
          <w:b w:val="0"/>
          <w:bCs w:val="0"/>
        </w:rPr>
        <w:t>Epidemiol Infect</w:t>
      </w:r>
      <w:r w:rsidRPr="00834CDC">
        <w:rPr>
          <w:rFonts w:eastAsia="Times New Roman"/>
        </w:rPr>
        <w:t>. 2019;</w:t>
      </w:r>
      <w:proofErr w:type="gramStart"/>
      <w:r w:rsidRPr="00834CDC">
        <w:rPr>
          <w:rFonts w:eastAsia="Times New Roman"/>
        </w:rPr>
        <w:t>147:e</w:t>
      </w:r>
      <w:proofErr w:type="gramEnd"/>
      <w:r w:rsidRPr="00834CDC">
        <w:rPr>
          <w:rFonts w:eastAsia="Times New Roman"/>
        </w:rPr>
        <w:t xml:space="preserve">233. </w:t>
      </w:r>
      <w:proofErr w:type="spellStart"/>
      <w:r w:rsidRPr="00834CDC">
        <w:rPr>
          <w:rFonts w:eastAsia="Times New Roman"/>
        </w:rPr>
        <w:t>doi</w:t>
      </w:r>
      <w:proofErr w:type="spellEnd"/>
      <w:r w:rsidRPr="00834CDC">
        <w:rPr>
          <w:rFonts w:eastAsia="Times New Roman"/>
        </w:rPr>
        <w:t xml:space="preserve">: https://doi.org/10.1017/S0950268819001171. </w:t>
      </w:r>
    </w:p>
    <w:p w14:paraId="666567B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McHugh L, Crooks K, Creighton A, </w:t>
      </w:r>
      <w:proofErr w:type="spellStart"/>
      <w:r w:rsidRPr="00834CDC">
        <w:rPr>
          <w:rFonts w:eastAsia="Times New Roman"/>
        </w:rPr>
        <w:t>Binks</w:t>
      </w:r>
      <w:proofErr w:type="spellEnd"/>
      <w:r w:rsidRPr="00834CDC">
        <w:rPr>
          <w:rFonts w:eastAsia="Times New Roman"/>
        </w:rPr>
        <w:t xml:space="preserve"> M, Andrews RM. Safety, </w:t>
      </w:r>
      <w:proofErr w:type="gramStart"/>
      <w:r w:rsidRPr="00834CDC">
        <w:rPr>
          <w:rFonts w:eastAsia="Times New Roman"/>
        </w:rPr>
        <w:t>equity</w:t>
      </w:r>
      <w:proofErr w:type="gramEnd"/>
      <w:r w:rsidRPr="00834CDC">
        <w:rPr>
          <w:rFonts w:eastAsia="Times New Roman"/>
        </w:rPr>
        <w:t xml:space="preserve"> and monitoring: a review of the gaps in maternal vaccination strategies for Aboriginal and Torres Strait Islander women. </w:t>
      </w:r>
      <w:r w:rsidRPr="00834CDC">
        <w:rPr>
          <w:rStyle w:val="Emphasis"/>
          <w:rFonts w:eastAsia="Times New Roman"/>
          <w:b w:val="0"/>
          <w:bCs w:val="0"/>
        </w:rPr>
        <w:t xml:space="preserve">Hum </w:t>
      </w:r>
      <w:proofErr w:type="spellStart"/>
      <w:r w:rsidRPr="00834CDC">
        <w:rPr>
          <w:rStyle w:val="Emphasis"/>
          <w:rFonts w:eastAsia="Times New Roman"/>
          <w:b w:val="0"/>
          <w:bCs w:val="0"/>
        </w:rPr>
        <w:t>Vaccin</w:t>
      </w:r>
      <w:proofErr w:type="spellEnd"/>
      <w:r w:rsidRPr="00834CDC">
        <w:rPr>
          <w:rStyle w:val="Emphasis"/>
          <w:rFonts w:eastAsia="Times New Roman"/>
          <w:b w:val="0"/>
          <w:bCs w:val="0"/>
        </w:rPr>
        <w:t xml:space="preserve"> </w:t>
      </w:r>
      <w:proofErr w:type="spellStart"/>
      <w:r w:rsidRPr="00834CDC">
        <w:rPr>
          <w:rStyle w:val="Emphasis"/>
          <w:rFonts w:eastAsia="Times New Roman"/>
          <w:b w:val="0"/>
          <w:bCs w:val="0"/>
        </w:rPr>
        <w:t>Immunother</w:t>
      </w:r>
      <w:proofErr w:type="spellEnd"/>
      <w:r w:rsidRPr="00834CDC">
        <w:rPr>
          <w:rFonts w:eastAsia="Times New Roman"/>
        </w:rPr>
        <w:t xml:space="preserve">. 2020;16(2):371–6. </w:t>
      </w:r>
      <w:proofErr w:type="spellStart"/>
      <w:r w:rsidRPr="00834CDC">
        <w:rPr>
          <w:rFonts w:eastAsia="Times New Roman"/>
        </w:rPr>
        <w:t>doi</w:t>
      </w:r>
      <w:proofErr w:type="spellEnd"/>
      <w:r w:rsidRPr="00834CDC">
        <w:rPr>
          <w:rFonts w:eastAsia="Times New Roman"/>
        </w:rPr>
        <w:t xml:space="preserve">: https://doi.org/10.1080/21645515.2019.1649552. </w:t>
      </w:r>
    </w:p>
    <w:p w14:paraId="5B495DCE"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Marshall KS, Quinn HE, Pillsbury AJ, Maguire JE, Lucas RM, Dey A et al. Australian vaccine preventable disease epidemiological review series: pertussis, 2013–2018.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2022;</w:t>
      </w:r>
      <w:proofErr w:type="gramStart"/>
      <w:r w:rsidRPr="00834CDC">
        <w:rPr>
          <w:rFonts w:eastAsia="Times New Roman"/>
        </w:rPr>
        <w:t>46</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https://doi.org/10.33321/cdi.2022.46.3. </w:t>
      </w:r>
    </w:p>
    <w:p w14:paraId="28A07EC1"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Rowe SL, Perrett KP, Morey R, Stephens N, Cowie BC, Nolan TM et al. Influenza and pertussis vaccination of women during pregnancy in Victoria, 2015–2017. </w:t>
      </w:r>
      <w:r w:rsidRPr="00834CDC">
        <w:rPr>
          <w:rStyle w:val="Emphasis"/>
          <w:rFonts w:eastAsia="Times New Roman"/>
          <w:b w:val="0"/>
          <w:bCs w:val="0"/>
        </w:rPr>
        <w:t>Med J Aust</w:t>
      </w:r>
      <w:r w:rsidRPr="00834CDC">
        <w:rPr>
          <w:rFonts w:eastAsia="Times New Roman"/>
        </w:rPr>
        <w:t xml:space="preserve">. 2019;210(10):454–62. </w:t>
      </w:r>
      <w:proofErr w:type="spellStart"/>
      <w:r w:rsidRPr="00834CDC">
        <w:rPr>
          <w:rFonts w:eastAsia="Times New Roman"/>
        </w:rPr>
        <w:t>doi</w:t>
      </w:r>
      <w:proofErr w:type="spellEnd"/>
      <w:r w:rsidRPr="00834CDC">
        <w:rPr>
          <w:rFonts w:eastAsia="Times New Roman"/>
        </w:rPr>
        <w:t xml:space="preserve">: https://doi.org/10.5694/mja2.50125. </w:t>
      </w:r>
    </w:p>
    <w:p w14:paraId="302B8091"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lastRenderedPageBreak/>
        <w:t xml:space="preserve">Laurie L, Lambert SB, Jones L, Boddy G, O’Grady KAF. Influenza and pertussis vaccine uptake during pregnancy among Australian women in south-east Queensland, Australia. </w:t>
      </w:r>
      <w:r w:rsidRPr="00834CDC">
        <w:rPr>
          <w:rStyle w:val="Emphasis"/>
          <w:rFonts w:eastAsia="Times New Roman"/>
          <w:b w:val="0"/>
          <w:bCs w:val="0"/>
        </w:rPr>
        <w:t>Aust N Z J Public Health</w:t>
      </w:r>
      <w:r w:rsidRPr="00834CDC">
        <w:rPr>
          <w:rFonts w:eastAsia="Times New Roman"/>
        </w:rPr>
        <w:t xml:space="preserve">. 2021;45(5):443–8. </w:t>
      </w:r>
      <w:proofErr w:type="spellStart"/>
      <w:r w:rsidRPr="00834CDC">
        <w:rPr>
          <w:rFonts w:eastAsia="Times New Roman"/>
        </w:rPr>
        <w:t>doi</w:t>
      </w:r>
      <w:proofErr w:type="spellEnd"/>
      <w:r w:rsidRPr="00834CDC">
        <w:rPr>
          <w:rFonts w:eastAsia="Times New Roman"/>
        </w:rPr>
        <w:t xml:space="preserve">: https://doi.org/10.1111/1753-6405.13133. </w:t>
      </w:r>
    </w:p>
    <w:p w14:paraId="0FEFF4F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Liu BC, McIntyre P, Kaldor JM, Quinn HE, </w:t>
      </w:r>
      <w:proofErr w:type="spellStart"/>
      <w:r w:rsidRPr="00834CDC">
        <w:rPr>
          <w:rFonts w:eastAsia="Times New Roman"/>
        </w:rPr>
        <w:t>Ridda</w:t>
      </w:r>
      <w:proofErr w:type="spellEnd"/>
      <w:r w:rsidRPr="00834CDC">
        <w:rPr>
          <w:rFonts w:eastAsia="Times New Roman"/>
        </w:rPr>
        <w:t xml:space="preserve"> I, Banks E. Pertussis in older adults: prospective study of risk factors and morbidity. </w:t>
      </w:r>
      <w:r w:rsidRPr="00834CDC">
        <w:rPr>
          <w:rStyle w:val="Emphasis"/>
          <w:rFonts w:eastAsia="Times New Roman"/>
          <w:b w:val="0"/>
          <w:bCs w:val="0"/>
        </w:rPr>
        <w:t>Clin Infect Dis</w:t>
      </w:r>
      <w:r w:rsidRPr="00834CDC">
        <w:rPr>
          <w:rFonts w:eastAsia="Times New Roman"/>
        </w:rPr>
        <w:t xml:space="preserve">. 2012;55(11):1450–6. </w:t>
      </w:r>
      <w:proofErr w:type="spellStart"/>
      <w:r w:rsidRPr="00834CDC">
        <w:rPr>
          <w:rFonts w:eastAsia="Times New Roman"/>
        </w:rPr>
        <w:t>doi</w:t>
      </w:r>
      <w:proofErr w:type="spellEnd"/>
      <w:r w:rsidRPr="00834CDC">
        <w:rPr>
          <w:rFonts w:eastAsia="Times New Roman"/>
        </w:rPr>
        <w:t xml:space="preserve">: https://doi.org/10.1093/cid/cis627. </w:t>
      </w:r>
    </w:p>
    <w:p w14:paraId="0395B41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Cortese M, Baughman A, Brown K, Srivastava P. A “new age” in pertussis prevention: new opportunities through adult vaccination. </w:t>
      </w:r>
      <w:r w:rsidRPr="00834CDC">
        <w:rPr>
          <w:rStyle w:val="Emphasis"/>
          <w:rFonts w:eastAsia="Times New Roman"/>
          <w:b w:val="0"/>
          <w:bCs w:val="0"/>
        </w:rPr>
        <w:t xml:space="preserve">Am J </w:t>
      </w:r>
      <w:proofErr w:type="spellStart"/>
      <w:r w:rsidRPr="00834CDC">
        <w:rPr>
          <w:rStyle w:val="Emphasis"/>
          <w:rFonts w:eastAsia="Times New Roman"/>
          <w:b w:val="0"/>
          <w:bCs w:val="0"/>
        </w:rPr>
        <w:t>Prev</w:t>
      </w:r>
      <w:proofErr w:type="spellEnd"/>
      <w:r w:rsidRPr="00834CDC">
        <w:rPr>
          <w:rStyle w:val="Emphasis"/>
          <w:rFonts w:eastAsia="Times New Roman"/>
          <w:b w:val="0"/>
          <w:bCs w:val="0"/>
        </w:rPr>
        <w:t xml:space="preserve"> Med</w:t>
      </w:r>
      <w:r w:rsidRPr="00834CDC">
        <w:rPr>
          <w:rFonts w:eastAsia="Times New Roman"/>
        </w:rPr>
        <w:t xml:space="preserve">. 2007;32(3):177–85. </w:t>
      </w:r>
      <w:proofErr w:type="spellStart"/>
      <w:r w:rsidRPr="00834CDC">
        <w:rPr>
          <w:rFonts w:eastAsia="Times New Roman"/>
        </w:rPr>
        <w:t>doi</w:t>
      </w:r>
      <w:proofErr w:type="spellEnd"/>
      <w:r w:rsidRPr="00834CDC">
        <w:rPr>
          <w:rFonts w:eastAsia="Times New Roman"/>
        </w:rPr>
        <w:t xml:space="preserve">: https://doi.org/10.1016/j.amepre.2006.10.015. </w:t>
      </w:r>
    </w:p>
    <w:p w14:paraId="2129F88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McHugh L, </w:t>
      </w:r>
      <w:proofErr w:type="spellStart"/>
      <w:r w:rsidRPr="00834CDC">
        <w:rPr>
          <w:rFonts w:eastAsia="Times New Roman"/>
        </w:rPr>
        <w:t>Viney</w:t>
      </w:r>
      <w:proofErr w:type="spellEnd"/>
      <w:r w:rsidRPr="00834CDC">
        <w:rPr>
          <w:rFonts w:eastAsia="Times New Roman"/>
        </w:rPr>
        <w:t xml:space="preserve"> KA, Andrews RM, Lambert SB. Pertussis epidemiology prior to the introduction of a maternal vaccination program, Queensland Australia. </w:t>
      </w:r>
      <w:r w:rsidRPr="00834CDC">
        <w:rPr>
          <w:rStyle w:val="Emphasis"/>
          <w:rFonts w:eastAsia="Times New Roman"/>
          <w:b w:val="0"/>
          <w:bCs w:val="0"/>
        </w:rPr>
        <w:t>Epidemiol Infect</w:t>
      </w:r>
      <w:r w:rsidRPr="00834CDC">
        <w:rPr>
          <w:rFonts w:eastAsia="Times New Roman"/>
        </w:rPr>
        <w:t xml:space="preserve">. 2018;146(2):207–17. </w:t>
      </w:r>
      <w:proofErr w:type="spellStart"/>
      <w:r w:rsidRPr="00834CDC">
        <w:rPr>
          <w:rFonts w:eastAsia="Times New Roman"/>
        </w:rPr>
        <w:t>doi</w:t>
      </w:r>
      <w:proofErr w:type="spellEnd"/>
      <w:r w:rsidRPr="00834CDC">
        <w:rPr>
          <w:rFonts w:eastAsia="Times New Roman"/>
        </w:rPr>
        <w:t xml:space="preserve">: https://doi.org/10.1017/S0950268817002722. </w:t>
      </w:r>
    </w:p>
    <w:p w14:paraId="6230DCD0"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Jardine A, </w:t>
      </w:r>
      <w:proofErr w:type="spellStart"/>
      <w:r w:rsidRPr="00834CDC">
        <w:rPr>
          <w:rFonts w:eastAsia="Times New Roman"/>
        </w:rPr>
        <w:t>Conaty</w:t>
      </w:r>
      <w:proofErr w:type="spellEnd"/>
      <w:r w:rsidRPr="00834CDC">
        <w:rPr>
          <w:rFonts w:eastAsia="Times New Roman"/>
        </w:rPr>
        <w:t xml:space="preserve"> SJ, </w:t>
      </w:r>
      <w:proofErr w:type="spellStart"/>
      <w:r w:rsidRPr="00834CDC">
        <w:rPr>
          <w:rFonts w:eastAsia="Times New Roman"/>
        </w:rPr>
        <w:t>Lowbridge</w:t>
      </w:r>
      <w:proofErr w:type="spellEnd"/>
      <w:r w:rsidRPr="00834CDC">
        <w:rPr>
          <w:rFonts w:eastAsia="Times New Roman"/>
        </w:rPr>
        <w:t xml:space="preserve"> C, Thomas J, Staff M, </w:t>
      </w:r>
      <w:proofErr w:type="spellStart"/>
      <w:r w:rsidRPr="00834CDC">
        <w:rPr>
          <w:rFonts w:eastAsia="Times New Roman"/>
        </w:rPr>
        <w:t>Vally</w:t>
      </w:r>
      <w:proofErr w:type="spellEnd"/>
      <w:r w:rsidRPr="00834CDC">
        <w:rPr>
          <w:rFonts w:eastAsia="Times New Roman"/>
        </w:rPr>
        <w:t xml:space="preserve"> H. Who gives pertussis to infants? Source of infection for laboratory confirmed cases less than 12 months of age during an epidemic, Sydney, 2009.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Q Rep</w:t>
      </w:r>
      <w:r w:rsidRPr="00834CDC">
        <w:rPr>
          <w:rFonts w:eastAsia="Times New Roman"/>
        </w:rPr>
        <w:t xml:space="preserve">. 2010;34(2):116–21. </w:t>
      </w:r>
    </w:p>
    <w:p w14:paraId="0793FC1F"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Ganaie</w:t>
      </w:r>
      <w:proofErr w:type="spellEnd"/>
      <w:r w:rsidRPr="00834CDC">
        <w:rPr>
          <w:rFonts w:eastAsia="Times New Roman"/>
        </w:rPr>
        <w:t xml:space="preserve"> F, Saad JS, McGee L, van </w:t>
      </w:r>
      <w:proofErr w:type="spellStart"/>
      <w:r w:rsidRPr="00834CDC">
        <w:rPr>
          <w:rFonts w:eastAsia="Times New Roman"/>
        </w:rPr>
        <w:t>Tonder</w:t>
      </w:r>
      <w:proofErr w:type="spellEnd"/>
      <w:r w:rsidRPr="00834CDC">
        <w:rPr>
          <w:rFonts w:eastAsia="Times New Roman"/>
        </w:rPr>
        <w:t xml:space="preserve"> AJ, Bentley SD, Lo SW et al. A new pneumococcal capsule type, 10D, is the 100th serotype and has a large </w:t>
      </w:r>
      <w:r w:rsidRPr="00834CDC">
        <w:rPr>
          <w:rStyle w:val="Emphasis"/>
          <w:rFonts w:eastAsia="Times New Roman"/>
          <w:b w:val="0"/>
          <w:bCs w:val="0"/>
        </w:rPr>
        <w:t>cps</w:t>
      </w:r>
      <w:r w:rsidRPr="00834CDC">
        <w:rPr>
          <w:rFonts w:eastAsia="Times New Roman"/>
        </w:rPr>
        <w:t xml:space="preserve"> fragment from an oral </w:t>
      </w:r>
      <w:r w:rsidRPr="00834CDC">
        <w:rPr>
          <w:rStyle w:val="Emphasis"/>
          <w:rFonts w:eastAsia="Times New Roman"/>
          <w:b w:val="0"/>
          <w:bCs w:val="0"/>
        </w:rPr>
        <w:t>Streptococcus</w:t>
      </w:r>
      <w:r w:rsidRPr="00834CDC">
        <w:rPr>
          <w:rFonts w:eastAsia="Times New Roman"/>
        </w:rPr>
        <w:t xml:space="preserve">. </w:t>
      </w:r>
      <w:r w:rsidRPr="00834CDC">
        <w:rPr>
          <w:rStyle w:val="Emphasis"/>
          <w:rFonts w:eastAsia="Times New Roman"/>
          <w:b w:val="0"/>
          <w:bCs w:val="0"/>
        </w:rPr>
        <w:t>mBio</w:t>
      </w:r>
      <w:r w:rsidRPr="00834CDC">
        <w:rPr>
          <w:rFonts w:eastAsia="Times New Roman"/>
        </w:rPr>
        <w:t>. 2020;11(3</w:t>
      </w:r>
      <w:proofErr w:type="gramStart"/>
      <w:r w:rsidRPr="00834CDC">
        <w:rPr>
          <w:rFonts w:eastAsia="Times New Roman"/>
        </w:rPr>
        <w:t>):e</w:t>
      </w:r>
      <w:proofErr w:type="gramEnd"/>
      <w:r w:rsidRPr="00834CDC">
        <w:rPr>
          <w:rFonts w:eastAsia="Times New Roman"/>
        </w:rPr>
        <w:t xml:space="preserve">00937-20. </w:t>
      </w:r>
      <w:proofErr w:type="spellStart"/>
      <w:r w:rsidRPr="00834CDC">
        <w:rPr>
          <w:rFonts w:eastAsia="Times New Roman"/>
        </w:rPr>
        <w:t>doi</w:t>
      </w:r>
      <w:proofErr w:type="spellEnd"/>
      <w:r w:rsidRPr="00834CDC">
        <w:rPr>
          <w:rFonts w:eastAsia="Times New Roman"/>
        </w:rPr>
        <w:t xml:space="preserve">: https://doi.org/10.1128/mBio.00937-20. </w:t>
      </w:r>
    </w:p>
    <w:p w14:paraId="533BDB98"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Grabenstein</w:t>
      </w:r>
      <w:proofErr w:type="spellEnd"/>
      <w:r w:rsidRPr="00834CDC">
        <w:rPr>
          <w:rFonts w:eastAsia="Times New Roman"/>
        </w:rPr>
        <w:t xml:space="preserve"> JD, Musher DM. 47 – Pneumococcal polysaccharide vaccines. In Plotkin SA, Orenstein WA, Offit PA, Edwards KM, eds. </w:t>
      </w:r>
      <w:r w:rsidRPr="00834CDC">
        <w:rPr>
          <w:rStyle w:val="Emphasis"/>
          <w:rFonts w:eastAsia="Times New Roman"/>
          <w:b w:val="0"/>
          <w:bCs w:val="0"/>
        </w:rPr>
        <w:t>Plotkin’s Vaccines</w:t>
      </w:r>
      <w:r w:rsidRPr="00834CDC">
        <w:rPr>
          <w:rFonts w:eastAsia="Times New Roman"/>
        </w:rPr>
        <w:t xml:space="preserve"> (</w:t>
      </w:r>
      <w:proofErr w:type="gramStart"/>
      <w:r w:rsidRPr="00834CDC">
        <w:rPr>
          <w:rFonts w:eastAsia="Times New Roman"/>
        </w:rPr>
        <w:t>7th</w:t>
      </w:r>
      <w:proofErr w:type="gramEnd"/>
      <w:r w:rsidRPr="00834CDC">
        <w:rPr>
          <w:rFonts w:eastAsia="Times New Roman"/>
        </w:rPr>
        <w:t xml:space="preserve"> edition). Amsterdam: Elsevier, 2018;216-840. </w:t>
      </w:r>
      <w:proofErr w:type="spellStart"/>
      <w:r w:rsidRPr="00834CDC">
        <w:rPr>
          <w:rFonts w:eastAsia="Times New Roman"/>
        </w:rPr>
        <w:t>doi</w:t>
      </w:r>
      <w:proofErr w:type="spellEnd"/>
      <w:r w:rsidRPr="00834CDC">
        <w:rPr>
          <w:rFonts w:eastAsia="Times New Roman"/>
        </w:rPr>
        <w:t xml:space="preserve">: https//doi.org/10.1016/B978-0-323-35761-6.00046-8. </w:t>
      </w:r>
    </w:p>
    <w:p w14:paraId="3A64481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Cook HM, </w:t>
      </w:r>
      <w:proofErr w:type="spellStart"/>
      <w:r w:rsidRPr="00834CDC">
        <w:rPr>
          <w:rFonts w:eastAsia="Times New Roman"/>
        </w:rPr>
        <w:t>Giele</w:t>
      </w:r>
      <w:proofErr w:type="spellEnd"/>
      <w:r w:rsidRPr="00834CDC">
        <w:rPr>
          <w:rFonts w:eastAsia="Times New Roman"/>
        </w:rPr>
        <w:t xml:space="preserve"> CM, Jayasinghe SH, Wakefield A, Krause VL. An outbreak of serotype-1 </w:t>
      </w:r>
      <w:proofErr w:type="gramStart"/>
      <w:r w:rsidRPr="00834CDC">
        <w:rPr>
          <w:rFonts w:eastAsia="Times New Roman"/>
        </w:rPr>
        <w:t>sequence</w:t>
      </w:r>
      <w:proofErr w:type="gramEnd"/>
      <w:r w:rsidRPr="00834CDC">
        <w:rPr>
          <w:rFonts w:eastAsia="Times New Roman"/>
        </w:rPr>
        <w:t xml:space="preserve"> type 306 invasive pneumococcal disease in an Australian Indigenous population.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2020;</w:t>
      </w:r>
      <w:proofErr w:type="gramStart"/>
      <w:r w:rsidRPr="00834CDC">
        <w:rPr>
          <w:rFonts w:eastAsia="Times New Roman"/>
        </w:rPr>
        <w:t>44</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https://doi.org/10.33321/cdi.2020.44.66. </w:t>
      </w:r>
    </w:p>
    <w:p w14:paraId="342F379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Jayasinghe S, Menzies R, Chiu C, Toms C, Blyth CC, Krause V et al. Long-term impact of a “3 + 0” schedule for 7- and 13-valent pneumococcal conjugate vaccines on invasive pneumococcal disease in Australia, 2002–2014. </w:t>
      </w:r>
      <w:r w:rsidRPr="00834CDC">
        <w:rPr>
          <w:rStyle w:val="Emphasis"/>
          <w:rFonts w:eastAsia="Times New Roman"/>
          <w:b w:val="0"/>
          <w:bCs w:val="0"/>
        </w:rPr>
        <w:t>Clin Infect Dis</w:t>
      </w:r>
      <w:r w:rsidRPr="00834CDC">
        <w:rPr>
          <w:rFonts w:eastAsia="Times New Roman"/>
        </w:rPr>
        <w:t xml:space="preserve">. 2017;64(2):175–83. </w:t>
      </w:r>
      <w:proofErr w:type="spellStart"/>
      <w:r w:rsidRPr="00834CDC">
        <w:rPr>
          <w:rFonts w:eastAsia="Times New Roman"/>
        </w:rPr>
        <w:t>doi</w:t>
      </w:r>
      <w:proofErr w:type="spellEnd"/>
      <w:r w:rsidRPr="00834CDC">
        <w:rPr>
          <w:rFonts w:eastAsia="Times New Roman"/>
        </w:rPr>
        <w:t xml:space="preserve">: https://doi.org/10.1093/cid/ciw720. </w:t>
      </w:r>
    </w:p>
    <w:p w14:paraId="1275228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Jayasinghe S, Chiu C, Menzies R, Lehmann D, Cook H, </w:t>
      </w:r>
      <w:proofErr w:type="spellStart"/>
      <w:r w:rsidRPr="00834CDC">
        <w:rPr>
          <w:rFonts w:eastAsia="Times New Roman"/>
        </w:rPr>
        <w:t>Giele</w:t>
      </w:r>
      <w:proofErr w:type="spellEnd"/>
      <w:r w:rsidRPr="00834CDC">
        <w:rPr>
          <w:rFonts w:eastAsia="Times New Roman"/>
        </w:rPr>
        <w:t xml:space="preserve"> C et al. Evaluation of impact of </w:t>
      </w:r>
      <w:proofErr w:type="gramStart"/>
      <w:r w:rsidRPr="00834CDC">
        <w:rPr>
          <w:rFonts w:eastAsia="Times New Roman"/>
        </w:rPr>
        <w:t>23</w:t>
      </w:r>
      <w:proofErr w:type="gramEnd"/>
      <w:r w:rsidRPr="00834CDC">
        <w:rPr>
          <w:rFonts w:eastAsia="Times New Roman"/>
        </w:rPr>
        <w:t xml:space="preserve"> valent pneumococcal polysaccharide vaccine following 7 valent pneumococcal conjugate vaccine in Australian Indigenous children. </w:t>
      </w:r>
      <w:r w:rsidRPr="00834CDC">
        <w:rPr>
          <w:rStyle w:val="Emphasis"/>
          <w:rFonts w:eastAsia="Times New Roman"/>
          <w:b w:val="0"/>
          <w:bCs w:val="0"/>
        </w:rPr>
        <w:t>Vaccine</w:t>
      </w:r>
      <w:r w:rsidRPr="00834CDC">
        <w:rPr>
          <w:rFonts w:eastAsia="Times New Roman"/>
        </w:rPr>
        <w:t xml:space="preserve">. 2015;33(48):6666–74. </w:t>
      </w:r>
      <w:proofErr w:type="spellStart"/>
      <w:r w:rsidRPr="00834CDC">
        <w:rPr>
          <w:rFonts w:eastAsia="Times New Roman"/>
        </w:rPr>
        <w:t>doi</w:t>
      </w:r>
      <w:proofErr w:type="spellEnd"/>
      <w:r w:rsidRPr="00834CDC">
        <w:rPr>
          <w:rFonts w:eastAsia="Times New Roman"/>
        </w:rPr>
        <w:t xml:space="preserve">: https://doi.org10.1016/j.vaccine.2015.10.089. </w:t>
      </w:r>
    </w:p>
    <w:p w14:paraId="32BB74FB"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Lowbridge</w:t>
      </w:r>
      <w:proofErr w:type="spellEnd"/>
      <w:r w:rsidRPr="00834CDC">
        <w:rPr>
          <w:rFonts w:eastAsia="Times New Roman"/>
        </w:rPr>
        <w:t xml:space="preserve"> C, McIntyre PB, Gilmour R, Chiu C, Seale H, Ferson MJ et al. </w:t>
      </w:r>
      <w:proofErr w:type="gramStart"/>
      <w:r w:rsidRPr="00834CDC">
        <w:rPr>
          <w:rFonts w:eastAsia="Times New Roman"/>
        </w:rPr>
        <w:t>Long</w:t>
      </w:r>
      <w:proofErr w:type="gramEnd"/>
      <w:r w:rsidRPr="00834CDC">
        <w:rPr>
          <w:rFonts w:eastAsia="Times New Roman"/>
        </w:rPr>
        <w:t xml:space="preserve"> term population impact of seven-valent pneumococcal conjugate vaccine with a “3+0’’ schedule—How do “2+1’’ and “3+1’’ schedules compare? </w:t>
      </w:r>
      <w:r w:rsidRPr="00834CDC">
        <w:rPr>
          <w:rStyle w:val="Emphasis"/>
          <w:rFonts w:eastAsia="Times New Roman"/>
          <w:b w:val="0"/>
          <w:bCs w:val="0"/>
        </w:rPr>
        <w:t>Vaccine</w:t>
      </w:r>
      <w:r w:rsidRPr="00834CDC">
        <w:rPr>
          <w:rFonts w:eastAsia="Times New Roman"/>
        </w:rPr>
        <w:t xml:space="preserve">. 2015;33(28):3234–41. </w:t>
      </w:r>
      <w:proofErr w:type="spellStart"/>
      <w:r w:rsidRPr="00834CDC">
        <w:rPr>
          <w:rFonts w:eastAsia="Times New Roman"/>
        </w:rPr>
        <w:t>doi</w:t>
      </w:r>
      <w:proofErr w:type="spellEnd"/>
      <w:r w:rsidRPr="00834CDC">
        <w:rPr>
          <w:rFonts w:eastAsia="Times New Roman"/>
        </w:rPr>
        <w:t xml:space="preserve">: https://doi.org/10.1016/j.vaccine.2015.04.079. </w:t>
      </w:r>
    </w:p>
    <w:p w14:paraId="5C83A164"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Collins DA, Hoskins A, Snelling T, </w:t>
      </w:r>
      <w:proofErr w:type="spellStart"/>
      <w:r w:rsidRPr="00834CDC">
        <w:rPr>
          <w:rFonts w:eastAsia="Times New Roman"/>
        </w:rPr>
        <w:t>Senasinghe</w:t>
      </w:r>
      <w:proofErr w:type="spellEnd"/>
      <w:r w:rsidRPr="00834CDC">
        <w:rPr>
          <w:rFonts w:eastAsia="Times New Roman"/>
        </w:rPr>
        <w:t xml:space="preserve"> K, Bowman J, Stemberger NA et al. Predictors of pneumococcal carriage and the effect of the 13-valent pneumococcal conjugate vaccination in the Western Australian Aboriginal population. </w:t>
      </w:r>
      <w:r w:rsidRPr="00834CDC">
        <w:rPr>
          <w:rStyle w:val="Emphasis"/>
          <w:rFonts w:eastAsia="Times New Roman"/>
          <w:b w:val="0"/>
          <w:bCs w:val="0"/>
        </w:rPr>
        <w:t>Pneumonia (Nathan)</w:t>
      </w:r>
      <w:r w:rsidRPr="00834CDC">
        <w:rPr>
          <w:rFonts w:eastAsia="Times New Roman"/>
        </w:rPr>
        <w:t xml:space="preserve">. </w:t>
      </w:r>
      <w:proofErr w:type="gramStart"/>
      <w:r w:rsidRPr="00834CDC">
        <w:rPr>
          <w:rFonts w:eastAsia="Times New Roman"/>
        </w:rPr>
        <w:t>2017;9:14</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https://doi.org/10.1186/s41479-017-0038-x. </w:t>
      </w:r>
    </w:p>
    <w:p w14:paraId="40D35BD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Blyth CC, Jayasinghe S, Andrews RM. A rationale for change: an increase in invasive pneumococcal disease in fully vaccinated children. </w:t>
      </w:r>
      <w:r w:rsidRPr="00834CDC">
        <w:rPr>
          <w:rStyle w:val="Emphasis"/>
          <w:rFonts w:eastAsia="Times New Roman"/>
          <w:b w:val="0"/>
          <w:bCs w:val="0"/>
        </w:rPr>
        <w:t>Clin Infect Dis</w:t>
      </w:r>
      <w:r w:rsidRPr="00834CDC">
        <w:rPr>
          <w:rFonts w:eastAsia="Times New Roman"/>
        </w:rPr>
        <w:t xml:space="preserve">. 2020;70(4):680–3. </w:t>
      </w:r>
      <w:proofErr w:type="spellStart"/>
      <w:r w:rsidRPr="00834CDC">
        <w:rPr>
          <w:rFonts w:eastAsia="Times New Roman"/>
        </w:rPr>
        <w:t>doi</w:t>
      </w:r>
      <w:proofErr w:type="spellEnd"/>
      <w:r w:rsidRPr="00834CDC">
        <w:rPr>
          <w:rFonts w:eastAsia="Times New Roman"/>
        </w:rPr>
        <w:t xml:space="preserve">: https://doi.org/10.1093/cid/ciz493. </w:t>
      </w:r>
    </w:p>
    <w:p w14:paraId="0777DB4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Bureau of Statistics. National Aboriginal and Torres Strait Islander Health Survey. [Webpage.] Canberra: Australian Bureau of Statistics; 11 December 2019. [Accessed on 21 February 2022.] Available from: https://www.abs.gov.au/statistics/people/aboriginal-and-torres-strait-islander-peoples/national-aboriginal-and-torres-strait-islander-health-survey/2018-19. </w:t>
      </w:r>
    </w:p>
    <w:p w14:paraId="1C2493F4"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Tran C, Chiu C, Cheng AC, Crawford NW, Gilles ML, Macartney KK et al. ATAGI 2021 annual statement on immunisation.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2021;</w:t>
      </w:r>
      <w:proofErr w:type="gramStart"/>
      <w:r w:rsidRPr="00834CDC">
        <w:rPr>
          <w:rFonts w:eastAsia="Times New Roman"/>
        </w:rPr>
        <w:t>45</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https://doi.org/10.33321/cdi.2021.45.60. </w:t>
      </w:r>
    </w:p>
    <w:p w14:paraId="424CCAF6"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lastRenderedPageBreak/>
        <w:t xml:space="preserve">Pennington K, Enhanced Invasive Pneumococcal Disease Surveillance Working Group, Communicable Diseases Network Australia. Invasive Pneumococcal Disease Surveillance. 1 July to 30 September 2019.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2020;</w:t>
      </w:r>
      <w:proofErr w:type="gramStart"/>
      <w:r w:rsidRPr="00834CDC">
        <w:rPr>
          <w:rFonts w:eastAsia="Times New Roman"/>
        </w:rPr>
        <w:t>44</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https://doi.org/10.33321/cdi.2020.44.40. </w:t>
      </w:r>
    </w:p>
    <w:p w14:paraId="1713189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Moore MR, Link-</w:t>
      </w:r>
      <w:proofErr w:type="spellStart"/>
      <w:r w:rsidRPr="00834CDC">
        <w:rPr>
          <w:rFonts w:eastAsia="Times New Roman"/>
        </w:rPr>
        <w:t>Gelles</w:t>
      </w:r>
      <w:proofErr w:type="spellEnd"/>
      <w:r w:rsidRPr="00834CDC">
        <w:rPr>
          <w:rFonts w:eastAsia="Times New Roman"/>
        </w:rPr>
        <w:t xml:space="preserve"> R, Schaffner W, </w:t>
      </w:r>
      <w:proofErr w:type="spellStart"/>
      <w:r w:rsidRPr="00834CDC">
        <w:rPr>
          <w:rFonts w:eastAsia="Times New Roman"/>
        </w:rPr>
        <w:t>Lynfield</w:t>
      </w:r>
      <w:proofErr w:type="spellEnd"/>
      <w:r w:rsidRPr="00834CDC">
        <w:rPr>
          <w:rFonts w:eastAsia="Times New Roman"/>
        </w:rPr>
        <w:t xml:space="preserve"> R, </w:t>
      </w:r>
      <w:proofErr w:type="spellStart"/>
      <w:r w:rsidRPr="00834CDC">
        <w:rPr>
          <w:rFonts w:eastAsia="Times New Roman"/>
        </w:rPr>
        <w:t>Lexau</w:t>
      </w:r>
      <w:proofErr w:type="spellEnd"/>
      <w:r w:rsidRPr="00834CDC">
        <w:rPr>
          <w:rFonts w:eastAsia="Times New Roman"/>
        </w:rPr>
        <w:t xml:space="preserve"> C, Bennett NM et al. Effect of use of 13-valent pneumococcal conjugate vaccine in children on invasive pneumococcal disease in children and adults in the USA: analysis of multisite, population-based surveillance. </w:t>
      </w:r>
      <w:r w:rsidRPr="00834CDC">
        <w:rPr>
          <w:rStyle w:val="Emphasis"/>
          <w:rFonts w:eastAsia="Times New Roman"/>
          <w:b w:val="0"/>
          <w:bCs w:val="0"/>
        </w:rPr>
        <w:t>Lancet Infect Dis</w:t>
      </w:r>
      <w:r w:rsidRPr="00834CDC">
        <w:rPr>
          <w:rFonts w:eastAsia="Times New Roman"/>
        </w:rPr>
        <w:t xml:space="preserve">. 2015;15(3):301–9. </w:t>
      </w:r>
      <w:proofErr w:type="spellStart"/>
      <w:r w:rsidRPr="00834CDC">
        <w:rPr>
          <w:rFonts w:eastAsia="Times New Roman"/>
        </w:rPr>
        <w:t>doi</w:t>
      </w:r>
      <w:proofErr w:type="spellEnd"/>
      <w:r w:rsidRPr="00834CDC">
        <w:rPr>
          <w:rFonts w:eastAsia="Times New Roman"/>
        </w:rPr>
        <w:t xml:space="preserve">: https://doi.org/10.1016/S1473-3099(14)71081-3. </w:t>
      </w:r>
    </w:p>
    <w:p w14:paraId="52A3D8F6"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Waight</w:t>
      </w:r>
      <w:proofErr w:type="spellEnd"/>
      <w:r w:rsidRPr="00834CDC">
        <w:rPr>
          <w:rFonts w:eastAsia="Times New Roman"/>
        </w:rPr>
        <w:t xml:space="preserve"> PA, Andrews NJ, </w:t>
      </w:r>
      <w:proofErr w:type="spellStart"/>
      <w:r w:rsidRPr="00834CDC">
        <w:rPr>
          <w:rFonts w:eastAsia="Times New Roman"/>
        </w:rPr>
        <w:t>Ladhani</w:t>
      </w:r>
      <w:proofErr w:type="spellEnd"/>
      <w:r w:rsidRPr="00834CDC">
        <w:rPr>
          <w:rFonts w:eastAsia="Times New Roman"/>
        </w:rPr>
        <w:t xml:space="preserve"> SN, Sheppard CL, Slack MP, Miller E. Effect of the 13-valent pneumococcal conjugate vaccine on invasive pneumococcal disease in England and Wales 4 years after its introduction: an observational cohort study. </w:t>
      </w:r>
      <w:r w:rsidRPr="00834CDC">
        <w:rPr>
          <w:rStyle w:val="Emphasis"/>
          <w:rFonts w:eastAsia="Times New Roman"/>
          <w:b w:val="0"/>
          <w:bCs w:val="0"/>
        </w:rPr>
        <w:t>Lancet Infect Dis</w:t>
      </w:r>
      <w:r w:rsidRPr="00834CDC">
        <w:rPr>
          <w:rFonts w:eastAsia="Times New Roman"/>
        </w:rPr>
        <w:t xml:space="preserve">. 2015;15(5):535–43. </w:t>
      </w:r>
      <w:proofErr w:type="spellStart"/>
      <w:r w:rsidRPr="00834CDC">
        <w:rPr>
          <w:rFonts w:eastAsia="Times New Roman"/>
        </w:rPr>
        <w:t>doi</w:t>
      </w:r>
      <w:proofErr w:type="spellEnd"/>
      <w:r w:rsidRPr="00834CDC">
        <w:rPr>
          <w:rFonts w:eastAsia="Times New Roman"/>
        </w:rPr>
        <w:t xml:space="preserve">: https://doi.org/10.1016/S1473-3099(15)70044-7. </w:t>
      </w:r>
    </w:p>
    <w:p w14:paraId="72C7295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Menzies R, Stein AN, </w:t>
      </w:r>
      <w:proofErr w:type="spellStart"/>
      <w:r w:rsidRPr="00834CDC">
        <w:rPr>
          <w:rFonts w:eastAsia="Times New Roman"/>
        </w:rPr>
        <w:t>Booy</w:t>
      </w:r>
      <w:proofErr w:type="spellEnd"/>
      <w:r w:rsidRPr="00834CDC">
        <w:rPr>
          <w:rFonts w:eastAsia="Times New Roman"/>
        </w:rPr>
        <w:t xml:space="preserve"> R, Van </w:t>
      </w:r>
      <w:proofErr w:type="spellStart"/>
      <w:r w:rsidRPr="00834CDC">
        <w:rPr>
          <w:rFonts w:eastAsia="Times New Roman"/>
        </w:rPr>
        <w:t>Buynder</w:t>
      </w:r>
      <w:proofErr w:type="spellEnd"/>
      <w:r w:rsidRPr="00834CDC">
        <w:rPr>
          <w:rFonts w:eastAsia="Times New Roman"/>
        </w:rPr>
        <w:t xml:space="preserve"> PG, </w:t>
      </w:r>
      <w:proofErr w:type="spellStart"/>
      <w:r w:rsidRPr="00834CDC">
        <w:rPr>
          <w:rFonts w:eastAsia="Times New Roman"/>
        </w:rPr>
        <w:t>Litt</w:t>
      </w:r>
      <w:proofErr w:type="spellEnd"/>
      <w:r w:rsidRPr="00834CDC">
        <w:rPr>
          <w:rFonts w:eastAsia="Times New Roman"/>
        </w:rPr>
        <w:t xml:space="preserve"> J, Cripps AW. The impact of the changing pneumococcal national immunisation program among older Australians. </w:t>
      </w:r>
      <w:r w:rsidRPr="00834CDC">
        <w:rPr>
          <w:rStyle w:val="Emphasis"/>
          <w:rFonts w:eastAsia="Times New Roman"/>
          <w:b w:val="0"/>
          <w:bCs w:val="0"/>
        </w:rPr>
        <w:t>Vaccine</w:t>
      </w:r>
      <w:r w:rsidRPr="00834CDC">
        <w:rPr>
          <w:rFonts w:eastAsia="Times New Roman"/>
        </w:rPr>
        <w:t xml:space="preserve">. 2021;39(4):720–8. </w:t>
      </w:r>
      <w:proofErr w:type="spellStart"/>
      <w:r w:rsidRPr="00834CDC">
        <w:rPr>
          <w:rFonts w:eastAsia="Times New Roman"/>
        </w:rPr>
        <w:t>doi</w:t>
      </w:r>
      <w:proofErr w:type="spellEnd"/>
      <w:r w:rsidRPr="00834CDC">
        <w:rPr>
          <w:rFonts w:eastAsia="Times New Roman"/>
        </w:rPr>
        <w:t xml:space="preserve">: https://doi.org/10.1016/j.vaccine.2020.12.025. </w:t>
      </w:r>
    </w:p>
    <w:p w14:paraId="5D8AA00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Strachan R, </w:t>
      </w:r>
      <w:proofErr w:type="spellStart"/>
      <w:r w:rsidRPr="00834CDC">
        <w:rPr>
          <w:rFonts w:eastAsia="Times New Roman"/>
        </w:rPr>
        <w:t>Homaira</w:t>
      </w:r>
      <w:proofErr w:type="spellEnd"/>
      <w:r w:rsidRPr="00834CDC">
        <w:rPr>
          <w:rFonts w:eastAsia="Times New Roman"/>
        </w:rPr>
        <w:t xml:space="preserve"> N, Beggs S, Bhuiyan MU, Gilbert GL, Lambert SB et al. Assessing the impact of the </w:t>
      </w:r>
      <w:proofErr w:type="gramStart"/>
      <w:r w:rsidRPr="00834CDC">
        <w:rPr>
          <w:rFonts w:eastAsia="Times New Roman"/>
        </w:rPr>
        <w:t>13</w:t>
      </w:r>
      <w:proofErr w:type="gramEnd"/>
      <w:r w:rsidRPr="00834CDC">
        <w:rPr>
          <w:rFonts w:eastAsia="Times New Roman"/>
        </w:rPr>
        <w:t xml:space="preserve"> valent pneumococcal vaccine on childhood empyema in Australia. </w:t>
      </w:r>
      <w:r w:rsidRPr="00834CDC">
        <w:rPr>
          <w:rStyle w:val="Emphasis"/>
          <w:rFonts w:eastAsia="Times New Roman"/>
          <w:b w:val="0"/>
          <w:bCs w:val="0"/>
        </w:rPr>
        <w:t>Thorax</w:t>
      </w:r>
      <w:r w:rsidRPr="00834CDC">
        <w:rPr>
          <w:rFonts w:eastAsia="Times New Roman"/>
        </w:rPr>
        <w:t xml:space="preserve">. 2021;76(5):487–93. </w:t>
      </w:r>
      <w:proofErr w:type="spellStart"/>
      <w:r w:rsidRPr="00834CDC">
        <w:rPr>
          <w:rFonts w:eastAsia="Times New Roman"/>
        </w:rPr>
        <w:t>doi</w:t>
      </w:r>
      <w:proofErr w:type="spellEnd"/>
      <w:r w:rsidRPr="00834CDC">
        <w:rPr>
          <w:rFonts w:eastAsia="Times New Roman"/>
        </w:rPr>
        <w:t xml:space="preserve">: https://doi.org/10.1136/thoraxjnl-2020-216032. </w:t>
      </w:r>
    </w:p>
    <w:p w14:paraId="2A297B04"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Choi EH, Zhang F, Lu YJ, Malley R. Capsular polysaccharide (CPS) release by serotype </w:t>
      </w:r>
      <w:proofErr w:type="gramStart"/>
      <w:r w:rsidRPr="00834CDC">
        <w:rPr>
          <w:rFonts w:eastAsia="Times New Roman"/>
        </w:rPr>
        <w:t>3</w:t>
      </w:r>
      <w:proofErr w:type="gramEnd"/>
      <w:r w:rsidRPr="00834CDC">
        <w:rPr>
          <w:rFonts w:eastAsia="Times New Roman"/>
        </w:rPr>
        <w:t xml:space="preserve"> pneumococcal strains reduces the protective effect of anti-type 3 CPS antibodies. </w:t>
      </w:r>
      <w:r w:rsidRPr="00834CDC">
        <w:rPr>
          <w:rStyle w:val="Emphasis"/>
          <w:rFonts w:eastAsia="Times New Roman"/>
          <w:b w:val="0"/>
          <w:bCs w:val="0"/>
        </w:rPr>
        <w:t>Clin Vaccine Immunol</w:t>
      </w:r>
      <w:r w:rsidRPr="00834CDC">
        <w:rPr>
          <w:rFonts w:eastAsia="Times New Roman"/>
        </w:rPr>
        <w:t xml:space="preserve">. 2016;23(2):162–7. </w:t>
      </w:r>
      <w:proofErr w:type="spellStart"/>
      <w:r w:rsidRPr="00834CDC">
        <w:rPr>
          <w:rFonts w:eastAsia="Times New Roman"/>
        </w:rPr>
        <w:t>doi</w:t>
      </w:r>
      <w:proofErr w:type="spellEnd"/>
      <w:r w:rsidRPr="00834CDC">
        <w:rPr>
          <w:rFonts w:eastAsia="Times New Roman"/>
        </w:rPr>
        <w:t xml:space="preserve">: https://doi.org/10.1128/CVI.00591-15. </w:t>
      </w:r>
    </w:p>
    <w:p w14:paraId="14611FD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Yeh SH, </w:t>
      </w:r>
      <w:proofErr w:type="spellStart"/>
      <w:r w:rsidRPr="00834CDC">
        <w:rPr>
          <w:rFonts w:eastAsia="Times New Roman"/>
        </w:rPr>
        <w:t>Gurtman</w:t>
      </w:r>
      <w:proofErr w:type="spellEnd"/>
      <w:r w:rsidRPr="00834CDC">
        <w:rPr>
          <w:rFonts w:eastAsia="Times New Roman"/>
        </w:rPr>
        <w:t xml:space="preserve"> A, Hurley DC, Block SL, Schwartz RH, Patterson S et al. Immunogenicity and safety of 13-valent pneumococcal conjugate vaccine in infants and toddlers. </w:t>
      </w:r>
      <w:proofErr w:type="spellStart"/>
      <w:r w:rsidRPr="00834CDC">
        <w:rPr>
          <w:rStyle w:val="Emphasis"/>
          <w:rFonts w:eastAsia="Times New Roman"/>
          <w:b w:val="0"/>
          <w:bCs w:val="0"/>
        </w:rPr>
        <w:t>Pediatrics</w:t>
      </w:r>
      <w:proofErr w:type="spellEnd"/>
      <w:r w:rsidRPr="00834CDC">
        <w:rPr>
          <w:rFonts w:eastAsia="Times New Roman"/>
        </w:rPr>
        <w:t>. 2010;126(3</w:t>
      </w:r>
      <w:proofErr w:type="gramStart"/>
      <w:r w:rsidRPr="00834CDC">
        <w:rPr>
          <w:rFonts w:eastAsia="Times New Roman"/>
        </w:rPr>
        <w:t>):e</w:t>
      </w:r>
      <w:proofErr w:type="gramEnd"/>
      <w:r w:rsidRPr="00834CDC">
        <w:rPr>
          <w:rFonts w:eastAsia="Times New Roman"/>
        </w:rPr>
        <w:t xml:space="preserve">493–505. </w:t>
      </w:r>
      <w:proofErr w:type="spellStart"/>
      <w:r w:rsidRPr="00834CDC">
        <w:rPr>
          <w:rFonts w:eastAsia="Times New Roman"/>
        </w:rPr>
        <w:t>doi</w:t>
      </w:r>
      <w:proofErr w:type="spellEnd"/>
      <w:r w:rsidRPr="00834CDC">
        <w:rPr>
          <w:rFonts w:eastAsia="Times New Roman"/>
        </w:rPr>
        <w:t xml:space="preserve">: https://doi.org/10.1542/peds.2009-3027. </w:t>
      </w:r>
    </w:p>
    <w:p w14:paraId="6D0E8D2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Stacey HL, Rosen J, Peterson JT, Williams-Diaz A, </w:t>
      </w:r>
      <w:proofErr w:type="spellStart"/>
      <w:r w:rsidRPr="00834CDC">
        <w:rPr>
          <w:rFonts w:eastAsia="Times New Roman"/>
        </w:rPr>
        <w:t>Gakhar</w:t>
      </w:r>
      <w:proofErr w:type="spellEnd"/>
      <w:r w:rsidRPr="00834CDC">
        <w:rPr>
          <w:rFonts w:eastAsia="Times New Roman"/>
        </w:rPr>
        <w:t xml:space="preserve"> V, Sterling TM et al. Safety and immunogenicity of 15-valent pneumococcal conjugate vaccine (PCV-15) compared to PCV-13 in healthy older adults. </w:t>
      </w:r>
      <w:r w:rsidRPr="00834CDC">
        <w:rPr>
          <w:rStyle w:val="Emphasis"/>
          <w:rFonts w:eastAsia="Times New Roman"/>
          <w:b w:val="0"/>
          <w:bCs w:val="0"/>
        </w:rPr>
        <w:t xml:space="preserve">Hum </w:t>
      </w:r>
      <w:proofErr w:type="spellStart"/>
      <w:r w:rsidRPr="00834CDC">
        <w:rPr>
          <w:rStyle w:val="Emphasis"/>
          <w:rFonts w:eastAsia="Times New Roman"/>
          <w:b w:val="0"/>
          <w:bCs w:val="0"/>
        </w:rPr>
        <w:t>Vaccin</w:t>
      </w:r>
      <w:proofErr w:type="spellEnd"/>
      <w:r w:rsidRPr="00834CDC">
        <w:rPr>
          <w:rStyle w:val="Emphasis"/>
          <w:rFonts w:eastAsia="Times New Roman"/>
          <w:b w:val="0"/>
          <w:bCs w:val="0"/>
        </w:rPr>
        <w:t xml:space="preserve"> </w:t>
      </w:r>
      <w:proofErr w:type="spellStart"/>
      <w:r w:rsidRPr="00834CDC">
        <w:rPr>
          <w:rStyle w:val="Emphasis"/>
          <w:rFonts w:eastAsia="Times New Roman"/>
          <w:b w:val="0"/>
          <w:bCs w:val="0"/>
        </w:rPr>
        <w:t>Immunother</w:t>
      </w:r>
      <w:proofErr w:type="spellEnd"/>
      <w:r w:rsidRPr="00834CDC">
        <w:rPr>
          <w:rFonts w:eastAsia="Times New Roman"/>
        </w:rPr>
        <w:t xml:space="preserve">. 2019;15(3):530–9. </w:t>
      </w:r>
      <w:proofErr w:type="spellStart"/>
      <w:r w:rsidRPr="00834CDC">
        <w:rPr>
          <w:rFonts w:eastAsia="Times New Roman"/>
        </w:rPr>
        <w:t>doi</w:t>
      </w:r>
      <w:proofErr w:type="spellEnd"/>
      <w:r w:rsidRPr="00834CDC">
        <w:rPr>
          <w:rFonts w:eastAsia="Times New Roman"/>
        </w:rPr>
        <w:t xml:space="preserve">: https://doi.org/10.1080/21645515.2018.1532249. </w:t>
      </w:r>
    </w:p>
    <w:p w14:paraId="624B325E"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Thompson A, </w:t>
      </w:r>
      <w:proofErr w:type="spellStart"/>
      <w:r w:rsidRPr="00834CDC">
        <w:rPr>
          <w:rFonts w:eastAsia="Times New Roman"/>
        </w:rPr>
        <w:t>Lamberth</w:t>
      </w:r>
      <w:proofErr w:type="spellEnd"/>
      <w:r w:rsidRPr="00834CDC">
        <w:rPr>
          <w:rFonts w:eastAsia="Times New Roman"/>
        </w:rPr>
        <w:t xml:space="preserve"> E, Severs J, Scully I, </w:t>
      </w:r>
      <w:proofErr w:type="spellStart"/>
      <w:r w:rsidRPr="00834CDC">
        <w:rPr>
          <w:rFonts w:eastAsia="Times New Roman"/>
        </w:rPr>
        <w:t>Tarabar</w:t>
      </w:r>
      <w:proofErr w:type="spellEnd"/>
      <w:r w:rsidRPr="00834CDC">
        <w:rPr>
          <w:rFonts w:eastAsia="Times New Roman"/>
        </w:rPr>
        <w:t xml:space="preserve"> S, </w:t>
      </w:r>
      <w:proofErr w:type="spellStart"/>
      <w:r w:rsidRPr="00834CDC">
        <w:rPr>
          <w:rFonts w:eastAsia="Times New Roman"/>
        </w:rPr>
        <w:t>Ginis</w:t>
      </w:r>
      <w:proofErr w:type="spellEnd"/>
      <w:r w:rsidRPr="00834CDC">
        <w:rPr>
          <w:rFonts w:eastAsia="Times New Roman"/>
        </w:rPr>
        <w:t xml:space="preserve"> J et al. Phase 1 trial of a 20-valent pneumococcal conjugate vaccine in healthy adults. </w:t>
      </w:r>
      <w:r w:rsidRPr="00834CDC">
        <w:rPr>
          <w:rStyle w:val="Emphasis"/>
          <w:rFonts w:eastAsia="Times New Roman"/>
          <w:b w:val="0"/>
          <w:bCs w:val="0"/>
        </w:rPr>
        <w:t>Vaccine</w:t>
      </w:r>
      <w:r w:rsidRPr="00834CDC">
        <w:rPr>
          <w:rFonts w:eastAsia="Times New Roman"/>
        </w:rPr>
        <w:t xml:space="preserve">. 2019;37(42):6201–7. </w:t>
      </w:r>
      <w:proofErr w:type="spellStart"/>
      <w:r w:rsidRPr="00834CDC">
        <w:rPr>
          <w:rFonts w:eastAsia="Times New Roman"/>
        </w:rPr>
        <w:t>doi</w:t>
      </w:r>
      <w:proofErr w:type="spellEnd"/>
      <w:r w:rsidRPr="00834CDC">
        <w:rPr>
          <w:rFonts w:eastAsia="Times New Roman"/>
        </w:rPr>
        <w:t xml:space="preserve">: https://doi.org/10.1016/j.vaccine.2019.08.048. </w:t>
      </w:r>
    </w:p>
    <w:p w14:paraId="79D8285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Collins DA, Hoskins A, Bowman J, Jones J, Stemberger NA, Richmond PC et al. High nasopharyngeal carriage of non-vaccine serotypes in Western Australian Aboriginal people following 10 years of pneumococcal conjugate vaccination. </w:t>
      </w:r>
      <w:proofErr w:type="spellStart"/>
      <w:r w:rsidRPr="00834CDC">
        <w:rPr>
          <w:rStyle w:val="Emphasis"/>
          <w:rFonts w:eastAsia="Times New Roman"/>
          <w:b w:val="0"/>
          <w:bCs w:val="0"/>
        </w:rPr>
        <w:t>PLoS</w:t>
      </w:r>
      <w:proofErr w:type="spellEnd"/>
      <w:r w:rsidRPr="00834CDC">
        <w:rPr>
          <w:rStyle w:val="Emphasis"/>
          <w:rFonts w:eastAsia="Times New Roman"/>
          <w:b w:val="0"/>
          <w:bCs w:val="0"/>
        </w:rPr>
        <w:t xml:space="preserve"> One</w:t>
      </w:r>
      <w:r w:rsidRPr="00834CDC">
        <w:rPr>
          <w:rFonts w:eastAsia="Times New Roman"/>
        </w:rPr>
        <w:t>. 2013;8(12</w:t>
      </w:r>
      <w:proofErr w:type="gramStart"/>
      <w:r w:rsidRPr="00834CDC">
        <w:rPr>
          <w:rFonts w:eastAsia="Times New Roman"/>
        </w:rPr>
        <w:t>):e</w:t>
      </w:r>
      <w:proofErr w:type="gramEnd"/>
      <w:r w:rsidRPr="00834CDC">
        <w:rPr>
          <w:rFonts w:eastAsia="Times New Roman"/>
        </w:rPr>
        <w:t xml:space="preserve">82280. </w:t>
      </w:r>
      <w:proofErr w:type="spellStart"/>
      <w:r w:rsidRPr="00834CDC">
        <w:rPr>
          <w:rFonts w:eastAsia="Times New Roman"/>
        </w:rPr>
        <w:t>doi</w:t>
      </w:r>
      <w:proofErr w:type="spellEnd"/>
      <w:r w:rsidRPr="00834CDC">
        <w:rPr>
          <w:rFonts w:eastAsia="Times New Roman"/>
        </w:rPr>
        <w:t xml:space="preserve">: https://doi.org/10.1371/journal.pone.0082280. </w:t>
      </w:r>
    </w:p>
    <w:p w14:paraId="7491B7C0"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Troeger</w:t>
      </w:r>
      <w:proofErr w:type="spellEnd"/>
      <w:r w:rsidRPr="00834CDC">
        <w:rPr>
          <w:rFonts w:eastAsia="Times New Roman"/>
        </w:rPr>
        <w:t xml:space="preserve"> C, Khalil IA, Rao PC, Cao S, Blacker BF, Ahmed T, et al. Rotavirus vaccination and the global burden of rotavirus diarrhea among children younger than 5 years. </w:t>
      </w:r>
      <w:r w:rsidRPr="00834CDC">
        <w:rPr>
          <w:rStyle w:val="Emphasis"/>
          <w:rFonts w:eastAsia="Times New Roman"/>
          <w:b w:val="0"/>
          <w:bCs w:val="0"/>
        </w:rPr>
        <w:t xml:space="preserve">JAMA </w:t>
      </w:r>
      <w:proofErr w:type="spellStart"/>
      <w:r w:rsidRPr="00834CDC">
        <w:rPr>
          <w:rStyle w:val="Emphasis"/>
          <w:rFonts w:eastAsia="Times New Roman"/>
          <w:b w:val="0"/>
          <w:bCs w:val="0"/>
        </w:rPr>
        <w:t>pediatrics</w:t>
      </w:r>
      <w:proofErr w:type="spellEnd"/>
      <w:r w:rsidRPr="00834CDC">
        <w:rPr>
          <w:rFonts w:eastAsia="Times New Roman"/>
        </w:rPr>
        <w:t xml:space="preserve">. 2018;172(10):958–65. </w:t>
      </w:r>
      <w:proofErr w:type="spellStart"/>
      <w:r w:rsidRPr="00834CDC">
        <w:rPr>
          <w:rFonts w:eastAsia="Times New Roman"/>
        </w:rPr>
        <w:t>doi</w:t>
      </w:r>
      <w:proofErr w:type="spellEnd"/>
      <w:r w:rsidRPr="00834CDC">
        <w:rPr>
          <w:rFonts w:eastAsia="Times New Roman"/>
        </w:rPr>
        <w:t xml:space="preserve">: https://doi.org/10.1001/jamapediatrics.2018.1960. </w:t>
      </w:r>
    </w:p>
    <w:p w14:paraId="154328AE"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Parashar UD, Cortese MM, Offit PA. 52 – Rotavirus Vaccines. In Plotkin SA, Orenstein WA, Offit PA, Edwards KM, eds. </w:t>
      </w:r>
      <w:r w:rsidRPr="00834CDC">
        <w:rPr>
          <w:rStyle w:val="Emphasis"/>
          <w:rFonts w:eastAsia="Times New Roman"/>
          <w:b w:val="0"/>
          <w:bCs w:val="0"/>
        </w:rPr>
        <w:t>Plotkin’s Vaccines</w:t>
      </w:r>
      <w:r w:rsidRPr="00834CDC">
        <w:rPr>
          <w:rFonts w:eastAsia="Times New Roman"/>
        </w:rPr>
        <w:t xml:space="preserve"> (</w:t>
      </w:r>
      <w:proofErr w:type="gramStart"/>
      <w:r w:rsidRPr="00834CDC">
        <w:rPr>
          <w:rFonts w:eastAsia="Times New Roman"/>
        </w:rPr>
        <w:t>7th</w:t>
      </w:r>
      <w:proofErr w:type="gramEnd"/>
      <w:r w:rsidRPr="00834CDC">
        <w:rPr>
          <w:rFonts w:eastAsia="Times New Roman"/>
        </w:rPr>
        <w:t xml:space="preserve"> edition). Amsterdam: Elsevier, 2018;950–</w:t>
      </w:r>
      <w:proofErr w:type="gramStart"/>
      <w:r w:rsidRPr="00834CDC">
        <w:rPr>
          <w:rFonts w:eastAsia="Times New Roman"/>
        </w:rPr>
        <w:t>69.e</w:t>
      </w:r>
      <w:proofErr w:type="gramEnd"/>
      <w:r w:rsidRPr="00834CDC">
        <w:rPr>
          <w:rFonts w:eastAsia="Times New Roman"/>
        </w:rPr>
        <w:t xml:space="preserve">11. </w:t>
      </w:r>
      <w:proofErr w:type="spellStart"/>
      <w:r w:rsidRPr="00834CDC">
        <w:rPr>
          <w:rFonts w:eastAsia="Times New Roman"/>
        </w:rPr>
        <w:t>doi</w:t>
      </w:r>
      <w:proofErr w:type="spellEnd"/>
      <w:r w:rsidRPr="00834CDC">
        <w:rPr>
          <w:rFonts w:eastAsia="Times New Roman"/>
        </w:rPr>
        <w:t xml:space="preserve">: https//doi.org/10.1016/B978-0-323-35761-6.00051-1. </w:t>
      </w:r>
    </w:p>
    <w:p w14:paraId="4C7C4C4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Donato CM, Roczo-Farkas S, Kirkwood CD, Barnes GL, Bines JE. Rotavirus disease and genotype diversity in older children and adults in Australia. </w:t>
      </w:r>
      <w:r w:rsidRPr="00834CDC">
        <w:rPr>
          <w:rStyle w:val="Emphasis"/>
          <w:rFonts w:eastAsia="Times New Roman"/>
          <w:b w:val="0"/>
          <w:bCs w:val="0"/>
        </w:rPr>
        <w:t>J Infect Dis</w:t>
      </w:r>
      <w:r w:rsidRPr="00834CDC">
        <w:rPr>
          <w:rFonts w:eastAsia="Times New Roman"/>
        </w:rPr>
        <w:t xml:space="preserve">. 2022;225(12):2116–26. </w:t>
      </w:r>
      <w:proofErr w:type="spellStart"/>
      <w:r w:rsidRPr="00834CDC">
        <w:rPr>
          <w:rFonts w:eastAsia="Times New Roman"/>
        </w:rPr>
        <w:t>doi</w:t>
      </w:r>
      <w:proofErr w:type="spellEnd"/>
      <w:r w:rsidRPr="00834CDC">
        <w:rPr>
          <w:rFonts w:eastAsia="Times New Roman"/>
        </w:rPr>
        <w:t xml:space="preserve">: https://doi.org/10.1093/infdis/jiaa430. </w:t>
      </w:r>
    </w:p>
    <w:p w14:paraId="57878BB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Queensland Government Department of Health (Queensland Health). </w:t>
      </w:r>
      <w:r w:rsidRPr="00834CDC">
        <w:rPr>
          <w:rStyle w:val="Emphasis"/>
          <w:rFonts w:eastAsia="Times New Roman"/>
          <w:b w:val="0"/>
          <w:bCs w:val="0"/>
        </w:rPr>
        <w:t>Rotavirus in Queensland, 2006–2017</w:t>
      </w:r>
      <w:r w:rsidRPr="00834CDC">
        <w:rPr>
          <w:rFonts w:eastAsia="Times New Roman"/>
        </w:rPr>
        <w:t xml:space="preserve">. Brisbane: Queensland Health; 2017. [Accessed on 26 September 2022.] Available from: https://www.health.qld.gov.au/__data/assets/pdf_file/0025/675502/rotavirus-2017-report.pdf. </w:t>
      </w:r>
    </w:p>
    <w:p w14:paraId="06090890"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lastRenderedPageBreak/>
        <w:t xml:space="preserve">Maguire J, Glasgow K, Glass K, Roczo-Farkas S, Bines JE, Sheppeard V et al. Rotavirus epidemiology and </w:t>
      </w:r>
      <w:proofErr w:type="spellStart"/>
      <w:r w:rsidRPr="00834CDC">
        <w:rPr>
          <w:rFonts w:eastAsia="Times New Roman"/>
        </w:rPr>
        <w:t>monovalents</w:t>
      </w:r>
      <w:proofErr w:type="spellEnd"/>
      <w:r w:rsidRPr="00834CDC">
        <w:rPr>
          <w:rFonts w:eastAsia="Times New Roman"/>
        </w:rPr>
        <w:t xml:space="preserve"> rotavirus vaccine effectiveness in Australia: 2010–2017. </w:t>
      </w:r>
      <w:proofErr w:type="spellStart"/>
      <w:r w:rsidRPr="00834CDC">
        <w:rPr>
          <w:rStyle w:val="Emphasis"/>
          <w:rFonts w:eastAsia="Times New Roman"/>
          <w:b w:val="0"/>
          <w:bCs w:val="0"/>
        </w:rPr>
        <w:t>Pediatrics</w:t>
      </w:r>
      <w:proofErr w:type="spellEnd"/>
      <w:r w:rsidRPr="00834CDC">
        <w:rPr>
          <w:rFonts w:eastAsia="Times New Roman"/>
        </w:rPr>
        <w:t>. 2019;144(4</w:t>
      </w:r>
      <w:proofErr w:type="gramStart"/>
      <w:r w:rsidRPr="00834CDC">
        <w:rPr>
          <w:rFonts w:eastAsia="Times New Roman"/>
        </w:rPr>
        <w:t>):e</w:t>
      </w:r>
      <w:proofErr w:type="gramEnd"/>
      <w:r w:rsidRPr="00834CDC">
        <w:rPr>
          <w:rFonts w:eastAsia="Times New Roman"/>
        </w:rPr>
        <w:t xml:space="preserve">20191024. </w:t>
      </w:r>
      <w:proofErr w:type="spellStart"/>
      <w:r w:rsidRPr="00834CDC">
        <w:rPr>
          <w:rFonts w:eastAsia="Times New Roman"/>
        </w:rPr>
        <w:t>doi</w:t>
      </w:r>
      <w:proofErr w:type="spellEnd"/>
      <w:r w:rsidRPr="00834CDC">
        <w:rPr>
          <w:rFonts w:eastAsia="Times New Roman"/>
        </w:rPr>
        <w:t xml:space="preserve">: https://doi.org/10.1542/peds.2019-1024. </w:t>
      </w:r>
    </w:p>
    <w:p w14:paraId="239A3E8D"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Roczo-Farkas S, Cowley D, Bines JE. Australian Rotavirus Surveillance Program: Annual Report, 2017.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2019;</w:t>
      </w:r>
      <w:proofErr w:type="gramStart"/>
      <w:r w:rsidRPr="00834CDC">
        <w:rPr>
          <w:rFonts w:eastAsia="Times New Roman"/>
        </w:rPr>
        <w:t>43</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https://doi.org/10.33321/cdi.2019.43.28. </w:t>
      </w:r>
    </w:p>
    <w:p w14:paraId="6F5E709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Snelling TL, Andrews RM, Kirkwood CD, </w:t>
      </w:r>
      <w:proofErr w:type="spellStart"/>
      <w:r w:rsidRPr="00834CDC">
        <w:rPr>
          <w:rFonts w:eastAsia="Times New Roman"/>
        </w:rPr>
        <w:t>Culvenor</w:t>
      </w:r>
      <w:proofErr w:type="spellEnd"/>
      <w:r w:rsidRPr="00834CDC">
        <w:rPr>
          <w:rFonts w:eastAsia="Times New Roman"/>
        </w:rPr>
        <w:t xml:space="preserve"> S, </w:t>
      </w:r>
      <w:proofErr w:type="spellStart"/>
      <w:r w:rsidRPr="00834CDC">
        <w:rPr>
          <w:rFonts w:eastAsia="Times New Roman"/>
        </w:rPr>
        <w:t>Carapetis</w:t>
      </w:r>
      <w:proofErr w:type="spellEnd"/>
      <w:r w:rsidRPr="00834CDC">
        <w:rPr>
          <w:rFonts w:eastAsia="Times New Roman"/>
        </w:rPr>
        <w:t xml:space="preserve"> JR. Case-control evaluation of the effectiveness of the G1</w:t>
      </w:r>
      <w:proofErr w:type="gramStart"/>
      <w:r w:rsidRPr="00834CDC">
        <w:rPr>
          <w:rFonts w:eastAsia="Times New Roman"/>
        </w:rPr>
        <w:t>P[</w:t>
      </w:r>
      <w:proofErr w:type="gramEnd"/>
      <w:r w:rsidRPr="00834CDC">
        <w:rPr>
          <w:rFonts w:eastAsia="Times New Roman"/>
        </w:rPr>
        <w:t xml:space="preserve">8] human rotavirus vaccine during an outbreak of rotavirus G2P[4] infection in central Australia. </w:t>
      </w:r>
      <w:r w:rsidRPr="00834CDC">
        <w:rPr>
          <w:rStyle w:val="Emphasis"/>
          <w:rFonts w:eastAsia="Times New Roman"/>
          <w:b w:val="0"/>
          <w:bCs w:val="0"/>
        </w:rPr>
        <w:t>Clin Infect Dis</w:t>
      </w:r>
      <w:r w:rsidRPr="00834CDC">
        <w:rPr>
          <w:rFonts w:eastAsia="Times New Roman"/>
        </w:rPr>
        <w:t xml:space="preserve">. 2011;52(2):191–9. </w:t>
      </w:r>
      <w:proofErr w:type="spellStart"/>
      <w:r w:rsidRPr="00834CDC">
        <w:rPr>
          <w:rFonts w:eastAsia="Times New Roman"/>
        </w:rPr>
        <w:t>doi</w:t>
      </w:r>
      <w:proofErr w:type="spellEnd"/>
      <w:r w:rsidRPr="00834CDC">
        <w:rPr>
          <w:rFonts w:eastAsia="Times New Roman"/>
        </w:rPr>
        <w:t xml:space="preserve">: https://doi.org/10.1093/cid/ciq101. </w:t>
      </w:r>
    </w:p>
    <w:p w14:paraId="1511B0F0"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Whiley DM, Ye S, Tozer S, Clark JE, </w:t>
      </w:r>
      <w:proofErr w:type="spellStart"/>
      <w:r w:rsidRPr="00834CDC">
        <w:rPr>
          <w:rFonts w:eastAsia="Times New Roman"/>
        </w:rPr>
        <w:t>Bletchly</w:t>
      </w:r>
      <w:proofErr w:type="spellEnd"/>
      <w:r w:rsidRPr="00834CDC">
        <w:rPr>
          <w:rFonts w:eastAsia="Times New Roman"/>
        </w:rPr>
        <w:t xml:space="preserve"> C, Lambert SB et al. Over-diagnosis of rotavirus infections in infants due to detection of vaccine virus. </w:t>
      </w:r>
      <w:r w:rsidRPr="00834CDC">
        <w:rPr>
          <w:rStyle w:val="Emphasis"/>
          <w:rFonts w:eastAsia="Times New Roman"/>
          <w:b w:val="0"/>
          <w:bCs w:val="0"/>
        </w:rPr>
        <w:t>Clin Infect Dis</w:t>
      </w:r>
      <w:r w:rsidRPr="00834CDC">
        <w:rPr>
          <w:rFonts w:eastAsia="Times New Roman"/>
        </w:rPr>
        <w:t xml:space="preserve">. 2020;71(5):1324–6. </w:t>
      </w:r>
      <w:proofErr w:type="spellStart"/>
      <w:r w:rsidRPr="00834CDC">
        <w:rPr>
          <w:rFonts w:eastAsia="Times New Roman"/>
        </w:rPr>
        <w:t>doi</w:t>
      </w:r>
      <w:proofErr w:type="spellEnd"/>
      <w:r w:rsidRPr="00834CDC">
        <w:rPr>
          <w:rFonts w:eastAsia="Times New Roman"/>
        </w:rPr>
        <w:t xml:space="preserve">: https://doi.org/10.1093/cid/ciz1196. </w:t>
      </w:r>
    </w:p>
    <w:p w14:paraId="62BDB2A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Hsieh YC, Wu FT, </w:t>
      </w:r>
      <w:proofErr w:type="spellStart"/>
      <w:r w:rsidRPr="00834CDC">
        <w:rPr>
          <w:rFonts w:eastAsia="Times New Roman"/>
        </w:rPr>
        <w:t>Hsiung</w:t>
      </w:r>
      <w:proofErr w:type="spellEnd"/>
      <w:r w:rsidRPr="00834CDC">
        <w:rPr>
          <w:rFonts w:eastAsia="Times New Roman"/>
        </w:rPr>
        <w:t xml:space="preserve"> CA, Wu HS, Chang KY, Huang YC. Comparison of virus shedding after lived attenuated and pentavalent </w:t>
      </w:r>
      <w:proofErr w:type="spellStart"/>
      <w:r w:rsidRPr="00834CDC">
        <w:rPr>
          <w:rFonts w:eastAsia="Times New Roman"/>
        </w:rPr>
        <w:t>reassortant</w:t>
      </w:r>
      <w:proofErr w:type="spellEnd"/>
      <w:r w:rsidRPr="00834CDC">
        <w:rPr>
          <w:rFonts w:eastAsia="Times New Roman"/>
        </w:rPr>
        <w:t xml:space="preserve"> rotavirus vaccine. </w:t>
      </w:r>
      <w:r w:rsidRPr="00834CDC">
        <w:rPr>
          <w:rStyle w:val="Emphasis"/>
          <w:rFonts w:eastAsia="Times New Roman"/>
          <w:b w:val="0"/>
          <w:bCs w:val="0"/>
        </w:rPr>
        <w:t>Vaccine</w:t>
      </w:r>
      <w:r w:rsidRPr="00834CDC">
        <w:rPr>
          <w:rFonts w:eastAsia="Times New Roman"/>
        </w:rPr>
        <w:t xml:space="preserve">. 2014;32(10):1199–204. </w:t>
      </w:r>
      <w:proofErr w:type="spellStart"/>
      <w:r w:rsidRPr="00834CDC">
        <w:rPr>
          <w:rFonts w:eastAsia="Times New Roman"/>
        </w:rPr>
        <w:t>doi</w:t>
      </w:r>
      <w:proofErr w:type="spellEnd"/>
      <w:r w:rsidRPr="00834CDC">
        <w:rPr>
          <w:rFonts w:eastAsia="Times New Roman"/>
        </w:rPr>
        <w:t xml:space="preserve">: https://doi.org/10.1016/j.vaccine.2013.08.041. </w:t>
      </w:r>
    </w:p>
    <w:p w14:paraId="227B140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Lee B, Colgate ER. Rotavirus epidemiology and vaccine effectiveness: continuing successes and ongoing challenges. </w:t>
      </w:r>
      <w:proofErr w:type="spellStart"/>
      <w:r w:rsidRPr="00834CDC">
        <w:rPr>
          <w:rStyle w:val="Emphasis"/>
          <w:rFonts w:eastAsia="Times New Roman"/>
          <w:b w:val="0"/>
          <w:bCs w:val="0"/>
        </w:rPr>
        <w:t>Pediatrics</w:t>
      </w:r>
      <w:proofErr w:type="spellEnd"/>
      <w:r w:rsidRPr="00834CDC">
        <w:rPr>
          <w:rFonts w:eastAsia="Times New Roman"/>
        </w:rPr>
        <w:t>. 2019;144(4</w:t>
      </w:r>
      <w:proofErr w:type="gramStart"/>
      <w:r w:rsidRPr="00834CDC">
        <w:rPr>
          <w:rFonts w:eastAsia="Times New Roman"/>
        </w:rPr>
        <w:t>):e</w:t>
      </w:r>
      <w:proofErr w:type="gramEnd"/>
      <w:r w:rsidRPr="00834CDC">
        <w:rPr>
          <w:rFonts w:eastAsia="Times New Roman"/>
        </w:rPr>
        <w:t xml:space="preserve">20192426. </w:t>
      </w:r>
      <w:proofErr w:type="spellStart"/>
      <w:r w:rsidRPr="00834CDC">
        <w:rPr>
          <w:rFonts w:eastAsia="Times New Roman"/>
        </w:rPr>
        <w:t>doi</w:t>
      </w:r>
      <w:proofErr w:type="spellEnd"/>
      <w:r w:rsidRPr="00834CDC">
        <w:rPr>
          <w:rFonts w:eastAsia="Times New Roman"/>
        </w:rPr>
        <w:t xml:space="preserve">: https://doi.org/10.1542/peds.2019-2426. </w:t>
      </w:r>
    </w:p>
    <w:p w14:paraId="66BCDB5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Gracey M, Lee AH, </w:t>
      </w:r>
      <w:proofErr w:type="spellStart"/>
      <w:r w:rsidRPr="00834CDC">
        <w:rPr>
          <w:rFonts w:eastAsia="Times New Roman"/>
        </w:rPr>
        <w:t>Yau</w:t>
      </w:r>
      <w:proofErr w:type="spellEnd"/>
      <w:r w:rsidRPr="00834CDC">
        <w:rPr>
          <w:rFonts w:eastAsia="Times New Roman"/>
        </w:rPr>
        <w:t xml:space="preserve"> KKW. Hospitalisation for gastroenteritis in Western Australia. </w:t>
      </w:r>
      <w:r w:rsidRPr="00834CDC">
        <w:rPr>
          <w:rStyle w:val="Emphasis"/>
          <w:rFonts w:eastAsia="Times New Roman"/>
          <w:b w:val="0"/>
          <w:bCs w:val="0"/>
        </w:rPr>
        <w:t>Arch Dis Child</w:t>
      </w:r>
      <w:r w:rsidRPr="00834CDC">
        <w:rPr>
          <w:rFonts w:eastAsia="Times New Roman"/>
        </w:rPr>
        <w:t xml:space="preserve">. 2004;89(8):768–72. </w:t>
      </w:r>
      <w:proofErr w:type="spellStart"/>
      <w:r w:rsidRPr="00834CDC">
        <w:rPr>
          <w:rFonts w:eastAsia="Times New Roman"/>
        </w:rPr>
        <w:t>doi</w:t>
      </w:r>
      <w:proofErr w:type="spellEnd"/>
      <w:r w:rsidRPr="00834CDC">
        <w:rPr>
          <w:rFonts w:eastAsia="Times New Roman"/>
        </w:rPr>
        <w:t xml:space="preserve">: https://doi.org/10.1136/adc.2003.037531. </w:t>
      </w:r>
    </w:p>
    <w:p w14:paraId="763851CD"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Srinivasjois</w:t>
      </w:r>
      <w:proofErr w:type="spellEnd"/>
      <w:r w:rsidRPr="00834CDC">
        <w:rPr>
          <w:rFonts w:eastAsia="Times New Roman"/>
        </w:rPr>
        <w:t xml:space="preserve"> R, </w:t>
      </w:r>
      <w:proofErr w:type="spellStart"/>
      <w:r w:rsidRPr="00834CDC">
        <w:rPr>
          <w:rFonts w:eastAsia="Times New Roman"/>
        </w:rPr>
        <w:t>Slimings</w:t>
      </w:r>
      <w:proofErr w:type="spellEnd"/>
      <w:r w:rsidRPr="00834CDC">
        <w:rPr>
          <w:rFonts w:eastAsia="Times New Roman"/>
        </w:rPr>
        <w:t xml:space="preserve"> C, </w:t>
      </w:r>
      <w:proofErr w:type="spellStart"/>
      <w:r w:rsidRPr="00834CDC">
        <w:rPr>
          <w:rFonts w:eastAsia="Times New Roman"/>
        </w:rPr>
        <w:t>Einarsdóttir</w:t>
      </w:r>
      <w:proofErr w:type="spellEnd"/>
      <w:r w:rsidRPr="00834CDC">
        <w:rPr>
          <w:rFonts w:eastAsia="Times New Roman"/>
        </w:rPr>
        <w:t xml:space="preserve"> K, </w:t>
      </w:r>
      <w:proofErr w:type="spellStart"/>
      <w:r w:rsidRPr="00834CDC">
        <w:rPr>
          <w:rFonts w:eastAsia="Times New Roman"/>
        </w:rPr>
        <w:t>Burgner</w:t>
      </w:r>
      <w:proofErr w:type="spellEnd"/>
      <w:r w:rsidRPr="00834CDC">
        <w:rPr>
          <w:rFonts w:eastAsia="Times New Roman"/>
        </w:rPr>
        <w:t xml:space="preserve"> D, Leonard H. Association of gestational age at birth with reasons for </w:t>
      </w:r>
      <w:proofErr w:type="gramStart"/>
      <w:r w:rsidRPr="00834CDC">
        <w:rPr>
          <w:rFonts w:eastAsia="Times New Roman"/>
        </w:rPr>
        <w:t>subsequent</w:t>
      </w:r>
      <w:proofErr w:type="gramEnd"/>
      <w:r w:rsidRPr="00834CDC">
        <w:rPr>
          <w:rFonts w:eastAsia="Times New Roman"/>
        </w:rPr>
        <w:t xml:space="preserve"> hospitalisation: 18 years of follow-Up in a Western Australian population study. </w:t>
      </w:r>
      <w:proofErr w:type="spellStart"/>
      <w:r w:rsidRPr="00834CDC">
        <w:rPr>
          <w:rStyle w:val="Emphasis"/>
          <w:rFonts w:eastAsia="Times New Roman"/>
          <w:b w:val="0"/>
          <w:bCs w:val="0"/>
        </w:rPr>
        <w:t>PLoS</w:t>
      </w:r>
      <w:proofErr w:type="spellEnd"/>
      <w:r w:rsidRPr="00834CDC">
        <w:rPr>
          <w:rStyle w:val="Emphasis"/>
          <w:rFonts w:eastAsia="Times New Roman"/>
          <w:b w:val="0"/>
          <w:bCs w:val="0"/>
        </w:rPr>
        <w:t xml:space="preserve"> One</w:t>
      </w:r>
      <w:r w:rsidRPr="00834CDC">
        <w:rPr>
          <w:rFonts w:eastAsia="Times New Roman"/>
        </w:rPr>
        <w:t>. 2015;10(6</w:t>
      </w:r>
      <w:proofErr w:type="gramStart"/>
      <w:r w:rsidRPr="00834CDC">
        <w:rPr>
          <w:rFonts w:eastAsia="Times New Roman"/>
        </w:rPr>
        <w:t>):e</w:t>
      </w:r>
      <w:proofErr w:type="gramEnd"/>
      <w:r w:rsidRPr="00834CDC">
        <w:rPr>
          <w:rFonts w:eastAsia="Times New Roman"/>
        </w:rPr>
        <w:t xml:space="preserve">0130535. </w:t>
      </w:r>
      <w:proofErr w:type="spellStart"/>
      <w:r w:rsidRPr="00834CDC">
        <w:rPr>
          <w:rFonts w:eastAsia="Times New Roman"/>
        </w:rPr>
        <w:t>doi</w:t>
      </w:r>
      <w:proofErr w:type="spellEnd"/>
      <w:r w:rsidRPr="00834CDC">
        <w:rPr>
          <w:rFonts w:eastAsia="Times New Roman"/>
        </w:rPr>
        <w:t xml:space="preserve">: https://doi.org/10.1371/journal.pone.0130535. </w:t>
      </w:r>
    </w:p>
    <w:p w14:paraId="69A72F90"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Carville KS, Lehmann D, Hall G, Moore H, Richmond P, de Klerk N et al. Infection is the major </w:t>
      </w:r>
      <w:proofErr w:type="gramStart"/>
      <w:r w:rsidRPr="00834CDC">
        <w:rPr>
          <w:rFonts w:eastAsia="Times New Roman"/>
        </w:rPr>
        <w:t>component</w:t>
      </w:r>
      <w:proofErr w:type="gramEnd"/>
      <w:r w:rsidRPr="00834CDC">
        <w:rPr>
          <w:rFonts w:eastAsia="Times New Roman"/>
        </w:rPr>
        <w:t xml:space="preserve"> of the disease burden in Aboriginal and non-Aboriginal Australian children: a population-based study. </w:t>
      </w:r>
      <w:proofErr w:type="spellStart"/>
      <w:r w:rsidRPr="00834CDC">
        <w:rPr>
          <w:rStyle w:val="Emphasis"/>
          <w:rFonts w:eastAsia="Times New Roman"/>
          <w:b w:val="0"/>
          <w:bCs w:val="0"/>
        </w:rPr>
        <w:t>Pediatr</w:t>
      </w:r>
      <w:proofErr w:type="spellEnd"/>
      <w:r w:rsidRPr="00834CDC">
        <w:rPr>
          <w:rStyle w:val="Emphasis"/>
          <w:rFonts w:eastAsia="Times New Roman"/>
          <w:b w:val="0"/>
          <w:bCs w:val="0"/>
        </w:rPr>
        <w:t xml:space="preserve"> Infect Dis J</w:t>
      </w:r>
      <w:r w:rsidRPr="00834CDC">
        <w:rPr>
          <w:rFonts w:eastAsia="Times New Roman"/>
        </w:rPr>
        <w:t xml:space="preserve">. 2007;26(3):210–6. </w:t>
      </w:r>
      <w:proofErr w:type="spellStart"/>
      <w:r w:rsidRPr="00834CDC">
        <w:rPr>
          <w:rFonts w:eastAsia="Times New Roman"/>
        </w:rPr>
        <w:t>doi</w:t>
      </w:r>
      <w:proofErr w:type="spellEnd"/>
      <w:r w:rsidRPr="00834CDC">
        <w:rPr>
          <w:rFonts w:eastAsia="Times New Roman"/>
        </w:rPr>
        <w:t xml:space="preserve">: https://doi.org/10.1097/01.inf.0000254148.09831.7f. </w:t>
      </w:r>
    </w:p>
    <w:p w14:paraId="4DD89E86"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Hull B, Hendry A, Dey A, Beard F, Brotherton J, McIntyre P. Annual Immunisation Coverage Report 2016.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2019;</w:t>
      </w:r>
      <w:proofErr w:type="gramStart"/>
      <w:r w:rsidRPr="00834CDC">
        <w:rPr>
          <w:rFonts w:eastAsia="Times New Roman"/>
        </w:rPr>
        <w:t>43</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https://doi.org/10.33321/cdi.2019.43.44. </w:t>
      </w:r>
    </w:p>
    <w:p w14:paraId="0A465426"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Hull B, Hendry A, Dey A, Macartney K, Beard F. Immunisation Coverage Annual Report 2019.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2021;</w:t>
      </w:r>
      <w:proofErr w:type="gramStart"/>
      <w:r w:rsidRPr="00834CDC">
        <w:rPr>
          <w:rFonts w:eastAsia="Times New Roman"/>
        </w:rPr>
        <w:t>45</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https://doi.org/10.33321/cdi.2020.45.18. </w:t>
      </w:r>
    </w:p>
    <w:p w14:paraId="4716E4A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Fathima P, Gidding HF, Snelling TL, McIntyre PB, Blyth CC, Sheridan S et al. Timeliness and factors associated with rotavirus vaccine uptake among Australian Aboriginal and non-Aboriginal children: a record linkage cohort study. </w:t>
      </w:r>
      <w:r w:rsidRPr="00834CDC">
        <w:rPr>
          <w:rStyle w:val="Emphasis"/>
          <w:rFonts w:eastAsia="Times New Roman"/>
          <w:b w:val="0"/>
          <w:bCs w:val="0"/>
        </w:rPr>
        <w:t>Vaccine</w:t>
      </w:r>
      <w:r w:rsidRPr="00834CDC">
        <w:rPr>
          <w:rFonts w:eastAsia="Times New Roman"/>
        </w:rPr>
        <w:t xml:space="preserve">. 2019;37(39):5835–43. </w:t>
      </w:r>
      <w:proofErr w:type="spellStart"/>
      <w:r w:rsidRPr="00834CDC">
        <w:rPr>
          <w:rFonts w:eastAsia="Times New Roman"/>
        </w:rPr>
        <w:t>doi</w:t>
      </w:r>
      <w:proofErr w:type="spellEnd"/>
      <w:r w:rsidRPr="00834CDC">
        <w:rPr>
          <w:rFonts w:eastAsia="Times New Roman"/>
        </w:rPr>
        <w:t xml:space="preserve">: https://doi.org/10.1016/j.vaccine.2019.08.013. </w:t>
      </w:r>
    </w:p>
    <w:p w14:paraId="544E08D8"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Patel MM, Clark AD, Sanderson CFB, Tate J, Parashar UD. Removing the age restrictions for rotavirus vaccination: a benefit-risk </w:t>
      </w:r>
      <w:proofErr w:type="spellStart"/>
      <w:r w:rsidRPr="00834CDC">
        <w:rPr>
          <w:rFonts w:eastAsia="Times New Roman"/>
        </w:rPr>
        <w:t>modeling</w:t>
      </w:r>
      <w:proofErr w:type="spellEnd"/>
      <w:r w:rsidRPr="00834CDC">
        <w:rPr>
          <w:rFonts w:eastAsia="Times New Roman"/>
        </w:rPr>
        <w:t xml:space="preserve"> analysis. </w:t>
      </w:r>
      <w:proofErr w:type="spellStart"/>
      <w:r w:rsidRPr="00834CDC">
        <w:rPr>
          <w:rStyle w:val="Emphasis"/>
          <w:rFonts w:eastAsia="Times New Roman"/>
          <w:b w:val="0"/>
          <w:bCs w:val="0"/>
        </w:rPr>
        <w:t>PLoS</w:t>
      </w:r>
      <w:proofErr w:type="spellEnd"/>
      <w:r w:rsidRPr="00834CDC">
        <w:rPr>
          <w:rStyle w:val="Emphasis"/>
          <w:rFonts w:eastAsia="Times New Roman"/>
          <w:b w:val="0"/>
          <w:bCs w:val="0"/>
        </w:rPr>
        <w:t xml:space="preserve"> Med</w:t>
      </w:r>
      <w:r w:rsidRPr="00834CDC">
        <w:rPr>
          <w:rFonts w:eastAsia="Times New Roman"/>
        </w:rPr>
        <w:t>. 2012;9(10</w:t>
      </w:r>
      <w:proofErr w:type="gramStart"/>
      <w:r w:rsidRPr="00834CDC">
        <w:rPr>
          <w:rFonts w:eastAsia="Times New Roman"/>
        </w:rPr>
        <w:t>):e</w:t>
      </w:r>
      <w:proofErr w:type="gramEnd"/>
      <w:r w:rsidRPr="00834CDC">
        <w:rPr>
          <w:rFonts w:eastAsia="Times New Roman"/>
        </w:rPr>
        <w:t xml:space="preserve">1001330. </w:t>
      </w:r>
      <w:proofErr w:type="spellStart"/>
      <w:r w:rsidRPr="00834CDC">
        <w:rPr>
          <w:rFonts w:eastAsia="Times New Roman"/>
        </w:rPr>
        <w:t>doi</w:t>
      </w:r>
      <w:proofErr w:type="spellEnd"/>
      <w:r w:rsidRPr="00834CDC">
        <w:rPr>
          <w:rFonts w:eastAsia="Times New Roman"/>
        </w:rPr>
        <w:t xml:space="preserve">: https://doi.org/10.1371/journal.pmed.1001330. </w:t>
      </w:r>
    </w:p>
    <w:p w14:paraId="50B6392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Middleton BF, </w:t>
      </w:r>
      <w:proofErr w:type="spellStart"/>
      <w:r w:rsidRPr="00834CDC">
        <w:rPr>
          <w:rFonts w:eastAsia="Times New Roman"/>
        </w:rPr>
        <w:t>Danchin</w:t>
      </w:r>
      <w:proofErr w:type="spellEnd"/>
      <w:r w:rsidRPr="00834CDC">
        <w:rPr>
          <w:rFonts w:eastAsia="Times New Roman"/>
        </w:rPr>
        <w:t xml:space="preserve"> M, Jones MA, Leach AJ, </w:t>
      </w:r>
      <w:proofErr w:type="spellStart"/>
      <w:r w:rsidRPr="00834CDC">
        <w:rPr>
          <w:rFonts w:eastAsia="Times New Roman"/>
        </w:rPr>
        <w:t>Cuncliffe</w:t>
      </w:r>
      <w:proofErr w:type="spellEnd"/>
      <w:r w:rsidRPr="00834CDC">
        <w:rPr>
          <w:rFonts w:eastAsia="Times New Roman"/>
        </w:rPr>
        <w:t xml:space="preserve"> N, Kirkwood CD et al. Immunogenicity of a third scheduled dose of Rotarix in Australian Indigenous infants to improve protection against </w:t>
      </w:r>
      <w:proofErr w:type="spellStart"/>
      <w:r w:rsidRPr="00834CDC">
        <w:rPr>
          <w:rFonts w:eastAsia="Times New Roman"/>
        </w:rPr>
        <w:t>gasteroenteritis</w:t>
      </w:r>
      <w:proofErr w:type="spellEnd"/>
      <w:r w:rsidRPr="00834CDC">
        <w:rPr>
          <w:rFonts w:eastAsia="Times New Roman"/>
        </w:rPr>
        <w:t xml:space="preserve">: a phase IV, double-blind, randomised, placebo-controlled clinical trial. </w:t>
      </w:r>
      <w:r w:rsidRPr="00834CDC">
        <w:rPr>
          <w:rStyle w:val="Emphasis"/>
          <w:rFonts w:eastAsia="Times New Roman"/>
          <w:b w:val="0"/>
          <w:bCs w:val="0"/>
        </w:rPr>
        <w:t>J Infect Dis</w:t>
      </w:r>
      <w:r w:rsidRPr="00834CDC">
        <w:rPr>
          <w:rFonts w:eastAsia="Times New Roman"/>
        </w:rPr>
        <w:t xml:space="preserve">. </w:t>
      </w:r>
      <w:proofErr w:type="gramStart"/>
      <w:r w:rsidRPr="00834CDC">
        <w:rPr>
          <w:rFonts w:eastAsia="Times New Roman"/>
        </w:rPr>
        <w:t>2022;jiac</w:t>
      </w:r>
      <w:proofErr w:type="gramEnd"/>
      <w:r w:rsidRPr="00834CDC">
        <w:rPr>
          <w:rFonts w:eastAsia="Times New Roman"/>
        </w:rPr>
        <w:t xml:space="preserve">038. </w:t>
      </w:r>
      <w:proofErr w:type="spellStart"/>
      <w:r w:rsidRPr="00834CDC">
        <w:rPr>
          <w:rFonts w:eastAsia="Times New Roman"/>
        </w:rPr>
        <w:t>doi</w:t>
      </w:r>
      <w:proofErr w:type="spellEnd"/>
      <w:r w:rsidRPr="00834CDC">
        <w:rPr>
          <w:rFonts w:eastAsia="Times New Roman"/>
        </w:rPr>
        <w:t xml:space="preserve">: https://doi.org/10.1093/infdis/jiac038. </w:t>
      </w:r>
    </w:p>
    <w:p w14:paraId="79BC9D6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Gershon AA, Breuer J, Cohen JI, Cohrs RJ, Gershon MD, </w:t>
      </w:r>
      <w:proofErr w:type="spellStart"/>
      <w:r w:rsidRPr="00834CDC">
        <w:rPr>
          <w:rFonts w:eastAsia="Times New Roman"/>
        </w:rPr>
        <w:t>Gilden</w:t>
      </w:r>
      <w:proofErr w:type="spellEnd"/>
      <w:r w:rsidRPr="00834CDC">
        <w:rPr>
          <w:rFonts w:eastAsia="Times New Roman"/>
        </w:rPr>
        <w:t xml:space="preserve"> D et al. Varicella zoster virus infection. </w:t>
      </w:r>
      <w:r w:rsidRPr="00834CDC">
        <w:rPr>
          <w:rStyle w:val="Emphasis"/>
          <w:rFonts w:eastAsia="Times New Roman"/>
          <w:b w:val="0"/>
          <w:bCs w:val="0"/>
        </w:rPr>
        <w:t>Nat Rev Dis Primers</w:t>
      </w:r>
      <w:r w:rsidRPr="00834CDC">
        <w:rPr>
          <w:rFonts w:eastAsia="Times New Roman"/>
        </w:rPr>
        <w:t xml:space="preserve">. </w:t>
      </w:r>
      <w:proofErr w:type="gramStart"/>
      <w:r w:rsidRPr="00834CDC">
        <w:rPr>
          <w:rFonts w:eastAsia="Times New Roman"/>
        </w:rPr>
        <w:t>2015;1:15016</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https://doi.org/10.1038/nrdp.2015.16. </w:t>
      </w:r>
    </w:p>
    <w:p w14:paraId="53F0919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Marshall HS, McIntyre P, Richmond P, Buttery JP, </w:t>
      </w:r>
      <w:proofErr w:type="spellStart"/>
      <w:r w:rsidRPr="00834CDC">
        <w:rPr>
          <w:rFonts w:eastAsia="Times New Roman"/>
        </w:rPr>
        <w:t>Royle</w:t>
      </w:r>
      <w:proofErr w:type="spellEnd"/>
      <w:r w:rsidRPr="00834CDC">
        <w:rPr>
          <w:rFonts w:eastAsia="Times New Roman"/>
        </w:rPr>
        <w:t xml:space="preserve"> JA, Gold MS et al. Changes in patterns of hospitalized children with varicella and of associated varicella genotypes after introduction of varicella vaccine in Australia. </w:t>
      </w:r>
      <w:proofErr w:type="spellStart"/>
      <w:r w:rsidRPr="00834CDC">
        <w:rPr>
          <w:rStyle w:val="Emphasis"/>
          <w:rFonts w:eastAsia="Times New Roman"/>
          <w:b w:val="0"/>
          <w:bCs w:val="0"/>
        </w:rPr>
        <w:t>Pediatr</w:t>
      </w:r>
      <w:proofErr w:type="spellEnd"/>
      <w:r w:rsidRPr="00834CDC">
        <w:rPr>
          <w:rStyle w:val="Emphasis"/>
          <w:rFonts w:eastAsia="Times New Roman"/>
          <w:b w:val="0"/>
          <w:bCs w:val="0"/>
        </w:rPr>
        <w:t xml:space="preserve"> Infect Dis J</w:t>
      </w:r>
      <w:r w:rsidRPr="00834CDC">
        <w:rPr>
          <w:rFonts w:eastAsia="Times New Roman"/>
        </w:rPr>
        <w:t xml:space="preserve">. 2013;32(5):530–7. </w:t>
      </w:r>
      <w:proofErr w:type="spellStart"/>
      <w:r w:rsidRPr="00834CDC">
        <w:rPr>
          <w:rFonts w:eastAsia="Times New Roman"/>
        </w:rPr>
        <w:t>doi</w:t>
      </w:r>
      <w:proofErr w:type="spellEnd"/>
      <w:r w:rsidRPr="00834CDC">
        <w:rPr>
          <w:rFonts w:eastAsia="Times New Roman"/>
        </w:rPr>
        <w:t xml:space="preserve">: https://doi.org/10.1097/INF.0b013e31827e92b7. </w:t>
      </w:r>
    </w:p>
    <w:p w14:paraId="4F0E988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lastRenderedPageBreak/>
        <w:t xml:space="preserve">Cohen EJ, </w:t>
      </w:r>
      <w:proofErr w:type="spellStart"/>
      <w:r w:rsidRPr="00834CDC">
        <w:rPr>
          <w:rFonts w:eastAsia="Times New Roman"/>
        </w:rPr>
        <w:t>Jeng</w:t>
      </w:r>
      <w:proofErr w:type="spellEnd"/>
      <w:r w:rsidRPr="00834CDC">
        <w:rPr>
          <w:rFonts w:eastAsia="Times New Roman"/>
        </w:rPr>
        <w:t xml:space="preserve"> BH. Herpes zoster: a brief definitive review. </w:t>
      </w:r>
      <w:r w:rsidRPr="00834CDC">
        <w:rPr>
          <w:rStyle w:val="Emphasis"/>
          <w:rFonts w:eastAsia="Times New Roman"/>
          <w:b w:val="0"/>
          <w:bCs w:val="0"/>
        </w:rPr>
        <w:t>Cornea</w:t>
      </w:r>
      <w:r w:rsidRPr="00834CDC">
        <w:rPr>
          <w:rFonts w:eastAsia="Times New Roman"/>
        </w:rPr>
        <w:t xml:space="preserve">. 2021;40(8):943–9. </w:t>
      </w:r>
      <w:proofErr w:type="spellStart"/>
      <w:r w:rsidRPr="00834CDC">
        <w:rPr>
          <w:rFonts w:eastAsia="Times New Roman"/>
        </w:rPr>
        <w:t>doi</w:t>
      </w:r>
      <w:proofErr w:type="spellEnd"/>
      <w:r w:rsidRPr="00834CDC">
        <w:rPr>
          <w:rFonts w:eastAsia="Times New Roman"/>
        </w:rPr>
        <w:t xml:space="preserve">: https://doi.org/10.1097/ICO.0000000000002754. </w:t>
      </w:r>
    </w:p>
    <w:p w14:paraId="7DFEA691"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Cunningham AL, Breuer J, Dwyer DE, Gronow DW, </w:t>
      </w:r>
      <w:proofErr w:type="spellStart"/>
      <w:r w:rsidRPr="00834CDC">
        <w:rPr>
          <w:rFonts w:eastAsia="Times New Roman"/>
        </w:rPr>
        <w:t>Helme</w:t>
      </w:r>
      <w:proofErr w:type="spellEnd"/>
      <w:r w:rsidRPr="00834CDC">
        <w:rPr>
          <w:rFonts w:eastAsia="Times New Roman"/>
        </w:rPr>
        <w:t xml:space="preserve"> RD, </w:t>
      </w:r>
      <w:proofErr w:type="spellStart"/>
      <w:r w:rsidRPr="00834CDC">
        <w:rPr>
          <w:rFonts w:eastAsia="Times New Roman"/>
        </w:rPr>
        <w:t>Litt</w:t>
      </w:r>
      <w:proofErr w:type="spellEnd"/>
      <w:r w:rsidRPr="00834CDC">
        <w:rPr>
          <w:rFonts w:eastAsia="Times New Roman"/>
        </w:rPr>
        <w:t xml:space="preserve"> JC et al. The prevention and management of herpes zoster. </w:t>
      </w:r>
      <w:r w:rsidRPr="00834CDC">
        <w:rPr>
          <w:rStyle w:val="Emphasis"/>
          <w:rFonts w:eastAsia="Times New Roman"/>
          <w:b w:val="0"/>
          <w:bCs w:val="0"/>
        </w:rPr>
        <w:t>Med J Aust</w:t>
      </w:r>
      <w:r w:rsidRPr="00834CDC">
        <w:rPr>
          <w:rFonts w:eastAsia="Times New Roman"/>
        </w:rPr>
        <w:t xml:space="preserve">. 2008;188(3):171–6. </w:t>
      </w:r>
      <w:proofErr w:type="spellStart"/>
      <w:r w:rsidRPr="00834CDC">
        <w:rPr>
          <w:rFonts w:eastAsia="Times New Roman"/>
        </w:rPr>
        <w:t>doi</w:t>
      </w:r>
      <w:proofErr w:type="spellEnd"/>
      <w:r w:rsidRPr="00834CDC">
        <w:rPr>
          <w:rFonts w:eastAsia="Times New Roman"/>
        </w:rPr>
        <w:t xml:space="preserve">: https://doi.org/10.5694/j.1326-5377.2008.tb01566.x. </w:t>
      </w:r>
    </w:p>
    <w:p w14:paraId="2D4910F9" w14:textId="77777777" w:rsidR="0033445F" w:rsidRPr="00834CDC" w:rsidRDefault="0033445F" w:rsidP="006C707B">
      <w:pPr>
        <w:pStyle w:val="ListParagraph"/>
        <w:numPr>
          <w:ilvl w:val="0"/>
          <w:numId w:val="6"/>
        </w:numPr>
        <w:ind w:left="993" w:hanging="633"/>
        <w:divId w:val="1988506822"/>
        <w:rPr>
          <w:rFonts w:eastAsia="Times New Roman"/>
        </w:rPr>
      </w:pPr>
      <w:proofErr w:type="spellStart"/>
      <w:r w:rsidRPr="00834CDC">
        <w:rPr>
          <w:rFonts w:eastAsia="Times New Roman"/>
        </w:rPr>
        <w:t>Teutsch</w:t>
      </w:r>
      <w:proofErr w:type="spellEnd"/>
      <w:r w:rsidRPr="00834CDC">
        <w:rPr>
          <w:rFonts w:eastAsia="Times New Roman"/>
        </w:rPr>
        <w:t xml:space="preserve"> SM, Nunez CA, Morris A, McGregor S, King J, Brotherton JM et al. Australian Paediatric Surveillance Unit (APSU) Annual Surveillance Report 2019.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2020;</w:t>
      </w:r>
      <w:proofErr w:type="gramStart"/>
      <w:r w:rsidRPr="00834CDC">
        <w:rPr>
          <w:rFonts w:eastAsia="Times New Roman"/>
        </w:rPr>
        <w:t>44</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https://doi.org/10.33321/cdi.2020.44.60. </w:t>
      </w:r>
    </w:p>
    <w:p w14:paraId="671CE384"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Sheridan SL, Quinn HE, Hull BP, Ware RS, </w:t>
      </w:r>
      <w:proofErr w:type="spellStart"/>
      <w:r w:rsidRPr="00834CDC">
        <w:rPr>
          <w:rFonts w:eastAsia="Times New Roman"/>
        </w:rPr>
        <w:t>Grimwood</w:t>
      </w:r>
      <w:proofErr w:type="spellEnd"/>
      <w:r w:rsidRPr="00834CDC">
        <w:rPr>
          <w:rFonts w:eastAsia="Times New Roman"/>
        </w:rPr>
        <w:t xml:space="preserve"> K, Lambert SB. </w:t>
      </w:r>
      <w:proofErr w:type="gramStart"/>
      <w:r w:rsidRPr="00834CDC">
        <w:rPr>
          <w:rFonts w:eastAsia="Times New Roman"/>
        </w:rPr>
        <w:t>Impact</w:t>
      </w:r>
      <w:proofErr w:type="gramEnd"/>
      <w:r w:rsidRPr="00834CDC">
        <w:rPr>
          <w:rFonts w:eastAsia="Times New Roman"/>
        </w:rPr>
        <w:t xml:space="preserve"> and effectiveness of childhood varicella vaccine program in Queensland, Australia. </w:t>
      </w:r>
      <w:r w:rsidRPr="00834CDC">
        <w:rPr>
          <w:rStyle w:val="Emphasis"/>
          <w:rFonts w:eastAsia="Times New Roman"/>
          <w:b w:val="0"/>
          <w:bCs w:val="0"/>
        </w:rPr>
        <w:t>Vaccine</w:t>
      </w:r>
      <w:r w:rsidRPr="00834CDC">
        <w:rPr>
          <w:rFonts w:eastAsia="Times New Roman"/>
        </w:rPr>
        <w:t xml:space="preserve">. 2017;35(27):3490–7. </w:t>
      </w:r>
      <w:proofErr w:type="spellStart"/>
      <w:r w:rsidRPr="00834CDC">
        <w:rPr>
          <w:rFonts w:eastAsia="Times New Roman"/>
        </w:rPr>
        <w:t>doi</w:t>
      </w:r>
      <w:proofErr w:type="spellEnd"/>
      <w:r w:rsidRPr="00834CDC">
        <w:rPr>
          <w:rFonts w:eastAsia="Times New Roman"/>
        </w:rPr>
        <w:t xml:space="preserve">: https://doi.org/10.1016/j.vaccine.2017.05.013. </w:t>
      </w:r>
    </w:p>
    <w:p w14:paraId="5A512E98"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Quinn HE, Gidding HF, Marshall HS, </w:t>
      </w:r>
      <w:proofErr w:type="spellStart"/>
      <w:r w:rsidRPr="00834CDC">
        <w:rPr>
          <w:rFonts w:eastAsia="Times New Roman"/>
        </w:rPr>
        <w:t>Booy</w:t>
      </w:r>
      <w:proofErr w:type="spellEnd"/>
      <w:r w:rsidRPr="00834CDC">
        <w:rPr>
          <w:rFonts w:eastAsia="Times New Roman"/>
        </w:rPr>
        <w:t xml:space="preserve"> R, Elliott EJ, Richmond P et al. Varicella vaccine effectiveness over 10 years in Australia; moderate protection from 1-dose program. </w:t>
      </w:r>
      <w:r w:rsidRPr="00834CDC">
        <w:rPr>
          <w:rStyle w:val="Emphasis"/>
          <w:rFonts w:eastAsia="Times New Roman"/>
          <w:b w:val="0"/>
          <w:bCs w:val="0"/>
        </w:rPr>
        <w:t>J Infect</w:t>
      </w:r>
      <w:r w:rsidRPr="00834CDC">
        <w:rPr>
          <w:rFonts w:eastAsia="Times New Roman"/>
        </w:rPr>
        <w:t xml:space="preserve">. 2019;78(3):220–5. </w:t>
      </w:r>
      <w:proofErr w:type="spellStart"/>
      <w:r w:rsidRPr="00834CDC">
        <w:rPr>
          <w:rFonts w:eastAsia="Times New Roman"/>
        </w:rPr>
        <w:t>doi</w:t>
      </w:r>
      <w:proofErr w:type="spellEnd"/>
      <w:r w:rsidRPr="00834CDC">
        <w:rPr>
          <w:rFonts w:eastAsia="Times New Roman"/>
        </w:rPr>
        <w:t xml:space="preserve">: https://doi.org/10.1016/j.jinf.2018.11.009. </w:t>
      </w:r>
    </w:p>
    <w:p w14:paraId="77756FC8"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AIHW. Indigenous health and wellbeing: life expectancy and deaths. [Webpage.] Canberra: Australian Government, AIHW; 2020. [Accessed on 27 October 2021.] Available from: https://www.aihw.gov.au/reports/australias-health/indigenous-health-and-wellbeing#Life%20expectancy%20and%20deaths. </w:t>
      </w:r>
    </w:p>
    <w:p w14:paraId="6F4E4171"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Sheel M, Beard FH, Dey A, Macartney K, McIntyre PB. Rates of hospitalisation for herpes zoster may </w:t>
      </w:r>
      <w:proofErr w:type="gramStart"/>
      <w:r w:rsidRPr="00834CDC">
        <w:rPr>
          <w:rFonts w:eastAsia="Times New Roman"/>
        </w:rPr>
        <w:t>warrant</w:t>
      </w:r>
      <w:proofErr w:type="gramEnd"/>
      <w:r w:rsidRPr="00834CDC">
        <w:rPr>
          <w:rFonts w:eastAsia="Times New Roman"/>
        </w:rPr>
        <w:t xml:space="preserve"> vaccinating Indigenous Australians under 70. </w:t>
      </w:r>
      <w:r w:rsidRPr="00834CDC">
        <w:rPr>
          <w:rStyle w:val="Emphasis"/>
          <w:rFonts w:eastAsia="Times New Roman"/>
          <w:b w:val="0"/>
          <w:bCs w:val="0"/>
        </w:rPr>
        <w:t>Med J Aust</w:t>
      </w:r>
      <w:r w:rsidRPr="00834CDC">
        <w:rPr>
          <w:rFonts w:eastAsia="Times New Roman"/>
        </w:rPr>
        <w:t xml:space="preserve">. 2017;207(9):395–6. </w:t>
      </w:r>
      <w:proofErr w:type="spellStart"/>
      <w:r w:rsidRPr="00834CDC">
        <w:rPr>
          <w:rFonts w:eastAsia="Times New Roman"/>
        </w:rPr>
        <w:t>doi</w:t>
      </w:r>
      <w:proofErr w:type="spellEnd"/>
      <w:r w:rsidRPr="00834CDC">
        <w:rPr>
          <w:rFonts w:eastAsia="Times New Roman"/>
        </w:rPr>
        <w:t xml:space="preserve">: https://doi.org/10.5694/mja16.01468. </w:t>
      </w:r>
    </w:p>
    <w:p w14:paraId="28317A92"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Dey A, Wang H, Beard F, Macartney K, McIntyre P. Summary of national surveillance data on vaccine preventable diseases in Australia, 2012–2015.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2019;</w:t>
      </w:r>
      <w:proofErr w:type="gramStart"/>
      <w:r w:rsidRPr="00834CDC">
        <w:rPr>
          <w:rFonts w:eastAsia="Times New Roman"/>
        </w:rPr>
        <w:t>43</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https://doi.org/10.33321/cdi.2019.43.58. </w:t>
      </w:r>
    </w:p>
    <w:p w14:paraId="0D3809E2"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Tiwari TSP, Wharton M. 19 – Diphtheria toxoid. In Plotkin SA, Orenstein WA, Offit PA, Edwards KM, eds. </w:t>
      </w:r>
      <w:r w:rsidRPr="00834CDC">
        <w:rPr>
          <w:rStyle w:val="Emphasis"/>
          <w:rFonts w:eastAsia="Times New Roman"/>
          <w:b w:val="0"/>
          <w:bCs w:val="0"/>
        </w:rPr>
        <w:t>Plotkin’s Vaccines</w:t>
      </w:r>
      <w:r w:rsidRPr="00834CDC">
        <w:rPr>
          <w:rFonts w:eastAsia="Times New Roman"/>
        </w:rPr>
        <w:t xml:space="preserve"> (</w:t>
      </w:r>
      <w:proofErr w:type="gramStart"/>
      <w:r w:rsidRPr="00834CDC">
        <w:rPr>
          <w:rFonts w:eastAsia="Times New Roman"/>
        </w:rPr>
        <w:t>7th</w:t>
      </w:r>
      <w:proofErr w:type="gramEnd"/>
      <w:r w:rsidRPr="00834CDC">
        <w:rPr>
          <w:rFonts w:eastAsia="Times New Roman"/>
        </w:rPr>
        <w:t xml:space="preserve"> edition). Amsterdam: Elsevier, 2018;261–</w:t>
      </w:r>
      <w:proofErr w:type="gramStart"/>
      <w:r w:rsidRPr="00834CDC">
        <w:rPr>
          <w:rFonts w:eastAsia="Times New Roman"/>
        </w:rPr>
        <w:t>75.e</w:t>
      </w:r>
      <w:proofErr w:type="gramEnd"/>
      <w:r w:rsidRPr="00834CDC">
        <w:rPr>
          <w:rFonts w:eastAsia="Times New Roman"/>
        </w:rPr>
        <w:t xml:space="preserve">7. </w:t>
      </w:r>
      <w:proofErr w:type="spellStart"/>
      <w:r w:rsidRPr="00834CDC">
        <w:rPr>
          <w:rFonts w:eastAsia="Times New Roman"/>
        </w:rPr>
        <w:t>doi</w:t>
      </w:r>
      <w:proofErr w:type="spellEnd"/>
      <w:r w:rsidRPr="00834CDC">
        <w:rPr>
          <w:rFonts w:eastAsia="Times New Roman"/>
        </w:rPr>
        <w:t xml:space="preserve">: https//doi.org/10.1016/B978-0-323-35761-6.00019-5. </w:t>
      </w:r>
    </w:p>
    <w:p w14:paraId="39DFEA9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Winkler NE, Dey A, Quinn HE, Pourmarzi D, Lambert S, McIntyre P et al. Australian vaccine preventable disease epidemiological review series: diphtheria, 1999–2019.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2022;</w:t>
      </w:r>
      <w:proofErr w:type="gramStart"/>
      <w:r w:rsidRPr="00834CDC">
        <w:rPr>
          <w:rFonts w:eastAsia="Times New Roman"/>
        </w:rPr>
        <w:t>46</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https://doi.org/10.33321/cdi.2022.46.42. </w:t>
      </w:r>
    </w:p>
    <w:p w14:paraId="5E373AE8"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Roper MH, </w:t>
      </w:r>
      <w:proofErr w:type="spellStart"/>
      <w:r w:rsidRPr="00834CDC">
        <w:rPr>
          <w:rFonts w:eastAsia="Times New Roman"/>
        </w:rPr>
        <w:t>Wassilak</w:t>
      </w:r>
      <w:proofErr w:type="spellEnd"/>
      <w:r w:rsidRPr="00834CDC">
        <w:rPr>
          <w:rFonts w:eastAsia="Times New Roman"/>
        </w:rPr>
        <w:t xml:space="preserve"> SGF, Scobie HM, Ridpath AD, Orenstein WA. 58 – Tetanus toxoid. In Plotkin SA, Orenstein WA, Offit PA, Edwards KM, eds. Plotkin’s Vaccines (</w:t>
      </w:r>
      <w:proofErr w:type="gramStart"/>
      <w:r w:rsidRPr="00834CDC">
        <w:rPr>
          <w:rFonts w:eastAsia="Times New Roman"/>
        </w:rPr>
        <w:t>7th</w:t>
      </w:r>
      <w:proofErr w:type="gramEnd"/>
      <w:r w:rsidRPr="00834CDC">
        <w:rPr>
          <w:rFonts w:eastAsia="Times New Roman"/>
        </w:rPr>
        <w:t xml:space="preserve"> edition). Amsterdam: Elsevier, 2018;1052–</w:t>
      </w:r>
      <w:proofErr w:type="gramStart"/>
      <w:r w:rsidRPr="00834CDC">
        <w:rPr>
          <w:rFonts w:eastAsia="Times New Roman"/>
        </w:rPr>
        <w:t>79.e</w:t>
      </w:r>
      <w:proofErr w:type="gramEnd"/>
      <w:r w:rsidRPr="00834CDC">
        <w:rPr>
          <w:rFonts w:eastAsia="Times New Roman"/>
        </w:rPr>
        <w:t xml:space="preserve">18. </w:t>
      </w:r>
      <w:proofErr w:type="spellStart"/>
      <w:r w:rsidRPr="00834CDC">
        <w:rPr>
          <w:rFonts w:eastAsia="Times New Roman"/>
        </w:rPr>
        <w:t>doi</w:t>
      </w:r>
      <w:proofErr w:type="spellEnd"/>
      <w:r w:rsidRPr="00834CDC">
        <w:rPr>
          <w:rFonts w:eastAsia="Times New Roman"/>
        </w:rPr>
        <w:t xml:space="preserve">: https//doi.org/10.1016/B978-0-323-35761-6.00058-4. </w:t>
      </w:r>
    </w:p>
    <w:p w14:paraId="07DBBBE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Quinn HE, McIntyre PB. Tetanus in the elderly—an important preventable disease in Australia. </w:t>
      </w:r>
      <w:r w:rsidRPr="00834CDC">
        <w:rPr>
          <w:rStyle w:val="Emphasis"/>
          <w:rFonts w:eastAsia="Times New Roman"/>
          <w:b w:val="0"/>
          <w:bCs w:val="0"/>
        </w:rPr>
        <w:t>Vaccine</w:t>
      </w:r>
      <w:r w:rsidRPr="00834CDC">
        <w:rPr>
          <w:rFonts w:eastAsia="Times New Roman"/>
        </w:rPr>
        <w:t xml:space="preserve">. 2007;25(7):1304–9. </w:t>
      </w:r>
      <w:proofErr w:type="spellStart"/>
      <w:r w:rsidRPr="00834CDC">
        <w:rPr>
          <w:rFonts w:eastAsia="Times New Roman"/>
        </w:rPr>
        <w:t>doi</w:t>
      </w:r>
      <w:proofErr w:type="spellEnd"/>
      <w:r w:rsidRPr="00834CDC">
        <w:rPr>
          <w:rFonts w:eastAsia="Times New Roman"/>
        </w:rPr>
        <w:t xml:space="preserve">: https://doi.org/10.1016/j.vaccine.2006.09.084. </w:t>
      </w:r>
    </w:p>
    <w:p w14:paraId="13C3B2A2"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Sutter RW, Kew OM, </w:t>
      </w:r>
      <w:proofErr w:type="spellStart"/>
      <w:r w:rsidRPr="00834CDC">
        <w:rPr>
          <w:rFonts w:eastAsia="Times New Roman"/>
        </w:rPr>
        <w:t>Cochi</w:t>
      </w:r>
      <w:proofErr w:type="spellEnd"/>
      <w:r w:rsidRPr="00834CDC">
        <w:rPr>
          <w:rFonts w:eastAsia="Times New Roman"/>
        </w:rPr>
        <w:t xml:space="preserve"> SL, Aylward RB. 49 – Poliovirus vaccine–live. In Plotkin SA, Orenstein WA, Offit PA, Edwards KM, eds. </w:t>
      </w:r>
      <w:r w:rsidRPr="00834CDC">
        <w:rPr>
          <w:rStyle w:val="Emphasis"/>
          <w:rFonts w:eastAsia="Times New Roman"/>
          <w:b w:val="0"/>
          <w:bCs w:val="0"/>
        </w:rPr>
        <w:t>Plotkin’s Vaccines</w:t>
      </w:r>
      <w:r w:rsidRPr="00834CDC">
        <w:rPr>
          <w:rFonts w:eastAsia="Times New Roman"/>
        </w:rPr>
        <w:t xml:space="preserve"> (</w:t>
      </w:r>
      <w:proofErr w:type="gramStart"/>
      <w:r w:rsidRPr="00834CDC">
        <w:rPr>
          <w:rFonts w:eastAsia="Times New Roman"/>
        </w:rPr>
        <w:t>7th</w:t>
      </w:r>
      <w:proofErr w:type="gramEnd"/>
      <w:r w:rsidRPr="00834CDC">
        <w:rPr>
          <w:rFonts w:eastAsia="Times New Roman"/>
        </w:rPr>
        <w:t xml:space="preserve"> edition). Amsterdam: Elsevier, 2018;866–917.e16. </w:t>
      </w:r>
      <w:proofErr w:type="spellStart"/>
      <w:r w:rsidRPr="00834CDC">
        <w:rPr>
          <w:rFonts w:eastAsia="Times New Roman"/>
        </w:rPr>
        <w:t>doi</w:t>
      </w:r>
      <w:proofErr w:type="spellEnd"/>
      <w:r w:rsidRPr="00834CDC">
        <w:rPr>
          <w:rFonts w:eastAsia="Times New Roman"/>
        </w:rPr>
        <w:t xml:space="preserve">: https//doi.org/10.1016/B978-0-323-35761-6.00048-1. </w:t>
      </w:r>
    </w:p>
    <w:p w14:paraId="55A8A90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Hall JJ, </w:t>
      </w:r>
      <w:proofErr w:type="spellStart"/>
      <w:r w:rsidRPr="00834CDC">
        <w:rPr>
          <w:rFonts w:eastAsia="Times New Roman"/>
        </w:rPr>
        <w:t>Ambang</w:t>
      </w:r>
      <w:proofErr w:type="spellEnd"/>
      <w:r w:rsidRPr="00834CDC">
        <w:rPr>
          <w:rFonts w:eastAsia="Times New Roman"/>
        </w:rPr>
        <w:t xml:space="preserve"> T, Asante A, </w:t>
      </w:r>
      <w:proofErr w:type="spellStart"/>
      <w:r w:rsidRPr="00834CDC">
        <w:rPr>
          <w:rFonts w:eastAsia="Times New Roman"/>
        </w:rPr>
        <w:t>Mapira</w:t>
      </w:r>
      <w:proofErr w:type="spellEnd"/>
      <w:r w:rsidRPr="00834CDC">
        <w:rPr>
          <w:rFonts w:eastAsia="Times New Roman"/>
        </w:rPr>
        <w:t xml:space="preserve"> P, Craig A, </w:t>
      </w:r>
      <w:proofErr w:type="spellStart"/>
      <w:r w:rsidRPr="00834CDC">
        <w:rPr>
          <w:rFonts w:eastAsia="Times New Roman"/>
        </w:rPr>
        <w:t>Schuele</w:t>
      </w:r>
      <w:proofErr w:type="spellEnd"/>
      <w:r w:rsidRPr="00834CDC">
        <w:rPr>
          <w:rFonts w:eastAsia="Times New Roman"/>
        </w:rPr>
        <w:t xml:space="preserve"> E et al. Poliomyelitis outbreak in Papua New Guinea: health system and health security implications for PNG and Australia. </w:t>
      </w:r>
      <w:r w:rsidRPr="00834CDC">
        <w:rPr>
          <w:rStyle w:val="Emphasis"/>
          <w:rFonts w:eastAsia="Times New Roman"/>
          <w:b w:val="0"/>
          <w:bCs w:val="0"/>
        </w:rPr>
        <w:t>Med J Aust</w:t>
      </w:r>
      <w:r w:rsidRPr="00834CDC">
        <w:rPr>
          <w:rFonts w:eastAsia="Times New Roman"/>
        </w:rPr>
        <w:t>. 2019;211(4):161–</w:t>
      </w:r>
      <w:proofErr w:type="gramStart"/>
      <w:r w:rsidRPr="00834CDC">
        <w:rPr>
          <w:rFonts w:eastAsia="Times New Roman"/>
        </w:rPr>
        <w:t>2.e</w:t>
      </w:r>
      <w:proofErr w:type="gramEnd"/>
      <w:r w:rsidRPr="00834CDC">
        <w:rPr>
          <w:rFonts w:eastAsia="Times New Roman"/>
        </w:rPr>
        <w:t xml:space="preserve">1. </w:t>
      </w:r>
      <w:proofErr w:type="spellStart"/>
      <w:r w:rsidRPr="00834CDC">
        <w:rPr>
          <w:rFonts w:eastAsia="Times New Roman"/>
        </w:rPr>
        <w:t>doi</w:t>
      </w:r>
      <w:proofErr w:type="spellEnd"/>
      <w:r w:rsidRPr="00834CDC">
        <w:rPr>
          <w:rFonts w:eastAsia="Times New Roman"/>
        </w:rPr>
        <w:t xml:space="preserve">: https://doi.org/10.5694/mja2.50283. </w:t>
      </w:r>
    </w:p>
    <w:p w14:paraId="426A140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Bao J, Thorley B, Isaacs D, Dinsmore N, Elliott EJ, McIntyre P et al. Polio – the old foe and new challenges: an update for clinicians. </w:t>
      </w:r>
      <w:r w:rsidRPr="00834CDC">
        <w:rPr>
          <w:rStyle w:val="Emphasis"/>
          <w:rFonts w:eastAsia="Times New Roman"/>
          <w:b w:val="0"/>
          <w:bCs w:val="0"/>
        </w:rPr>
        <w:t xml:space="preserve">J </w:t>
      </w:r>
      <w:proofErr w:type="spellStart"/>
      <w:r w:rsidRPr="00834CDC">
        <w:rPr>
          <w:rStyle w:val="Emphasis"/>
          <w:rFonts w:eastAsia="Times New Roman"/>
          <w:b w:val="0"/>
          <w:bCs w:val="0"/>
        </w:rPr>
        <w:t>Paediatr</w:t>
      </w:r>
      <w:proofErr w:type="spellEnd"/>
      <w:r w:rsidRPr="00834CDC">
        <w:rPr>
          <w:rStyle w:val="Emphasis"/>
          <w:rFonts w:eastAsia="Times New Roman"/>
          <w:b w:val="0"/>
          <w:bCs w:val="0"/>
        </w:rPr>
        <w:t xml:space="preserve"> Child Health</w:t>
      </w:r>
      <w:r w:rsidRPr="00834CDC">
        <w:rPr>
          <w:rFonts w:eastAsia="Times New Roman"/>
        </w:rPr>
        <w:t xml:space="preserve">. 2020;56(10):1527–32. </w:t>
      </w:r>
      <w:proofErr w:type="spellStart"/>
      <w:r w:rsidRPr="00834CDC">
        <w:rPr>
          <w:rFonts w:eastAsia="Times New Roman"/>
        </w:rPr>
        <w:t>doi</w:t>
      </w:r>
      <w:proofErr w:type="spellEnd"/>
      <w:r w:rsidRPr="00834CDC">
        <w:rPr>
          <w:rFonts w:eastAsia="Times New Roman"/>
        </w:rPr>
        <w:t xml:space="preserve">: https://doi.org/10.1111/jpc.15140. </w:t>
      </w:r>
    </w:p>
    <w:p w14:paraId="7A8FA5EF"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Dwyer DE, Robertson PW, Field PR, Board of Education of the Royal College of Pathologists of Australasia. Broadsheet: clinical and laboratory features of rubella. </w:t>
      </w:r>
      <w:r w:rsidRPr="00834CDC">
        <w:rPr>
          <w:rStyle w:val="Emphasis"/>
          <w:rFonts w:eastAsia="Times New Roman"/>
          <w:b w:val="0"/>
          <w:bCs w:val="0"/>
        </w:rPr>
        <w:t>Pathology</w:t>
      </w:r>
      <w:r w:rsidRPr="00834CDC">
        <w:rPr>
          <w:rFonts w:eastAsia="Times New Roman"/>
        </w:rPr>
        <w:t xml:space="preserve">. 2001;33(3):322–8. </w:t>
      </w:r>
    </w:p>
    <w:p w14:paraId="73DDCE0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lastRenderedPageBreak/>
        <w:t xml:space="preserve">Song N, Gao Z, Wood JG, </w:t>
      </w:r>
      <w:proofErr w:type="spellStart"/>
      <w:r w:rsidRPr="00834CDC">
        <w:rPr>
          <w:rFonts w:eastAsia="Times New Roman"/>
        </w:rPr>
        <w:t>Hueston</w:t>
      </w:r>
      <w:proofErr w:type="spellEnd"/>
      <w:r w:rsidRPr="00834CDC">
        <w:rPr>
          <w:rFonts w:eastAsia="Times New Roman"/>
        </w:rPr>
        <w:t xml:space="preserve"> L, Gilbert GL, </w:t>
      </w:r>
      <w:proofErr w:type="spellStart"/>
      <w:r w:rsidRPr="00834CDC">
        <w:rPr>
          <w:rFonts w:eastAsia="Times New Roman"/>
        </w:rPr>
        <w:t>MacIntyre</w:t>
      </w:r>
      <w:proofErr w:type="spellEnd"/>
      <w:r w:rsidRPr="00834CDC">
        <w:rPr>
          <w:rFonts w:eastAsia="Times New Roman"/>
        </w:rPr>
        <w:t xml:space="preserve"> CR et al. Current epidemiology of rubella and congenital rubella syndrome in Australia: progress towards elimination. </w:t>
      </w:r>
      <w:r w:rsidRPr="00834CDC">
        <w:rPr>
          <w:rStyle w:val="Emphasis"/>
          <w:rFonts w:eastAsia="Times New Roman"/>
          <w:b w:val="0"/>
          <w:bCs w:val="0"/>
        </w:rPr>
        <w:t>Vaccine</w:t>
      </w:r>
      <w:r w:rsidRPr="00834CDC">
        <w:rPr>
          <w:rFonts w:eastAsia="Times New Roman"/>
        </w:rPr>
        <w:t xml:space="preserve">. 2012;30(27):4073–8. </w:t>
      </w:r>
      <w:proofErr w:type="spellStart"/>
      <w:r w:rsidRPr="00834CDC">
        <w:rPr>
          <w:rFonts w:eastAsia="Times New Roman"/>
        </w:rPr>
        <w:t>doi</w:t>
      </w:r>
      <w:proofErr w:type="spellEnd"/>
      <w:r w:rsidRPr="00834CDC">
        <w:rPr>
          <w:rFonts w:eastAsia="Times New Roman"/>
        </w:rPr>
        <w:t xml:space="preserve">: https://doi.org/10.1016/j.vaccine.2012.04.025. </w:t>
      </w:r>
    </w:p>
    <w:p w14:paraId="1F35439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Reef SE, Plotkin SA. 53 – Rubella vaccines. In Plotkin SA, Orenstein WA, Offit PA, Edwards KM, eds. </w:t>
      </w:r>
      <w:r w:rsidRPr="00834CDC">
        <w:rPr>
          <w:rStyle w:val="Emphasis"/>
          <w:rFonts w:eastAsia="Times New Roman"/>
          <w:b w:val="0"/>
          <w:bCs w:val="0"/>
        </w:rPr>
        <w:t>Plotkin’s Vaccines</w:t>
      </w:r>
      <w:r w:rsidRPr="00834CDC">
        <w:rPr>
          <w:rFonts w:eastAsia="Times New Roman"/>
        </w:rPr>
        <w:t xml:space="preserve"> (</w:t>
      </w:r>
      <w:proofErr w:type="gramStart"/>
      <w:r w:rsidRPr="00834CDC">
        <w:rPr>
          <w:rFonts w:eastAsia="Times New Roman"/>
        </w:rPr>
        <w:t>7th</w:t>
      </w:r>
      <w:proofErr w:type="gramEnd"/>
      <w:r w:rsidRPr="00834CDC">
        <w:rPr>
          <w:rFonts w:eastAsia="Times New Roman"/>
        </w:rPr>
        <w:t xml:space="preserve"> edition). Amsterdam: Elsevier, 2018;970–</w:t>
      </w:r>
      <w:proofErr w:type="gramStart"/>
      <w:r w:rsidRPr="00834CDC">
        <w:rPr>
          <w:rFonts w:eastAsia="Times New Roman"/>
        </w:rPr>
        <w:t>1000</w:t>
      </w:r>
      <w:proofErr w:type="gramEnd"/>
      <w:r w:rsidRPr="00834CDC">
        <w:rPr>
          <w:rFonts w:eastAsia="Times New Roman"/>
        </w:rPr>
        <w:t xml:space="preserve">.e18. </w:t>
      </w:r>
      <w:proofErr w:type="spellStart"/>
      <w:r w:rsidRPr="00834CDC">
        <w:rPr>
          <w:rFonts w:eastAsia="Times New Roman"/>
        </w:rPr>
        <w:t>doi</w:t>
      </w:r>
      <w:proofErr w:type="spellEnd"/>
      <w:r w:rsidRPr="00834CDC">
        <w:rPr>
          <w:rFonts w:eastAsia="Times New Roman"/>
        </w:rPr>
        <w:t xml:space="preserve">: https//doi.org/10.1016/B978-0-323-35761-6.00052-3. </w:t>
      </w:r>
    </w:p>
    <w:p w14:paraId="596F1DD2"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Deverell M, </w:t>
      </w:r>
      <w:proofErr w:type="spellStart"/>
      <w:r w:rsidRPr="00834CDC">
        <w:rPr>
          <w:rFonts w:eastAsia="Times New Roman"/>
        </w:rPr>
        <w:t>Phu</w:t>
      </w:r>
      <w:proofErr w:type="spellEnd"/>
      <w:r w:rsidRPr="00834CDC">
        <w:rPr>
          <w:rFonts w:eastAsia="Times New Roman"/>
        </w:rPr>
        <w:t xml:space="preserve"> A, </w:t>
      </w:r>
      <w:proofErr w:type="spellStart"/>
      <w:r w:rsidRPr="00834CDC">
        <w:rPr>
          <w:rFonts w:eastAsia="Times New Roman"/>
        </w:rPr>
        <w:t>Zurynski</w:t>
      </w:r>
      <w:proofErr w:type="spellEnd"/>
      <w:r w:rsidRPr="00834CDC">
        <w:rPr>
          <w:rFonts w:eastAsia="Times New Roman"/>
        </w:rPr>
        <w:t xml:space="preserve"> YA, Elliott EJ. Australian Paediatric Surveillance Unit annual report, 2015.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Q Rep</w:t>
      </w:r>
      <w:r w:rsidRPr="00834CDC">
        <w:rPr>
          <w:rFonts w:eastAsia="Times New Roman"/>
        </w:rPr>
        <w:t>. 2017;41(2</w:t>
      </w:r>
      <w:proofErr w:type="gramStart"/>
      <w:r w:rsidRPr="00834CDC">
        <w:rPr>
          <w:rFonts w:eastAsia="Times New Roman"/>
        </w:rPr>
        <w:t>):E</w:t>
      </w:r>
      <w:proofErr w:type="gramEnd"/>
      <w:r w:rsidRPr="00834CDC">
        <w:rPr>
          <w:rFonts w:eastAsia="Times New Roman"/>
        </w:rPr>
        <w:t xml:space="preserve">181–5. </w:t>
      </w:r>
    </w:p>
    <w:p w14:paraId="16D7E7F2"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Gidding H, Dey A, Macartney K. Australia has </w:t>
      </w:r>
      <w:proofErr w:type="gramStart"/>
      <w:r w:rsidRPr="00834CDC">
        <w:rPr>
          <w:rFonts w:eastAsia="Times New Roman"/>
        </w:rPr>
        <w:t>eliminated</w:t>
      </w:r>
      <w:proofErr w:type="gramEnd"/>
      <w:r w:rsidRPr="00834CDC">
        <w:rPr>
          <w:rFonts w:eastAsia="Times New Roman"/>
        </w:rPr>
        <w:t xml:space="preserve"> rubella – but that doesn’t mean it can’t come back. [Internet.] Melbourne: The Conversation Media Group, The Conversation </w:t>
      </w:r>
      <w:proofErr w:type="gramStart"/>
      <w:r w:rsidRPr="00834CDC">
        <w:rPr>
          <w:rFonts w:eastAsia="Times New Roman"/>
        </w:rPr>
        <w:t>Australia</w:t>
      </w:r>
      <w:proofErr w:type="gramEnd"/>
      <w:r w:rsidRPr="00834CDC">
        <w:rPr>
          <w:rFonts w:eastAsia="Times New Roman"/>
        </w:rPr>
        <w:t xml:space="preserve"> and New Zealand; 2 November 2018. [Accessed on 26 September 2022.] Available from: https://theconversation.com/australia-has-eliminated-rubella-but-that-doesnt-mean-it-cant-come-back-106056. </w:t>
      </w:r>
    </w:p>
    <w:p w14:paraId="73E9DC8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Chan J, Dey A, Wang H, Martin N, Beard F. Australian vaccine preventable disease epidemiological review series: rubella 2008–2012.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Q Rep</w:t>
      </w:r>
      <w:r w:rsidRPr="00834CDC">
        <w:rPr>
          <w:rFonts w:eastAsia="Times New Roman"/>
        </w:rPr>
        <w:t>. 2015;39(1</w:t>
      </w:r>
      <w:proofErr w:type="gramStart"/>
      <w:r w:rsidRPr="00834CDC">
        <w:rPr>
          <w:rFonts w:eastAsia="Times New Roman"/>
        </w:rPr>
        <w:t>):E</w:t>
      </w:r>
      <w:proofErr w:type="gramEnd"/>
      <w:r w:rsidRPr="00834CDC">
        <w:rPr>
          <w:rFonts w:eastAsia="Times New Roman"/>
        </w:rPr>
        <w:t xml:space="preserve">19–26. </w:t>
      </w:r>
    </w:p>
    <w:p w14:paraId="6DBEB216"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Hull BP, McIntyre PB, Heath TC, Sayer GP. Measuring immunisation coverage in Australia. A review of the Australian Childhood Immunisation Register. </w:t>
      </w:r>
      <w:r w:rsidRPr="00834CDC">
        <w:rPr>
          <w:rStyle w:val="Emphasis"/>
          <w:rFonts w:eastAsia="Times New Roman"/>
          <w:b w:val="0"/>
          <w:bCs w:val="0"/>
        </w:rPr>
        <w:t>Aust Fam Physician</w:t>
      </w:r>
      <w:r w:rsidRPr="00834CDC">
        <w:rPr>
          <w:rFonts w:eastAsia="Times New Roman"/>
        </w:rPr>
        <w:t xml:space="preserve">. 1999;28(1):55–60. </w:t>
      </w:r>
    </w:p>
    <w:p w14:paraId="47C2DDEB"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Government Department of Health and Aged Care. Immunise Australia Program: Expansion of Registers. [Internet.] Canberra: Australian Government Department of Health and Aged Care; 2016. [Accessed on 21 October 2016.] Available from: http://www.immunise.health.gov.au/internet/immunise/publishing.nsf/Content/expansion-registers. </w:t>
      </w:r>
    </w:p>
    <w:p w14:paraId="19C857D1"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Hull B, </w:t>
      </w:r>
      <w:proofErr w:type="spellStart"/>
      <w:r w:rsidRPr="00834CDC">
        <w:rPr>
          <w:rFonts w:eastAsia="Times New Roman"/>
        </w:rPr>
        <w:t>Deeks</w:t>
      </w:r>
      <w:proofErr w:type="spellEnd"/>
      <w:r w:rsidRPr="00834CDC">
        <w:rPr>
          <w:rFonts w:eastAsia="Times New Roman"/>
        </w:rPr>
        <w:t xml:space="preserve"> S, Menzies R, McIntyre P. Immunisation coverage annual report, 2007.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Q Rep</w:t>
      </w:r>
      <w:r w:rsidRPr="00834CDC">
        <w:rPr>
          <w:rFonts w:eastAsia="Times New Roman"/>
        </w:rPr>
        <w:t xml:space="preserve">. 2009;33(2):170–87. </w:t>
      </w:r>
    </w:p>
    <w:p w14:paraId="35DD9F6E"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Hull BP, Dey A, Menzies RI, Brotherton JM, McIntyre PB. Immunisation coverage, 2012.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Q Rep</w:t>
      </w:r>
      <w:r w:rsidRPr="00834CDC">
        <w:rPr>
          <w:rFonts w:eastAsia="Times New Roman"/>
        </w:rPr>
        <w:t>. 2014;38(3</w:t>
      </w:r>
      <w:proofErr w:type="gramStart"/>
      <w:r w:rsidRPr="00834CDC">
        <w:rPr>
          <w:rFonts w:eastAsia="Times New Roman"/>
        </w:rPr>
        <w:t>):E</w:t>
      </w:r>
      <w:proofErr w:type="gramEnd"/>
      <w:r w:rsidRPr="00834CDC">
        <w:rPr>
          <w:rFonts w:eastAsia="Times New Roman"/>
        </w:rPr>
        <w:t xml:space="preserve">208–31. </w:t>
      </w:r>
    </w:p>
    <w:p w14:paraId="123A02C6"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NCIRS. No Jab No Play, No Jab No Pay. [Internet.] Sydney: NCIRS; 2021. [Accessed on 13 December 2021.] Available from: https://www.ncirs.org.au/public/no-jab-no-play-no-jab-no-pay. </w:t>
      </w:r>
    </w:p>
    <w:p w14:paraId="5689282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Government Department of Health and Aged Care. </w:t>
      </w:r>
      <w:r w:rsidRPr="00834CDC">
        <w:rPr>
          <w:rStyle w:val="Emphasis"/>
          <w:rFonts w:eastAsia="Times New Roman"/>
          <w:b w:val="0"/>
          <w:bCs w:val="0"/>
        </w:rPr>
        <w:t>No Jab No Pay new requirements fact sheet</w:t>
      </w:r>
      <w:r w:rsidRPr="00834CDC">
        <w:rPr>
          <w:rFonts w:eastAsia="Times New Roman"/>
        </w:rPr>
        <w:t xml:space="preserve">. Canberra: Australian Government Department of Health and Aged Care; 14 October 2020. [Accessed on 13 December 2021.] Available from: https://www.health.gov.au/resources/publications/no-jab-no-pay-new-requirements-fact-sheet. </w:t>
      </w:r>
    </w:p>
    <w:p w14:paraId="66D6C2F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Thomas P, Joseph TL, Menzies RI. Evaluation of a targeted immunisation program for Aboriginal and Torres Strait Islander infants in an urban setting. </w:t>
      </w:r>
      <w:r w:rsidRPr="00834CDC">
        <w:rPr>
          <w:rStyle w:val="Emphasis"/>
          <w:rFonts w:eastAsia="Times New Roman"/>
          <w:b w:val="0"/>
          <w:bCs w:val="0"/>
        </w:rPr>
        <w:t>NSW Public Health Bull</w:t>
      </w:r>
      <w:r w:rsidRPr="00834CDC">
        <w:rPr>
          <w:rFonts w:eastAsia="Times New Roman"/>
        </w:rPr>
        <w:t xml:space="preserve">. 2008;19(5–6):96–9. </w:t>
      </w:r>
      <w:proofErr w:type="spellStart"/>
      <w:r w:rsidRPr="00834CDC">
        <w:rPr>
          <w:rFonts w:eastAsia="Times New Roman"/>
        </w:rPr>
        <w:t>doi</w:t>
      </w:r>
      <w:proofErr w:type="spellEnd"/>
      <w:r w:rsidRPr="00834CDC">
        <w:rPr>
          <w:rFonts w:eastAsia="Times New Roman"/>
        </w:rPr>
        <w:t xml:space="preserve">: https://doi.org/10.1071/nb07055. </w:t>
      </w:r>
    </w:p>
    <w:p w14:paraId="5802C3FD"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Cashman PM, Allan NA, Clark KK, Butler MT, Massey PD, </w:t>
      </w:r>
      <w:proofErr w:type="spellStart"/>
      <w:r w:rsidRPr="00834CDC">
        <w:rPr>
          <w:rFonts w:eastAsia="Times New Roman"/>
        </w:rPr>
        <w:t>Durrheim</w:t>
      </w:r>
      <w:proofErr w:type="spellEnd"/>
      <w:r w:rsidRPr="00834CDC">
        <w:rPr>
          <w:rFonts w:eastAsia="Times New Roman"/>
        </w:rPr>
        <w:t xml:space="preserve"> DN. Closing the gap in Australian Aboriginal infant immunisation rates – the development and review of a pre-call strategy. </w:t>
      </w:r>
      <w:r w:rsidRPr="00834CDC">
        <w:rPr>
          <w:rStyle w:val="Emphasis"/>
          <w:rFonts w:eastAsia="Times New Roman"/>
          <w:b w:val="0"/>
          <w:bCs w:val="0"/>
        </w:rPr>
        <w:t>BMC Public Health</w:t>
      </w:r>
      <w:r w:rsidRPr="00834CDC">
        <w:rPr>
          <w:rFonts w:eastAsia="Times New Roman"/>
        </w:rPr>
        <w:t xml:space="preserve">. </w:t>
      </w:r>
      <w:proofErr w:type="gramStart"/>
      <w:r w:rsidRPr="00834CDC">
        <w:rPr>
          <w:rFonts w:eastAsia="Times New Roman"/>
        </w:rPr>
        <w:t>2016;16:514</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https://doi.org/10.1186/s12889-016-3086-x. </w:t>
      </w:r>
    </w:p>
    <w:p w14:paraId="7D25B29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Hendry AJ, Beard FH, Dey A, Meijer D, Campbell-Lloyd S, Clark KK et al. Closing the vaccination coverage gap in New South Wales: </w:t>
      </w:r>
      <w:proofErr w:type="gramStart"/>
      <w:r w:rsidRPr="00834CDC">
        <w:rPr>
          <w:rFonts w:eastAsia="Times New Roman"/>
        </w:rPr>
        <w:t>the</w:t>
      </w:r>
      <w:proofErr w:type="gramEnd"/>
      <w:r w:rsidRPr="00834CDC">
        <w:rPr>
          <w:rFonts w:eastAsia="Times New Roman"/>
        </w:rPr>
        <w:t xml:space="preserve"> Aboriginal Immunisation Healthcare Worker Program. </w:t>
      </w:r>
      <w:r w:rsidRPr="00834CDC">
        <w:rPr>
          <w:rStyle w:val="Emphasis"/>
          <w:rFonts w:eastAsia="Times New Roman"/>
          <w:b w:val="0"/>
          <w:bCs w:val="0"/>
        </w:rPr>
        <w:t>Med J Aust</w:t>
      </w:r>
      <w:r w:rsidRPr="00834CDC">
        <w:rPr>
          <w:rFonts w:eastAsia="Times New Roman"/>
        </w:rPr>
        <w:t xml:space="preserve">. 2018;209(1):24–8. </w:t>
      </w:r>
      <w:proofErr w:type="spellStart"/>
      <w:r w:rsidRPr="00834CDC">
        <w:rPr>
          <w:rFonts w:eastAsia="Times New Roman"/>
        </w:rPr>
        <w:t>doi</w:t>
      </w:r>
      <w:proofErr w:type="spellEnd"/>
      <w:r w:rsidRPr="00834CDC">
        <w:rPr>
          <w:rFonts w:eastAsia="Times New Roman"/>
        </w:rPr>
        <w:t xml:space="preserve">: https://doi.org/10.5694/mja18.00063. </w:t>
      </w:r>
    </w:p>
    <w:p w14:paraId="2A40A04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Brisson M, </w:t>
      </w:r>
      <w:proofErr w:type="spellStart"/>
      <w:r w:rsidRPr="00834CDC">
        <w:rPr>
          <w:rFonts w:eastAsia="Times New Roman"/>
        </w:rPr>
        <w:t>Bénard</w:t>
      </w:r>
      <w:proofErr w:type="spellEnd"/>
      <w:r w:rsidRPr="00834CDC">
        <w:rPr>
          <w:rFonts w:eastAsia="Times New Roman"/>
        </w:rPr>
        <w:t xml:space="preserve"> E, </w:t>
      </w:r>
      <w:proofErr w:type="spellStart"/>
      <w:r w:rsidRPr="00834CDC">
        <w:rPr>
          <w:rFonts w:eastAsia="Times New Roman"/>
        </w:rPr>
        <w:t>Drolet</w:t>
      </w:r>
      <w:proofErr w:type="spellEnd"/>
      <w:r w:rsidRPr="00834CDC">
        <w:rPr>
          <w:rFonts w:eastAsia="Times New Roman"/>
        </w:rPr>
        <w:t xml:space="preserve"> M, </w:t>
      </w:r>
      <w:proofErr w:type="spellStart"/>
      <w:r w:rsidRPr="00834CDC">
        <w:rPr>
          <w:rFonts w:eastAsia="Times New Roman"/>
        </w:rPr>
        <w:t>Bogaards</w:t>
      </w:r>
      <w:proofErr w:type="spellEnd"/>
      <w:r w:rsidRPr="00834CDC">
        <w:rPr>
          <w:rFonts w:eastAsia="Times New Roman"/>
        </w:rPr>
        <w:t xml:space="preserve"> JA, </w:t>
      </w:r>
      <w:proofErr w:type="spellStart"/>
      <w:r w:rsidRPr="00834CDC">
        <w:rPr>
          <w:rFonts w:eastAsia="Times New Roman"/>
        </w:rPr>
        <w:t>Baussano</w:t>
      </w:r>
      <w:proofErr w:type="spellEnd"/>
      <w:r w:rsidRPr="00834CDC">
        <w:rPr>
          <w:rFonts w:eastAsia="Times New Roman"/>
        </w:rPr>
        <w:t xml:space="preserve"> I, </w:t>
      </w:r>
      <w:proofErr w:type="spellStart"/>
      <w:r w:rsidRPr="00834CDC">
        <w:rPr>
          <w:rFonts w:eastAsia="Times New Roman"/>
        </w:rPr>
        <w:t>Vänskä</w:t>
      </w:r>
      <w:proofErr w:type="spellEnd"/>
      <w:r w:rsidRPr="00834CDC">
        <w:rPr>
          <w:rFonts w:eastAsia="Times New Roman"/>
        </w:rPr>
        <w:t xml:space="preserve"> S et al. Population-level impact, herd immunity, and elimination after human papillomavirus vaccination: a systematic review and meta-analysis of predictions from transmission-dynamic models. </w:t>
      </w:r>
      <w:r w:rsidRPr="00834CDC">
        <w:rPr>
          <w:rStyle w:val="Emphasis"/>
          <w:rFonts w:eastAsia="Times New Roman"/>
          <w:b w:val="0"/>
          <w:bCs w:val="0"/>
        </w:rPr>
        <w:t>Lancet Public Health</w:t>
      </w:r>
      <w:r w:rsidRPr="00834CDC">
        <w:rPr>
          <w:rFonts w:eastAsia="Times New Roman"/>
        </w:rPr>
        <w:t>. 2016;1(1</w:t>
      </w:r>
      <w:proofErr w:type="gramStart"/>
      <w:r w:rsidRPr="00834CDC">
        <w:rPr>
          <w:rFonts w:eastAsia="Times New Roman"/>
        </w:rPr>
        <w:t>):e</w:t>
      </w:r>
      <w:proofErr w:type="gramEnd"/>
      <w:r w:rsidRPr="00834CDC">
        <w:rPr>
          <w:rFonts w:eastAsia="Times New Roman"/>
        </w:rPr>
        <w:t xml:space="preserve">8–17. </w:t>
      </w:r>
      <w:proofErr w:type="spellStart"/>
      <w:r w:rsidRPr="00834CDC">
        <w:rPr>
          <w:rFonts w:eastAsia="Times New Roman"/>
        </w:rPr>
        <w:t>doi</w:t>
      </w:r>
      <w:proofErr w:type="spellEnd"/>
      <w:r w:rsidRPr="00834CDC">
        <w:rPr>
          <w:rFonts w:eastAsia="Times New Roman"/>
        </w:rPr>
        <w:t xml:space="preserve">: https://doi.org/10.1016/S2468-2667(16)30001-9. </w:t>
      </w:r>
    </w:p>
    <w:p w14:paraId="0C5256D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Government Department of Health and Aged Care. CDNA surveillance case definitions. [Internet.] Canberra: Australian Government Department of Health and Aged Care; 2021. [Accessed on 13 </w:t>
      </w:r>
      <w:r w:rsidRPr="00834CDC">
        <w:rPr>
          <w:rFonts w:eastAsia="Times New Roman"/>
        </w:rPr>
        <w:lastRenderedPageBreak/>
        <w:t xml:space="preserve">December 2021.] Available from: https://www.health.gov.au/resources/collections/cdna-surveillance-case-definitions. </w:t>
      </w:r>
    </w:p>
    <w:p w14:paraId="4DDAE1D4"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NNDSS Annual Report Working Group. Australia’s notifiable disease status, 2016: annual report of the National Notifiable Diseases Surveillance System.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(2018)</w:t>
      </w:r>
      <w:r w:rsidRPr="00834CDC">
        <w:rPr>
          <w:rFonts w:eastAsia="Times New Roman"/>
        </w:rPr>
        <w:t>. 2021;</w:t>
      </w:r>
      <w:proofErr w:type="gramStart"/>
      <w:r w:rsidRPr="00834CDC">
        <w:rPr>
          <w:rFonts w:eastAsia="Times New Roman"/>
        </w:rPr>
        <w:t>45</w:t>
      </w:r>
      <w:proofErr w:type="gramEnd"/>
      <w:r w:rsidRPr="00834CDC">
        <w:rPr>
          <w:rFonts w:eastAsia="Times New Roman"/>
        </w:rPr>
        <w:t xml:space="preserve">. </w:t>
      </w:r>
      <w:proofErr w:type="spellStart"/>
      <w:r w:rsidRPr="00834CDC">
        <w:rPr>
          <w:rFonts w:eastAsia="Times New Roman"/>
        </w:rPr>
        <w:t>doi</w:t>
      </w:r>
      <w:proofErr w:type="spellEnd"/>
      <w:r w:rsidRPr="00834CDC">
        <w:rPr>
          <w:rFonts w:eastAsia="Times New Roman"/>
        </w:rPr>
        <w:t xml:space="preserve">: https://doi.org/10.33321/cdi.2021.45.28. </w:t>
      </w:r>
    </w:p>
    <w:p w14:paraId="61166CC9"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AIHW. </w:t>
      </w:r>
      <w:r w:rsidRPr="00834CDC">
        <w:rPr>
          <w:rStyle w:val="Emphasis"/>
          <w:rFonts w:eastAsia="Times New Roman"/>
          <w:b w:val="0"/>
          <w:bCs w:val="0"/>
        </w:rPr>
        <w:t>Improving the quality of Indigenous identification in hospital separations data</w:t>
      </w:r>
      <w:r w:rsidRPr="00834CDC">
        <w:rPr>
          <w:rFonts w:eastAsia="Times New Roman"/>
        </w:rPr>
        <w:t xml:space="preserve">. (Cat. No. HSE 101.) Canberra: Australian Government, AIHW; 9 December 2005. [Accessed on 26 September 2022.] Available from: https://www.aihw.gov.au/reports/indigenous-australians/improving-identification-hospital-separation-data/contents/table-of-contents. </w:t>
      </w:r>
    </w:p>
    <w:p w14:paraId="34585501"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O’Malley KJ, Cook KF, Price MD, </w:t>
      </w:r>
      <w:proofErr w:type="spellStart"/>
      <w:r w:rsidRPr="00834CDC">
        <w:rPr>
          <w:rFonts w:eastAsia="Times New Roman"/>
        </w:rPr>
        <w:t>Wildes</w:t>
      </w:r>
      <w:proofErr w:type="spellEnd"/>
      <w:r w:rsidRPr="00834CDC">
        <w:rPr>
          <w:rFonts w:eastAsia="Times New Roman"/>
        </w:rPr>
        <w:t xml:space="preserve"> KR, Hurdle JF, Ashton CM. Measuring diagnoses: ICD code accuracy. </w:t>
      </w:r>
      <w:r w:rsidRPr="00834CDC">
        <w:rPr>
          <w:rStyle w:val="Emphasis"/>
          <w:rFonts w:eastAsia="Times New Roman"/>
          <w:b w:val="0"/>
          <w:bCs w:val="0"/>
        </w:rPr>
        <w:t>Health Serv Res</w:t>
      </w:r>
      <w:r w:rsidRPr="00834CDC">
        <w:rPr>
          <w:rFonts w:eastAsia="Times New Roman"/>
        </w:rPr>
        <w:t xml:space="preserve">. 2005;40(5 Pt 2):1620–39. </w:t>
      </w:r>
      <w:proofErr w:type="spellStart"/>
      <w:r w:rsidRPr="00834CDC">
        <w:rPr>
          <w:rFonts w:eastAsia="Times New Roman"/>
        </w:rPr>
        <w:t>doi</w:t>
      </w:r>
      <w:proofErr w:type="spellEnd"/>
      <w:r w:rsidRPr="00834CDC">
        <w:rPr>
          <w:rFonts w:eastAsia="Times New Roman"/>
        </w:rPr>
        <w:t xml:space="preserve">: https://doi.org/10.1111/j.1475-6773.2005.00444.x. </w:t>
      </w:r>
    </w:p>
    <w:p w14:paraId="3BC1D61D"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Bureau of Statistics. Causes of death: Australia (Reference period 2019). [Webpage.] Canberra; Australian Bureau of Statistics; 23 October 2020. Available from: https://www.abs.gov.au/statistics/health/causes-death/causes-death-australia/2019. </w:t>
      </w:r>
    </w:p>
    <w:p w14:paraId="163FECB5"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AIHW. </w:t>
      </w:r>
      <w:r w:rsidRPr="00834CDC">
        <w:rPr>
          <w:rStyle w:val="Emphasis"/>
          <w:rFonts w:eastAsia="Times New Roman"/>
          <w:b w:val="0"/>
          <w:bCs w:val="0"/>
        </w:rPr>
        <w:t>Mortality over the twentieth century in Australia: trends and patterns in major causes of death</w:t>
      </w:r>
      <w:r w:rsidRPr="00834CDC">
        <w:rPr>
          <w:rFonts w:eastAsia="Times New Roman"/>
        </w:rPr>
        <w:t xml:space="preserve">. (Cat. no. PHE 73.) Canberra: Australian Government, AIHW; 5 April 2006. [Accessed on 26 September 2022.] Available from: https://www.aihw.gov.au/reports/life-expectancy-deaths/mortality-twentieth-century-australia-trends/summary. </w:t>
      </w:r>
    </w:p>
    <w:p w14:paraId="2D688AE3"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Pinto Carvalho FL, Cordeiro JA, </w:t>
      </w:r>
      <w:proofErr w:type="spellStart"/>
      <w:r w:rsidRPr="00834CDC">
        <w:rPr>
          <w:rFonts w:eastAsia="Times New Roman"/>
        </w:rPr>
        <w:t>Cury</w:t>
      </w:r>
      <w:proofErr w:type="spellEnd"/>
      <w:r w:rsidRPr="00834CDC">
        <w:rPr>
          <w:rFonts w:eastAsia="Times New Roman"/>
        </w:rPr>
        <w:t xml:space="preserve"> PM. Clinical and pathological disagreement upon the cause of death in a teaching hospital: analysis of </w:t>
      </w:r>
      <w:proofErr w:type="gramStart"/>
      <w:r w:rsidRPr="00834CDC">
        <w:rPr>
          <w:rFonts w:eastAsia="Times New Roman"/>
        </w:rPr>
        <w:t>100</w:t>
      </w:r>
      <w:proofErr w:type="gramEnd"/>
      <w:r w:rsidRPr="00834CDC">
        <w:rPr>
          <w:rFonts w:eastAsia="Times New Roman"/>
        </w:rPr>
        <w:t xml:space="preserve"> autopsy cases in a prospective study. </w:t>
      </w:r>
      <w:proofErr w:type="spellStart"/>
      <w:r w:rsidRPr="00834CDC">
        <w:rPr>
          <w:rStyle w:val="Emphasis"/>
          <w:rFonts w:eastAsia="Times New Roman"/>
          <w:b w:val="0"/>
          <w:bCs w:val="0"/>
        </w:rPr>
        <w:t>Pathol</w:t>
      </w:r>
      <w:proofErr w:type="spellEnd"/>
      <w:r w:rsidRPr="00834CDC">
        <w:rPr>
          <w:rStyle w:val="Emphasis"/>
          <w:rFonts w:eastAsia="Times New Roman"/>
          <w:b w:val="0"/>
          <w:bCs w:val="0"/>
        </w:rPr>
        <w:t xml:space="preserve"> Int</w:t>
      </w:r>
      <w:r w:rsidRPr="00834CDC">
        <w:rPr>
          <w:rFonts w:eastAsia="Times New Roman"/>
        </w:rPr>
        <w:t xml:space="preserve">. 2008;58(9):568–71. </w:t>
      </w:r>
      <w:proofErr w:type="spellStart"/>
      <w:r w:rsidRPr="00834CDC">
        <w:rPr>
          <w:rFonts w:eastAsia="Times New Roman"/>
        </w:rPr>
        <w:t>doi</w:t>
      </w:r>
      <w:proofErr w:type="spellEnd"/>
      <w:r w:rsidRPr="00834CDC">
        <w:rPr>
          <w:rFonts w:eastAsia="Times New Roman"/>
        </w:rPr>
        <w:t xml:space="preserve">: https://doi.org/10.1111/j.1440-1827.2008.02272.x. </w:t>
      </w:r>
    </w:p>
    <w:p w14:paraId="1EA4E39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Crowcroft NS, Andrews N, Rooney C, Brisson M, Miller E. Deaths from pertussis </w:t>
      </w:r>
      <w:proofErr w:type="gramStart"/>
      <w:r w:rsidRPr="00834CDC">
        <w:rPr>
          <w:rFonts w:eastAsia="Times New Roman"/>
        </w:rPr>
        <w:t>are underestimated</w:t>
      </w:r>
      <w:proofErr w:type="gramEnd"/>
      <w:r w:rsidRPr="00834CDC">
        <w:rPr>
          <w:rFonts w:eastAsia="Times New Roman"/>
        </w:rPr>
        <w:t xml:space="preserve"> in England. </w:t>
      </w:r>
      <w:r w:rsidRPr="00834CDC">
        <w:rPr>
          <w:rStyle w:val="Emphasis"/>
          <w:rFonts w:eastAsia="Times New Roman"/>
          <w:b w:val="0"/>
          <w:bCs w:val="0"/>
        </w:rPr>
        <w:t>Arch Dis Child</w:t>
      </w:r>
      <w:r w:rsidRPr="00834CDC">
        <w:rPr>
          <w:rFonts w:eastAsia="Times New Roman"/>
        </w:rPr>
        <w:t xml:space="preserve">. 2002;86(5):336–8. </w:t>
      </w:r>
      <w:proofErr w:type="spellStart"/>
      <w:r w:rsidRPr="00834CDC">
        <w:rPr>
          <w:rFonts w:eastAsia="Times New Roman"/>
        </w:rPr>
        <w:t>doi</w:t>
      </w:r>
      <w:proofErr w:type="spellEnd"/>
      <w:r w:rsidRPr="00834CDC">
        <w:rPr>
          <w:rFonts w:eastAsia="Times New Roman"/>
        </w:rPr>
        <w:t xml:space="preserve">: https://doi.org/10.1136/adc.86.5.336. </w:t>
      </w:r>
    </w:p>
    <w:p w14:paraId="36BC938A"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Sutter RW, </w:t>
      </w:r>
      <w:proofErr w:type="spellStart"/>
      <w:r w:rsidRPr="00834CDC">
        <w:rPr>
          <w:rFonts w:eastAsia="Times New Roman"/>
        </w:rPr>
        <w:t>Cochi</w:t>
      </w:r>
      <w:proofErr w:type="spellEnd"/>
      <w:r w:rsidRPr="00834CDC">
        <w:rPr>
          <w:rFonts w:eastAsia="Times New Roman"/>
        </w:rPr>
        <w:t xml:space="preserve"> SL, Brink EW, </w:t>
      </w:r>
      <w:proofErr w:type="spellStart"/>
      <w:r w:rsidRPr="00834CDC">
        <w:rPr>
          <w:rFonts w:eastAsia="Times New Roman"/>
        </w:rPr>
        <w:t>Sirotkin</w:t>
      </w:r>
      <w:proofErr w:type="spellEnd"/>
      <w:r w:rsidRPr="00834CDC">
        <w:rPr>
          <w:rFonts w:eastAsia="Times New Roman"/>
        </w:rPr>
        <w:t xml:space="preserve"> BI. Assessment of vital statistics and surveillance data for monitoring tetanus mortality, United States, 1979–1984. </w:t>
      </w:r>
      <w:r w:rsidRPr="00834CDC">
        <w:rPr>
          <w:rStyle w:val="Emphasis"/>
          <w:rFonts w:eastAsia="Times New Roman"/>
          <w:b w:val="0"/>
          <w:bCs w:val="0"/>
        </w:rPr>
        <w:t>Am J Epidemiol</w:t>
      </w:r>
      <w:r w:rsidRPr="00834CDC">
        <w:rPr>
          <w:rFonts w:eastAsia="Times New Roman"/>
        </w:rPr>
        <w:t xml:space="preserve">. 1990;131(1):132–42. </w:t>
      </w:r>
      <w:proofErr w:type="spellStart"/>
      <w:r w:rsidRPr="00834CDC">
        <w:rPr>
          <w:rFonts w:eastAsia="Times New Roman"/>
        </w:rPr>
        <w:t>doi</w:t>
      </w:r>
      <w:proofErr w:type="spellEnd"/>
      <w:r w:rsidRPr="00834CDC">
        <w:rPr>
          <w:rFonts w:eastAsia="Times New Roman"/>
        </w:rPr>
        <w:t xml:space="preserve">: https://doi.org/10.1093/oxfordjournals.aje.a115466. </w:t>
      </w:r>
    </w:p>
    <w:p w14:paraId="7B74F3FD"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AIHW. </w:t>
      </w:r>
      <w:r w:rsidRPr="00834CDC">
        <w:rPr>
          <w:rStyle w:val="Emphasis"/>
          <w:rFonts w:eastAsia="Times New Roman"/>
          <w:b w:val="0"/>
          <w:bCs w:val="0"/>
        </w:rPr>
        <w:t>Principles on the use of direct age-standardisation in administrative data collections: for measuring the gap between Indigenous and non-Indigenous Australians</w:t>
      </w:r>
      <w:r w:rsidRPr="00834CDC">
        <w:rPr>
          <w:rFonts w:eastAsia="Times New Roman"/>
        </w:rPr>
        <w:t xml:space="preserve">. (Cat. no. CSI 12.) Canberra: Australian Government, AIHW; 7 October 2011. [Accessed on 26 September 2022.] Available from: https://www.aihw.gov.au/reports/indigenous-australians/principles-on-the-use-of-direct-age-standardisatio/summary. </w:t>
      </w:r>
    </w:p>
    <w:p w14:paraId="50C12F77"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Bureau of Statistics. National, state and territory population (Reference period December 2020). [Webpage.] Canberra: Australian Bureau of Statistics; 17 June 2021. [Accessed on 13 December 2021.] Available from: https://www.abs.gov.au/statistics/people/population/national-state-and-territory-population/dec-2020. </w:t>
      </w:r>
    </w:p>
    <w:p w14:paraId="1E46BA21"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O’Brien ED, Sam GA, Mead C. Methodology for measuring Australia’s childhood immunisation coverage.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Fonts w:eastAsia="Times New Roman"/>
        </w:rPr>
        <w:t xml:space="preserve">. 1998;22(3):36–7. </w:t>
      </w:r>
    </w:p>
    <w:p w14:paraId="1A5F4BEC"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Hull BP, Lawrence GL, </w:t>
      </w:r>
      <w:proofErr w:type="spellStart"/>
      <w:r w:rsidRPr="00834CDC">
        <w:rPr>
          <w:rFonts w:eastAsia="Times New Roman"/>
        </w:rPr>
        <w:t>MacIntyre</w:t>
      </w:r>
      <w:proofErr w:type="spellEnd"/>
      <w:r w:rsidRPr="00834CDC">
        <w:rPr>
          <w:rFonts w:eastAsia="Times New Roman"/>
        </w:rPr>
        <w:t xml:space="preserve"> CR, McIntyre PB. Estimating immunisation coverage: is the ‘third dose assumption’ still valid? </w:t>
      </w:r>
      <w:proofErr w:type="spellStart"/>
      <w:r w:rsidRPr="00834CDC">
        <w:rPr>
          <w:rStyle w:val="Emphasis"/>
          <w:rFonts w:eastAsia="Times New Roman"/>
          <w:b w:val="0"/>
          <w:bCs w:val="0"/>
        </w:rPr>
        <w:t>Commun</w:t>
      </w:r>
      <w:proofErr w:type="spellEnd"/>
      <w:r w:rsidRPr="00834CDC">
        <w:rPr>
          <w:rStyle w:val="Emphasis"/>
          <w:rFonts w:eastAsia="Times New Roman"/>
          <w:b w:val="0"/>
          <w:bCs w:val="0"/>
        </w:rPr>
        <w:t xml:space="preserve"> Dis </w:t>
      </w:r>
      <w:proofErr w:type="spellStart"/>
      <w:r w:rsidRPr="00834CDC">
        <w:rPr>
          <w:rStyle w:val="Emphasis"/>
          <w:rFonts w:eastAsia="Times New Roman"/>
          <w:b w:val="0"/>
          <w:bCs w:val="0"/>
        </w:rPr>
        <w:t>Intell</w:t>
      </w:r>
      <w:proofErr w:type="spellEnd"/>
      <w:r w:rsidRPr="00834CDC">
        <w:rPr>
          <w:rStyle w:val="Emphasis"/>
          <w:rFonts w:eastAsia="Times New Roman"/>
          <w:b w:val="0"/>
          <w:bCs w:val="0"/>
        </w:rPr>
        <w:t xml:space="preserve"> Q Rep</w:t>
      </w:r>
      <w:r w:rsidRPr="00834CDC">
        <w:rPr>
          <w:rFonts w:eastAsia="Times New Roman"/>
        </w:rPr>
        <w:t xml:space="preserve">. 2003;27(3):357–61. </w:t>
      </w:r>
    </w:p>
    <w:p w14:paraId="54F05E98"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Hull BP, McIntyre PB. Immunisation coverage reporting through the Australian Childhood Immunisation Register – an evaluation of the third-dose assumption. </w:t>
      </w:r>
      <w:r w:rsidRPr="00834CDC">
        <w:rPr>
          <w:rStyle w:val="Emphasis"/>
          <w:rFonts w:eastAsia="Times New Roman"/>
          <w:b w:val="0"/>
          <w:bCs w:val="0"/>
        </w:rPr>
        <w:t>Aust N Z J Public Health</w:t>
      </w:r>
      <w:r w:rsidRPr="00834CDC">
        <w:rPr>
          <w:rFonts w:eastAsia="Times New Roman"/>
        </w:rPr>
        <w:t xml:space="preserve">. 2000;24(1):17–21. </w:t>
      </w:r>
      <w:proofErr w:type="spellStart"/>
      <w:r w:rsidRPr="00834CDC">
        <w:rPr>
          <w:rFonts w:eastAsia="Times New Roman"/>
        </w:rPr>
        <w:t>doi</w:t>
      </w:r>
      <w:proofErr w:type="spellEnd"/>
      <w:r w:rsidRPr="00834CDC">
        <w:rPr>
          <w:rFonts w:eastAsia="Times New Roman"/>
        </w:rPr>
        <w:t xml:space="preserve">: https://doi.org/10.1111/j.1467-842x.2000.tb00717.x. </w:t>
      </w:r>
    </w:p>
    <w:p w14:paraId="2469E076"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Bureau of Statistics. Australian Statistical Geography Standard (ASGS). [Webpage.] Canberra: Australian Bureau of Statistics; 2011. [Accessed on 17 November 2014.] Available from: </w:t>
      </w:r>
      <w:r w:rsidRPr="00834CDC">
        <w:rPr>
          <w:rFonts w:eastAsia="Times New Roman"/>
        </w:rPr>
        <w:lastRenderedPageBreak/>
        <w:t xml:space="preserve">http://www.abs.gov.au/websitedbs/d3310114.nsf/home/australian+statistical+geography+standard+%28asgs%29. </w:t>
      </w:r>
    </w:p>
    <w:p w14:paraId="0CD4D048"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MapInfo. </w:t>
      </w:r>
      <w:r w:rsidRPr="00834CDC">
        <w:rPr>
          <w:rStyle w:val="Emphasis"/>
          <w:rFonts w:eastAsia="Times New Roman"/>
          <w:b w:val="0"/>
          <w:bCs w:val="0"/>
        </w:rPr>
        <w:t>MapInfo Pro version 15.0</w:t>
      </w:r>
      <w:r w:rsidRPr="00834CDC">
        <w:rPr>
          <w:rFonts w:eastAsia="Times New Roman"/>
        </w:rPr>
        <w:t xml:space="preserve">. [Software.] Pitney Bowes Software, Stamford, Connecticut, USA; 2015. </w:t>
      </w:r>
    </w:p>
    <w:p w14:paraId="5B472396"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 xml:space="preserve">Australian Bureau of Statistics. 1270.0.55.006 – Australian Statistical Geography Standard (ASGS): Correspondences, July 2011. (Cat. no. 1270.0.55.006.) [Webpage.] Canberra: Australian Bureau of Statistics; 27 June 2012. [Accessed on 17 November 2014.] Available from: http://www.abs.gov.au/AUSSTATS/abs@.nsf/Lookup/1270.0.55.006Main+Features1July%202011. </w:t>
      </w:r>
    </w:p>
    <w:p w14:paraId="532D0BA1" w14:textId="77777777" w:rsidR="0033445F" w:rsidRPr="00834CDC" w:rsidRDefault="0033445F" w:rsidP="006C707B">
      <w:pPr>
        <w:pStyle w:val="ListParagraph"/>
        <w:numPr>
          <w:ilvl w:val="0"/>
          <w:numId w:val="6"/>
        </w:numPr>
        <w:ind w:left="993" w:hanging="633"/>
        <w:divId w:val="1988506822"/>
        <w:rPr>
          <w:rFonts w:eastAsia="Times New Roman"/>
        </w:rPr>
      </w:pPr>
      <w:r w:rsidRPr="00834CDC">
        <w:rPr>
          <w:rFonts w:eastAsia="Times New Roman"/>
        </w:rPr>
        <w:t>Hugo Centre for Migration and Population Research. Accessibility/Remoteness Index of Australia - ARIA++(2011). [Internet.] Adelaide: University of Adelaide, Hugo Centre for Migration and Population Research, 2011. [Accessed on 17 November 2017.] Available from: https://www.adelaide.edu.au/hugo-centre/spatial_data/.</w:t>
      </w:r>
    </w:p>
    <w:p w14:paraId="4A78AF30" w14:textId="77777777" w:rsidR="00264A38" w:rsidRPr="00834CDC" w:rsidRDefault="00264A38">
      <w:pPr>
        <w:rPr>
          <w:rFonts w:asciiTheme="majorHAnsi" w:eastAsiaTheme="majorEastAsia" w:hAnsiTheme="majorHAnsi" w:cstheme="majorBidi"/>
          <w:b/>
          <w:bCs/>
          <w:sz w:val="32"/>
          <w:szCs w:val="28"/>
        </w:rPr>
      </w:pPr>
      <w:r w:rsidRPr="00834CDC">
        <w:br w:type="page"/>
      </w:r>
    </w:p>
    <w:p w14:paraId="02240D0A" w14:textId="7BF03D9D" w:rsidR="0033445F" w:rsidRPr="00834CDC" w:rsidRDefault="0033445F" w:rsidP="0033445F">
      <w:pPr>
        <w:pStyle w:val="Heading1"/>
        <w:divId w:val="1988506822"/>
      </w:pPr>
      <w:r w:rsidRPr="00834CDC">
        <w:lastRenderedPageBreak/>
        <w:t xml:space="preserve">Appendix A: Technical notes on methods and interpretation of vaccine preventable diseases and vaccination coverage data </w:t>
      </w:r>
    </w:p>
    <w:p w14:paraId="3C14DB2D" w14:textId="77777777" w:rsidR="0033445F" w:rsidRPr="00834CDC" w:rsidRDefault="0033445F" w:rsidP="0033445F">
      <w:pPr>
        <w:divId w:val="1988506822"/>
      </w:pPr>
      <w:r w:rsidRPr="00834CDC">
        <w:t>The methods used in this report are adapted from those used in the earlier reports in this series.</w:t>
      </w:r>
      <w:r w:rsidRPr="00834CDC">
        <w:rPr>
          <w:vertAlign w:val="superscript"/>
        </w:rPr>
        <w:t>1–4</w:t>
      </w:r>
      <w:r w:rsidRPr="00834CDC">
        <w:t xml:space="preserve"> </w:t>
      </w:r>
    </w:p>
    <w:p w14:paraId="07291D14" w14:textId="77777777" w:rsidR="0033445F" w:rsidRPr="00834CDC" w:rsidRDefault="0033445F" w:rsidP="0033445F">
      <w:pPr>
        <w:pStyle w:val="Heading2"/>
        <w:divId w:val="1988506822"/>
      </w:pPr>
      <w:r w:rsidRPr="00834CDC">
        <w:t xml:space="preserve">General issues </w:t>
      </w:r>
      <w:proofErr w:type="gramStart"/>
      <w:r w:rsidRPr="00834CDC">
        <w:t>regarding</w:t>
      </w:r>
      <w:proofErr w:type="gramEnd"/>
      <w:r w:rsidRPr="00834CDC">
        <w:t xml:space="preserve"> data on vaccine preventable diseases </w:t>
      </w:r>
    </w:p>
    <w:p w14:paraId="4F4D3692" w14:textId="77777777" w:rsidR="0033445F" w:rsidRPr="00834CDC" w:rsidRDefault="0033445F" w:rsidP="0033445F">
      <w:pPr>
        <w:divId w:val="1988506822"/>
      </w:pPr>
      <w:r w:rsidRPr="00834CDC">
        <w:t xml:space="preserve">Three sources of routinely collected data </w:t>
      </w:r>
      <w:proofErr w:type="gramStart"/>
      <w:r w:rsidRPr="00834CDC">
        <w:t>were used</w:t>
      </w:r>
      <w:proofErr w:type="gramEnd"/>
      <w:r w:rsidRPr="00834CDC">
        <w:t xml:space="preserve"> for this report: notification data obtained from the National Notifiable Diseases Surveillance System (NNDSS); hospitalisation data obtained from the Australian Institute of Health and Welfare (AIHW) National Hospital Morbidity Database; and mortality data provided by the Australian Coordinating Registry. </w:t>
      </w:r>
    </w:p>
    <w:p w14:paraId="6033629E" w14:textId="77777777" w:rsidR="0033445F" w:rsidRPr="00834CDC" w:rsidRDefault="0033445F" w:rsidP="0033445F">
      <w:pPr>
        <w:divId w:val="1988506822"/>
      </w:pPr>
      <w:r w:rsidRPr="00834CDC">
        <w:t xml:space="preserve">Comparisons between the notification, hospitalisation and death data should </w:t>
      </w:r>
      <w:proofErr w:type="gramStart"/>
      <w:r w:rsidRPr="00834CDC">
        <w:t>be made</w:t>
      </w:r>
      <w:proofErr w:type="gramEnd"/>
      <w:r w:rsidRPr="00834CDC">
        <w:t xml:space="preserve"> with caution, since these datasets differ in their purposes of collection, reporting mechanisms and accuracy. As there are no unique identifying codes to link records for the same individuals across these datasets, and due to differences in defining a case and in the completeness and the accuracy of the data in each dataset, it is not possible to interpret deaths and hospitalisations as subsets of notifications. </w:t>
      </w:r>
    </w:p>
    <w:p w14:paraId="2E5B3099" w14:textId="77777777" w:rsidR="0033445F" w:rsidRPr="00834CDC" w:rsidRDefault="0033445F" w:rsidP="0033445F">
      <w:pPr>
        <w:divId w:val="1988506822"/>
      </w:pPr>
      <w:r w:rsidRPr="00834CDC">
        <w:t xml:space="preserve">Methodology used for the HPV section of this report differed from that used for other vaccine preventable diseases (VPDs), as HPV infection or HPV-related disease is not notifiable to </w:t>
      </w:r>
      <w:proofErr w:type="gramStart"/>
      <w:r w:rsidRPr="00834CDC">
        <w:t>NNDSS</w:t>
      </w:r>
      <w:proofErr w:type="gramEnd"/>
      <w:r w:rsidRPr="00834CDC">
        <w:t xml:space="preserve"> and death data is not an appropriate data source. Hospitalisation data </w:t>
      </w:r>
      <w:proofErr w:type="gramStart"/>
      <w:r w:rsidRPr="00834CDC">
        <w:t>is presented</w:t>
      </w:r>
      <w:proofErr w:type="gramEnd"/>
      <w:r w:rsidRPr="00834CDC">
        <w:t xml:space="preserve"> for genital warts in the HPV chapter; additionally, other key data from a variety of sources are summarised, including sentinel surveillance of the detection of HPV during cervical screening, rates of genital wart medical presentations, and rates of cervical precancer detected through screening. </w:t>
      </w:r>
    </w:p>
    <w:p w14:paraId="7B643851" w14:textId="77777777" w:rsidR="0033445F" w:rsidRPr="00834CDC" w:rsidRDefault="0033445F" w:rsidP="0033445F">
      <w:pPr>
        <w:pStyle w:val="Heading2"/>
        <w:divId w:val="1988506822"/>
      </w:pPr>
      <w:r w:rsidRPr="00834CDC">
        <w:t xml:space="preserve">Notifications </w:t>
      </w:r>
    </w:p>
    <w:p w14:paraId="4ED17A5B" w14:textId="77777777" w:rsidR="0033445F" w:rsidRPr="00834CDC" w:rsidRDefault="0033445F" w:rsidP="0033445F">
      <w:pPr>
        <w:divId w:val="1988506822"/>
      </w:pPr>
      <w:r w:rsidRPr="00834CDC">
        <w:t xml:space="preserve">The NNDSS was </w:t>
      </w:r>
      <w:proofErr w:type="gramStart"/>
      <w:r w:rsidRPr="00834CDC">
        <w:t>established</w:t>
      </w:r>
      <w:proofErr w:type="gramEnd"/>
      <w:r w:rsidRPr="00834CDC">
        <w:t xml:space="preserve"> in its current form in 1991 and includes de-identified information about cases of notifiable diseases notified to state and territory authorities under their respective public health legislation. Prior to 2004, state and territory notification criteria were based on the National Health and Medical Research Council (NHMRC) surveillance case definitions, with various modifications applied in different jurisdictions. Since 2004, all jurisdictions have applied national case definitions for notifiable diseases endorsed by the Communicable Diseases Network Australia (CDNA).</w:t>
      </w:r>
      <w:r w:rsidRPr="00834CDC">
        <w:rPr>
          <w:vertAlign w:val="superscript"/>
        </w:rPr>
        <w:t>247</w:t>
      </w:r>
      <w:r w:rsidRPr="00834CDC">
        <w:t xml:space="preserve"> The case definitions for notifications, for all included VPDs, </w:t>
      </w:r>
      <w:proofErr w:type="gramStart"/>
      <w:r w:rsidRPr="00834CDC">
        <w:t>are described</w:t>
      </w:r>
      <w:proofErr w:type="gramEnd"/>
      <w:r w:rsidRPr="00834CDC">
        <w:t xml:space="preserve"> on the Department of Health and Aged Care website.</w:t>
      </w:r>
      <w:r w:rsidRPr="00834CDC">
        <w:rPr>
          <w:vertAlign w:val="superscript"/>
        </w:rPr>
        <w:t>247</w:t>
      </w:r>
      <w:r w:rsidRPr="00834CDC">
        <w:t xml:space="preserve"> </w:t>
      </w:r>
    </w:p>
    <w:p w14:paraId="554FC382" w14:textId="77777777" w:rsidR="0033445F" w:rsidRPr="00834CDC" w:rsidRDefault="0033445F" w:rsidP="0033445F">
      <w:pPr>
        <w:divId w:val="1988506822"/>
      </w:pPr>
      <w:r w:rsidRPr="00834CDC">
        <w:t xml:space="preserve">Disease notifications with a date of diagnosis between 1 January 2010 and 31 December 2019 </w:t>
      </w:r>
      <w:proofErr w:type="gramStart"/>
      <w:r w:rsidRPr="00834CDC">
        <w:t>were included</w:t>
      </w:r>
      <w:proofErr w:type="gramEnd"/>
      <w:r w:rsidRPr="00834CDC">
        <w:t xml:space="preserve"> in this report (data as of 1 February 2021). The data collected by the NNDSS </w:t>
      </w:r>
      <w:proofErr w:type="gramStart"/>
      <w:r w:rsidRPr="00834CDC">
        <w:t>are continually updated</w:t>
      </w:r>
      <w:proofErr w:type="gramEnd"/>
      <w:r w:rsidRPr="00834CDC">
        <w:t xml:space="preserve"> by jurisdictions. Due to the dynamic nature of the NNDSS, data on this extract are subject to retrospective revision and may vary from data reported in annual reports of the NNDSS (Australia’s Notifiable Disease Status reports)</w:t>
      </w:r>
      <w:r w:rsidRPr="00834CDC">
        <w:rPr>
          <w:vertAlign w:val="superscript"/>
        </w:rPr>
        <w:t>248</w:t>
      </w:r>
      <w:r w:rsidRPr="00834CDC">
        <w:t xml:space="preserve"> and in other reports that include national notifiable diseases data, depending on the date of data extraction. </w:t>
      </w:r>
    </w:p>
    <w:p w14:paraId="700C32E2" w14:textId="77777777" w:rsidR="0033445F" w:rsidRPr="00834CDC" w:rsidRDefault="0033445F" w:rsidP="0033445F">
      <w:pPr>
        <w:divId w:val="1988506822"/>
      </w:pPr>
      <w:r w:rsidRPr="00834CDC">
        <w:t xml:space="preserve">The variables extracted for analysis of each disease were: diagnosis date; Aboriginal and Torres Strait Islander status; sex; age at diagnosis; birth date (MM/YYYY); and the state or territory from which the notification </w:t>
      </w:r>
      <w:proofErr w:type="gramStart"/>
      <w:r w:rsidRPr="00834CDC">
        <w:t>was received</w:t>
      </w:r>
      <w:proofErr w:type="gramEnd"/>
      <w:r w:rsidRPr="00834CDC">
        <w:t xml:space="preserve">. Diagnosis date is a derived field in NNDSS based on the earliest of four dates: either the onset date or, where the onset was not known, the earliest of the specimen collection date, the notification date and the notification receive date. Data for specific serotypes/serogroups of the causal organism have </w:t>
      </w:r>
      <w:proofErr w:type="gramStart"/>
      <w:r w:rsidRPr="00834CDC">
        <w:t>been presented</w:t>
      </w:r>
      <w:proofErr w:type="gramEnd"/>
      <w:r w:rsidRPr="00834CDC">
        <w:t xml:space="preserve"> for invasive pneumococcal disease and invasive meningococcal disease. </w:t>
      </w:r>
    </w:p>
    <w:p w14:paraId="1F08EE15" w14:textId="60B8D274" w:rsidR="0033445F" w:rsidRPr="00834CDC" w:rsidRDefault="0033445F" w:rsidP="0033445F">
      <w:pPr>
        <w:divId w:val="1988506822"/>
      </w:pPr>
      <w:r w:rsidRPr="00834CDC">
        <w:t xml:space="preserve">Notification data are presented for invasive Hib disease, hepatitis A, acute hepatitis B, influenza, measles, meningococcal disease, mumps, pertussis, pneumococcal disease and rotavirus in their respective chapters, and rare diseases (diphtheria, tetanus, </w:t>
      </w:r>
      <w:proofErr w:type="gramStart"/>
      <w:r w:rsidRPr="00834CDC">
        <w:t>poliomyelitis</w:t>
      </w:r>
      <w:proofErr w:type="gramEnd"/>
      <w:r w:rsidRPr="00834CDC">
        <w:t xml:space="preserve"> and rubella) in a combined chapter. Summary data </w:t>
      </w:r>
      <w:proofErr w:type="gramStart"/>
      <w:r w:rsidRPr="00834CDC">
        <w:t>are presented</w:t>
      </w:r>
      <w:proofErr w:type="gramEnd"/>
      <w:r w:rsidRPr="00834CDC">
        <w:t xml:space="preserve"> in </w:t>
      </w:r>
      <w:r w:rsidRPr="00834CDC">
        <w:lastRenderedPageBreak/>
        <w:t xml:space="preserve">Appendix C. HPV notification data are not presented, as this disease is not nationally notifiable to NNDSS. Notification data for varicella-zoster virus infections (chickenpox and herpes zoster) </w:t>
      </w:r>
      <w:proofErr w:type="gramStart"/>
      <w:r w:rsidRPr="00834CDC">
        <w:t>are not presented</w:t>
      </w:r>
      <w:proofErr w:type="gramEnd"/>
      <w:r w:rsidRPr="00834CDC">
        <w:t>, due to a high proportion of non-specific notifications and a low level of completeness of Aboriginal and Torres Strait Islander</w:t>
      </w:r>
      <w:r w:rsidR="001C130F" w:rsidRPr="00834CDC">
        <w:t> </w:t>
      </w:r>
      <w:r w:rsidRPr="00834CDC">
        <w:t xml:space="preserve">status. </w:t>
      </w:r>
    </w:p>
    <w:p w14:paraId="34A25759" w14:textId="77777777" w:rsidR="0033445F" w:rsidRPr="00834CDC" w:rsidRDefault="0033445F" w:rsidP="0033445F">
      <w:pPr>
        <w:pStyle w:val="Heading2"/>
        <w:divId w:val="1988506822"/>
      </w:pPr>
      <w:r w:rsidRPr="00834CDC">
        <w:t xml:space="preserve">Aboriginal and Torres Strait Islander status identification in notification data </w:t>
      </w:r>
    </w:p>
    <w:p w14:paraId="52FDC241" w14:textId="77777777" w:rsidR="0033445F" w:rsidRPr="00834CDC" w:rsidRDefault="0033445F" w:rsidP="0033445F">
      <w:pPr>
        <w:divId w:val="1988506822"/>
      </w:pPr>
      <w:r w:rsidRPr="00834CDC">
        <w:t xml:space="preserve">Aboriginal and Torres Strait Islander status in the notification data provided by the Department of Health includes three categories: ‘Aboriginal and/or Torres Strait Islander origin’, ‘not Aboriginal or Torres Strait Islander origin’ and ‘not stated’. Aboriginal and/or Torres Strait Islander status is classified in this report under two categories: ‘Aboriginal and Torres Strait Islander’ (individuals identified as Aboriginal and/or Torres Strait Islander) and ‘other’ (individuals recorded as not Aboriginal or Torres Strait Islander plus those whose status was not </w:t>
      </w:r>
      <w:proofErr w:type="gramStart"/>
      <w:r w:rsidRPr="00834CDC">
        <w:t>stated</w:t>
      </w:r>
      <w:proofErr w:type="gramEnd"/>
      <w:r w:rsidRPr="00834CDC">
        <w:t xml:space="preserve"> or inadequately described). </w:t>
      </w:r>
    </w:p>
    <w:p w14:paraId="6C12180B" w14:textId="77777777" w:rsidR="0033445F" w:rsidRPr="00834CDC" w:rsidRDefault="0033445F" w:rsidP="0033445F">
      <w:pPr>
        <w:divId w:val="1988506822"/>
      </w:pPr>
      <w:r w:rsidRPr="00834CDC">
        <w:t xml:space="preserve">The proportion of notifications that lack identification of Aboriginal and Torres Strait Islander status was examined by </w:t>
      </w:r>
      <w:proofErr w:type="gramStart"/>
      <w:r w:rsidRPr="00834CDC">
        <w:t>jurisdiction</w:t>
      </w:r>
      <w:proofErr w:type="gramEnd"/>
      <w:r w:rsidRPr="00834CDC">
        <w:t xml:space="preserve">, year and disease. An acceptable level of completeness of Aboriginal and Torres Strait Islander status identification </w:t>
      </w:r>
      <w:proofErr w:type="gramStart"/>
      <w:r w:rsidRPr="00834CDC">
        <w:t>was defined</w:t>
      </w:r>
      <w:proofErr w:type="gramEnd"/>
      <w:r w:rsidRPr="00834CDC">
        <w:t xml:space="preserve"> as at least 70% in all states and territories for the diseases analysed. This level of completeness was achieved for Hib, hepatitis A, hepatitis B, measles, meningococcal disease, mumps, pneumococcal disease (invasive), diphtheria, tetanus, </w:t>
      </w:r>
      <w:proofErr w:type="gramStart"/>
      <w:r w:rsidRPr="00834CDC">
        <w:t>poliomyelitis</w:t>
      </w:r>
      <w:proofErr w:type="gramEnd"/>
      <w:r w:rsidRPr="00834CDC">
        <w:t xml:space="preserve"> and rubella over the period 2016–2019. After </w:t>
      </w:r>
      <w:proofErr w:type="gramStart"/>
      <w:r w:rsidRPr="00834CDC">
        <w:t>establishing</w:t>
      </w:r>
      <w:proofErr w:type="gramEnd"/>
      <w:r w:rsidRPr="00834CDC">
        <w:t xml:space="preserve"> that notification incidence estimates were not dominated by any one of the jurisdictions (data not shown), estimates are presented for all states and territories and age groups combined, except for influenza, pertussis and rotavirus. While 70% was </w:t>
      </w:r>
      <w:proofErr w:type="gramStart"/>
      <w:r w:rsidRPr="00834CDC">
        <w:t>deemed</w:t>
      </w:r>
      <w:proofErr w:type="gramEnd"/>
      <w:r w:rsidRPr="00834CDC">
        <w:t xml:space="preserve"> an acceptable level of completeness of Aboriginal and Torres Strait Islander status, incomplete identification may result in the rates reported underestimating the true incidence of disease in Aboriginal and Torres Strait Islander people. Hence, it is important to continue to strive for higher levels of completeness. </w:t>
      </w:r>
    </w:p>
    <w:p w14:paraId="0D31556F" w14:textId="77777777" w:rsidR="0033445F" w:rsidRPr="00834CDC" w:rsidRDefault="0033445F" w:rsidP="0033445F">
      <w:pPr>
        <w:divId w:val="1988506822"/>
      </w:pPr>
      <w:r w:rsidRPr="00834CDC">
        <w:t xml:space="preserve">Notification data on influenza </w:t>
      </w:r>
      <w:proofErr w:type="gramStart"/>
      <w:r w:rsidRPr="00834CDC">
        <w:t>are presented</w:t>
      </w:r>
      <w:proofErr w:type="gramEnd"/>
      <w:r w:rsidRPr="00834CDC">
        <w:t xml:space="preserve"> only for the two states with acceptable completeness of Aboriginal and Torres Strait Islander status. Notification data for pertussis </w:t>
      </w:r>
      <w:proofErr w:type="gramStart"/>
      <w:r w:rsidRPr="00834CDC">
        <w:t>are presented</w:t>
      </w:r>
      <w:proofErr w:type="gramEnd"/>
      <w:r w:rsidRPr="00834CDC">
        <w:t xml:space="preserve"> only for the ˂ 5 years age group, due to a low proportion of cases with recorded Aboriginal and Torres Strait Islander status in other age groups. Notification data for rotavirus are presented only for the &lt; 5 years age group and for six states and territories, due to </w:t>
      </w:r>
      <w:proofErr w:type="gramStart"/>
      <w:r w:rsidRPr="00834CDC">
        <w:t>a large proportion</w:t>
      </w:r>
      <w:proofErr w:type="gramEnd"/>
      <w:r w:rsidRPr="00834CDC">
        <w:t xml:space="preserve"> of cases without a recorded Aboriginal and Torres Strait Islander status in other age groups and jurisdictions. These partial data were included </w:t>
      </w:r>
      <w:proofErr w:type="gramStart"/>
      <w:r w:rsidRPr="00834CDC">
        <w:t>on the basis of</w:t>
      </w:r>
      <w:proofErr w:type="gramEnd"/>
      <w:r w:rsidRPr="00834CDC">
        <w:t xml:space="preserve"> advice from the report’s Advisory Group, given the importance of these diseases in Aboriginal and Torres Strait Islander people. </w:t>
      </w:r>
    </w:p>
    <w:p w14:paraId="38A74B7B" w14:textId="77777777" w:rsidR="0033445F" w:rsidRPr="00834CDC" w:rsidRDefault="0033445F" w:rsidP="0033445F">
      <w:pPr>
        <w:divId w:val="1988506822"/>
      </w:pPr>
      <w:r w:rsidRPr="00834CDC">
        <w:t xml:space="preserve">See Chapter 1 (‘Aboriginal and Torres Strait Islander status completeness for vaccine preventable diseases in notification data, Australia, 2016–2019’) for detailed analysis and discussion on Aboriginal and Torres Strait Islander status completeness in notification data. </w:t>
      </w:r>
    </w:p>
    <w:p w14:paraId="05078474" w14:textId="77777777" w:rsidR="0033445F" w:rsidRPr="00834CDC" w:rsidRDefault="0033445F" w:rsidP="0033445F">
      <w:pPr>
        <w:pStyle w:val="Heading2"/>
        <w:divId w:val="1988506822"/>
      </w:pPr>
      <w:r w:rsidRPr="00834CDC">
        <w:t xml:space="preserve">Other issues to </w:t>
      </w:r>
      <w:proofErr w:type="gramStart"/>
      <w:r w:rsidRPr="00834CDC">
        <w:t>be noted</w:t>
      </w:r>
      <w:proofErr w:type="gramEnd"/>
      <w:r w:rsidRPr="00834CDC">
        <w:t xml:space="preserve"> when interpreting notification data </w:t>
      </w:r>
    </w:p>
    <w:p w14:paraId="0C7116A8" w14:textId="77777777" w:rsidR="0033445F" w:rsidRPr="00834CDC" w:rsidRDefault="0033445F" w:rsidP="0033445F">
      <w:pPr>
        <w:divId w:val="1988506822"/>
      </w:pPr>
      <w:r w:rsidRPr="00834CDC">
        <w:t xml:space="preserve">In general, notification data represent only a proportion of the total cases occurring in the community: that is, only those cases for which health care was sought, a test </w:t>
      </w:r>
      <w:proofErr w:type="gramStart"/>
      <w:r w:rsidRPr="00834CDC">
        <w:t>conducted</w:t>
      </w:r>
      <w:proofErr w:type="gramEnd"/>
      <w:r w:rsidRPr="00834CDC">
        <w:t xml:space="preserve"> and a diagnosis made, followed by a notification to health authorities. An infectious disease which </w:t>
      </w:r>
      <w:proofErr w:type="gramStart"/>
      <w:r w:rsidRPr="00834CDC">
        <w:t>is diagnosed</w:t>
      </w:r>
      <w:proofErr w:type="gramEnd"/>
      <w:r w:rsidRPr="00834CDC">
        <w:t xml:space="preserve"> by a laboratory test is more likely to be notified than if it is diagnosed only on clinical grounds. The degree of under-representation of all cases is unknown and is </w:t>
      </w:r>
      <w:proofErr w:type="gramStart"/>
      <w:r w:rsidRPr="00834CDC">
        <w:t>most likely variable</w:t>
      </w:r>
      <w:proofErr w:type="gramEnd"/>
      <w:r w:rsidRPr="00834CDC">
        <w:t xml:space="preserve"> by disease and jurisdiction.</w:t>
      </w:r>
      <w:r w:rsidRPr="00834CDC">
        <w:rPr>
          <w:vertAlign w:val="superscript"/>
        </w:rPr>
        <w:t xml:space="preserve">248 </w:t>
      </w:r>
    </w:p>
    <w:p w14:paraId="697EED91" w14:textId="463E2DE2" w:rsidR="0033445F" w:rsidRPr="00834CDC" w:rsidRDefault="0033445F" w:rsidP="0033445F">
      <w:pPr>
        <w:divId w:val="1988506822"/>
      </w:pPr>
      <w:r w:rsidRPr="00834CDC">
        <w:t xml:space="preserve">In interpreting these data, it is important to note that changes in notifications over time may not solely reflect changes in disease prevalence or incidence. Depending on the disease, the number of notifications that occur annually may be influenced by changes in testing policies; by screening programs including the preferential testing of </w:t>
      </w:r>
      <w:proofErr w:type="gramStart"/>
      <w:r w:rsidRPr="00834CDC">
        <w:t>high risk</w:t>
      </w:r>
      <w:proofErr w:type="gramEnd"/>
      <w:r w:rsidRPr="00834CDC">
        <w:t xml:space="preserve"> populations; by the use of less invasive and more sensitive diagnostic tests; and by periodic awareness</w:t>
      </w:r>
      <w:r w:rsidR="005D4C9C" w:rsidRPr="00834CDC">
        <w:t> </w:t>
      </w:r>
      <w:r w:rsidRPr="00834CDC">
        <w:t xml:space="preserve">campaigns. </w:t>
      </w:r>
    </w:p>
    <w:p w14:paraId="456CB8E7" w14:textId="77777777" w:rsidR="0033445F" w:rsidRPr="00834CDC" w:rsidRDefault="0033445F" w:rsidP="0033445F">
      <w:pPr>
        <w:pStyle w:val="Heading2"/>
        <w:divId w:val="1988506822"/>
      </w:pPr>
      <w:r w:rsidRPr="00834CDC">
        <w:lastRenderedPageBreak/>
        <w:t xml:space="preserve">Hospitalisations </w:t>
      </w:r>
    </w:p>
    <w:p w14:paraId="76FE5EF7" w14:textId="77777777" w:rsidR="0033445F" w:rsidRPr="00834CDC" w:rsidRDefault="0033445F" w:rsidP="0033445F">
      <w:pPr>
        <w:divId w:val="1988506822"/>
      </w:pPr>
      <w:r w:rsidRPr="00834CDC">
        <w:t xml:space="preserve">The AIHW National Hospital Morbidity Database has received administrative, </w:t>
      </w:r>
      <w:proofErr w:type="gramStart"/>
      <w:r w:rsidRPr="00834CDC">
        <w:t>demographic</w:t>
      </w:r>
      <w:proofErr w:type="gramEnd"/>
      <w:r w:rsidRPr="00834CDC">
        <w:t xml:space="preserve"> and clinical information about patients admitted to public and private hospitals in Australia since 1993. </w:t>
      </w:r>
      <w:proofErr w:type="gramStart"/>
      <w:r w:rsidRPr="00834CDC">
        <w:t>Almost all</w:t>
      </w:r>
      <w:proofErr w:type="gramEnd"/>
      <w:r w:rsidRPr="00834CDC">
        <w:t xml:space="preserve"> hospitalisation episodes in public and private hospitals are captured.</w:t>
      </w:r>
      <w:r w:rsidRPr="00834CDC">
        <w:rPr>
          <w:vertAlign w:val="superscript"/>
        </w:rPr>
        <w:t>6</w:t>
      </w:r>
      <w:r w:rsidRPr="00834CDC">
        <w:t xml:space="preserve"> Similar to the previous report, hospitalisations were characterised based on date of admission rather than on date of separation.</w:t>
      </w:r>
      <w:r w:rsidRPr="00834CDC">
        <w:rPr>
          <w:vertAlign w:val="superscript"/>
        </w:rPr>
        <w:t>1</w:t>
      </w:r>
      <w:r w:rsidRPr="00834CDC">
        <w:t xml:space="preserve"> </w:t>
      </w:r>
    </w:p>
    <w:p w14:paraId="178E1CE6" w14:textId="77777777" w:rsidR="0033445F" w:rsidRPr="00834CDC" w:rsidRDefault="0033445F" w:rsidP="0033445F">
      <w:pPr>
        <w:divId w:val="1988506822"/>
      </w:pPr>
      <w:r w:rsidRPr="00834CDC">
        <w:t xml:space="preserve">Based on the published recommendations of the AIHW, which </w:t>
      </w:r>
      <w:proofErr w:type="gramStart"/>
      <w:r w:rsidRPr="00834CDC">
        <w:t>states</w:t>
      </w:r>
      <w:proofErr w:type="gramEnd"/>
      <w:r w:rsidRPr="00834CDC">
        <w:t xml:space="preserve"> that all jurisdictions are to be included in the national analysis of Aboriginal and Torres Strait Islander hospitalisation data from 2010–2011 onwards,</w:t>
      </w:r>
      <w:r w:rsidRPr="00834CDC">
        <w:rPr>
          <w:vertAlign w:val="superscript"/>
        </w:rPr>
        <w:t>5</w:t>
      </w:r>
      <w:r w:rsidRPr="00834CDC">
        <w:t xml:space="preserve"> all states and territories were included in hospitalisation analyses for the period 2016 to 2019. For trend reporting for the period 2010 to 2019, the six jurisdictions (all except Tasmania and the Australian Capital Territory) that met Aboriginal and Torres Strait Islander reporting standards were included on the basis of AIHW recommendations.</w:t>
      </w:r>
      <w:r w:rsidRPr="00834CDC">
        <w:rPr>
          <w:vertAlign w:val="superscript"/>
        </w:rPr>
        <w:t>5,6</w:t>
      </w:r>
      <w:r w:rsidRPr="00834CDC">
        <w:t xml:space="preserve"> The analysis of hospitalisation rates over time should be interpreted with caution, as hospitalisation rates for Aboriginal and Torres Strait Islander patients may be affected to a varying degree by improved identification over the period being analysed.</w:t>
      </w:r>
      <w:r w:rsidRPr="00834CDC">
        <w:rPr>
          <w:vertAlign w:val="superscript"/>
        </w:rPr>
        <w:t>12,249</w:t>
      </w:r>
      <w:r w:rsidRPr="00834CDC">
        <w:t xml:space="preserve"> To comply with the AIHW’s data release condition that hospitalisation counts &lt; 5 be suppressed in published reports, counts between 1 and 4 are reported as a range. Data </w:t>
      </w:r>
      <w:proofErr w:type="gramStart"/>
      <w:r w:rsidRPr="00834CDC">
        <w:t>were extracted</w:t>
      </w:r>
      <w:proofErr w:type="gramEnd"/>
      <w:r w:rsidRPr="00834CDC">
        <w:t xml:space="preserve"> based on the International Statistical Classification of Diseases and Related Health Problems, 10th Revision, Australian Modification (ICD-10-AM) codes. The codes used to select the specific condition(s) for reporting of each of the included vaccine preventable diseases are described in Appendix B. Eligible admissions included those with the code of interest listed in the principal diagnosis (the diagnosis chiefly responsible for the episode of hospital admission) or in any other additional diagnosis fields (i.e. conditions or complaints either coexisting with the principal diagnosis or arising during the episode of care). For hepatitis B, only hospitalisation records with acute hepatitis B as the principal diagnosis were included, consistent with </w:t>
      </w:r>
      <w:proofErr w:type="gramStart"/>
      <w:r w:rsidRPr="00834CDC">
        <w:t>previous</w:t>
      </w:r>
      <w:proofErr w:type="gramEnd"/>
      <w:r w:rsidRPr="00834CDC">
        <w:t xml:space="preserve"> practice in this report series.</w:t>
      </w:r>
      <w:r w:rsidRPr="00834CDC">
        <w:rPr>
          <w:vertAlign w:val="superscript"/>
        </w:rPr>
        <w:t>1–4</w:t>
      </w:r>
      <w:r w:rsidRPr="00834CDC">
        <w:t xml:space="preserve"> For poliomyelitis, only hospitalisation records with acute poliomyelitis as the principal diagnosis were included, due to likely miscoding of hospitalisations relating to post-polio syndrome sequelae. </w:t>
      </w:r>
    </w:p>
    <w:p w14:paraId="41F75E13" w14:textId="77777777" w:rsidR="0033445F" w:rsidRPr="00834CDC" w:rsidRDefault="0033445F" w:rsidP="0033445F">
      <w:pPr>
        <w:divId w:val="1988506822"/>
      </w:pPr>
      <w:r w:rsidRPr="00834CDC">
        <w:t xml:space="preserve">In this report, disease hospitalisations with a date of admission between 1 January 2010 and 30 June 2019 </w:t>
      </w:r>
      <w:proofErr w:type="gramStart"/>
      <w:r w:rsidRPr="00834CDC">
        <w:t>were included</w:t>
      </w:r>
      <w:proofErr w:type="gramEnd"/>
      <w:r w:rsidRPr="00834CDC">
        <w:t xml:space="preserve"> (data as of 1 February 2021). The 2019 hospitalisation data was annualised. The variables extracted for analysis of each disease were: age at admission; state or territory of residence; Aboriginal and Torres Strait Islander status; year of admission; and separation (discharge) diagnoses (principal and </w:t>
      </w:r>
      <w:proofErr w:type="gramStart"/>
      <w:r w:rsidRPr="00834CDC">
        <w:t>additional</w:t>
      </w:r>
      <w:proofErr w:type="gramEnd"/>
      <w:r w:rsidRPr="00834CDC">
        <w:t xml:space="preserve"> diagnoses [up to 50 diagnoses]). </w:t>
      </w:r>
    </w:p>
    <w:p w14:paraId="49E0D36C" w14:textId="77777777" w:rsidR="0033445F" w:rsidRPr="00834CDC" w:rsidRDefault="0033445F" w:rsidP="0033445F">
      <w:pPr>
        <w:divId w:val="1988506822"/>
      </w:pPr>
      <w:r w:rsidRPr="00834CDC">
        <w:t xml:space="preserve">Hospitalisation data are presented for hepatitis A, acute hepatitis B, influenza, measles, mumps, pertussis, </w:t>
      </w:r>
      <w:proofErr w:type="gramStart"/>
      <w:r w:rsidRPr="00834CDC">
        <w:t>rotavirus</w:t>
      </w:r>
      <w:proofErr w:type="gramEnd"/>
      <w:r w:rsidRPr="00834CDC">
        <w:t xml:space="preserve"> and varicella-zoster infections (chickenpox and herpes zoster, separately) in their respective chapters, and for rare diseases (diphtheria, tetanus, poliomyelitis, and rubella) in a combined chapter. Summary data </w:t>
      </w:r>
      <w:proofErr w:type="gramStart"/>
      <w:r w:rsidRPr="00834CDC">
        <w:t>are presented</w:t>
      </w:r>
      <w:proofErr w:type="gramEnd"/>
      <w:r w:rsidRPr="00834CDC">
        <w:t xml:space="preserve"> in Appendix C. No hospitalisation data </w:t>
      </w:r>
      <w:proofErr w:type="gramStart"/>
      <w:r w:rsidRPr="00834CDC">
        <w:t>are presented</w:t>
      </w:r>
      <w:proofErr w:type="gramEnd"/>
      <w:r w:rsidRPr="00834CDC">
        <w:t xml:space="preserve"> for invasive Hib disease, as there is no type-specific code for invasive Hib disease within the ICD-10-AM classification system. Detailed hospitalisation data for invasive meningococcal disease </w:t>
      </w:r>
      <w:proofErr w:type="gramStart"/>
      <w:r w:rsidRPr="00834CDC">
        <w:t>are not presented</w:t>
      </w:r>
      <w:proofErr w:type="gramEnd"/>
      <w:r w:rsidRPr="00834CDC">
        <w:t xml:space="preserve">, due to known problems with interpretation due to readmissions. Invasive pneumococcal disease hospitalisation data are not presented, due to limitations in accurately </w:t>
      </w:r>
      <w:proofErr w:type="gramStart"/>
      <w:r w:rsidRPr="00834CDC">
        <w:t>identifying</w:t>
      </w:r>
      <w:proofErr w:type="gramEnd"/>
      <w:r w:rsidRPr="00834CDC">
        <w:t xml:space="preserve"> cases of IPD using discharge diagnosis codes. Hospitalisation data </w:t>
      </w:r>
      <w:proofErr w:type="gramStart"/>
      <w:r w:rsidRPr="00834CDC">
        <w:t>is presented</w:t>
      </w:r>
      <w:proofErr w:type="gramEnd"/>
      <w:r w:rsidRPr="00834CDC">
        <w:t xml:space="preserve"> for genital warts in the HPV chapter. </w:t>
      </w:r>
    </w:p>
    <w:p w14:paraId="511BABE0" w14:textId="77777777" w:rsidR="0033445F" w:rsidRPr="00834CDC" w:rsidRDefault="0033445F" w:rsidP="0033445F">
      <w:pPr>
        <w:pStyle w:val="Heading2"/>
        <w:divId w:val="1988506822"/>
      </w:pPr>
      <w:r w:rsidRPr="00834CDC">
        <w:t xml:space="preserve">Aboriginal and Torres Strait Islander status identification in hospitalisation data </w:t>
      </w:r>
    </w:p>
    <w:p w14:paraId="2D9DA1D1" w14:textId="77777777" w:rsidR="0033445F" w:rsidRPr="00834CDC" w:rsidRDefault="0033445F" w:rsidP="0033445F">
      <w:pPr>
        <w:divId w:val="1988506822"/>
      </w:pPr>
      <w:r w:rsidRPr="00834CDC">
        <w:t xml:space="preserve">Aboriginal and Torres Strait Islander status in hospitalisation data provided by the Australian Institute for Health and Welfare (AIHW) includes two categories: ‘Indigenous Australians’ (referred to in this report as Aboriginal and Torres Strait Islander) and ‘other Australians’ (includes individuals recorded as not Aboriginal or Torres Strait Islander plus those whose status was not </w:t>
      </w:r>
      <w:proofErr w:type="gramStart"/>
      <w:r w:rsidRPr="00834CDC">
        <w:t>stated</w:t>
      </w:r>
      <w:proofErr w:type="gramEnd"/>
      <w:r w:rsidRPr="00834CDC">
        <w:t xml:space="preserve"> or inadequately described). </w:t>
      </w:r>
    </w:p>
    <w:p w14:paraId="0EFEFA77" w14:textId="77777777" w:rsidR="00386FA4" w:rsidRPr="00834CDC" w:rsidRDefault="00386FA4">
      <w:pPr>
        <w:rPr>
          <w:rFonts w:asciiTheme="majorHAnsi" w:eastAsiaTheme="majorEastAsia" w:hAnsiTheme="majorHAnsi" w:cstheme="majorBidi"/>
          <w:b/>
          <w:bCs/>
          <w:sz w:val="26"/>
          <w:szCs w:val="26"/>
        </w:rPr>
      </w:pPr>
      <w:r w:rsidRPr="00834CDC">
        <w:br w:type="page"/>
      </w:r>
    </w:p>
    <w:p w14:paraId="1355A8EB" w14:textId="3713D5D4" w:rsidR="0033445F" w:rsidRPr="00834CDC" w:rsidRDefault="0033445F" w:rsidP="0033445F">
      <w:pPr>
        <w:pStyle w:val="Heading2"/>
        <w:divId w:val="1988506822"/>
      </w:pPr>
      <w:r w:rsidRPr="00834CDC">
        <w:lastRenderedPageBreak/>
        <w:t xml:space="preserve">Other issues to </w:t>
      </w:r>
      <w:proofErr w:type="gramStart"/>
      <w:r w:rsidRPr="00834CDC">
        <w:t>be noted</w:t>
      </w:r>
      <w:proofErr w:type="gramEnd"/>
      <w:r w:rsidRPr="00834CDC">
        <w:t xml:space="preserve"> when interpreting hospitalisation data </w:t>
      </w:r>
    </w:p>
    <w:p w14:paraId="583DF89D" w14:textId="77777777" w:rsidR="0033445F" w:rsidRPr="00834CDC" w:rsidRDefault="0033445F" w:rsidP="0033445F">
      <w:pPr>
        <w:divId w:val="1988506822"/>
      </w:pPr>
      <w:r w:rsidRPr="00834CDC">
        <w:t xml:space="preserve">Hospitalisations </w:t>
      </w:r>
      <w:proofErr w:type="gramStart"/>
      <w:r w:rsidRPr="00834CDC">
        <w:t>generally represent</w:t>
      </w:r>
      <w:proofErr w:type="gramEnd"/>
      <w:r w:rsidRPr="00834CDC">
        <w:t xml:space="preserve"> the more severe end of the morbidity spectrum of a disease, and the extent to which ICD-coded hospitalisation data reflect the burden of the disease of interest varies between diseases. </w:t>
      </w:r>
    </w:p>
    <w:p w14:paraId="5C77968B" w14:textId="77777777" w:rsidR="0033445F" w:rsidRPr="00834CDC" w:rsidRDefault="0033445F" w:rsidP="0033445F">
      <w:pPr>
        <w:divId w:val="1988506822"/>
      </w:pPr>
      <w:r w:rsidRPr="00834CDC">
        <w:t xml:space="preserve">There are also limitations associated with the use of ICD codes to </w:t>
      </w:r>
      <w:proofErr w:type="gramStart"/>
      <w:r w:rsidRPr="00834CDC">
        <w:t>identify</w:t>
      </w:r>
      <w:proofErr w:type="gramEnd"/>
      <w:r w:rsidRPr="00834CDC">
        <w:t xml:space="preserve"> cases. Errors that cause the ICD code to differ from the true disease include both random and systematic measurement errors. These errors may occur either along the patient pathway (e.g. level of details documented in medical records, clinicians’ experience) or along the paper trail (e.g. transcribing errors, coder errors such as misspecification, unbundling [assigning codes for all the separate parts of a diagnosis rather than for the overall diagnosis] and upcoding [using reimbursement values to determine the order of coding]).</w:t>
      </w:r>
      <w:r w:rsidRPr="00834CDC">
        <w:rPr>
          <w:vertAlign w:val="superscript"/>
        </w:rPr>
        <w:t>250</w:t>
      </w:r>
      <w:r w:rsidRPr="00834CDC">
        <w:t xml:space="preserve"> It is difficult to gauge the relative importance of hospitalisations where the coded disease of interest was not the principal diagnosis but was recorded as an additional diagnosis for that hospitalisation episode. </w:t>
      </w:r>
    </w:p>
    <w:p w14:paraId="72D747D5" w14:textId="77777777" w:rsidR="0033445F" w:rsidRPr="00834CDC" w:rsidRDefault="0033445F" w:rsidP="0033445F">
      <w:pPr>
        <w:divId w:val="1988506822"/>
      </w:pPr>
      <w:r w:rsidRPr="00834CDC">
        <w:t xml:space="preserve">In the National Hospital Morbidity Database, there is one record for each hospital admission/separation episode. This means that there are separate records for each readmission, change in care type or inter-hospital transfer. This is unlikely to have a major impact on the numbers reported for most diseases reviewed in this report, as they are mostly acute illnesses, but the implications of the potential but unquantified impact of this limitation need to </w:t>
      </w:r>
      <w:proofErr w:type="gramStart"/>
      <w:r w:rsidRPr="00834CDC">
        <w:t>be considered</w:t>
      </w:r>
      <w:proofErr w:type="gramEnd"/>
      <w:r w:rsidRPr="00834CDC">
        <w:t xml:space="preserve"> for each VPD individually. </w:t>
      </w:r>
    </w:p>
    <w:p w14:paraId="47EBA174" w14:textId="77777777" w:rsidR="0033445F" w:rsidRPr="00834CDC" w:rsidRDefault="0033445F" w:rsidP="0033445F">
      <w:pPr>
        <w:divId w:val="1988506822"/>
      </w:pPr>
      <w:r w:rsidRPr="00834CDC">
        <w:t xml:space="preserve">Hospitalisation data may also </w:t>
      </w:r>
      <w:proofErr w:type="gramStart"/>
      <w:r w:rsidRPr="00834CDC">
        <w:t>be affected</w:t>
      </w:r>
      <w:proofErr w:type="gramEnd"/>
      <w:r w:rsidRPr="00834CDC">
        <w:t xml:space="preserve"> by variations in admission practices over time, between public and private sectors, and across states and territories.</w:t>
      </w:r>
      <w:r w:rsidRPr="00834CDC">
        <w:rPr>
          <w:vertAlign w:val="superscript"/>
        </w:rPr>
        <w:t>6</w:t>
      </w:r>
      <w:r w:rsidRPr="00834CDC">
        <w:t xml:space="preserve"> Variation in availability and access to hospitals across different geographic regions should also be noted when comparing and interpreting hospitalisation data for different population groups. </w:t>
      </w:r>
    </w:p>
    <w:p w14:paraId="359DA859" w14:textId="77777777" w:rsidR="0033445F" w:rsidRPr="00834CDC" w:rsidRDefault="0033445F" w:rsidP="0033445F">
      <w:pPr>
        <w:pStyle w:val="Heading2"/>
        <w:divId w:val="1988506822"/>
      </w:pPr>
      <w:r w:rsidRPr="00834CDC">
        <w:t xml:space="preserve">Deaths </w:t>
      </w:r>
    </w:p>
    <w:p w14:paraId="7C502390" w14:textId="77777777" w:rsidR="0033445F" w:rsidRPr="00834CDC" w:rsidRDefault="0033445F" w:rsidP="0033445F">
      <w:pPr>
        <w:divId w:val="1988506822"/>
      </w:pPr>
      <w:r w:rsidRPr="00834CDC">
        <w:t xml:space="preserve">The registration of deaths is the responsibility of the eight individual state and territory Registrars of Births, </w:t>
      </w:r>
      <w:proofErr w:type="gramStart"/>
      <w:r w:rsidRPr="00834CDC">
        <w:t>Deaths</w:t>
      </w:r>
      <w:proofErr w:type="gramEnd"/>
      <w:r w:rsidRPr="00834CDC">
        <w:t xml:space="preserve"> and Marriages. As part of the registration process, information on the cause of death </w:t>
      </w:r>
      <w:proofErr w:type="gramStart"/>
      <w:r w:rsidRPr="00834CDC">
        <w:t>is supplied</w:t>
      </w:r>
      <w:proofErr w:type="gramEnd"/>
      <w:r w:rsidRPr="00834CDC">
        <w:t xml:space="preserve"> by the medical practitioner certifying the death, or by a coroner. The information </w:t>
      </w:r>
      <w:proofErr w:type="gramStart"/>
      <w:r w:rsidRPr="00834CDC">
        <w:t>is provided</w:t>
      </w:r>
      <w:proofErr w:type="gramEnd"/>
      <w:r w:rsidRPr="00834CDC">
        <w:t xml:space="preserve"> by individual Registrars to the Australian Bureau of Statistics (ABS) for coding and compilation into aggregate statistics. In addition, the ABS supplements this data with information from the National Coroners Information System.</w:t>
      </w:r>
      <w:r w:rsidRPr="00834CDC">
        <w:rPr>
          <w:vertAlign w:val="superscript"/>
        </w:rPr>
        <w:t>251</w:t>
      </w:r>
    </w:p>
    <w:p w14:paraId="29714539" w14:textId="77777777" w:rsidR="0033445F" w:rsidRPr="00834CDC" w:rsidRDefault="0033445F" w:rsidP="0033445F">
      <w:pPr>
        <w:divId w:val="1988506822"/>
      </w:pPr>
      <w:r w:rsidRPr="00834CDC">
        <w:t xml:space="preserve">Since 1997, the International Classification of Diseases, 10th Revision (ICD-10) has been used to </w:t>
      </w:r>
      <w:proofErr w:type="gramStart"/>
      <w:r w:rsidRPr="00834CDC">
        <w:t>identify</w:t>
      </w:r>
      <w:proofErr w:type="gramEnd"/>
      <w:r w:rsidRPr="00834CDC">
        <w:t xml:space="preserve"> the cause of death. The problems associated with the accuracy of ICD coding used for hospital admissions, discussed under </w:t>
      </w:r>
      <w:r w:rsidRPr="00834CDC">
        <w:rPr>
          <w:rStyle w:val="Emphasis"/>
          <w:b w:val="0"/>
          <w:bCs w:val="0"/>
        </w:rPr>
        <w:t>Hospitalisations</w:t>
      </w:r>
      <w:r w:rsidRPr="00834CDC">
        <w:t xml:space="preserve">, may also be relevant for mortality data. The codes used to select the specific condition(s) for reporting of each of the included VPDs </w:t>
      </w:r>
      <w:proofErr w:type="gramStart"/>
      <w:r w:rsidRPr="00834CDC">
        <w:t>are described</w:t>
      </w:r>
      <w:proofErr w:type="gramEnd"/>
      <w:r w:rsidRPr="00834CDC">
        <w:t xml:space="preserve"> in Appendix B. </w:t>
      </w:r>
    </w:p>
    <w:p w14:paraId="7979638F" w14:textId="5CD07397" w:rsidR="0033445F" w:rsidRPr="00834CDC" w:rsidRDefault="0033445F" w:rsidP="0033445F">
      <w:pPr>
        <w:divId w:val="1988506822"/>
      </w:pPr>
      <w:r w:rsidRPr="00834CDC">
        <w:t>Unit file records of registered deaths from the Australian Coordinating Registry were available for analysis for this report. Following advice received from the Australian Bureau of Statistics via the Australian Coordinating Registry (ACR),</w:t>
      </w:r>
      <w:r w:rsidR="008C2CE3" w:rsidRPr="00834CDC">
        <w:t xml:space="preserve"> </w:t>
      </w:r>
      <w:proofErr w:type="spellStart"/>
      <w:r w:rsidR="008C2CE3" w:rsidRPr="00834CDC">
        <w:rPr>
          <w:vertAlign w:val="superscript"/>
        </w:rPr>
        <w:t>i</w:t>
      </w:r>
      <w:proofErr w:type="spellEnd"/>
      <w:r w:rsidRPr="00834CDC">
        <w:t xml:space="preserve"> all jurisdictions </w:t>
      </w:r>
      <w:proofErr w:type="gramStart"/>
      <w:r w:rsidRPr="00834CDC">
        <w:t>were included</w:t>
      </w:r>
      <w:proofErr w:type="gramEnd"/>
      <w:r w:rsidRPr="00834CDC">
        <w:t xml:space="preserve"> in the reporting of death data. To </w:t>
      </w:r>
      <w:proofErr w:type="gramStart"/>
      <w:r w:rsidRPr="00834CDC">
        <w:t>comply with</w:t>
      </w:r>
      <w:proofErr w:type="gramEnd"/>
      <w:r w:rsidRPr="00834CDC">
        <w:t xml:space="preserve"> the ACR’s data release condition that death counts &lt; 6 be suppressed in published reports, counts between 1 and 5 are reported as a range. </w:t>
      </w:r>
    </w:p>
    <w:p w14:paraId="40ED6C92" w14:textId="66DB4F8A" w:rsidR="0033445F" w:rsidRPr="00834CDC" w:rsidRDefault="0033445F" w:rsidP="008C2CE3">
      <w:pPr>
        <w:spacing w:after="0"/>
        <w:divId w:val="1988506822"/>
      </w:pPr>
      <w:r w:rsidRPr="00834CDC">
        <w:t>This report includes data on death records where the disease of interest was documented as either the ‘underlying cause of death’ (i.e. the single disease that ‘initiated the train of morbid events leading directly to death’) or where a disease was one of the multiple causes of death (i.e. ‘either the underlying cause, the immediate cause or any intervening causes, and those conditions which contributed to death but were not related to the disease or condition causing death’).</w:t>
      </w:r>
      <w:r w:rsidRPr="00834CDC">
        <w:rPr>
          <w:vertAlign w:val="superscript"/>
        </w:rPr>
        <w:t>251</w:t>
      </w:r>
      <w:r w:rsidRPr="00834CDC">
        <w:t xml:space="preserve"> In this report, deaths where the disease was one of the multiple causes, but not the underlying cause, are referred to as an ‘associated’ cause. In keeping with the methods used in relation to poliomyelitis and hepatitis B hospitalisations, only deaths for which poliomyelitis/hepatitis B was the underlying cause </w:t>
      </w:r>
      <w:proofErr w:type="gramStart"/>
      <w:r w:rsidRPr="00834CDC">
        <w:t>were included</w:t>
      </w:r>
      <w:proofErr w:type="gramEnd"/>
      <w:r w:rsidRPr="00834CDC">
        <w:t xml:space="preserve"> in this report. </w:t>
      </w:r>
    </w:p>
    <w:p w14:paraId="50475257" w14:textId="793D2961" w:rsidR="008C2CE3" w:rsidRPr="00834CDC" w:rsidRDefault="008C2CE3" w:rsidP="008C2CE3">
      <w:pPr>
        <w:pStyle w:val="CDIfootnotes"/>
        <w:pBdr>
          <w:top w:val="single" w:sz="2" w:space="1" w:color="808080" w:themeColor="background1" w:themeShade="80"/>
        </w:pBdr>
        <w:spacing w:before="0" w:beforeAutospacing="0"/>
        <w:divId w:val="1988506822"/>
      </w:pPr>
      <w:proofErr w:type="spellStart"/>
      <w:r w:rsidRPr="00834CDC">
        <w:t>i</w:t>
      </w:r>
      <w:proofErr w:type="spellEnd"/>
      <w:r w:rsidRPr="00834CDC">
        <w:t xml:space="preserve"> </w:t>
      </w:r>
      <w:r w:rsidRPr="00834CDC">
        <w:tab/>
        <w:t>Personal communication, Bernadette Ryan, Coordinator, Australian Coordinating Registry, June 2017.</w:t>
      </w:r>
    </w:p>
    <w:p w14:paraId="6F6AEE2F" w14:textId="77777777" w:rsidR="0033445F" w:rsidRPr="00834CDC" w:rsidRDefault="0033445F" w:rsidP="0033445F">
      <w:pPr>
        <w:pStyle w:val="Heading3"/>
        <w:divId w:val="1988506822"/>
      </w:pPr>
      <w:r w:rsidRPr="00834CDC">
        <w:lastRenderedPageBreak/>
        <w:t xml:space="preserve">Aboriginal and Torres Strait Islander status identification in death data </w:t>
      </w:r>
    </w:p>
    <w:p w14:paraId="74407669" w14:textId="77777777" w:rsidR="0033445F" w:rsidRPr="00834CDC" w:rsidRDefault="0033445F" w:rsidP="0033445F">
      <w:pPr>
        <w:divId w:val="1988506822"/>
      </w:pPr>
      <w:r w:rsidRPr="00834CDC">
        <w:t xml:space="preserve">Aboriginal and Torres Strait Islander status in the death data provided by the Australian Coordinating Registry includes three categories: ‘Indigenous’, ‘non-Indigenous’ and ‘not stated’. Aboriginal and/or Torres Strait Islander status is classified in this report under two categories: ‘Aboriginal and Torres Strait Islander’ (individuals identified as ‘Indigenous’) and ‘other’ (individuals recorded as ‘non-Indigenous’ plus those who status was not </w:t>
      </w:r>
      <w:proofErr w:type="gramStart"/>
      <w:r w:rsidRPr="00834CDC">
        <w:t>stated</w:t>
      </w:r>
      <w:proofErr w:type="gramEnd"/>
      <w:r w:rsidRPr="00834CDC">
        <w:t xml:space="preserve"> or was inadequately described). </w:t>
      </w:r>
    </w:p>
    <w:p w14:paraId="680B855D" w14:textId="77777777" w:rsidR="0033445F" w:rsidRPr="00834CDC" w:rsidRDefault="0033445F" w:rsidP="0033445F">
      <w:pPr>
        <w:pStyle w:val="Heading3"/>
        <w:divId w:val="1988506822"/>
      </w:pPr>
      <w:r w:rsidRPr="00834CDC">
        <w:t xml:space="preserve">Other issues to </w:t>
      </w:r>
      <w:proofErr w:type="gramStart"/>
      <w:r w:rsidRPr="00834CDC">
        <w:t>be noted</w:t>
      </w:r>
      <w:proofErr w:type="gramEnd"/>
      <w:r w:rsidRPr="00834CDC">
        <w:t xml:space="preserve"> when interpreting death data </w:t>
      </w:r>
    </w:p>
    <w:p w14:paraId="1D083E4B" w14:textId="77777777" w:rsidR="0033445F" w:rsidRPr="00834CDC" w:rsidRDefault="0033445F" w:rsidP="0033445F">
      <w:pPr>
        <w:divId w:val="1988506822"/>
      </w:pPr>
      <w:r w:rsidRPr="00834CDC">
        <w:t xml:space="preserve">Mortality data </w:t>
      </w:r>
      <w:proofErr w:type="gramStart"/>
      <w:r w:rsidRPr="00834CDC">
        <w:t>are reported</w:t>
      </w:r>
      <w:proofErr w:type="gramEnd"/>
      <w:r w:rsidRPr="00834CDC">
        <w:t xml:space="preserve"> and analysed by the year in which the death occurred. This differs from </w:t>
      </w:r>
      <w:proofErr w:type="gramStart"/>
      <w:r w:rsidRPr="00834CDC">
        <w:t>previous</w:t>
      </w:r>
      <w:proofErr w:type="gramEnd"/>
      <w:r w:rsidRPr="00834CDC">
        <w:t xml:space="preserve"> reports in which the year of death registration was used. This may result in incomplete data for the latest available year (although less than 5% of deaths are registered in the </w:t>
      </w:r>
      <w:proofErr w:type="gramStart"/>
      <w:r w:rsidRPr="00834CDC">
        <w:t>subsequent</w:t>
      </w:r>
      <w:proofErr w:type="gramEnd"/>
      <w:r w:rsidRPr="00834CDC">
        <w:t xml:space="preserve"> year, the bulk of which are deaths that occurred in December of that calendar year). </w:t>
      </w:r>
    </w:p>
    <w:p w14:paraId="604A803C" w14:textId="77777777" w:rsidR="0033445F" w:rsidRPr="00834CDC" w:rsidRDefault="0033445F" w:rsidP="0033445F">
      <w:pPr>
        <w:divId w:val="1988506822"/>
      </w:pPr>
      <w:r w:rsidRPr="00834CDC">
        <w:t xml:space="preserve">In Australia, information on the cause of death </w:t>
      </w:r>
      <w:proofErr w:type="gramStart"/>
      <w:r w:rsidRPr="00834CDC">
        <w:t>is reported</w:t>
      </w:r>
      <w:proofErr w:type="gramEnd"/>
      <w:r w:rsidRPr="00834CDC">
        <w:t xml:space="preserve"> routinely for every death on a standard Medical Certificate of Cause of Death completed by a medical practitioner or a coroner. The person completing the certificate must nominate the underlying (principal) cause of death and any associated conditions.</w:t>
      </w:r>
      <w:r w:rsidRPr="00834CDC">
        <w:rPr>
          <w:vertAlign w:val="superscript"/>
        </w:rPr>
        <w:t>252</w:t>
      </w:r>
      <w:r w:rsidRPr="00834CDC">
        <w:t xml:space="preserve"> The accuracy in </w:t>
      </w:r>
      <w:proofErr w:type="gramStart"/>
      <w:r w:rsidRPr="00834CDC">
        <w:t>ascertaining</w:t>
      </w:r>
      <w:proofErr w:type="gramEnd"/>
      <w:r w:rsidRPr="00834CDC">
        <w:t xml:space="preserve"> the cause of death may vary according to the experience of the practitioner, the complexity of the disease process, the circumstances of the death, and whether post-mortem autopsy was performed. Studies comparing clinical and autopsy diagnoses have found that infectious diseases were not uncommonly a missed or discordant diagnosis, although vaccine preventable diseases were not specifically identified.</w:t>
      </w:r>
      <w:r w:rsidRPr="00834CDC">
        <w:rPr>
          <w:vertAlign w:val="superscript"/>
        </w:rPr>
        <w:t>253</w:t>
      </w:r>
      <w:r w:rsidRPr="00834CDC">
        <w:t xml:space="preserve"> In the case of pertussis and tetanus, studies have documented that deaths due to these diseases, which can be otherwise identified through disease surveillance systems and hospitalisation records, sometimes go unrecorded on death certificates.</w:t>
      </w:r>
      <w:r w:rsidRPr="00834CDC">
        <w:rPr>
          <w:vertAlign w:val="superscript"/>
        </w:rPr>
        <w:t>254,255</w:t>
      </w:r>
      <w:r w:rsidRPr="00834CDC">
        <w:t xml:space="preserve"> </w:t>
      </w:r>
    </w:p>
    <w:p w14:paraId="25267875" w14:textId="77777777" w:rsidR="0033445F" w:rsidRPr="00834CDC" w:rsidRDefault="0033445F" w:rsidP="0033445F">
      <w:pPr>
        <w:pStyle w:val="Heading2"/>
        <w:divId w:val="1988506822"/>
      </w:pPr>
      <w:r w:rsidRPr="00834CDC">
        <w:t xml:space="preserve">Calculations and statistical methods </w:t>
      </w:r>
    </w:p>
    <w:p w14:paraId="4FE7E13E" w14:textId="77777777" w:rsidR="0033445F" w:rsidRPr="00834CDC" w:rsidRDefault="0033445F" w:rsidP="0033445F">
      <w:pPr>
        <w:pStyle w:val="Heading3"/>
        <w:divId w:val="1988506822"/>
      </w:pPr>
      <w:r w:rsidRPr="00834CDC">
        <w:t xml:space="preserve">Calculation of rates </w:t>
      </w:r>
    </w:p>
    <w:p w14:paraId="0DB8DEF8" w14:textId="77777777" w:rsidR="0033445F" w:rsidRPr="00834CDC" w:rsidRDefault="0033445F" w:rsidP="0033445F">
      <w:pPr>
        <w:divId w:val="1988506822"/>
      </w:pPr>
      <w:r w:rsidRPr="00834CDC">
        <w:t xml:space="preserve">All rates </w:t>
      </w:r>
      <w:proofErr w:type="gramStart"/>
      <w:r w:rsidRPr="00834CDC">
        <w:t>were calculated</w:t>
      </w:r>
      <w:proofErr w:type="gramEnd"/>
      <w:r w:rsidRPr="00834CDC">
        <w:t xml:space="preserve"> using the mid-year estimated resident populations released by the ABS as the population denominator. Rates are presented as annual rates or average annual rates per 100,000 total population, or per 100,000 population by Aboriginal and Torres Strait Islander status and age group as </w:t>
      </w:r>
      <w:proofErr w:type="gramStart"/>
      <w:r w:rsidRPr="00834CDC">
        <w:t>appropriate</w:t>
      </w:r>
      <w:proofErr w:type="gramEnd"/>
      <w:r w:rsidRPr="00834CDC">
        <w:t>. Age groups analysed for each disease were unchanged from the previous report.</w:t>
      </w:r>
      <w:r w:rsidRPr="00834CDC">
        <w:rPr>
          <w:vertAlign w:val="superscript"/>
        </w:rPr>
        <w:t>1</w:t>
      </w:r>
      <w:r w:rsidRPr="00834CDC">
        <w:t xml:space="preserve"> In addition, notification and hospitalisation data on influenza, pertussis and rotavirus were also presented for infants younger than 6 months and infants aged between 6 and 12 months, on the basis of advice from the report’s Advisory Group, given the importance of these diseases in Aboriginal and Torres Strait Islander infants. </w:t>
      </w:r>
    </w:p>
    <w:p w14:paraId="084E8299" w14:textId="77777777" w:rsidR="0033445F" w:rsidRPr="00834CDC" w:rsidRDefault="0033445F" w:rsidP="0033445F">
      <w:pPr>
        <w:divId w:val="1988506822"/>
      </w:pPr>
      <w:r w:rsidRPr="00834CDC">
        <w:t xml:space="preserve">Age-standardised rates by Aboriginal and Torres Strait Islander status, for all age groups in aggregate, </w:t>
      </w:r>
      <w:proofErr w:type="gramStart"/>
      <w:r w:rsidRPr="00834CDC">
        <w:t>are presented</w:t>
      </w:r>
      <w:proofErr w:type="gramEnd"/>
      <w:r w:rsidRPr="00834CDC">
        <w:t xml:space="preserve"> for data for the 2016–2019 period, and for varicella and zoster hospitalisation trend data. The direct standardisation method </w:t>
      </w:r>
      <w:proofErr w:type="gramStart"/>
      <w:r w:rsidRPr="00834CDC">
        <w:t>was used</w:t>
      </w:r>
      <w:proofErr w:type="gramEnd"/>
      <w:r w:rsidRPr="00834CDC">
        <w:t xml:space="preserve"> to calculate rates for all age groups combined, using the ABS 2016 population estimates as the standardising population. Interpretation and comparison of the standardised rates for each disease between Aboriginal and Torres Strait Islander and ‘other’ Australians should </w:t>
      </w:r>
      <w:proofErr w:type="gramStart"/>
      <w:r w:rsidRPr="00834CDC">
        <w:t>take into account</w:t>
      </w:r>
      <w:proofErr w:type="gramEnd"/>
      <w:r w:rsidRPr="00834CDC">
        <w:t xml:space="preserve"> the limitations of age-standardised rates in representing the overall disease burden, including the issues arising from small number of events, age distribution of events, misclassification, population size and distribution, and under-identification of Aboriginal and Torres Strait Islander status. </w:t>
      </w:r>
      <w:proofErr w:type="gramStart"/>
      <w:r w:rsidRPr="00834CDC">
        <w:t>Accordingly</w:t>
      </w:r>
      <w:proofErr w:type="gramEnd"/>
      <w:r w:rsidRPr="00834CDC">
        <w:t>, rates were not standardised when case numbers were less than 20.</w:t>
      </w:r>
      <w:r w:rsidRPr="00834CDC">
        <w:rPr>
          <w:vertAlign w:val="superscript"/>
        </w:rPr>
        <w:t>256</w:t>
      </w:r>
      <w:r w:rsidRPr="00834CDC">
        <w:t xml:space="preserve"> </w:t>
      </w:r>
    </w:p>
    <w:p w14:paraId="46F4EB64" w14:textId="77777777" w:rsidR="0033445F" w:rsidRPr="00834CDC" w:rsidRDefault="0033445F" w:rsidP="0033445F">
      <w:pPr>
        <w:divId w:val="1988506822"/>
      </w:pPr>
      <w:r w:rsidRPr="00834CDC">
        <w:t xml:space="preserve">Rate ratios for Aboriginal and Torres Strait Islander versus other Australians were calculated, including age-specific rate ratios, where </w:t>
      </w:r>
      <w:proofErr w:type="gramStart"/>
      <w:r w:rsidRPr="00834CDC">
        <w:t>appropriate</w:t>
      </w:r>
      <w:proofErr w:type="gramEnd"/>
      <w:r w:rsidRPr="00834CDC">
        <w:t xml:space="preserve">. </w:t>
      </w:r>
    </w:p>
    <w:p w14:paraId="3CF743EE" w14:textId="77777777" w:rsidR="0033445F" w:rsidRPr="00834CDC" w:rsidRDefault="0033445F" w:rsidP="0033445F">
      <w:pPr>
        <w:divId w:val="1988506822"/>
      </w:pPr>
      <w:r w:rsidRPr="00834CDC">
        <w:t xml:space="preserve">SAS version 9.4 </w:t>
      </w:r>
      <w:proofErr w:type="gramStart"/>
      <w:r w:rsidRPr="00834CDC">
        <w:t>was used</w:t>
      </w:r>
      <w:proofErr w:type="gramEnd"/>
      <w:r w:rsidRPr="00834CDC">
        <w:t xml:space="preserve"> for statistical analysis and STATA version 14 to calculate 95% confidence intervals for rates. </w:t>
      </w:r>
    </w:p>
    <w:p w14:paraId="74F5CAD0" w14:textId="77777777" w:rsidR="0033445F" w:rsidRPr="00834CDC" w:rsidRDefault="0033445F" w:rsidP="0033445F">
      <w:pPr>
        <w:pStyle w:val="Heading2"/>
        <w:divId w:val="1988506822"/>
      </w:pPr>
      <w:r w:rsidRPr="00834CDC">
        <w:lastRenderedPageBreak/>
        <w:t xml:space="preserve">Population denominators for calculation of rates </w:t>
      </w:r>
    </w:p>
    <w:p w14:paraId="14728719" w14:textId="77777777" w:rsidR="0033445F" w:rsidRPr="00834CDC" w:rsidRDefault="0033445F" w:rsidP="0033445F">
      <w:pPr>
        <w:divId w:val="1988506822"/>
      </w:pPr>
      <w:r w:rsidRPr="00834CDC">
        <w:t xml:space="preserve">For notification and hospitalisation data, all rates </w:t>
      </w:r>
      <w:proofErr w:type="gramStart"/>
      <w:r w:rsidRPr="00834CDC">
        <w:t>were calculated</w:t>
      </w:r>
      <w:proofErr w:type="gramEnd"/>
      <w:r w:rsidRPr="00834CDC">
        <w:t xml:space="preserve"> using the mid-year estimated resident populations for the corresponding calendar year for the respective age group and/or state or territory as the population denominator. Estimates from the ABS Estimates and Projections, Aboriginal and Torres Strait Islander Australians, 2006 to 2031 (based on the 2016 Census) </w:t>
      </w:r>
      <w:proofErr w:type="gramStart"/>
      <w:r w:rsidRPr="00834CDC">
        <w:t>were used</w:t>
      </w:r>
      <w:proofErr w:type="gramEnd"/>
      <w:r w:rsidRPr="00834CDC">
        <w:t xml:space="preserve"> as the population denominators for calculations of rates for Aboriginal and Torres Strait Islander people.</w:t>
      </w:r>
      <w:r w:rsidRPr="00834CDC">
        <w:rPr>
          <w:vertAlign w:val="superscript"/>
        </w:rPr>
        <w:t>8</w:t>
      </w:r>
      <w:r w:rsidRPr="00834CDC">
        <w:t xml:space="preserve"> </w:t>
      </w:r>
    </w:p>
    <w:p w14:paraId="08B5958A" w14:textId="77777777" w:rsidR="0033445F" w:rsidRPr="00834CDC" w:rsidRDefault="0033445F" w:rsidP="0033445F">
      <w:pPr>
        <w:divId w:val="1988506822"/>
      </w:pPr>
      <w:r w:rsidRPr="00834CDC">
        <w:t xml:space="preserve">The population denominators for calculation of rates for ‘other’ Australians were derived by subtracting the corresponding estimates for Aboriginal and Torres Strait Islander population of the relevant jurisdictions and age groups from the estimates of the total ABS-estimated resident population as </w:t>
      </w:r>
      <w:proofErr w:type="gramStart"/>
      <w:r w:rsidRPr="00834CDC">
        <w:t>at</w:t>
      </w:r>
      <w:proofErr w:type="gramEnd"/>
      <w:r w:rsidRPr="00834CDC">
        <w:t xml:space="preserve"> June of the corresponding year, based on latest estimates as per 2016 census data.</w:t>
      </w:r>
      <w:r w:rsidRPr="00834CDC">
        <w:rPr>
          <w:vertAlign w:val="superscript"/>
        </w:rPr>
        <w:t>257</w:t>
      </w:r>
      <w:r w:rsidRPr="00834CDC">
        <w:t xml:space="preserve"> </w:t>
      </w:r>
    </w:p>
    <w:p w14:paraId="39367F3D" w14:textId="77777777" w:rsidR="0033445F" w:rsidRPr="00834CDC" w:rsidRDefault="0033445F" w:rsidP="0033445F">
      <w:pPr>
        <w:pStyle w:val="Heading2"/>
        <w:divId w:val="1988506822"/>
      </w:pPr>
      <w:r w:rsidRPr="00834CDC">
        <w:t xml:space="preserve">Vaccination coverage </w:t>
      </w:r>
    </w:p>
    <w:p w14:paraId="7ABC1229" w14:textId="77777777" w:rsidR="0033445F" w:rsidRPr="00834CDC" w:rsidRDefault="0033445F" w:rsidP="0033445F">
      <w:pPr>
        <w:pStyle w:val="Heading3"/>
        <w:divId w:val="1988506822"/>
      </w:pPr>
      <w:r w:rsidRPr="00834CDC">
        <w:t xml:space="preserve">Measuring vaccination coverage and vaccination timeliness in children </w:t>
      </w:r>
    </w:p>
    <w:p w14:paraId="1C11A848" w14:textId="77777777" w:rsidR="0033445F" w:rsidRPr="00834CDC" w:rsidRDefault="0033445F" w:rsidP="0033445F">
      <w:pPr>
        <w:divId w:val="1988506822"/>
      </w:pPr>
      <w:r w:rsidRPr="00834CDC">
        <w:t xml:space="preserve">Using AIR data to 31 March 2020, this report details vaccination coverage estimates between 2016 and 2019, with 3-month birth cohorts used for the 2016–2019 time-trend analyses and 12-month-wide cohorts (children born between 1 January and 31 December for each respective 12-month period) used for all other analyses. The cohort method has been used for calculating vaccination coverage at the population level (national and state/territory) since the AIR’s </w:t>
      </w:r>
      <w:proofErr w:type="gramStart"/>
      <w:r w:rsidRPr="00834CDC">
        <w:t>inception</w:t>
      </w:r>
      <w:proofErr w:type="gramEnd"/>
      <w:r w:rsidRPr="00834CDC">
        <w:t xml:space="preserve">. </w:t>
      </w:r>
    </w:p>
    <w:p w14:paraId="6C718F85" w14:textId="77777777" w:rsidR="0033445F" w:rsidRPr="00834CDC" w:rsidRDefault="0033445F" w:rsidP="0033445F">
      <w:pPr>
        <w:divId w:val="1988506822"/>
      </w:pPr>
      <w:r w:rsidRPr="00834CDC">
        <w:t xml:space="preserve">Cohort vaccination status </w:t>
      </w:r>
      <w:proofErr w:type="gramStart"/>
      <w:r w:rsidRPr="00834CDC">
        <w:t>was assessed</w:t>
      </w:r>
      <w:proofErr w:type="gramEnd"/>
      <w:r w:rsidRPr="00834CDC">
        <w:t xml:space="preserve"> at 12 months of age (for vaccines due at 6 months), 24 months of age (for vaccines due at 12 and 18 months) and 60 months of age (for vaccines due at 48 months). A minimum 3-month lag period was allowed for late notification of vaccinations to the AIR, but only vaccines given on or before a child’s first, second or fifth respective birthdays were included in the coverage calculations.</w:t>
      </w:r>
      <w:r w:rsidRPr="00834CDC">
        <w:rPr>
          <w:vertAlign w:val="superscript"/>
        </w:rPr>
        <w:t>258</w:t>
      </w:r>
      <w:r w:rsidRPr="00834CDC">
        <w:t xml:space="preserve"> If a child’s records indicate receipt of the last dose of a vaccine that required more than one dose to complete the series, it was assumed that earlier vaccines in the sequence had been given. This assumption has </w:t>
      </w:r>
      <w:proofErr w:type="gramStart"/>
      <w:r w:rsidRPr="00834CDC">
        <w:t>been shown</w:t>
      </w:r>
      <w:proofErr w:type="gramEnd"/>
      <w:r w:rsidRPr="00834CDC">
        <w:t xml:space="preserve"> to be valid in the past.</w:t>
      </w:r>
      <w:r w:rsidRPr="00834CDC">
        <w:rPr>
          <w:vertAlign w:val="superscript"/>
        </w:rPr>
        <w:t>259,260</w:t>
      </w:r>
      <w:r w:rsidRPr="00834CDC">
        <w:t xml:space="preserve"> </w:t>
      </w:r>
    </w:p>
    <w:p w14:paraId="5B9BD873" w14:textId="77777777" w:rsidR="0033445F" w:rsidRPr="00834CDC" w:rsidRDefault="0033445F" w:rsidP="0033445F">
      <w:pPr>
        <w:divId w:val="1988506822"/>
      </w:pPr>
      <w:r w:rsidRPr="00834CDC">
        <w:t xml:space="preserve">The percentage of children </w:t>
      </w:r>
      <w:proofErr w:type="gramStart"/>
      <w:r w:rsidRPr="00834CDC">
        <w:t>designated</w:t>
      </w:r>
      <w:proofErr w:type="gramEnd"/>
      <w:r w:rsidRPr="00834CDC">
        <w:t xml:space="preserve"> as ‘fully vaccinated’ was calculated using the number of children completely immunised with the vaccines of interest by the designated age as the numerator and the total number of Medicare-registered children in the age cohort as the denominator. Aboriginal and Torres Strait Islander status </w:t>
      </w:r>
      <w:proofErr w:type="gramStart"/>
      <w:r w:rsidRPr="00834CDC">
        <w:t>is recorded</w:t>
      </w:r>
      <w:proofErr w:type="gramEnd"/>
      <w:r w:rsidRPr="00834CDC">
        <w:t xml:space="preserve"> on the AIR as ‘Aboriginal and Torres Strait Islander’, ‘non-Indigenous’ or ‘unknown’ and is as reported by the child’s carer to Medicare, or by the immunisation provider to the AIR. For the purposes of analysis in this report, children </w:t>
      </w:r>
      <w:proofErr w:type="gramStart"/>
      <w:r w:rsidRPr="00834CDC">
        <w:t>whose</w:t>
      </w:r>
      <w:proofErr w:type="gramEnd"/>
      <w:r w:rsidRPr="00834CDC">
        <w:t xml:space="preserve"> Aboriginal and Torres Strait Islander status was unknown were combined with non-Indigenous children into an ‘other’ category. </w:t>
      </w:r>
    </w:p>
    <w:p w14:paraId="04CBACCA" w14:textId="77777777" w:rsidR="0033445F" w:rsidRPr="00834CDC" w:rsidRDefault="0033445F" w:rsidP="0033445F">
      <w:pPr>
        <w:divId w:val="1988506822"/>
      </w:pPr>
      <w:r w:rsidRPr="00834CDC">
        <w:t>The completeness of Aboriginal and Torres Strait Islander identification was 98.7% (</w:t>
      </w:r>
      <w:proofErr w:type="gramStart"/>
      <w:r w:rsidRPr="00834CDC">
        <w:t>i.e.</w:t>
      </w:r>
      <w:proofErr w:type="gramEnd"/>
      <w:r w:rsidRPr="00834CDC">
        <w:t xml:space="preserve"> 1.3% unknown Aboriginal and Torres Strait islander status) in 2020. </w:t>
      </w:r>
    </w:p>
    <w:p w14:paraId="14B08246" w14:textId="77777777" w:rsidR="0033445F" w:rsidRPr="00834CDC" w:rsidRDefault="0033445F" w:rsidP="0033445F">
      <w:pPr>
        <w:divId w:val="1988506822"/>
      </w:pPr>
      <w:r w:rsidRPr="00834CDC">
        <w:t xml:space="preserve">‘Fully vaccinated’ at 12 months of age was defined as a child having a record on the AIR of three doses of a diphtheria (D), tetanus (T) and pertussis–containing (P) vaccine; three doses of a polio vaccine; two or three doses of a PRP-OMP containing </w:t>
      </w:r>
      <w:r w:rsidRPr="00834CDC">
        <w:rPr>
          <w:rStyle w:val="Emphasis"/>
          <w:b w:val="0"/>
          <w:bCs w:val="0"/>
        </w:rPr>
        <w:t>Haemophilus influenzae</w:t>
      </w:r>
      <w:r w:rsidRPr="00834CDC">
        <w:t xml:space="preserve"> type b (Hib) vaccine or three doses of any other Hib vaccine; three doses of hepatitis B vaccine; and two or three doses of 13-valent pneumococcal conjugate vaccine. </w:t>
      </w:r>
    </w:p>
    <w:p w14:paraId="52827672" w14:textId="1115C448" w:rsidR="0033445F" w:rsidRPr="00834CDC" w:rsidRDefault="0033445F" w:rsidP="0033445F">
      <w:pPr>
        <w:divId w:val="1988506822"/>
      </w:pPr>
      <w:r w:rsidRPr="00834CDC">
        <w:t xml:space="preserve">‘Fully vaccinated’ at 24 months of age was defined as a child having a record on the AIR of a dose of meningococcal C vaccine; a dose of varicella vaccine; and two doses of a measles-containing vaccine (given as either MMR or MMRV), in addition to four doses of diphtheria-tetanus-pertussis; three doses of hepatitis B and polio vaccines; and three or four doses of PRP-OMP Hib, Infanrix </w:t>
      </w:r>
      <w:proofErr w:type="spellStart"/>
      <w:r w:rsidRPr="00834CDC">
        <w:t>hexa</w:t>
      </w:r>
      <w:proofErr w:type="spellEnd"/>
      <w:r w:rsidRPr="00834CDC">
        <w:t xml:space="preserve"> or </w:t>
      </w:r>
      <w:proofErr w:type="spellStart"/>
      <w:r w:rsidRPr="00834CDC">
        <w:t>Hiberix</w:t>
      </w:r>
      <w:proofErr w:type="spellEnd"/>
      <w:r w:rsidRPr="00834CDC">
        <w:t xml:space="preserve"> vaccine (three doses only of Infanrix </w:t>
      </w:r>
      <w:proofErr w:type="spellStart"/>
      <w:r w:rsidRPr="00834CDC">
        <w:t>Hexa</w:t>
      </w:r>
      <w:proofErr w:type="spellEnd"/>
      <w:r w:rsidRPr="00834CDC">
        <w:t xml:space="preserve"> or </w:t>
      </w:r>
      <w:proofErr w:type="spellStart"/>
      <w:r w:rsidRPr="00834CDC">
        <w:t>Hiberix</w:t>
      </w:r>
      <w:proofErr w:type="spellEnd"/>
      <w:r w:rsidRPr="00834CDC">
        <w:t xml:space="preserve"> if given after 11.5 months of age), or four doses of any other Hib vaccine. ‘Fully vaccinated’ at 60 months of age </w:t>
      </w:r>
      <w:proofErr w:type="gramStart"/>
      <w:r w:rsidRPr="00834CDC">
        <w:t>was defined</w:t>
      </w:r>
      <w:proofErr w:type="gramEnd"/>
      <w:r w:rsidRPr="00834CDC">
        <w:t xml:space="preserve"> </w:t>
      </w:r>
      <w:r w:rsidRPr="00834CDC">
        <w:lastRenderedPageBreak/>
        <w:t>as a child having a record on the ACIR of four or five doses of a DTP-containing vaccine and four doses of a polio</w:t>
      </w:r>
      <w:r w:rsidR="00386FA4" w:rsidRPr="00834CDC">
        <w:t> </w:t>
      </w:r>
      <w:r w:rsidRPr="00834CDC">
        <w:t xml:space="preserve">vaccine. </w:t>
      </w:r>
    </w:p>
    <w:p w14:paraId="7206C409" w14:textId="77777777" w:rsidR="0033445F" w:rsidRPr="00834CDC" w:rsidRDefault="0033445F" w:rsidP="0033445F">
      <w:pPr>
        <w:divId w:val="1988506822"/>
      </w:pPr>
      <w:r w:rsidRPr="00834CDC">
        <w:t xml:space="preserve">Vaccination coverage estimates </w:t>
      </w:r>
      <w:proofErr w:type="gramStart"/>
      <w:r w:rsidRPr="00834CDC">
        <w:t>were also calculated</w:t>
      </w:r>
      <w:proofErr w:type="gramEnd"/>
      <w:r w:rsidRPr="00834CDC">
        <w:t xml:space="preserve"> for the individual NIP vaccines given in childhood that are not part of the ‘fully vaccinated’ calculations at 12, 24 and 60 months of age. These included the second dose of hepatitis A vaccine and a fourth (booster) dose of pneumococcal vaccine for Aboriginal and Torres Strait Islander children by 30 months of age; and an annual dose of seasonal influenza vaccine for Aboriginal and Torres Strait Islander children aged 6 months to ˂ 5 years. </w:t>
      </w:r>
    </w:p>
    <w:p w14:paraId="089B7832" w14:textId="77777777" w:rsidR="0033445F" w:rsidRPr="00834CDC" w:rsidRDefault="0033445F" w:rsidP="0033445F">
      <w:pPr>
        <w:divId w:val="1988506822"/>
      </w:pPr>
      <w:r w:rsidRPr="00834CDC">
        <w:t xml:space="preserve">Age-appropriate and on-time vaccination </w:t>
      </w:r>
      <w:proofErr w:type="gramStart"/>
      <w:r w:rsidRPr="00834CDC">
        <w:t>was defined</w:t>
      </w:r>
      <w:proofErr w:type="gramEnd"/>
      <w:r w:rsidRPr="00834CDC">
        <w:t xml:space="preserve"> as receipt of a scheduled vaccine dose within 30 days of the recommended age. The delay outcome measure for each dose is categorised as either ‘on-time’, ‘delay of 1 –≤ 2 </w:t>
      </w:r>
      <w:proofErr w:type="gramStart"/>
      <w:r w:rsidRPr="00834CDC">
        <w:t>months’</w:t>
      </w:r>
      <w:proofErr w:type="gramEnd"/>
      <w:r w:rsidRPr="00834CDC">
        <w:t xml:space="preserve">, ‘delay of 3 –≤ 6 months’ or ‘delay ≥ 7 months’. Children included in the 12-month birth cohorts for the timeliness analyses </w:t>
      </w:r>
      <w:proofErr w:type="gramStart"/>
      <w:r w:rsidRPr="00834CDC">
        <w:t>were assessed</w:t>
      </w:r>
      <w:proofErr w:type="gramEnd"/>
      <w:r w:rsidRPr="00834CDC">
        <w:t xml:space="preserve"> at 1–3 years after the doses were due to allow time for late vaccinations to be recorded. </w:t>
      </w:r>
    </w:p>
    <w:p w14:paraId="4F5ED16F" w14:textId="77777777" w:rsidR="0033445F" w:rsidRPr="00834CDC" w:rsidRDefault="0033445F" w:rsidP="0033445F">
      <w:pPr>
        <w:divId w:val="1988506822"/>
      </w:pPr>
      <w:r w:rsidRPr="00834CDC">
        <w:t xml:space="preserve">Vaccination coverage and vaccination delay estimates are presented in this report for Australia, as well as by </w:t>
      </w:r>
      <w:proofErr w:type="gramStart"/>
      <w:r w:rsidRPr="00834CDC">
        <w:t>jurisdiction</w:t>
      </w:r>
      <w:proofErr w:type="gramEnd"/>
      <w:r w:rsidRPr="00834CDC">
        <w:t xml:space="preserve"> (state/territory). </w:t>
      </w:r>
      <w:proofErr w:type="gramStart"/>
      <w:r w:rsidRPr="00834CDC">
        <w:t>Additional</w:t>
      </w:r>
      <w:proofErr w:type="gramEnd"/>
      <w:r w:rsidRPr="00834CDC">
        <w:t xml:space="preserve"> analysis for small areas was done by ABS-defined Statistical Area 4 (SA4),</w:t>
      </w:r>
      <w:r w:rsidRPr="00834CDC">
        <w:rPr>
          <w:vertAlign w:val="superscript"/>
        </w:rPr>
        <w:t>261</w:t>
      </w:r>
      <w:r w:rsidRPr="00834CDC">
        <w:t xml:space="preserve"> chosen because each is small enough to show differences within jurisdictions but not too small to render maps unreadable. Maps </w:t>
      </w:r>
      <w:proofErr w:type="gramStart"/>
      <w:r w:rsidRPr="00834CDC">
        <w:t>were created</w:t>
      </w:r>
      <w:proofErr w:type="gramEnd"/>
      <w:r w:rsidRPr="00834CDC">
        <w:t xml:space="preserve"> using version 15 of the MapInfo mapping software</w:t>
      </w:r>
      <w:r w:rsidRPr="00834CDC">
        <w:rPr>
          <w:vertAlign w:val="superscript"/>
        </w:rPr>
        <w:t>262</w:t>
      </w:r>
      <w:r w:rsidRPr="00834CDC">
        <w:t xml:space="preserve"> and the ABS Census Boundary Information. As postcode is the only geographical indicator available from the AIR, the ABS Postal Area to SA4 Concordance 2011 was used to match AIR postcodes to SA4s.</w:t>
      </w:r>
      <w:r w:rsidRPr="00834CDC">
        <w:rPr>
          <w:vertAlign w:val="superscript"/>
        </w:rPr>
        <w:t>263</w:t>
      </w:r>
      <w:r w:rsidRPr="00834CDC">
        <w:t xml:space="preserve"> The Accessibility/Remoteness Index of Australia (ARIA++)</w:t>
      </w:r>
      <w:r w:rsidRPr="00834CDC">
        <w:rPr>
          <w:vertAlign w:val="superscript"/>
        </w:rPr>
        <w:t>264</w:t>
      </w:r>
      <w:r w:rsidRPr="00834CDC">
        <w:t xml:space="preserve"> was used to define the area of residence as ‘Major cities’, ‘Inner regional’, ‘Outer regional’, ‘Remote’ and ‘Very remote’. ARIA++ is a continuous varying index, with values ranging from 0 (high accessibility) to 15 (high remoteness</w:t>
      </w:r>
      <w:proofErr w:type="gramStart"/>
      <w:r w:rsidRPr="00834CDC">
        <w:t>), and</w:t>
      </w:r>
      <w:proofErr w:type="gramEnd"/>
      <w:r w:rsidRPr="00834CDC">
        <w:t xml:space="preserve"> is based on road distance measurements from over 12,000 populated localities to the nearest Service Centre in five categories based on population size. For this report, the two ‘Regional’ categories (‘Inner regional’ and ‘Outer regional’ </w:t>
      </w:r>
      <w:proofErr w:type="gramStart"/>
      <w:r w:rsidRPr="00834CDC">
        <w:t>were combined</w:t>
      </w:r>
      <w:proofErr w:type="gramEnd"/>
      <w:r w:rsidRPr="00834CDC">
        <w:t xml:space="preserve"> into one category and the two ‘Remote’ categories (‘Remote’ and ‘Very remote’) were combined into one category. ARIA Accessibility/Remoteness categories </w:t>
      </w:r>
      <w:proofErr w:type="gramStart"/>
      <w:r w:rsidRPr="00834CDC">
        <w:t>were assigned</w:t>
      </w:r>
      <w:proofErr w:type="gramEnd"/>
      <w:r w:rsidRPr="00834CDC">
        <w:t xml:space="preserve"> for each child using their current recorded postcode of residence on the AIR. </w:t>
      </w:r>
    </w:p>
    <w:p w14:paraId="03955CCE" w14:textId="77777777" w:rsidR="0033445F" w:rsidRPr="00834CDC" w:rsidRDefault="0033445F" w:rsidP="0033445F">
      <w:pPr>
        <w:pStyle w:val="Heading3"/>
        <w:divId w:val="1988506822"/>
      </w:pPr>
      <w:r w:rsidRPr="00834CDC">
        <w:t xml:space="preserve">Measuring vaccination coverage in adolescents </w:t>
      </w:r>
    </w:p>
    <w:p w14:paraId="1415F745" w14:textId="77777777" w:rsidR="0033445F" w:rsidRPr="00834CDC" w:rsidRDefault="0033445F" w:rsidP="0033445F">
      <w:pPr>
        <w:divId w:val="1988506822"/>
      </w:pPr>
      <w:r w:rsidRPr="00834CDC">
        <w:t xml:space="preserve">HPV vaccination in Australia </w:t>
      </w:r>
      <w:proofErr w:type="gramStart"/>
      <w:r w:rsidRPr="00834CDC">
        <w:t>is delivered</w:t>
      </w:r>
      <w:proofErr w:type="gramEnd"/>
      <w:r w:rsidRPr="00834CDC">
        <w:t xml:space="preserve"> routinely in early high school, usually around the age of 12–13 years. Therefore, all adolescents have had the opportunity to complete the vaccination course by age 15 years. HPV vaccination coverage was calculated by birth cohort using the number of adolescents aged 13 to 18 years in 2019 (</w:t>
      </w:r>
      <w:proofErr w:type="spellStart"/>
      <w:r w:rsidRPr="00834CDC">
        <w:t>i.e</w:t>
      </w:r>
      <w:proofErr w:type="spellEnd"/>
      <w:r w:rsidRPr="00834CDC">
        <w:t xml:space="preserve"> those born in 2006 to 2001 respectively) recorded on the AIR to have received dose 1, dose 2 and/or dose 3 of the HPV vaccine by 31 December 2019, respectively as the numerator, and using the total number of Medicare-registered adolescents in each cohort in 2019 in AIR as the denominator. The 2019 15-year-old cohort (those born in 2004) was the first cohort to include </w:t>
      </w:r>
      <w:proofErr w:type="gramStart"/>
      <w:r w:rsidRPr="00834CDC">
        <w:t>some</w:t>
      </w:r>
      <w:proofErr w:type="gramEnd"/>
      <w:r w:rsidRPr="00834CDC">
        <w:t xml:space="preserve"> students eligible for the two-dose schedule after the change from a three-dose schedule in 2018. </w:t>
      </w:r>
      <w:proofErr w:type="gramStart"/>
      <w:r w:rsidRPr="00834CDC">
        <w:t>HPV vaccination coverage and course completion analysis was undertaken by year, gender and Aboriginal and Torres Strait Islander status</w:t>
      </w:r>
      <w:proofErr w:type="gramEnd"/>
      <w:r w:rsidRPr="00834CDC">
        <w:t xml:space="preserve">. </w:t>
      </w:r>
    </w:p>
    <w:p w14:paraId="29BBE0E5" w14:textId="77777777" w:rsidR="0033445F" w:rsidRPr="00834CDC" w:rsidRDefault="0033445F" w:rsidP="0033445F">
      <w:pPr>
        <w:divId w:val="1988506822"/>
      </w:pPr>
      <w:r w:rsidRPr="00834CDC">
        <w:t xml:space="preserve">Adolescent meningococcal ACWY vaccination coverage was calculated using the number of 16- and 17-year old adolescents in 2019 (i.e. those born in 2003 and 2002 respectively) recorded on the AIR to have received a booster dose of meningococcal ACWY vaccine by 31 December 2019, as the numerator, and the total number of Medicare- registered adolescents in the cohorts aged 16 or 17 years in 2019 in AIR as the denominator. Analysis was undertaken by Aboriginal and Torres Strait Islander status, birth cohort and </w:t>
      </w:r>
      <w:proofErr w:type="gramStart"/>
      <w:r w:rsidRPr="00834CDC">
        <w:t>jurisdiction</w:t>
      </w:r>
      <w:proofErr w:type="gramEnd"/>
      <w:r w:rsidRPr="00834CDC">
        <w:t xml:space="preserve">. </w:t>
      </w:r>
    </w:p>
    <w:p w14:paraId="27AF67F7" w14:textId="77777777" w:rsidR="0033445F" w:rsidRPr="00834CDC" w:rsidRDefault="0033445F" w:rsidP="0033445F">
      <w:pPr>
        <w:pStyle w:val="Heading3"/>
        <w:divId w:val="1988506822"/>
      </w:pPr>
      <w:r w:rsidRPr="00834CDC">
        <w:t xml:space="preserve">Measuring vaccination coverage in adults </w:t>
      </w:r>
    </w:p>
    <w:p w14:paraId="0F34401B" w14:textId="77777777" w:rsidR="0033445F" w:rsidRPr="00834CDC" w:rsidRDefault="0033445F" w:rsidP="0033445F">
      <w:pPr>
        <w:divId w:val="1988506822"/>
      </w:pPr>
      <w:r w:rsidRPr="00834CDC">
        <w:t xml:space="preserve">Adult zoster vaccination coverage was calculated using the number of 70 –&lt; </w:t>
      </w:r>
      <w:proofErr w:type="gramStart"/>
      <w:r w:rsidRPr="00834CDC">
        <w:t xml:space="preserve">71 year </w:t>
      </w:r>
      <w:proofErr w:type="spellStart"/>
      <w:r w:rsidRPr="00834CDC">
        <w:t>olds</w:t>
      </w:r>
      <w:proofErr w:type="spellEnd"/>
      <w:proofErr w:type="gramEnd"/>
      <w:r w:rsidRPr="00834CDC">
        <w:t xml:space="preserve"> in 2019 recorded on the AIR to have received a dose of zoster vaccine by 31 December 2019 as the numerator, and the total number of </w:t>
      </w:r>
      <w:r w:rsidRPr="00834CDC">
        <w:lastRenderedPageBreak/>
        <w:t xml:space="preserve">Medicare-registered adults aged 70 –&lt; 71 years in 2019 in AIR as the denominator. </w:t>
      </w:r>
      <w:proofErr w:type="gramStart"/>
      <w:r w:rsidRPr="00834CDC">
        <w:t>Analysis was undertaken by Aboriginal and Torres Strait Islander status and state/territory</w:t>
      </w:r>
      <w:proofErr w:type="gramEnd"/>
      <w:r w:rsidRPr="00834CDC">
        <w:t xml:space="preserve">. </w:t>
      </w:r>
    </w:p>
    <w:p w14:paraId="628C0953" w14:textId="77777777" w:rsidR="0033445F" w:rsidRPr="00834CDC" w:rsidRDefault="0033445F" w:rsidP="0033445F">
      <w:pPr>
        <w:pStyle w:val="Heading2"/>
        <w:divId w:val="1988506822"/>
      </w:pPr>
      <w:r w:rsidRPr="00834CDC">
        <w:t xml:space="preserve">Measuring influenza vaccination coverage among children, </w:t>
      </w:r>
      <w:proofErr w:type="gramStart"/>
      <w:r w:rsidRPr="00834CDC">
        <w:t>adolescents</w:t>
      </w:r>
      <w:proofErr w:type="gramEnd"/>
      <w:r w:rsidRPr="00834CDC">
        <w:t xml:space="preserve"> and adults </w:t>
      </w:r>
    </w:p>
    <w:p w14:paraId="314E93DD" w14:textId="77777777" w:rsidR="0033445F" w:rsidRPr="00834CDC" w:rsidRDefault="0033445F" w:rsidP="0033445F">
      <w:pPr>
        <w:divId w:val="1988506822"/>
      </w:pPr>
      <w:r w:rsidRPr="00834CDC">
        <w:t xml:space="preserve">Influenza vaccination coverage was calculated by age group (6 months to &lt; 5 years, 5 to &lt; 10 years, 10 to &lt; 15 years, 15 to &lt; 20 years, 20 to &lt; 50 years, 50 to &lt; 65 years, 65 to &lt; 75 years and ≥ 75 years) by dividing the number of adults in the relevant age group with at least one dose of influenza vaccine recorded on AIR in the 2019 by the total number of those in the relevant age group registered on AIR in 2019, by Aboriginal and Torres Strait Islander status and jurisdiction. </w:t>
      </w:r>
    </w:p>
    <w:p w14:paraId="2E8B4F8A" w14:textId="77777777" w:rsidR="0033445F" w:rsidRPr="00834CDC" w:rsidRDefault="0033445F" w:rsidP="0033445F">
      <w:pPr>
        <w:pStyle w:val="Heading3"/>
        <w:divId w:val="1988506822"/>
      </w:pPr>
      <w:r w:rsidRPr="00834CDC">
        <w:t xml:space="preserve">Literature search strategy </w:t>
      </w:r>
    </w:p>
    <w:p w14:paraId="31773B33" w14:textId="77777777" w:rsidR="0033445F" w:rsidRPr="00834CDC" w:rsidRDefault="0033445F" w:rsidP="0033445F">
      <w:pPr>
        <w:divId w:val="1988506822"/>
      </w:pPr>
      <w:r w:rsidRPr="00834CDC">
        <w:t xml:space="preserve">An information specialist completed literature searches for each vaccine preventable disease in two key databases: Ovid Medline (All including </w:t>
      </w:r>
      <w:proofErr w:type="spellStart"/>
      <w:r w:rsidRPr="00834CDC">
        <w:t>Epub</w:t>
      </w:r>
      <w:proofErr w:type="spellEnd"/>
      <w:r w:rsidRPr="00834CDC">
        <w:t xml:space="preserve"> Ahead of Print, In-Process &amp; Other Non-Indexed Citations, Daily and Versions, 1946–current) and Ovid Embase (1974–current). These expanded upon and were updated from the date of searches completed for the </w:t>
      </w:r>
      <w:proofErr w:type="gramStart"/>
      <w:r w:rsidRPr="00834CDC">
        <w:t>previous</w:t>
      </w:r>
      <w:proofErr w:type="gramEnd"/>
      <w:r w:rsidRPr="00834CDC">
        <w:t xml:space="preserve"> report.</w:t>
      </w:r>
      <w:r w:rsidRPr="00834CDC">
        <w:rPr>
          <w:vertAlign w:val="superscript"/>
        </w:rPr>
        <w:t>1</w:t>
      </w:r>
      <w:r w:rsidRPr="00834CDC">
        <w:t xml:space="preserve"> The searches utilised both controlled vocabulary and corresponding </w:t>
      </w:r>
      <w:proofErr w:type="spellStart"/>
      <w:r w:rsidRPr="00834CDC">
        <w:t>textword</w:t>
      </w:r>
      <w:proofErr w:type="spellEnd"/>
      <w:r w:rsidRPr="00834CDC">
        <w:t xml:space="preserve"> terms. The searches </w:t>
      </w:r>
      <w:proofErr w:type="gramStart"/>
      <w:r w:rsidRPr="00834CDC">
        <w:t>were structured</w:t>
      </w:r>
      <w:proofErr w:type="gramEnd"/>
      <w:r w:rsidRPr="00834CDC">
        <w:t xml:space="preserve"> to combine immunisation and vaccination terms (including vaccination coverage), with the disease topic, Australia and Australian state and territory name terms, and First Nations terms.</w:t>
      </w:r>
    </w:p>
    <w:p w14:paraId="54FC0C44" w14:textId="77777777" w:rsidR="004A1506" w:rsidRPr="00834CDC" w:rsidRDefault="004A1506">
      <w:pPr>
        <w:rPr>
          <w:rFonts w:asciiTheme="majorHAnsi" w:eastAsiaTheme="majorEastAsia" w:hAnsiTheme="majorHAnsi" w:cstheme="majorBidi"/>
          <w:b/>
          <w:bCs/>
          <w:sz w:val="32"/>
          <w:szCs w:val="28"/>
        </w:rPr>
      </w:pPr>
      <w:r w:rsidRPr="00834CDC">
        <w:br w:type="page"/>
      </w:r>
    </w:p>
    <w:p w14:paraId="5A95ED0C" w14:textId="3C946366" w:rsidR="0033445F" w:rsidRPr="00834CDC" w:rsidRDefault="0033445F" w:rsidP="004A1506">
      <w:pPr>
        <w:pStyle w:val="Heading1"/>
        <w:divId w:val="1988506822"/>
      </w:pPr>
      <w:r w:rsidRPr="00834CDC">
        <w:lastRenderedPageBreak/>
        <w:t>Appendix B: ICD-10 codes used for hospitalisations and deaths</w:t>
      </w:r>
    </w:p>
    <w:tbl>
      <w:tblPr>
        <w:tblStyle w:val="CDI-StandardTable"/>
        <w:tblW w:w="0" w:type="auto"/>
        <w:tblCellMar>
          <w:top w:w="113" w:type="dxa"/>
          <w:bottom w:w="113" w:type="dxa"/>
        </w:tblCellMar>
        <w:tblLook w:val="04A0" w:firstRow="1" w:lastRow="0" w:firstColumn="1" w:lastColumn="0" w:noHBand="0" w:noVBand="1"/>
        <w:tblDescription w:val="This table shows the ICD codes for hospitalisations and deaths for diphtheria, hepatitis A, acute hepatitis B, influenza, measles, meningococcal disease, mumps, pertussis, pneumococcal disease, poliomyelitis, rotavirus, rubella, tetanus, varicella and zoster, as used in this report.&#10;"/>
      </w:tblPr>
      <w:tblGrid>
        <w:gridCol w:w="2127"/>
        <w:gridCol w:w="8339"/>
      </w:tblGrid>
      <w:tr w:rsidR="004A1506" w:rsidRPr="00834CDC" w14:paraId="35D14227" w14:textId="77777777" w:rsidTr="00052B10">
        <w:trPr>
          <w:cnfStyle w:val="100000000000" w:firstRow="1" w:lastRow="0" w:firstColumn="0" w:lastColumn="0" w:oddVBand="0" w:evenVBand="0" w:oddHBand="0" w:evenHBand="0" w:firstRowFirstColumn="0" w:firstRowLastColumn="0" w:lastRowFirstColumn="0" w:lastRowLastColumn="0"/>
          <w:divId w:val="1988506822"/>
        </w:trPr>
        <w:tc>
          <w:tcPr>
            <w:tcW w:w="2127" w:type="dxa"/>
            <w:tcBorders>
              <w:bottom w:val="single" w:sz="2" w:space="0" w:color="808080" w:themeColor="background1" w:themeShade="80"/>
            </w:tcBorders>
            <w:hideMark/>
          </w:tcPr>
          <w:p w14:paraId="2899BA90" w14:textId="77777777" w:rsidR="004A1506" w:rsidRPr="00834CDC" w:rsidRDefault="004A1506" w:rsidP="004A1506">
            <w:pPr>
              <w:pStyle w:val="NormalWeb"/>
              <w:jc w:val="left"/>
              <w:rPr>
                <w:sz w:val="18"/>
                <w:szCs w:val="18"/>
              </w:rPr>
            </w:pPr>
            <w:r w:rsidRPr="00834CDC">
              <w:rPr>
                <w:sz w:val="18"/>
                <w:szCs w:val="18"/>
              </w:rPr>
              <w:t>Disease</w:t>
            </w:r>
          </w:p>
        </w:tc>
        <w:tc>
          <w:tcPr>
            <w:tcW w:w="8339" w:type="dxa"/>
            <w:tcBorders>
              <w:bottom w:val="single" w:sz="2" w:space="0" w:color="808080" w:themeColor="background1" w:themeShade="80"/>
            </w:tcBorders>
            <w:hideMark/>
          </w:tcPr>
          <w:p w14:paraId="2C96F211" w14:textId="77777777" w:rsidR="004A1506" w:rsidRPr="00834CDC" w:rsidRDefault="004A1506" w:rsidP="004A1506">
            <w:pPr>
              <w:pStyle w:val="NormalWeb"/>
              <w:jc w:val="left"/>
              <w:rPr>
                <w:sz w:val="18"/>
                <w:szCs w:val="18"/>
              </w:rPr>
            </w:pPr>
            <w:r w:rsidRPr="00834CDC">
              <w:rPr>
                <w:sz w:val="18"/>
                <w:szCs w:val="18"/>
              </w:rPr>
              <w:t>ICD-10-AM/ICD-10 code</w:t>
            </w:r>
          </w:p>
        </w:tc>
      </w:tr>
      <w:tr w:rsidR="004A1506" w:rsidRPr="00834CDC" w14:paraId="2AECF62B" w14:textId="77777777" w:rsidTr="00052B10">
        <w:trPr>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37E3B30D" w14:textId="77777777" w:rsidR="004A1506" w:rsidRPr="00834CDC" w:rsidRDefault="004A1506" w:rsidP="00052B10">
            <w:pPr>
              <w:pStyle w:val="NormalWeb"/>
              <w:jc w:val="left"/>
              <w:rPr>
                <w:sz w:val="18"/>
                <w:szCs w:val="18"/>
              </w:rPr>
            </w:pPr>
            <w:r w:rsidRPr="00834CDC">
              <w:rPr>
                <w:sz w:val="18"/>
                <w:szCs w:val="18"/>
              </w:rPr>
              <w:t>Diphtheria</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3558CE3E" w14:textId="77777777" w:rsidR="004A1506" w:rsidRPr="00834CDC" w:rsidRDefault="004A1506" w:rsidP="00052B10">
            <w:pPr>
              <w:pStyle w:val="NormalWeb"/>
              <w:jc w:val="left"/>
              <w:rPr>
                <w:sz w:val="18"/>
                <w:szCs w:val="18"/>
              </w:rPr>
            </w:pPr>
            <w:r w:rsidRPr="00834CDC">
              <w:rPr>
                <w:sz w:val="18"/>
                <w:szCs w:val="18"/>
              </w:rPr>
              <w:t>A36 (diphtheria)</w:t>
            </w:r>
          </w:p>
        </w:tc>
      </w:tr>
      <w:tr w:rsidR="004A1506" w:rsidRPr="00834CDC" w14:paraId="4E5C3C10" w14:textId="77777777" w:rsidTr="00052B10">
        <w:trPr>
          <w:cnfStyle w:val="000000010000" w:firstRow="0" w:lastRow="0" w:firstColumn="0" w:lastColumn="0" w:oddVBand="0" w:evenVBand="0" w:oddHBand="0" w:evenHBand="1" w:firstRowFirstColumn="0" w:firstRowLastColumn="0" w:lastRowFirstColumn="0" w:lastRowLastColumn="0"/>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5FAC9AB3" w14:textId="77777777" w:rsidR="004A1506" w:rsidRPr="00834CDC" w:rsidRDefault="004A1506" w:rsidP="00052B10">
            <w:pPr>
              <w:pStyle w:val="NormalWeb"/>
              <w:jc w:val="left"/>
              <w:rPr>
                <w:sz w:val="18"/>
                <w:szCs w:val="18"/>
              </w:rPr>
            </w:pPr>
            <w:r w:rsidRPr="00834CDC">
              <w:rPr>
                <w:sz w:val="18"/>
                <w:szCs w:val="18"/>
              </w:rPr>
              <w:t>Hepatitis A</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7BB79F03" w14:textId="77777777" w:rsidR="004A1506" w:rsidRPr="00834CDC" w:rsidRDefault="004A1506" w:rsidP="00052B10">
            <w:pPr>
              <w:pStyle w:val="NormalWeb"/>
              <w:jc w:val="left"/>
              <w:rPr>
                <w:sz w:val="18"/>
                <w:szCs w:val="18"/>
              </w:rPr>
            </w:pPr>
            <w:r w:rsidRPr="00834CDC">
              <w:rPr>
                <w:sz w:val="18"/>
                <w:szCs w:val="18"/>
              </w:rPr>
              <w:t>B15 (hepatitis A)</w:t>
            </w:r>
          </w:p>
        </w:tc>
      </w:tr>
      <w:tr w:rsidR="004A1506" w:rsidRPr="00834CDC" w14:paraId="2A2A02AE" w14:textId="77777777" w:rsidTr="00052B10">
        <w:trPr>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437902F6" w14:textId="77777777" w:rsidR="004A1506" w:rsidRPr="00834CDC" w:rsidRDefault="004A1506" w:rsidP="00052B10">
            <w:pPr>
              <w:pStyle w:val="NormalWeb"/>
              <w:jc w:val="left"/>
              <w:rPr>
                <w:sz w:val="18"/>
                <w:szCs w:val="18"/>
              </w:rPr>
            </w:pPr>
            <w:r w:rsidRPr="00834CDC">
              <w:rPr>
                <w:sz w:val="18"/>
                <w:szCs w:val="18"/>
              </w:rPr>
              <w:t>Hepatitis B (acute)</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14736658" w14:textId="77777777" w:rsidR="004A1506" w:rsidRPr="00834CDC" w:rsidRDefault="004A1506" w:rsidP="00052B10">
            <w:pPr>
              <w:pStyle w:val="NormalWeb"/>
              <w:jc w:val="left"/>
              <w:rPr>
                <w:sz w:val="18"/>
                <w:szCs w:val="18"/>
              </w:rPr>
            </w:pPr>
            <w:r w:rsidRPr="00834CDC">
              <w:rPr>
                <w:sz w:val="18"/>
                <w:szCs w:val="18"/>
              </w:rPr>
              <w:t>B16 (acute hepatitis B)</w:t>
            </w:r>
          </w:p>
        </w:tc>
      </w:tr>
      <w:tr w:rsidR="004A1506" w:rsidRPr="00834CDC" w14:paraId="3D261177" w14:textId="77777777" w:rsidTr="00052B10">
        <w:trPr>
          <w:cnfStyle w:val="000000010000" w:firstRow="0" w:lastRow="0" w:firstColumn="0" w:lastColumn="0" w:oddVBand="0" w:evenVBand="0" w:oddHBand="0" w:evenHBand="1" w:firstRowFirstColumn="0" w:firstRowLastColumn="0" w:lastRowFirstColumn="0" w:lastRowLastColumn="0"/>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28B59658" w14:textId="77777777" w:rsidR="004A1506" w:rsidRPr="00834CDC" w:rsidRDefault="004A1506" w:rsidP="00052B10">
            <w:pPr>
              <w:pStyle w:val="NormalWeb"/>
              <w:jc w:val="left"/>
              <w:rPr>
                <w:sz w:val="18"/>
                <w:szCs w:val="18"/>
              </w:rPr>
            </w:pPr>
            <w:r w:rsidRPr="00834CDC">
              <w:rPr>
                <w:sz w:val="18"/>
                <w:szCs w:val="18"/>
              </w:rPr>
              <w:t>Hib disease</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59556C3C" w14:textId="77777777" w:rsidR="004A1506" w:rsidRPr="00834CDC" w:rsidRDefault="004A1506" w:rsidP="00052B10">
            <w:pPr>
              <w:pStyle w:val="NormalWeb"/>
              <w:jc w:val="left"/>
              <w:rPr>
                <w:sz w:val="18"/>
                <w:szCs w:val="18"/>
              </w:rPr>
            </w:pPr>
            <w:r w:rsidRPr="00834CDC">
              <w:rPr>
                <w:sz w:val="18"/>
                <w:szCs w:val="18"/>
              </w:rPr>
              <w:t xml:space="preserve">There were no ICD-10-AM/ICD-10 codes which specified Hib as a causative organism. The ICD-10-AM/ICD-10 code used to </w:t>
            </w:r>
            <w:proofErr w:type="gramStart"/>
            <w:r w:rsidRPr="00834CDC">
              <w:rPr>
                <w:sz w:val="18"/>
                <w:szCs w:val="18"/>
              </w:rPr>
              <w:t>identify</w:t>
            </w:r>
            <w:proofErr w:type="gramEnd"/>
            <w:r w:rsidRPr="00834CDC">
              <w:rPr>
                <w:sz w:val="18"/>
                <w:szCs w:val="18"/>
              </w:rPr>
              <w:t xml:space="preserve"> presumed Hib cases was G00.0 (haemophilus meningitis). (The ICD-10-AM/ICD-10 codes for H. influenzae pneumonia, H. influenzae septicaemia, H. influenzae infection and acute epiglottitis </w:t>
            </w:r>
            <w:proofErr w:type="gramStart"/>
            <w:r w:rsidRPr="00834CDC">
              <w:rPr>
                <w:sz w:val="18"/>
                <w:szCs w:val="18"/>
              </w:rPr>
              <w:t>were not included</w:t>
            </w:r>
            <w:proofErr w:type="gramEnd"/>
            <w:r w:rsidRPr="00834CDC">
              <w:rPr>
                <w:sz w:val="18"/>
                <w:szCs w:val="18"/>
              </w:rPr>
              <w:t xml:space="preserve"> as these were considered insufficiently specific for invasive H. influenzae type b disease)</w:t>
            </w:r>
          </w:p>
        </w:tc>
      </w:tr>
      <w:tr w:rsidR="004A1506" w:rsidRPr="00834CDC" w14:paraId="3AF6DFE7" w14:textId="77777777" w:rsidTr="00052B10">
        <w:trPr>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7878C9A2" w14:textId="77777777" w:rsidR="004A1506" w:rsidRPr="00834CDC" w:rsidRDefault="004A1506" w:rsidP="00052B10">
            <w:pPr>
              <w:pStyle w:val="NormalWeb"/>
              <w:jc w:val="left"/>
              <w:rPr>
                <w:sz w:val="18"/>
                <w:szCs w:val="18"/>
              </w:rPr>
            </w:pPr>
            <w:r w:rsidRPr="00834CDC">
              <w:rPr>
                <w:sz w:val="18"/>
                <w:szCs w:val="18"/>
              </w:rPr>
              <w:t>Human papillomavirus</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4CDC5006" w14:textId="77777777" w:rsidR="004A1506" w:rsidRPr="00834CDC" w:rsidRDefault="004A1506" w:rsidP="00052B10">
            <w:pPr>
              <w:pStyle w:val="NormalWeb"/>
              <w:jc w:val="left"/>
              <w:rPr>
                <w:sz w:val="18"/>
                <w:szCs w:val="18"/>
              </w:rPr>
            </w:pPr>
            <w:r w:rsidRPr="00834CDC">
              <w:rPr>
                <w:sz w:val="18"/>
                <w:szCs w:val="18"/>
              </w:rPr>
              <w:t>Hospitalisations: A63.0 (anogenital (venereal) warts)</w:t>
            </w:r>
          </w:p>
        </w:tc>
      </w:tr>
      <w:tr w:rsidR="004A1506" w:rsidRPr="00834CDC" w14:paraId="51B39DCC" w14:textId="77777777" w:rsidTr="00052B10">
        <w:trPr>
          <w:cnfStyle w:val="000000010000" w:firstRow="0" w:lastRow="0" w:firstColumn="0" w:lastColumn="0" w:oddVBand="0" w:evenVBand="0" w:oddHBand="0" w:evenHBand="1" w:firstRowFirstColumn="0" w:firstRowLastColumn="0" w:lastRowFirstColumn="0" w:lastRowLastColumn="0"/>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2BF88613" w14:textId="77777777" w:rsidR="004A1506" w:rsidRPr="00834CDC" w:rsidRDefault="004A1506" w:rsidP="00052B10">
            <w:pPr>
              <w:pStyle w:val="NormalWeb"/>
              <w:jc w:val="left"/>
              <w:rPr>
                <w:sz w:val="18"/>
                <w:szCs w:val="18"/>
              </w:rPr>
            </w:pPr>
            <w:r w:rsidRPr="00834CDC">
              <w:rPr>
                <w:sz w:val="18"/>
                <w:szCs w:val="18"/>
              </w:rPr>
              <w:t>Influenza</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09D88003" w14:textId="3D95F979" w:rsidR="004A1506" w:rsidRPr="00834CDC" w:rsidRDefault="004A1506" w:rsidP="00052B10">
            <w:pPr>
              <w:pStyle w:val="NormalWeb"/>
              <w:jc w:val="left"/>
              <w:rPr>
                <w:sz w:val="18"/>
                <w:szCs w:val="18"/>
              </w:rPr>
            </w:pPr>
            <w:r w:rsidRPr="00834CDC">
              <w:rPr>
                <w:sz w:val="18"/>
                <w:szCs w:val="18"/>
              </w:rPr>
              <w:t>J09 (influenza due to certain identified influenza viruses)</w:t>
            </w:r>
            <w:r w:rsidR="00052B10" w:rsidRPr="00834CDC">
              <w:rPr>
                <w:sz w:val="18"/>
                <w:szCs w:val="18"/>
              </w:rPr>
              <w:br/>
            </w:r>
            <w:r w:rsidRPr="00834CDC">
              <w:rPr>
                <w:sz w:val="18"/>
                <w:szCs w:val="18"/>
              </w:rPr>
              <w:t xml:space="preserve">J10 (influenza due to </w:t>
            </w:r>
            <w:proofErr w:type="gramStart"/>
            <w:r w:rsidRPr="00834CDC">
              <w:rPr>
                <w:sz w:val="18"/>
                <w:szCs w:val="18"/>
              </w:rPr>
              <w:t>identified</w:t>
            </w:r>
            <w:proofErr w:type="gramEnd"/>
            <w:r w:rsidRPr="00834CDC">
              <w:rPr>
                <w:sz w:val="18"/>
                <w:szCs w:val="18"/>
              </w:rPr>
              <w:t xml:space="preserve"> influenza virus)</w:t>
            </w:r>
            <w:r w:rsidR="00052B10" w:rsidRPr="00834CDC">
              <w:rPr>
                <w:sz w:val="18"/>
                <w:szCs w:val="18"/>
              </w:rPr>
              <w:br/>
            </w:r>
            <w:r w:rsidRPr="00834CDC">
              <w:rPr>
                <w:sz w:val="18"/>
                <w:szCs w:val="18"/>
              </w:rPr>
              <w:t>J11 (influenza, virus not identified)</w:t>
            </w:r>
          </w:p>
        </w:tc>
      </w:tr>
      <w:tr w:rsidR="004A1506" w:rsidRPr="00834CDC" w14:paraId="5C731CB5" w14:textId="77777777" w:rsidTr="00052B10">
        <w:trPr>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72B9897A" w14:textId="77777777" w:rsidR="004A1506" w:rsidRPr="00834CDC" w:rsidRDefault="004A1506" w:rsidP="00052B10">
            <w:pPr>
              <w:pStyle w:val="NormalWeb"/>
              <w:jc w:val="left"/>
              <w:rPr>
                <w:sz w:val="18"/>
                <w:szCs w:val="18"/>
              </w:rPr>
            </w:pPr>
            <w:r w:rsidRPr="00834CDC">
              <w:rPr>
                <w:sz w:val="18"/>
                <w:szCs w:val="18"/>
              </w:rPr>
              <w:t>Measles</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52DBFC83" w14:textId="77777777" w:rsidR="004A1506" w:rsidRPr="00834CDC" w:rsidRDefault="004A1506" w:rsidP="00052B10">
            <w:pPr>
              <w:pStyle w:val="NormalWeb"/>
              <w:jc w:val="left"/>
              <w:rPr>
                <w:sz w:val="18"/>
                <w:szCs w:val="18"/>
              </w:rPr>
            </w:pPr>
            <w:r w:rsidRPr="00834CDC">
              <w:rPr>
                <w:sz w:val="18"/>
                <w:szCs w:val="18"/>
              </w:rPr>
              <w:t>B05 (measles)</w:t>
            </w:r>
          </w:p>
        </w:tc>
      </w:tr>
      <w:tr w:rsidR="004A1506" w:rsidRPr="00834CDC" w14:paraId="728D4A55" w14:textId="77777777" w:rsidTr="00052B10">
        <w:trPr>
          <w:cnfStyle w:val="000000010000" w:firstRow="0" w:lastRow="0" w:firstColumn="0" w:lastColumn="0" w:oddVBand="0" w:evenVBand="0" w:oddHBand="0" w:evenHBand="1" w:firstRowFirstColumn="0" w:firstRowLastColumn="0" w:lastRowFirstColumn="0" w:lastRowLastColumn="0"/>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472133E7" w14:textId="77777777" w:rsidR="004A1506" w:rsidRPr="00834CDC" w:rsidRDefault="004A1506" w:rsidP="00052B10">
            <w:pPr>
              <w:pStyle w:val="NormalWeb"/>
              <w:jc w:val="left"/>
              <w:rPr>
                <w:sz w:val="18"/>
                <w:szCs w:val="18"/>
              </w:rPr>
            </w:pPr>
            <w:r w:rsidRPr="00834CDC">
              <w:rPr>
                <w:sz w:val="18"/>
                <w:szCs w:val="18"/>
              </w:rPr>
              <w:t>Meningococcal disease</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5FD11130" w14:textId="77777777" w:rsidR="004A1506" w:rsidRPr="00834CDC" w:rsidRDefault="004A1506" w:rsidP="00052B10">
            <w:pPr>
              <w:pStyle w:val="NormalWeb"/>
              <w:jc w:val="left"/>
              <w:rPr>
                <w:sz w:val="18"/>
                <w:szCs w:val="18"/>
              </w:rPr>
            </w:pPr>
            <w:r w:rsidRPr="00834CDC">
              <w:rPr>
                <w:sz w:val="18"/>
                <w:szCs w:val="18"/>
              </w:rPr>
              <w:t>A39 (meningococcal infection). This includes meningococcal meningitis (A39.0), Waterhouse-</w:t>
            </w:r>
            <w:proofErr w:type="spellStart"/>
            <w:r w:rsidRPr="00834CDC">
              <w:rPr>
                <w:sz w:val="18"/>
                <w:szCs w:val="18"/>
              </w:rPr>
              <w:t>Friderichsen</w:t>
            </w:r>
            <w:proofErr w:type="spellEnd"/>
            <w:r w:rsidRPr="00834CDC">
              <w:rPr>
                <w:sz w:val="18"/>
                <w:szCs w:val="18"/>
              </w:rPr>
              <w:t xml:space="preserve"> syndrome (A39.1), acute meningococcaemia (A39.2), chronic meningococcaemia (A39.3), meningococcaemia unspecified (A39.4), meningococcal heart disease (A39.5), other meningococcal infections (A39.8), and meningococcal infection unspecified (A39.9)</w:t>
            </w:r>
          </w:p>
        </w:tc>
      </w:tr>
      <w:tr w:rsidR="004A1506" w:rsidRPr="00834CDC" w14:paraId="38462DBA" w14:textId="77777777" w:rsidTr="00052B10">
        <w:trPr>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31698E4C" w14:textId="77777777" w:rsidR="004A1506" w:rsidRPr="00834CDC" w:rsidRDefault="004A1506" w:rsidP="00052B10">
            <w:pPr>
              <w:pStyle w:val="NormalWeb"/>
              <w:jc w:val="left"/>
              <w:rPr>
                <w:sz w:val="18"/>
                <w:szCs w:val="18"/>
              </w:rPr>
            </w:pPr>
            <w:r w:rsidRPr="00834CDC">
              <w:rPr>
                <w:sz w:val="18"/>
                <w:szCs w:val="18"/>
              </w:rPr>
              <w:t>Mumps</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3984D758" w14:textId="77777777" w:rsidR="004A1506" w:rsidRPr="00834CDC" w:rsidRDefault="004A1506" w:rsidP="00052B10">
            <w:pPr>
              <w:pStyle w:val="NormalWeb"/>
              <w:jc w:val="left"/>
              <w:rPr>
                <w:sz w:val="18"/>
                <w:szCs w:val="18"/>
              </w:rPr>
            </w:pPr>
            <w:r w:rsidRPr="00834CDC">
              <w:rPr>
                <w:sz w:val="18"/>
                <w:szCs w:val="18"/>
              </w:rPr>
              <w:t>B26 (mumps)</w:t>
            </w:r>
          </w:p>
        </w:tc>
      </w:tr>
      <w:tr w:rsidR="004A1506" w:rsidRPr="00834CDC" w14:paraId="4F63F3C6" w14:textId="77777777" w:rsidTr="00052B10">
        <w:trPr>
          <w:cnfStyle w:val="000000010000" w:firstRow="0" w:lastRow="0" w:firstColumn="0" w:lastColumn="0" w:oddVBand="0" w:evenVBand="0" w:oddHBand="0" w:evenHBand="1" w:firstRowFirstColumn="0" w:firstRowLastColumn="0" w:lastRowFirstColumn="0" w:lastRowLastColumn="0"/>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7754FB7A" w14:textId="77777777" w:rsidR="004A1506" w:rsidRPr="00834CDC" w:rsidRDefault="004A1506" w:rsidP="00052B10">
            <w:pPr>
              <w:pStyle w:val="NormalWeb"/>
              <w:jc w:val="left"/>
              <w:rPr>
                <w:sz w:val="18"/>
                <w:szCs w:val="18"/>
              </w:rPr>
            </w:pPr>
            <w:r w:rsidRPr="00834CDC">
              <w:rPr>
                <w:sz w:val="18"/>
                <w:szCs w:val="18"/>
              </w:rPr>
              <w:t>Pertussis</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12407F65" w14:textId="77777777" w:rsidR="004A1506" w:rsidRPr="00834CDC" w:rsidRDefault="004A1506" w:rsidP="00052B10">
            <w:pPr>
              <w:pStyle w:val="NormalWeb"/>
              <w:jc w:val="left"/>
              <w:rPr>
                <w:sz w:val="18"/>
                <w:szCs w:val="18"/>
              </w:rPr>
            </w:pPr>
            <w:r w:rsidRPr="00834CDC">
              <w:rPr>
                <w:sz w:val="18"/>
                <w:szCs w:val="18"/>
              </w:rPr>
              <w:t>A37 (whooping cough)</w:t>
            </w:r>
          </w:p>
        </w:tc>
      </w:tr>
      <w:tr w:rsidR="004A1506" w:rsidRPr="00834CDC" w14:paraId="72C522D7" w14:textId="77777777" w:rsidTr="00052B10">
        <w:trPr>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488BC19B" w14:textId="77777777" w:rsidR="004A1506" w:rsidRPr="00834CDC" w:rsidRDefault="004A1506" w:rsidP="00052B10">
            <w:pPr>
              <w:pStyle w:val="NormalWeb"/>
              <w:jc w:val="left"/>
              <w:rPr>
                <w:sz w:val="18"/>
                <w:szCs w:val="18"/>
              </w:rPr>
            </w:pPr>
            <w:r w:rsidRPr="00834CDC">
              <w:rPr>
                <w:sz w:val="18"/>
                <w:szCs w:val="18"/>
              </w:rPr>
              <w:t>Pneumococcal disease</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348F2682" w14:textId="77777777" w:rsidR="004A1506" w:rsidRPr="00834CDC" w:rsidRDefault="004A1506" w:rsidP="00052B10">
            <w:pPr>
              <w:pStyle w:val="NormalWeb"/>
              <w:jc w:val="left"/>
              <w:rPr>
                <w:sz w:val="18"/>
                <w:szCs w:val="18"/>
              </w:rPr>
            </w:pPr>
            <w:r w:rsidRPr="00834CDC">
              <w:rPr>
                <w:sz w:val="18"/>
                <w:szCs w:val="18"/>
              </w:rPr>
              <w:t>Deaths: G00.1 (pneumococcal meningitis), A40.3 (pneumococcal septicaemia), J13 (pneumococcal pneumonia)</w:t>
            </w:r>
          </w:p>
        </w:tc>
      </w:tr>
      <w:tr w:rsidR="004A1506" w:rsidRPr="00834CDC" w14:paraId="408D2232" w14:textId="77777777" w:rsidTr="00052B10">
        <w:trPr>
          <w:cnfStyle w:val="000000010000" w:firstRow="0" w:lastRow="0" w:firstColumn="0" w:lastColumn="0" w:oddVBand="0" w:evenVBand="0" w:oddHBand="0" w:evenHBand="1" w:firstRowFirstColumn="0" w:firstRowLastColumn="0" w:lastRowFirstColumn="0" w:lastRowLastColumn="0"/>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0FD6753D" w14:textId="77777777" w:rsidR="004A1506" w:rsidRPr="00834CDC" w:rsidRDefault="004A1506" w:rsidP="00052B10">
            <w:pPr>
              <w:pStyle w:val="NormalWeb"/>
              <w:jc w:val="left"/>
              <w:rPr>
                <w:sz w:val="18"/>
                <w:szCs w:val="18"/>
              </w:rPr>
            </w:pPr>
            <w:r w:rsidRPr="00834CDC">
              <w:rPr>
                <w:sz w:val="18"/>
                <w:szCs w:val="18"/>
              </w:rPr>
              <w:t>Poliomyelitis (principal)</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315C64A0" w14:textId="77777777" w:rsidR="004A1506" w:rsidRPr="00834CDC" w:rsidRDefault="004A1506" w:rsidP="00052B10">
            <w:pPr>
              <w:pStyle w:val="NormalWeb"/>
              <w:jc w:val="left"/>
              <w:rPr>
                <w:sz w:val="18"/>
                <w:szCs w:val="18"/>
              </w:rPr>
            </w:pPr>
            <w:r w:rsidRPr="00834CDC">
              <w:rPr>
                <w:sz w:val="18"/>
                <w:szCs w:val="18"/>
              </w:rPr>
              <w:t>A80 (acute poliomyelitis)</w:t>
            </w:r>
          </w:p>
        </w:tc>
      </w:tr>
      <w:tr w:rsidR="004A1506" w:rsidRPr="00834CDC" w14:paraId="66C8DBCF" w14:textId="77777777" w:rsidTr="00052B10">
        <w:trPr>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0165AA5D" w14:textId="77777777" w:rsidR="004A1506" w:rsidRPr="00834CDC" w:rsidRDefault="004A1506" w:rsidP="00052B10">
            <w:pPr>
              <w:pStyle w:val="NormalWeb"/>
              <w:jc w:val="left"/>
              <w:rPr>
                <w:sz w:val="18"/>
                <w:szCs w:val="18"/>
              </w:rPr>
            </w:pPr>
            <w:r w:rsidRPr="00834CDC">
              <w:rPr>
                <w:sz w:val="18"/>
                <w:szCs w:val="18"/>
              </w:rPr>
              <w:t>Rotavirus</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34456F3A" w14:textId="77777777" w:rsidR="004A1506" w:rsidRPr="00834CDC" w:rsidRDefault="004A1506" w:rsidP="00052B10">
            <w:pPr>
              <w:pStyle w:val="NormalWeb"/>
              <w:jc w:val="left"/>
              <w:rPr>
                <w:sz w:val="18"/>
                <w:szCs w:val="18"/>
              </w:rPr>
            </w:pPr>
            <w:r w:rsidRPr="00834CDC">
              <w:rPr>
                <w:sz w:val="18"/>
                <w:szCs w:val="18"/>
              </w:rPr>
              <w:t>A08.0 (rotaviral enteritis)</w:t>
            </w:r>
          </w:p>
        </w:tc>
      </w:tr>
      <w:tr w:rsidR="004A1506" w:rsidRPr="00834CDC" w14:paraId="5B60E1C1" w14:textId="77777777" w:rsidTr="00052B10">
        <w:trPr>
          <w:cnfStyle w:val="000000010000" w:firstRow="0" w:lastRow="0" w:firstColumn="0" w:lastColumn="0" w:oddVBand="0" w:evenVBand="0" w:oddHBand="0" w:evenHBand="1" w:firstRowFirstColumn="0" w:firstRowLastColumn="0" w:lastRowFirstColumn="0" w:lastRowLastColumn="0"/>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42A59470" w14:textId="77777777" w:rsidR="004A1506" w:rsidRPr="00834CDC" w:rsidRDefault="004A1506" w:rsidP="00052B10">
            <w:pPr>
              <w:pStyle w:val="NormalWeb"/>
              <w:jc w:val="left"/>
              <w:rPr>
                <w:sz w:val="18"/>
                <w:szCs w:val="18"/>
              </w:rPr>
            </w:pPr>
            <w:r w:rsidRPr="00834CDC">
              <w:rPr>
                <w:sz w:val="18"/>
                <w:szCs w:val="18"/>
              </w:rPr>
              <w:t>Rubella</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653C74FC" w14:textId="77777777" w:rsidR="004A1506" w:rsidRPr="00834CDC" w:rsidRDefault="004A1506" w:rsidP="00052B10">
            <w:pPr>
              <w:pStyle w:val="NormalWeb"/>
              <w:jc w:val="left"/>
              <w:rPr>
                <w:sz w:val="18"/>
                <w:szCs w:val="18"/>
              </w:rPr>
            </w:pPr>
            <w:r w:rsidRPr="00834CDC">
              <w:rPr>
                <w:sz w:val="18"/>
                <w:szCs w:val="18"/>
              </w:rPr>
              <w:t>B06 (rubella [German measles])</w:t>
            </w:r>
          </w:p>
        </w:tc>
      </w:tr>
      <w:tr w:rsidR="004A1506" w:rsidRPr="00834CDC" w14:paraId="44CE993D" w14:textId="77777777" w:rsidTr="00052B10">
        <w:trPr>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2EC18CC5" w14:textId="77777777" w:rsidR="004A1506" w:rsidRPr="00834CDC" w:rsidRDefault="004A1506" w:rsidP="00052B10">
            <w:pPr>
              <w:pStyle w:val="NormalWeb"/>
              <w:jc w:val="left"/>
              <w:rPr>
                <w:sz w:val="18"/>
                <w:szCs w:val="18"/>
              </w:rPr>
            </w:pPr>
            <w:r w:rsidRPr="00834CDC">
              <w:rPr>
                <w:sz w:val="18"/>
                <w:szCs w:val="18"/>
              </w:rPr>
              <w:t>Tetanus</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52422B5F" w14:textId="77777777" w:rsidR="004A1506" w:rsidRPr="00834CDC" w:rsidRDefault="004A1506" w:rsidP="00052B10">
            <w:pPr>
              <w:pStyle w:val="NormalWeb"/>
              <w:jc w:val="left"/>
              <w:rPr>
                <w:sz w:val="18"/>
                <w:szCs w:val="18"/>
              </w:rPr>
            </w:pPr>
            <w:r w:rsidRPr="00834CDC">
              <w:rPr>
                <w:sz w:val="18"/>
                <w:szCs w:val="18"/>
              </w:rPr>
              <w:t>A33 (tetanus neonatorum)</w:t>
            </w:r>
          </w:p>
          <w:p w14:paraId="4F86B221" w14:textId="77777777" w:rsidR="004A1506" w:rsidRPr="00834CDC" w:rsidRDefault="004A1506" w:rsidP="00052B10">
            <w:pPr>
              <w:pStyle w:val="NormalWeb"/>
              <w:jc w:val="left"/>
              <w:rPr>
                <w:sz w:val="18"/>
                <w:szCs w:val="18"/>
              </w:rPr>
            </w:pPr>
            <w:r w:rsidRPr="00834CDC">
              <w:rPr>
                <w:sz w:val="18"/>
                <w:szCs w:val="18"/>
              </w:rPr>
              <w:t>A34 (obstetrical tetanus)</w:t>
            </w:r>
          </w:p>
          <w:p w14:paraId="7D6C74ED" w14:textId="77777777" w:rsidR="004A1506" w:rsidRPr="00834CDC" w:rsidRDefault="004A1506" w:rsidP="00052B10">
            <w:pPr>
              <w:pStyle w:val="NormalWeb"/>
              <w:jc w:val="left"/>
              <w:rPr>
                <w:sz w:val="18"/>
                <w:szCs w:val="18"/>
              </w:rPr>
            </w:pPr>
            <w:r w:rsidRPr="00834CDC">
              <w:rPr>
                <w:sz w:val="18"/>
                <w:szCs w:val="18"/>
              </w:rPr>
              <w:t>A35 (other tetanus)</w:t>
            </w:r>
          </w:p>
        </w:tc>
      </w:tr>
      <w:tr w:rsidR="004A1506" w:rsidRPr="00834CDC" w14:paraId="3ACB8821" w14:textId="77777777" w:rsidTr="00052B10">
        <w:trPr>
          <w:cnfStyle w:val="000000010000" w:firstRow="0" w:lastRow="0" w:firstColumn="0" w:lastColumn="0" w:oddVBand="0" w:evenVBand="0" w:oddHBand="0" w:evenHBand="1" w:firstRowFirstColumn="0" w:firstRowLastColumn="0" w:lastRowFirstColumn="0" w:lastRowLastColumn="0"/>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44D99DCA" w14:textId="77777777" w:rsidR="004A1506" w:rsidRPr="00834CDC" w:rsidRDefault="004A1506" w:rsidP="00052B10">
            <w:pPr>
              <w:pStyle w:val="NormalWeb"/>
              <w:jc w:val="left"/>
              <w:rPr>
                <w:sz w:val="18"/>
                <w:szCs w:val="18"/>
              </w:rPr>
            </w:pPr>
            <w:r w:rsidRPr="00834CDC">
              <w:rPr>
                <w:sz w:val="18"/>
                <w:szCs w:val="18"/>
              </w:rPr>
              <w:t>Varicella</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6B87260C" w14:textId="77777777" w:rsidR="004A1506" w:rsidRPr="00834CDC" w:rsidRDefault="004A1506" w:rsidP="00052B10">
            <w:pPr>
              <w:pStyle w:val="NormalWeb"/>
              <w:jc w:val="left"/>
              <w:rPr>
                <w:sz w:val="18"/>
                <w:szCs w:val="18"/>
              </w:rPr>
            </w:pPr>
            <w:r w:rsidRPr="00834CDC">
              <w:rPr>
                <w:sz w:val="18"/>
                <w:szCs w:val="18"/>
              </w:rPr>
              <w:t>B01 (chickenpox)</w:t>
            </w:r>
          </w:p>
        </w:tc>
      </w:tr>
      <w:tr w:rsidR="004A1506" w:rsidRPr="00834CDC" w14:paraId="7489186B" w14:textId="77777777" w:rsidTr="00052B10">
        <w:trPr>
          <w:divId w:val="1988506822"/>
        </w:trPr>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2D3237E0" w14:textId="77777777" w:rsidR="004A1506" w:rsidRPr="00834CDC" w:rsidRDefault="004A1506" w:rsidP="00052B10">
            <w:pPr>
              <w:pStyle w:val="NormalWeb"/>
              <w:jc w:val="left"/>
              <w:rPr>
                <w:sz w:val="18"/>
                <w:szCs w:val="18"/>
              </w:rPr>
            </w:pPr>
            <w:r w:rsidRPr="00834CDC">
              <w:rPr>
                <w:sz w:val="18"/>
                <w:szCs w:val="18"/>
              </w:rPr>
              <w:t>Zoster</w:t>
            </w:r>
          </w:p>
        </w:tc>
        <w:tc>
          <w:tcPr>
            <w:tcW w:w="83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top"/>
            <w:hideMark/>
          </w:tcPr>
          <w:p w14:paraId="7A9656B3" w14:textId="77777777" w:rsidR="004A1506" w:rsidRPr="00834CDC" w:rsidRDefault="004A1506" w:rsidP="00052B10">
            <w:pPr>
              <w:pStyle w:val="NormalWeb"/>
              <w:jc w:val="left"/>
              <w:rPr>
                <w:sz w:val="18"/>
                <w:szCs w:val="18"/>
              </w:rPr>
            </w:pPr>
            <w:r w:rsidRPr="00834CDC">
              <w:rPr>
                <w:sz w:val="18"/>
                <w:szCs w:val="18"/>
              </w:rPr>
              <w:t>B02 (zoster [shingles])</w:t>
            </w:r>
          </w:p>
        </w:tc>
      </w:tr>
    </w:tbl>
    <w:p w14:paraId="1AB90720" w14:textId="77777777" w:rsidR="004A1506" w:rsidRPr="00834CDC" w:rsidRDefault="004A1506" w:rsidP="0033445F">
      <w:pPr>
        <w:pStyle w:val="Heading1"/>
        <w:divId w:val="1988506822"/>
      </w:pPr>
    </w:p>
    <w:p w14:paraId="70EB289C" w14:textId="77777777" w:rsidR="006C707B" w:rsidRDefault="006C707B">
      <w:pPr>
        <w:rPr>
          <w:rFonts w:asciiTheme="majorHAnsi" w:eastAsiaTheme="majorEastAsia" w:hAnsiTheme="majorHAnsi" w:cstheme="majorBidi"/>
          <w:b/>
          <w:bCs/>
          <w:sz w:val="32"/>
          <w:szCs w:val="28"/>
        </w:rPr>
      </w:pPr>
      <w:r>
        <w:br w:type="page"/>
      </w:r>
    </w:p>
    <w:p w14:paraId="5B88AD25" w14:textId="1F2F3403" w:rsidR="004A1506" w:rsidRPr="00834CDC" w:rsidRDefault="004A1506" w:rsidP="00611A1C">
      <w:pPr>
        <w:pStyle w:val="Heading1"/>
        <w:divId w:val="1988506822"/>
      </w:pPr>
      <w:r w:rsidRPr="00834CDC">
        <w:lastRenderedPageBreak/>
        <w:t xml:space="preserve">Appendix C: Summary of notifications in Australia, for vaccine preventable diseases, 2016 to </w:t>
      </w:r>
      <w:proofErr w:type="gramStart"/>
      <w:r w:rsidRPr="00834CDC">
        <w:t>2019,</w:t>
      </w:r>
      <w:r w:rsidRPr="00834CDC">
        <w:rPr>
          <w:vertAlign w:val="superscript"/>
        </w:rPr>
        <w:t>a</w:t>
      </w:r>
      <w:proofErr w:type="gramEnd"/>
      <w:r w:rsidRPr="00834CDC">
        <w:t xml:space="preserve"> by Aboriginal and Torres Strait Islander status</w:t>
      </w:r>
    </w:p>
    <w:tbl>
      <w:tblPr>
        <w:tblStyle w:val="CDI-StandardTable"/>
        <w:tblW w:w="0" w:type="auto"/>
        <w:tblLook w:val="04A0" w:firstRow="1" w:lastRow="0" w:firstColumn="1" w:lastColumn="0" w:noHBand="0" w:noVBand="1"/>
        <w:tblDescription w:val="This table shows notification numbers, rates per 100,000 population and rate ratio for diphtheria, Haemophilus influenzae type b (invasive), hepatitis A, hepatitis B, influenza, measles, meningococcal disease, mumps, pertussis, pneumococcal disease, poliomyelitis, rotavirus, rubella (including congenital rubella syndrome) and tetanus by Aboriginal and Torres Strait Islander status from January 2016 to December 2019.&#10;"/>
      </w:tblPr>
      <w:tblGrid>
        <w:gridCol w:w="1701"/>
        <w:gridCol w:w="4619"/>
        <w:gridCol w:w="626"/>
        <w:gridCol w:w="1418"/>
        <w:gridCol w:w="2102"/>
      </w:tblGrid>
      <w:tr w:rsidR="00611A1C" w:rsidRPr="00834CDC" w14:paraId="76EE7441" w14:textId="77777777" w:rsidTr="00CB6F73">
        <w:trPr>
          <w:cnfStyle w:val="100000000000" w:firstRow="1" w:lastRow="0" w:firstColumn="0" w:lastColumn="0" w:oddVBand="0" w:evenVBand="0" w:oddHBand="0" w:evenHBand="0" w:firstRowFirstColumn="0" w:firstRowLastColumn="0" w:lastRowFirstColumn="0" w:lastRowLastColumn="0"/>
          <w:divId w:val="1988506822"/>
        </w:trPr>
        <w:tc>
          <w:tcPr>
            <w:tcW w:w="1701" w:type="dxa"/>
            <w:tcBorders>
              <w:bottom w:val="single" w:sz="2" w:space="0" w:color="808080" w:themeColor="background1" w:themeShade="80"/>
            </w:tcBorders>
            <w:hideMark/>
          </w:tcPr>
          <w:p w14:paraId="37C0609F" w14:textId="74E5BC2C" w:rsidR="00611A1C" w:rsidRPr="00834CDC" w:rsidRDefault="00611A1C" w:rsidP="00611A1C">
            <w:pPr>
              <w:pStyle w:val="NormalWeb"/>
              <w:jc w:val="left"/>
              <w:rPr>
                <w:sz w:val="18"/>
                <w:szCs w:val="18"/>
              </w:rPr>
            </w:pPr>
            <w:r w:rsidRPr="00834CDC">
              <w:rPr>
                <w:sz w:val="18"/>
                <w:szCs w:val="18"/>
              </w:rPr>
              <w:t xml:space="preserve">Disease </w:t>
            </w:r>
            <w:r w:rsidRPr="00834CDC">
              <w:rPr>
                <w:sz w:val="18"/>
                <w:szCs w:val="18"/>
                <w:vertAlign w:val="superscript"/>
              </w:rPr>
              <w:t>b</w:t>
            </w:r>
          </w:p>
        </w:tc>
        <w:tc>
          <w:tcPr>
            <w:tcW w:w="4619" w:type="dxa"/>
            <w:tcBorders>
              <w:bottom w:val="single" w:sz="2" w:space="0" w:color="808080" w:themeColor="background1" w:themeShade="80"/>
            </w:tcBorders>
            <w:hideMark/>
          </w:tcPr>
          <w:p w14:paraId="6A477818" w14:textId="77777777" w:rsidR="00611A1C" w:rsidRPr="00834CDC" w:rsidRDefault="00611A1C" w:rsidP="00611A1C">
            <w:pPr>
              <w:pStyle w:val="NormalWeb"/>
              <w:jc w:val="left"/>
              <w:rPr>
                <w:sz w:val="18"/>
                <w:szCs w:val="18"/>
              </w:rPr>
            </w:pPr>
            <w:r w:rsidRPr="00834CDC">
              <w:rPr>
                <w:sz w:val="18"/>
                <w:szCs w:val="18"/>
              </w:rPr>
              <w:t>Aboriginal and Torres Strait Islander status</w:t>
            </w:r>
          </w:p>
        </w:tc>
        <w:tc>
          <w:tcPr>
            <w:tcW w:w="626" w:type="dxa"/>
            <w:tcBorders>
              <w:bottom w:val="single" w:sz="2" w:space="0" w:color="808080" w:themeColor="background1" w:themeShade="80"/>
            </w:tcBorders>
            <w:hideMark/>
          </w:tcPr>
          <w:p w14:paraId="52D723BC" w14:textId="77777777" w:rsidR="00611A1C" w:rsidRPr="00834CDC" w:rsidRDefault="00611A1C" w:rsidP="00CB6F73">
            <w:pPr>
              <w:pStyle w:val="NormalWeb"/>
              <w:rPr>
                <w:sz w:val="18"/>
                <w:szCs w:val="18"/>
              </w:rPr>
            </w:pPr>
            <w:r w:rsidRPr="00834CDC">
              <w:rPr>
                <w:sz w:val="18"/>
                <w:szCs w:val="18"/>
              </w:rPr>
              <w:t>N</w:t>
            </w:r>
          </w:p>
        </w:tc>
        <w:tc>
          <w:tcPr>
            <w:tcW w:w="1418" w:type="dxa"/>
            <w:tcBorders>
              <w:bottom w:val="single" w:sz="2" w:space="0" w:color="808080" w:themeColor="background1" w:themeShade="80"/>
            </w:tcBorders>
            <w:hideMark/>
          </w:tcPr>
          <w:p w14:paraId="0B93656B" w14:textId="2BF86FCC" w:rsidR="00611A1C" w:rsidRPr="00834CDC" w:rsidRDefault="00611A1C" w:rsidP="00CB6F73">
            <w:pPr>
              <w:pStyle w:val="NormalWeb"/>
              <w:rPr>
                <w:sz w:val="18"/>
                <w:szCs w:val="18"/>
              </w:rPr>
            </w:pPr>
            <w:r w:rsidRPr="00834CDC">
              <w:rPr>
                <w:sz w:val="18"/>
                <w:szCs w:val="18"/>
              </w:rPr>
              <w:t xml:space="preserve">Notification rate </w:t>
            </w:r>
            <w:r w:rsidRPr="00834CDC">
              <w:rPr>
                <w:sz w:val="18"/>
                <w:szCs w:val="18"/>
                <w:vertAlign w:val="superscript"/>
              </w:rPr>
              <w:t>c</w:t>
            </w:r>
            <w:r w:rsidRPr="00834CDC">
              <w:rPr>
                <w:sz w:val="18"/>
                <w:szCs w:val="18"/>
              </w:rPr>
              <w:t xml:space="preserve"> (2016–2019)</w:t>
            </w:r>
          </w:p>
        </w:tc>
        <w:tc>
          <w:tcPr>
            <w:tcW w:w="2102" w:type="dxa"/>
            <w:tcBorders>
              <w:bottom w:val="single" w:sz="2" w:space="0" w:color="808080" w:themeColor="background1" w:themeShade="80"/>
            </w:tcBorders>
            <w:hideMark/>
          </w:tcPr>
          <w:p w14:paraId="7C9B8FF4" w14:textId="47D67994" w:rsidR="00611A1C" w:rsidRPr="00834CDC" w:rsidRDefault="00611A1C" w:rsidP="00CB6F73">
            <w:pPr>
              <w:pStyle w:val="NormalWeb"/>
              <w:rPr>
                <w:sz w:val="18"/>
                <w:szCs w:val="18"/>
              </w:rPr>
            </w:pPr>
            <w:r w:rsidRPr="00834CDC">
              <w:rPr>
                <w:sz w:val="18"/>
                <w:szCs w:val="18"/>
              </w:rPr>
              <w:t>Rate ratio (standardised) (95% confidence interval)</w:t>
            </w:r>
          </w:p>
        </w:tc>
      </w:tr>
      <w:tr w:rsidR="00CB6F73" w:rsidRPr="00834CDC" w14:paraId="01A0627E" w14:textId="77777777" w:rsidTr="00CB6F73">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4EEE21E" w14:textId="77777777" w:rsidR="00611A1C" w:rsidRPr="00834CDC" w:rsidRDefault="00611A1C" w:rsidP="00CB6F73">
            <w:pPr>
              <w:pStyle w:val="NormalWeb"/>
              <w:jc w:val="left"/>
              <w:rPr>
                <w:sz w:val="18"/>
                <w:szCs w:val="18"/>
              </w:rPr>
            </w:pPr>
            <w:r w:rsidRPr="00834CDC">
              <w:rPr>
                <w:sz w:val="18"/>
                <w:szCs w:val="18"/>
              </w:rPr>
              <w:t>Diphtheria</w:t>
            </w: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B656028" w14:textId="77777777" w:rsidR="00611A1C" w:rsidRPr="00834CDC" w:rsidRDefault="00611A1C" w:rsidP="00CB6F73">
            <w:pPr>
              <w:pStyle w:val="NormalWeb"/>
              <w:jc w:val="left"/>
              <w:rPr>
                <w:sz w:val="18"/>
                <w:szCs w:val="18"/>
              </w:rPr>
            </w:pPr>
            <w:r w:rsidRPr="00834CDC">
              <w:rPr>
                <w:sz w:val="18"/>
                <w:szCs w:val="18"/>
              </w:rPr>
              <w:t>Aboriginal and Torres Strait Islander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B26AE69" w14:textId="77777777" w:rsidR="00611A1C" w:rsidRPr="00834CDC" w:rsidRDefault="00611A1C" w:rsidP="00CB6F73">
            <w:pPr>
              <w:pStyle w:val="NormalWeb"/>
              <w:rPr>
                <w:sz w:val="18"/>
                <w:szCs w:val="18"/>
              </w:rPr>
            </w:pPr>
            <w:r w:rsidRPr="00834CDC">
              <w:rPr>
                <w:sz w:val="18"/>
                <w:szCs w:val="18"/>
              </w:rPr>
              <w:t>3</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5FD9762" w14:textId="77777777" w:rsidR="00611A1C" w:rsidRPr="00834CDC" w:rsidRDefault="00611A1C" w:rsidP="00CB6F73">
            <w:pPr>
              <w:pStyle w:val="NormalWeb"/>
              <w:rPr>
                <w:sz w:val="18"/>
                <w:szCs w:val="18"/>
              </w:rPr>
            </w:pPr>
            <w:r w:rsidRPr="00834CDC">
              <w:rPr>
                <w:sz w:val="18"/>
                <w:szCs w:val="18"/>
              </w:rPr>
              <w:t>0.13</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CA56F01" w14:textId="77777777" w:rsidR="00611A1C" w:rsidRPr="00834CDC" w:rsidRDefault="00611A1C" w:rsidP="00CB6F73">
            <w:pPr>
              <w:pStyle w:val="NormalWeb"/>
              <w:rPr>
                <w:sz w:val="18"/>
                <w:szCs w:val="18"/>
              </w:rPr>
            </w:pPr>
            <w:r w:rsidRPr="00834CDC">
              <w:rPr>
                <w:sz w:val="18"/>
                <w:szCs w:val="18"/>
              </w:rPr>
              <w:t>4.1 (1.0–11.0)</w:t>
            </w:r>
          </w:p>
        </w:tc>
      </w:tr>
      <w:tr w:rsidR="00611A1C" w:rsidRPr="00834CDC" w14:paraId="77DD415B" w14:textId="77777777" w:rsidTr="00CB6F73">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0EF292F" w14:textId="77777777" w:rsidR="00611A1C" w:rsidRPr="00834CDC" w:rsidRDefault="00611A1C" w:rsidP="00CB6F73">
            <w:pPr>
              <w:jc w:val="left"/>
              <w:rPr>
                <w:sz w:val="18"/>
                <w:szCs w:val="18"/>
              </w:rPr>
            </w:pP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20BA665" w14:textId="77777777" w:rsidR="00611A1C" w:rsidRPr="00834CDC" w:rsidRDefault="00611A1C" w:rsidP="00CB6F73">
            <w:pPr>
              <w:pStyle w:val="NormalWeb"/>
              <w:jc w:val="left"/>
              <w:rPr>
                <w:sz w:val="18"/>
                <w:szCs w:val="18"/>
              </w:rPr>
            </w:pPr>
            <w:r w:rsidRPr="00834CDC">
              <w:rPr>
                <w:sz w:val="18"/>
                <w:szCs w:val="18"/>
              </w:rPr>
              <w:t>Other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3FB707B" w14:textId="77777777" w:rsidR="00611A1C" w:rsidRPr="00834CDC" w:rsidRDefault="00611A1C" w:rsidP="00CB6F73">
            <w:pPr>
              <w:pStyle w:val="NormalWeb"/>
              <w:rPr>
                <w:sz w:val="18"/>
                <w:szCs w:val="18"/>
              </w:rPr>
            </w:pPr>
            <w:r w:rsidRPr="00834CDC">
              <w:rPr>
                <w:sz w:val="18"/>
                <w:szCs w:val="18"/>
              </w:rPr>
              <w:t>31</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016ECB0" w14:textId="77777777" w:rsidR="00611A1C" w:rsidRPr="00834CDC" w:rsidRDefault="00611A1C" w:rsidP="00CB6F73">
            <w:pPr>
              <w:pStyle w:val="NormalWeb"/>
              <w:rPr>
                <w:sz w:val="18"/>
                <w:szCs w:val="18"/>
              </w:rPr>
            </w:pPr>
            <w:r w:rsidRPr="00834CDC">
              <w:rPr>
                <w:sz w:val="18"/>
                <w:szCs w:val="18"/>
              </w:rPr>
              <w:t>0.03</w:t>
            </w: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A82D2C9" w14:textId="77777777" w:rsidR="00611A1C" w:rsidRPr="00834CDC" w:rsidRDefault="00611A1C" w:rsidP="00CB6F73">
            <w:pPr>
              <w:rPr>
                <w:sz w:val="18"/>
                <w:szCs w:val="18"/>
              </w:rPr>
            </w:pPr>
          </w:p>
        </w:tc>
      </w:tr>
      <w:tr w:rsidR="00CB6F73" w:rsidRPr="00834CDC" w14:paraId="5AEC682C" w14:textId="77777777" w:rsidTr="00CB6F73">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D8E31F1" w14:textId="78E9BA28" w:rsidR="00611A1C" w:rsidRPr="00834CDC" w:rsidRDefault="00611A1C" w:rsidP="00CB6F73">
            <w:pPr>
              <w:pStyle w:val="NormalWeb"/>
              <w:jc w:val="left"/>
              <w:rPr>
                <w:sz w:val="18"/>
                <w:szCs w:val="18"/>
              </w:rPr>
            </w:pPr>
            <w:r w:rsidRPr="00834CDC">
              <w:rPr>
                <w:sz w:val="18"/>
                <w:szCs w:val="18"/>
              </w:rPr>
              <w:t>Hib disease</w:t>
            </w:r>
            <w:r w:rsidR="00CB6F73" w:rsidRPr="00834CDC">
              <w:rPr>
                <w:sz w:val="18"/>
                <w:szCs w:val="18"/>
              </w:rPr>
              <w:br/>
            </w:r>
            <w:r w:rsidRPr="00834CDC">
              <w:rPr>
                <w:sz w:val="18"/>
                <w:szCs w:val="18"/>
              </w:rPr>
              <w:t>(invasive)</w:t>
            </w: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31EE5A9" w14:textId="77777777" w:rsidR="00611A1C" w:rsidRPr="00834CDC" w:rsidRDefault="00611A1C" w:rsidP="00CB6F73">
            <w:pPr>
              <w:pStyle w:val="NormalWeb"/>
              <w:jc w:val="left"/>
              <w:rPr>
                <w:sz w:val="18"/>
                <w:szCs w:val="18"/>
              </w:rPr>
            </w:pPr>
            <w:r w:rsidRPr="00834CDC">
              <w:rPr>
                <w:sz w:val="18"/>
                <w:szCs w:val="18"/>
              </w:rPr>
              <w:t>Aboriginal and Torres Strait Islander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35D4894" w14:textId="77777777" w:rsidR="00611A1C" w:rsidRPr="00834CDC" w:rsidRDefault="00611A1C" w:rsidP="00CB6F73">
            <w:pPr>
              <w:pStyle w:val="NormalWeb"/>
              <w:rPr>
                <w:sz w:val="18"/>
                <w:szCs w:val="18"/>
              </w:rPr>
            </w:pPr>
            <w:r w:rsidRPr="00834CDC">
              <w:rPr>
                <w:sz w:val="18"/>
                <w:szCs w:val="18"/>
              </w:rPr>
              <w:t>22</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CB63AD7" w14:textId="77777777" w:rsidR="00611A1C" w:rsidRPr="00834CDC" w:rsidRDefault="00611A1C" w:rsidP="00CB6F73">
            <w:pPr>
              <w:pStyle w:val="NormalWeb"/>
              <w:rPr>
                <w:sz w:val="18"/>
                <w:szCs w:val="18"/>
              </w:rPr>
            </w:pPr>
            <w:r w:rsidRPr="00834CDC">
              <w:rPr>
                <w:sz w:val="18"/>
                <w:szCs w:val="18"/>
              </w:rPr>
              <w:t>0.59</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5FC4B95" w14:textId="77777777" w:rsidR="00611A1C" w:rsidRPr="00834CDC" w:rsidRDefault="00611A1C" w:rsidP="00CB6F73">
            <w:pPr>
              <w:pStyle w:val="NormalWeb"/>
              <w:rPr>
                <w:sz w:val="18"/>
                <w:szCs w:val="18"/>
              </w:rPr>
            </w:pPr>
            <w:r w:rsidRPr="00834CDC">
              <w:rPr>
                <w:sz w:val="18"/>
                <w:szCs w:val="18"/>
              </w:rPr>
              <w:t>10.9 (5.9-18.3)</w:t>
            </w:r>
          </w:p>
        </w:tc>
      </w:tr>
      <w:tr w:rsidR="00611A1C" w:rsidRPr="00834CDC" w14:paraId="1D1E0274" w14:textId="77777777" w:rsidTr="00CB6F73">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A65400B" w14:textId="77777777" w:rsidR="00611A1C" w:rsidRPr="00834CDC" w:rsidRDefault="00611A1C" w:rsidP="00CB6F73">
            <w:pPr>
              <w:jc w:val="left"/>
              <w:rPr>
                <w:sz w:val="18"/>
                <w:szCs w:val="18"/>
              </w:rPr>
            </w:pP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956BA97" w14:textId="77777777" w:rsidR="00611A1C" w:rsidRPr="00834CDC" w:rsidRDefault="00611A1C" w:rsidP="00CB6F73">
            <w:pPr>
              <w:pStyle w:val="NormalWeb"/>
              <w:jc w:val="left"/>
              <w:rPr>
                <w:sz w:val="18"/>
                <w:szCs w:val="18"/>
              </w:rPr>
            </w:pPr>
            <w:r w:rsidRPr="00834CDC">
              <w:rPr>
                <w:sz w:val="18"/>
                <w:szCs w:val="18"/>
              </w:rPr>
              <w:t>Other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F410F77" w14:textId="77777777" w:rsidR="00611A1C" w:rsidRPr="00834CDC" w:rsidRDefault="00611A1C" w:rsidP="00CB6F73">
            <w:pPr>
              <w:pStyle w:val="NormalWeb"/>
              <w:rPr>
                <w:sz w:val="18"/>
                <w:szCs w:val="18"/>
              </w:rPr>
            </w:pPr>
            <w:r w:rsidRPr="00834CDC">
              <w:rPr>
                <w:sz w:val="18"/>
                <w:szCs w:val="18"/>
              </w:rPr>
              <w:t>51</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DFB358D" w14:textId="77777777" w:rsidR="00611A1C" w:rsidRPr="00834CDC" w:rsidRDefault="00611A1C" w:rsidP="00CB6F73">
            <w:pPr>
              <w:pStyle w:val="NormalWeb"/>
              <w:rPr>
                <w:sz w:val="18"/>
                <w:szCs w:val="18"/>
              </w:rPr>
            </w:pPr>
            <w:r w:rsidRPr="00834CDC">
              <w:rPr>
                <w:sz w:val="18"/>
                <w:szCs w:val="18"/>
              </w:rPr>
              <w:t>0.05</w:t>
            </w: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9423CAA" w14:textId="77777777" w:rsidR="00611A1C" w:rsidRPr="00834CDC" w:rsidRDefault="00611A1C" w:rsidP="00CB6F73">
            <w:pPr>
              <w:rPr>
                <w:sz w:val="18"/>
                <w:szCs w:val="18"/>
              </w:rPr>
            </w:pPr>
          </w:p>
        </w:tc>
      </w:tr>
      <w:tr w:rsidR="00CB6F73" w:rsidRPr="00834CDC" w14:paraId="3BABDBFF" w14:textId="77777777" w:rsidTr="00CB6F73">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350D490" w14:textId="77777777" w:rsidR="00611A1C" w:rsidRPr="00834CDC" w:rsidRDefault="00611A1C" w:rsidP="00CB6F73">
            <w:pPr>
              <w:pStyle w:val="NormalWeb"/>
              <w:jc w:val="left"/>
              <w:rPr>
                <w:sz w:val="18"/>
                <w:szCs w:val="18"/>
              </w:rPr>
            </w:pPr>
            <w:r w:rsidRPr="00834CDC">
              <w:rPr>
                <w:sz w:val="18"/>
                <w:szCs w:val="18"/>
              </w:rPr>
              <w:t>Hepatitis A</w:t>
            </w: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EF76988" w14:textId="77777777" w:rsidR="00611A1C" w:rsidRPr="00834CDC" w:rsidRDefault="00611A1C" w:rsidP="00CB6F73">
            <w:pPr>
              <w:pStyle w:val="NormalWeb"/>
              <w:jc w:val="left"/>
              <w:rPr>
                <w:sz w:val="18"/>
                <w:szCs w:val="18"/>
              </w:rPr>
            </w:pPr>
            <w:r w:rsidRPr="00834CDC">
              <w:rPr>
                <w:sz w:val="18"/>
                <w:szCs w:val="18"/>
              </w:rPr>
              <w:t>Aboriginal and Torres Strait Islander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49882B7" w14:textId="77777777" w:rsidR="00611A1C" w:rsidRPr="00834CDC" w:rsidRDefault="00611A1C" w:rsidP="00CB6F73">
            <w:pPr>
              <w:pStyle w:val="NormalWeb"/>
              <w:rPr>
                <w:sz w:val="18"/>
                <w:szCs w:val="18"/>
              </w:rPr>
            </w:pPr>
            <w:r w:rsidRPr="00834CDC">
              <w:rPr>
                <w:sz w:val="18"/>
                <w:szCs w:val="18"/>
              </w:rPr>
              <w:t>16</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9DB6726" w14:textId="77777777" w:rsidR="00611A1C" w:rsidRPr="00834CDC" w:rsidRDefault="00611A1C" w:rsidP="00CB6F73">
            <w:pPr>
              <w:pStyle w:val="NormalWeb"/>
              <w:rPr>
                <w:sz w:val="18"/>
                <w:szCs w:val="18"/>
              </w:rPr>
            </w:pPr>
            <w:r w:rsidRPr="00834CDC">
              <w:rPr>
                <w:sz w:val="18"/>
                <w:szCs w:val="18"/>
              </w:rPr>
              <w:t>0.45</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110C6EA" w14:textId="77777777" w:rsidR="00611A1C" w:rsidRPr="00834CDC" w:rsidRDefault="00611A1C" w:rsidP="00CB6F73">
            <w:pPr>
              <w:pStyle w:val="NormalWeb"/>
              <w:rPr>
                <w:sz w:val="18"/>
                <w:szCs w:val="18"/>
              </w:rPr>
            </w:pPr>
            <w:r w:rsidRPr="00834CDC">
              <w:rPr>
                <w:sz w:val="18"/>
                <w:szCs w:val="18"/>
              </w:rPr>
              <w:t>0.4 (0.2-0.7)</w:t>
            </w:r>
          </w:p>
        </w:tc>
      </w:tr>
      <w:tr w:rsidR="00611A1C" w:rsidRPr="00834CDC" w14:paraId="65F00BEC" w14:textId="77777777" w:rsidTr="00CB6F73">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B238912" w14:textId="77777777" w:rsidR="00611A1C" w:rsidRPr="00834CDC" w:rsidRDefault="00611A1C" w:rsidP="00CB6F73">
            <w:pPr>
              <w:jc w:val="left"/>
              <w:rPr>
                <w:sz w:val="18"/>
                <w:szCs w:val="18"/>
              </w:rPr>
            </w:pP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D4E63A9" w14:textId="77777777" w:rsidR="00611A1C" w:rsidRPr="00834CDC" w:rsidRDefault="00611A1C" w:rsidP="00CB6F73">
            <w:pPr>
              <w:pStyle w:val="NormalWeb"/>
              <w:jc w:val="left"/>
              <w:rPr>
                <w:sz w:val="18"/>
                <w:szCs w:val="18"/>
              </w:rPr>
            </w:pPr>
            <w:r w:rsidRPr="00834CDC">
              <w:rPr>
                <w:sz w:val="18"/>
                <w:szCs w:val="18"/>
              </w:rPr>
              <w:t>Other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352285B" w14:textId="77777777" w:rsidR="00611A1C" w:rsidRPr="00834CDC" w:rsidRDefault="00611A1C" w:rsidP="00CB6F73">
            <w:pPr>
              <w:pStyle w:val="NormalWeb"/>
              <w:rPr>
                <w:sz w:val="18"/>
                <w:szCs w:val="18"/>
              </w:rPr>
            </w:pPr>
            <w:r w:rsidRPr="00834CDC">
              <w:rPr>
                <w:sz w:val="18"/>
                <w:szCs w:val="18"/>
              </w:rPr>
              <w:t>1,026</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1E2FC5A" w14:textId="77777777" w:rsidR="00611A1C" w:rsidRPr="00834CDC" w:rsidRDefault="00611A1C" w:rsidP="00CB6F73">
            <w:pPr>
              <w:pStyle w:val="NormalWeb"/>
              <w:rPr>
                <w:sz w:val="18"/>
                <w:szCs w:val="18"/>
              </w:rPr>
            </w:pPr>
            <w:r w:rsidRPr="00834CDC">
              <w:rPr>
                <w:sz w:val="18"/>
                <w:szCs w:val="18"/>
              </w:rPr>
              <w:t>1.08</w:t>
            </w: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BF80BF9" w14:textId="77777777" w:rsidR="00611A1C" w:rsidRPr="00834CDC" w:rsidRDefault="00611A1C" w:rsidP="00CB6F73">
            <w:pPr>
              <w:rPr>
                <w:sz w:val="18"/>
                <w:szCs w:val="18"/>
              </w:rPr>
            </w:pPr>
          </w:p>
        </w:tc>
      </w:tr>
      <w:tr w:rsidR="00CB6F73" w:rsidRPr="00834CDC" w14:paraId="4E8A9F95" w14:textId="77777777" w:rsidTr="00CB6F73">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5064CFA" w14:textId="77777777" w:rsidR="00611A1C" w:rsidRPr="00834CDC" w:rsidRDefault="00611A1C" w:rsidP="00CB6F73">
            <w:pPr>
              <w:pStyle w:val="NormalWeb"/>
              <w:jc w:val="left"/>
              <w:rPr>
                <w:sz w:val="18"/>
                <w:szCs w:val="18"/>
              </w:rPr>
            </w:pPr>
            <w:r w:rsidRPr="00834CDC">
              <w:rPr>
                <w:sz w:val="18"/>
                <w:szCs w:val="18"/>
              </w:rPr>
              <w:t>Hepatitis B</w:t>
            </w: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DC3F068" w14:textId="77777777" w:rsidR="00611A1C" w:rsidRPr="00834CDC" w:rsidRDefault="00611A1C" w:rsidP="00CB6F73">
            <w:pPr>
              <w:pStyle w:val="NormalWeb"/>
              <w:jc w:val="left"/>
              <w:rPr>
                <w:sz w:val="18"/>
                <w:szCs w:val="18"/>
              </w:rPr>
            </w:pPr>
            <w:r w:rsidRPr="00834CDC">
              <w:rPr>
                <w:sz w:val="18"/>
                <w:szCs w:val="18"/>
              </w:rPr>
              <w:t>Aboriginal and Torres Strait Islander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0EA9A9B" w14:textId="77777777" w:rsidR="00611A1C" w:rsidRPr="00834CDC" w:rsidRDefault="00611A1C" w:rsidP="00CB6F73">
            <w:pPr>
              <w:pStyle w:val="NormalWeb"/>
              <w:rPr>
                <w:sz w:val="18"/>
                <w:szCs w:val="18"/>
              </w:rPr>
            </w:pPr>
            <w:r w:rsidRPr="00834CDC">
              <w:rPr>
                <w:sz w:val="18"/>
                <w:szCs w:val="18"/>
              </w:rPr>
              <w:t>58</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339D119" w14:textId="77777777" w:rsidR="00611A1C" w:rsidRPr="00834CDC" w:rsidRDefault="00611A1C" w:rsidP="00CB6F73">
            <w:pPr>
              <w:pStyle w:val="NormalWeb"/>
              <w:rPr>
                <w:sz w:val="18"/>
                <w:szCs w:val="18"/>
              </w:rPr>
            </w:pPr>
            <w:r w:rsidRPr="00834CDC">
              <w:rPr>
                <w:sz w:val="18"/>
                <w:szCs w:val="18"/>
              </w:rPr>
              <w:t>2.12</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C178D0B" w14:textId="77777777" w:rsidR="00611A1C" w:rsidRPr="00834CDC" w:rsidRDefault="00611A1C" w:rsidP="00CB6F73">
            <w:pPr>
              <w:pStyle w:val="NormalWeb"/>
              <w:rPr>
                <w:sz w:val="18"/>
                <w:szCs w:val="18"/>
              </w:rPr>
            </w:pPr>
            <w:r w:rsidRPr="00834CDC">
              <w:rPr>
                <w:sz w:val="18"/>
                <w:szCs w:val="18"/>
              </w:rPr>
              <w:t>3.7 (2.8-4.8)</w:t>
            </w:r>
          </w:p>
        </w:tc>
      </w:tr>
      <w:tr w:rsidR="00611A1C" w:rsidRPr="00834CDC" w14:paraId="166A012B" w14:textId="77777777" w:rsidTr="00CB6F73">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71906FF" w14:textId="77777777" w:rsidR="00611A1C" w:rsidRPr="00834CDC" w:rsidRDefault="00611A1C" w:rsidP="00CB6F73">
            <w:pPr>
              <w:jc w:val="left"/>
              <w:rPr>
                <w:sz w:val="18"/>
                <w:szCs w:val="18"/>
              </w:rPr>
            </w:pP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62E45BE" w14:textId="77777777" w:rsidR="00611A1C" w:rsidRPr="00834CDC" w:rsidRDefault="00611A1C" w:rsidP="00CB6F73">
            <w:pPr>
              <w:pStyle w:val="NormalWeb"/>
              <w:jc w:val="left"/>
              <w:rPr>
                <w:sz w:val="18"/>
                <w:szCs w:val="18"/>
              </w:rPr>
            </w:pPr>
            <w:r w:rsidRPr="00834CDC">
              <w:rPr>
                <w:sz w:val="18"/>
                <w:szCs w:val="18"/>
              </w:rPr>
              <w:t>Other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8367373" w14:textId="77777777" w:rsidR="00611A1C" w:rsidRPr="00834CDC" w:rsidRDefault="00611A1C" w:rsidP="00CB6F73">
            <w:pPr>
              <w:pStyle w:val="NormalWeb"/>
              <w:rPr>
                <w:sz w:val="18"/>
                <w:szCs w:val="18"/>
              </w:rPr>
            </w:pPr>
            <w:r w:rsidRPr="00834CDC">
              <w:rPr>
                <w:sz w:val="18"/>
                <w:szCs w:val="18"/>
              </w:rPr>
              <w:t>554</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BF7CC0E" w14:textId="77777777" w:rsidR="00611A1C" w:rsidRPr="00834CDC" w:rsidRDefault="00611A1C" w:rsidP="00CB6F73">
            <w:pPr>
              <w:pStyle w:val="NormalWeb"/>
              <w:rPr>
                <w:sz w:val="18"/>
                <w:szCs w:val="18"/>
              </w:rPr>
            </w:pPr>
            <w:r w:rsidRPr="00834CDC">
              <w:rPr>
                <w:sz w:val="18"/>
                <w:szCs w:val="18"/>
              </w:rPr>
              <w:t>0.57</w:t>
            </w: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C5C27A7" w14:textId="77777777" w:rsidR="00611A1C" w:rsidRPr="00834CDC" w:rsidRDefault="00611A1C" w:rsidP="00CB6F73">
            <w:pPr>
              <w:rPr>
                <w:sz w:val="18"/>
                <w:szCs w:val="18"/>
              </w:rPr>
            </w:pPr>
          </w:p>
        </w:tc>
      </w:tr>
      <w:tr w:rsidR="00CB6F73" w:rsidRPr="00834CDC" w14:paraId="42344292" w14:textId="77777777" w:rsidTr="00CB6F73">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BBB9DBE" w14:textId="77777777" w:rsidR="00611A1C" w:rsidRPr="00834CDC" w:rsidRDefault="00611A1C" w:rsidP="00CB6F73">
            <w:pPr>
              <w:pStyle w:val="NormalWeb"/>
              <w:jc w:val="left"/>
              <w:rPr>
                <w:sz w:val="18"/>
                <w:szCs w:val="18"/>
              </w:rPr>
            </w:pPr>
            <w:r w:rsidRPr="00834CDC">
              <w:rPr>
                <w:sz w:val="18"/>
                <w:szCs w:val="18"/>
              </w:rPr>
              <w:t>Influenza</w:t>
            </w: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79F7B08" w14:textId="77777777" w:rsidR="00611A1C" w:rsidRPr="00834CDC" w:rsidRDefault="00611A1C" w:rsidP="00CB6F73">
            <w:pPr>
              <w:pStyle w:val="NormalWeb"/>
              <w:jc w:val="left"/>
              <w:rPr>
                <w:sz w:val="18"/>
                <w:szCs w:val="18"/>
              </w:rPr>
            </w:pPr>
            <w:r w:rsidRPr="00834CDC">
              <w:rPr>
                <w:sz w:val="18"/>
                <w:szCs w:val="18"/>
              </w:rPr>
              <w:t>Aboriginal and Torres Strait Islander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C3FC93B" w14:textId="77777777" w:rsidR="00611A1C" w:rsidRPr="00834CDC" w:rsidRDefault="00611A1C" w:rsidP="00CB6F73">
            <w:pPr>
              <w:pStyle w:val="NormalWeb"/>
              <w:rPr>
                <w:sz w:val="18"/>
                <w:szCs w:val="18"/>
              </w:rPr>
            </w:pPr>
            <w:r w:rsidRPr="00834CDC">
              <w:rPr>
                <w:sz w:val="18"/>
                <w:szCs w:val="18"/>
              </w:rPr>
              <w:t>4,555</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617C8C7" w14:textId="77777777" w:rsidR="00611A1C" w:rsidRPr="00834CDC" w:rsidRDefault="00611A1C" w:rsidP="00CB6F73">
            <w:pPr>
              <w:pStyle w:val="NormalWeb"/>
              <w:rPr>
                <w:sz w:val="18"/>
                <w:szCs w:val="18"/>
              </w:rPr>
            </w:pPr>
            <w:r w:rsidRPr="00834CDC">
              <w:rPr>
                <w:sz w:val="18"/>
                <w:szCs w:val="18"/>
              </w:rPr>
              <w:t>633.4</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97E6D4F" w14:textId="77777777" w:rsidR="00611A1C" w:rsidRPr="00834CDC" w:rsidRDefault="00611A1C" w:rsidP="00CB6F73">
            <w:pPr>
              <w:pStyle w:val="NormalWeb"/>
              <w:rPr>
                <w:sz w:val="18"/>
                <w:szCs w:val="18"/>
              </w:rPr>
            </w:pPr>
            <w:r w:rsidRPr="00834CDC">
              <w:rPr>
                <w:sz w:val="18"/>
                <w:szCs w:val="18"/>
              </w:rPr>
              <w:t>1.5 (1.5–1.6)</w:t>
            </w:r>
          </w:p>
        </w:tc>
      </w:tr>
      <w:tr w:rsidR="00611A1C" w:rsidRPr="00834CDC" w14:paraId="031CF241" w14:textId="77777777" w:rsidTr="00CB6F73">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9EAB0D4" w14:textId="77777777" w:rsidR="00611A1C" w:rsidRPr="00834CDC" w:rsidRDefault="00611A1C" w:rsidP="00CB6F73">
            <w:pPr>
              <w:jc w:val="left"/>
              <w:rPr>
                <w:sz w:val="18"/>
                <w:szCs w:val="18"/>
              </w:rPr>
            </w:pP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B8EB464" w14:textId="77777777" w:rsidR="00611A1C" w:rsidRPr="00834CDC" w:rsidRDefault="00611A1C" w:rsidP="00CB6F73">
            <w:pPr>
              <w:pStyle w:val="NormalWeb"/>
              <w:jc w:val="left"/>
              <w:rPr>
                <w:sz w:val="18"/>
                <w:szCs w:val="18"/>
              </w:rPr>
            </w:pPr>
            <w:r w:rsidRPr="00834CDC">
              <w:rPr>
                <w:sz w:val="18"/>
                <w:szCs w:val="18"/>
              </w:rPr>
              <w:t>Other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CAB5870" w14:textId="77777777" w:rsidR="00611A1C" w:rsidRPr="00834CDC" w:rsidRDefault="00611A1C" w:rsidP="00CB6F73">
            <w:pPr>
              <w:pStyle w:val="NormalWeb"/>
              <w:rPr>
                <w:sz w:val="18"/>
                <w:szCs w:val="18"/>
              </w:rPr>
            </w:pPr>
            <w:r w:rsidRPr="00834CDC">
              <w:rPr>
                <w:sz w:val="18"/>
                <w:szCs w:val="18"/>
              </w:rPr>
              <w:t>43,518</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46CA11F" w14:textId="77777777" w:rsidR="00611A1C" w:rsidRPr="00834CDC" w:rsidRDefault="00611A1C" w:rsidP="00CB6F73">
            <w:pPr>
              <w:pStyle w:val="NormalWeb"/>
              <w:rPr>
                <w:sz w:val="18"/>
                <w:szCs w:val="18"/>
              </w:rPr>
            </w:pPr>
            <w:r w:rsidRPr="00834CDC">
              <w:rPr>
                <w:sz w:val="18"/>
                <w:szCs w:val="18"/>
              </w:rPr>
              <w:t>410.1</w:t>
            </w: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66DF356" w14:textId="77777777" w:rsidR="00611A1C" w:rsidRPr="00834CDC" w:rsidRDefault="00611A1C" w:rsidP="00CB6F73">
            <w:pPr>
              <w:rPr>
                <w:sz w:val="18"/>
                <w:szCs w:val="18"/>
              </w:rPr>
            </w:pPr>
          </w:p>
        </w:tc>
      </w:tr>
      <w:tr w:rsidR="00CB6F73" w:rsidRPr="00834CDC" w14:paraId="2C7CBAEF" w14:textId="77777777" w:rsidTr="00CB6F73">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8864A16" w14:textId="77777777" w:rsidR="00611A1C" w:rsidRPr="00834CDC" w:rsidRDefault="00611A1C" w:rsidP="00CB6F73">
            <w:pPr>
              <w:pStyle w:val="NormalWeb"/>
              <w:jc w:val="left"/>
              <w:rPr>
                <w:sz w:val="18"/>
                <w:szCs w:val="18"/>
              </w:rPr>
            </w:pPr>
            <w:r w:rsidRPr="00834CDC">
              <w:rPr>
                <w:sz w:val="18"/>
                <w:szCs w:val="18"/>
              </w:rPr>
              <w:t>Mumps</w:t>
            </w: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2D4D064" w14:textId="77777777" w:rsidR="00611A1C" w:rsidRPr="00834CDC" w:rsidRDefault="00611A1C" w:rsidP="00CB6F73">
            <w:pPr>
              <w:pStyle w:val="NormalWeb"/>
              <w:jc w:val="left"/>
              <w:rPr>
                <w:sz w:val="18"/>
                <w:szCs w:val="18"/>
              </w:rPr>
            </w:pPr>
            <w:r w:rsidRPr="00834CDC">
              <w:rPr>
                <w:sz w:val="18"/>
                <w:szCs w:val="18"/>
              </w:rPr>
              <w:t>Aboriginal and Torres Strait Islander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94B3EBF" w14:textId="77777777" w:rsidR="00611A1C" w:rsidRPr="00834CDC" w:rsidRDefault="00611A1C" w:rsidP="00CB6F73">
            <w:pPr>
              <w:pStyle w:val="NormalWeb"/>
              <w:rPr>
                <w:sz w:val="18"/>
                <w:szCs w:val="18"/>
              </w:rPr>
            </w:pPr>
            <w:r w:rsidRPr="00834CDC">
              <w:rPr>
                <w:sz w:val="18"/>
                <w:szCs w:val="18"/>
              </w:rPr>
              <w:t>1,466</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6B2F958" w14:textId="77777777" w:rsidR="00611A1C" w:rsidRPr="00834CDC" w:rsidRDefault="00611A1C" w:rsidP="00CB6F73">
            <w:pPr>
              <w:pStyle w:val="NormalWeb"/>
              <w:rPr>
                <w:sz w:val="18"/>
                <w:szCs w:val="18"/>
              </w:rPr>
            </w:pPr>
            <w:r w:rsidRPr="00834CDC">
              <w:rPr>
                <w:sz w:val="18"/>
                <w:szCs w:val="18"/>
              </w:rPr>
              <w:t>36.98</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B147FEF" w14:textId="77777777" w:rsidR="00611A1C" w:rsidRPr="00834CDC" w:rsidRDefault="00611A1C" w:rsidP="00CB6F73">
            <w:pPr>
              <w:pStyle w:val="NormalWeb"/>
              <w:rPr>
                <w:sz w:val="18"/>
                <w:szCs w:val="18"/>
              </w:rPr>
            </w:pPr>
            <w:r w:rsidRPr="00834CDC">
              <w:rPr>
                <w:sz w:val="18"/>
                <w:szCs w:val="18"/>
              </w:rPr>
              <w:t>36.9 (33.9-40.2)</w:t>
            </w:r>
          </w:p>
        </w:tc>
      </w:tr>
      <w:tr w:rsidR="00611A1C" w:rsidRPr="00834CDC" w14:paraId="66BB4AE2" w14:textId="77777777" w:rsidTr="00CB6F73">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81C24C3" w14:textId="77777777" w:rsidR="00611A1C" w:rsidRPr="00834CDC" w:rsidRDefault="00611A1C" w:rsidP="00CB6F73">
            <w:pPr>
              <w:jc w:val="left"/>
              <w:rPr>
                <w:sz w:val="18"/>
                <w:szCs w:val="18"/>
              </w:rPr>
            </w:pP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ABB20AE" w14:textId="77777777" w:rsidR="00611A1C" w:rsidRPr="00834CDC" w:rsidRDefault="00611A1C" w:rsidP="00CB6F73">
            <w:pPr>
              <w:pStyle w:val="NormalWeb"/>
              <w:jc w:val="left"/>
              <w:rPr>
                <w:sz w:val="18"/>
                <w:szCs w:val="18"/>
              </w:rPr>
            </w:pPr>
            <w:r w:rsidRPr="00834CDC">
              <w:rPr>
                <w:sz w:val="18"/>
                <w:szCs w:val="18"/>
              </w:rPr>
              <w:t>Other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7E1BD3A" w14:textId="77777777" w:rsidR="00611A1C" w:rsidRPr="00834CDC" w:rsidRDefault="00611A1C" w:rsidP="00CB6F73">
            <w:pPr>
              <w:pStyle w:val="NormalWeb"/>
              <w:rPr>
                <w:sz w:val="18"/>
                <w:szCs w:val="18"/>
              </w:rPr>
            </w:pPr>
            <w:r w:rsidRPr="00834CDC">
              <w:rPr>
                <w:sz w:val="18"/>
                <w:szCs w:val="18"/>
              </w:rPr>
              <w:t>956</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A254A64" w14:textId="77777777" w:rsidR="00611A1C" w:rsidRPr="00834CDC" w:rsidRDefault="00611A1C" w:rsidP="00CB6F73">
            <w:pPr>
              <w:pStyle w:val="NormalWeb"/>
              <w:rPr>
                <w:sz w:val="18"/>
                <w:szCs w:val="18"/>
              </w:rPr>
            </w:pPr>
            <w:r w:rsidRPr="00834CDC">
              <w:rPr>
                <w:sz w:val="18"/>
                <w:szCs w:val="18"/>
              </w:rPr>
              <w:t>1.0</w:t>
            </w: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3A39C97" w14:textId="77777777" w:rsidR="00611A1C" w:rsidRPr="00834CDC" w:rsidRDefault="00611A1C" w:rsidP="00CB6F73">
            <w:pPr>
              <w:rPr>
                <w:sz w:val="18"/>
                <w:szCs w:val="18"/>
              </w:rPr>
            </w:pPr>
          </w:p>
        </w:tc>
      </w:tr>
      <w:tr w:rsidR="00CB6F73" w:rsidRPr="00834CDC" w14:paraId="7EF7800A" w14:textId="77777777" w:rsidTr="00CB6F73">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A34AE06" w14:textId="77777777" w:rsidR="00611A1C" w:rsidRPr="00834CDC" w:rsidRDefault="00611A1C" w:rsidP="00CB6F73">
            <w:pPr>
              <w:pStyle w:val="NormalWeb"/>
              <w:jc w:val="left"/>
              <w:rPr>
                <w:sz w:val="18"/>
                <w:szCs w:val="18"/>
              </w:rPr>
            </w:pPr>
            <w:r w:rsidRPr="00834CDC">
              <w:rPr>
                <w:sz w:val="18"/>
                <w:szCs w:val="18"/>
              </w:rPr>
              <w:t>Measles</w:t>
            </w: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204E191" w14:textId="77777777" w:rsidR="00611A1C" w:rsidRPr="00834CDC" w:rsidRDefault="00611A1C" w:rsidP="00CB6F73">
            <w:pPr>
              <w:pStyle w:val="NormalWeb"/>
              <w:jc w:val="left"/>
              <w:rPr>
                <w:sz w:val="18"/>
                <w:szCs w:val="18"/>
              </w:rPr>
            </w:pPr>
            <w:r w:rsidRPr="00834CDC">
              <w:rPr>
                <w:sz w:val="18"/>
                <w:szCs w:val="18"/>
              </w:rPr>
              <w:t>Aboriginal and Torres Strait Islander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04E32CB" w14:textId="77777777" w:rsidR="00611A1C" w:rsidRPr="00834CDC" w:rsidRDefault="00611A1C" w:rsidP="00CB6F73">
            <w:pPr>
              <w:pStyle w:val="NormalWeb"/>
              <w:rPr>
                <w:sz w:val="18"/>
                <w:szCs w:val="18"/>
              </w:rPr>
            </w:pPr>
            <w:r w:rsidRPr="00834CDC">
              <w:rPr>
                <w:sz w:val="18"/>
                <w:szCs w:val="18"/>
              </w:rPr>
              <w:t>12</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2FF7BA6" w14:textId="77777777" w:rsidR="00611A1C" w:rsidRPr="00834CDC" w:rsidRDefault="00611A1C" w:rsidP="00CB6F73">
            <w:pPr>
              <w:pStyle w:val="NormalWeb"/>
              <w:rPr>
                <w:sz w:val="18"/>
                <w:szCs w:val="18"/>
              </w:rPr>
            </w:pPr>
            <w:r w:rsidRPr="00834CDC">
              <w:rPr>
                <w:sz w:val="18"/>
                <w:szCs w:val="18"/>
              </w:rPr>
              <w:t>0.29</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E376A59" w14:textId="77777777" w:rsidR="00611A1C" w:rsidRPr="00834CDC" w:rsidRDefault="00611A1C" w:rsidP="00CB6F73">
            <w:pPr>
              <w:pStyle w:val="NormalWeb"/>
              <w:rPr>
                <w:sz w:val="18"/>
                <w:szCs w:val="18"/>
              </w:rPr>
            </w:pPr>
            <w:r w:rsidRPr="00834CDC">
              <w:rPr>
                <w:sz w:val="18"/>
                <w:szCs w:val="18"/>
              </w:rPr>
              <w:t>0.49 (0.2-0.9)</w:t>
            </w:r>
          </w:p>
        </w:tc>
      </w:tr>
      <w:tr w:rsidR="00611A1C" w:rsidRPr="00834CDC" w14:paraId="5BC8A714" w14:textId="77777777" w:rsidTr="00CB6F73">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7F80A2C" w14:textId="77777777" w:rsidR="00611A1C" w:rsidRPr="00834CDC" w:rsidRDefault="00611A1C" w:rsidP="00CB6F73">
            <w:pPr>
              <w:jc w:val="left"/>
              <w:rPr>
                <w:sz w:val="18"/>
                <w:szCs w:val="18"/>
              </w:rPr>
            </w:pP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1AB34A5" w14:textId="77777777" w:rsidR="00611A1C" w:rsidRPr="00834CDC" w:rsidRDefault="00611A1C" w:rsidP="00CB6F73">
            <w:pPr>
              <w:pStyle w:val="NormalWeb"/>
              <w:jc w:val="left"/>
              <w:rPr>
                <w:sz w:val="18"/>
                <w:szCs w:val="18"/>
              </w:rPr>
            </w:pPr>
            <w:r w:rsidRPr="00834CDC">
              <w:rPr>
                <w:sz w:val="18"/>
                <w:szCs w:val="18"/>
              </w:rPr>
              <w:t>Other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00F5EC2" w14:textId="77777777" w:rsidR="00611A1C" w:rsidRPr="00834CDC" w:rsidRDefault="00611A1C" w:rsidP="00CB6F73">
            <w:pPr>
              <w:pStyle w:val="NormalWeb"/>
              <w:rPr>
                <w:sz w:val="18"/>
                <w:szCs w:val="18"/>
              </w:rPr>
            </w:pPr>
            <w:r w:rsidRPr="00834CDC">
              <w:rPr>
                <w:sz w:val="18"/>
                <w:szCs w:val="18"/>
              </w:rPr>
              <w:t>556</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8B2F087" w14:textId="77777777" w:rsidR="00611A1C" w:rsidRPr="00834CDC" w:rsidRDefault="00611A1C" w:rsidP="00CB6F73">
            <w:pPr>
              <w:pStyle w:val="NormalWeb"/>
              <w:rPr>
                <w:sz w:val="18"/>
                <w:szCs w:val="18"/>
              </w:rPr>
            </w:pPr>
            <w:r w:rsidRPr="00834CDC">
              <w:rPr>
                <w:sz w:val="18"/>
                <w:szCs w:val="18"/>
              </w:rPr>
              <w:t>0.59</w:t>
            </w: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3C2306D" w14:textId="77777777" w:rsidR="00611A1C" w:rsidRPr="00834CDC" w:rsidRDefault="00611A1C" w:rsidP="00CB6F73">
            <w:pPr>
              <w:rPr>
                <w:sz w:val="18"/>
                <w:szCs w:val="18"/>
              </w:rPr>
            </w:pPr>
          </w:p>
        </w:tc>
      </w:tr>
      <w:tr w:rsidR="00CB6F73" w:rsidRPr="00834CDC" w14:paraId="5AD7B7C0" w14:textId="77777777" w:rsidTr="00CB6F73">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8AD9CA9" w14:textId="04D7E239" w:rsidR="00611A1C" w:rsidRPr="00834CDC" w:rsidRDefault="00611A1C" w:rsidP="00CB6F73">
            <w:pPr>
              <w:pStyle w:val="NormalWeb"/>
              <w:jc w:val="left"/>
              <w:rPr>
                <w:sz w:val="18"/>
                <w:szCs w:val="18"/>
              </w:rPr>
            </w:pPr>
            <w:r w:rsidRPr="00834CDC">
              <w:rPr>
                <w:sz w:val="18"/>
                <w:szCs w:val="18"/>
              </w:rPr>
              <w:t>Meningococcal</w:t>
            </w:r>
            <w:r w:rsidR="00CB6F73" w:rsidRPr="00834CDC">
              <w:rPr>
                <w:sz w:val="18"/>
                <w:szCs w:val="18"/>
              </w:rPr>
              <w:t xml:space="preserve"> </w:t>
            </w:r>
            <w:r w:rsidRPr="00834CDC">
              <w:rPr>
                <w:sz w:val="18"/>
                <w:szCs w:val="18"/>
              </w:rPr>
              <w:t>disease</w:t>
            </w: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75FCD78" w14:textId="77777777" w:rsidR="00611A1C" w:rsidRPr="00834CDC" w:rsidRDefault="00611A1C" w:rsidP="00CB6F73">
            <w:pPr>
              <w:pStyle w:val="NormalWeb"/>
              <w:jc w:val="left"/>
              <w:rPr>
                <w:sz w:val="18"/>
                <w:szCs w:val="18"/>
              </w:rPr>
            </w:pPr>
            <w:r w:rsidRPr="00834CDC">
              <w:rPr>
                <w:sz w:val="18"/>
                <w:szCs w:val="18"/>
              </w:rPr>
              <w:t>Aboriginal and Torres Strait Islander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15A58C7" w14:textId="77777777" w:rsidR="00611A1C" w:rsidRPr="00834CDC" w:rsidRDefault="00611A1C" w:rsidP="00CB6F73">
            <w:pPr>
              <w:pStyle w:val="NormalWeb"/>
              <w:rPr>
                <w:sz w:val="18"/>
                <w:szCs w:val="18"/>
              </w:rPr>
            </w:pPr>
            <w:r w:rsidRPr="00834CDC">
              <w:rPr>
                <w:sz w:val="18"/>
                <w:szCs w:val="18"/>
              </w:rPr>
              <w:t>170</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20C7826" w14:textId="77777777" w:rsidR="00611A1C" w:rsidRPr="00834CDC" w:rsidRDefault="00611A1C" w:rsidP="00CB6F73">
            <w:pPr>
              <w:pStyle w:val="NormalWeb"/>
              <w:rPr>
                <w:sz w:val="18"/>
                <w:szCs w:val="18"/>
              </w:rPr>
            </w:pPr>
            <w:r w:rsidRPr="00834CDC">
              <w:rPr>
                <w:sz w:val="18"/>
                <w:szCs w:val="18"/>
              </w:rPr>
              <w:t>3.53</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36A29F0" w14:textId="77777777" w:rsidR="00611A1C" w:rsidRPr="00834CDC" w:rsidRDefault="00611A1C" w:rsidP="00CB6F73">
            <w:pPr>
              <w:pStyle w:val="NormalWeb"/>
              <w:rPr>
                <w:sz w:val="18"/>
                <w:szCs w:val="18"/>
              </w:rPr>
            </w:pPr>
            <w:r w:rsidRPr="00834CDC">
              <w:rPr>
                <w:sz w:val="18"/>
                <w:szCs w:val="18"/>
              </w:rPr>
              <w:t>3.5 (2.9-4.3)</w:t>
            </w:r>
          </w:p>
        </w:tc>
      </w:tr>
      <w:tr w:rsidR="00611A1C" w:rsidRPr="00834CDC" w14:paraId="0349C27C" w14:textId="77777777" w:rsidTr="00CB6F73">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0B1193E" w14:textId="77777777" w:rsidR="00611A1C" w:rsidRPr="00834CDC" w:rsidRDefault="00611A1C" w:rsidP="00CB6F73">
            <w:pPr>
              <w:jc w:val="left"/>
              <w:rPr>
                <w:sz w:val="18"/>
                <w:szCs w:val="18"/>
              </w:rPr>
            </w:pP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52226DB" w14:textId="77777777" w:rsidR="00611A1C" w:rsidRPr="00834CDC" w:rsidRDefault="00611A1C" w:rsidP="00CB6F73">
            <w:pPr>
              <w:pStyle w:val="NormalWeb"/>
              <w:jc w:val="left"/>
              <w:rPr>
                <w:sz w:val="18"/>
                <w:szCs w:val="18"/>
              </w:rPr>
            </w:pPr>
            <w:r w:rsidRPr="00834CDC">
              <w:rPr>
                <w:sz w:val="18"/>
                <w:szCs w:val="18"/>
              </w:rPr>
              <w:t>Other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A397666" w14:textId="77777777" w:rsidR="00611A1C" w:rsidRPr="00834CDC" w:rsidRDefault="00611A1C" w:rsidP="00CB6F73">
            <w:pPr>
              <w:pStyle w:val="NormalWeb"/>
              <w:rPr>
                <w:sz w:val="18"/>
                <w:szCs w:val="18"/>
              </w:rPr>
            </w:pPr>
            <w:r w:rsidRPr="00834CDC">
              <w:rPr>
                <w:sz w:val="18"/>
                <w:szCs w:val="18"/>
              </w:rPr>
              <w:t>950</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98014E7" w14:textId="77777777" w:rsidR="00611A1C" w:rsidRPr="00834CDC" w:rsidRDefault="00611A1C" w:rsidP="00CB6F73">
            <w:pPr>
              <w:pStyle w:val="NormalWeb"/>
              <w:rPr>
                <w:sz w:val="18"/>
                <w:szCs w:val="18"/>
              </w:rPr>
            </w:pPr>
            <w:r w:rsidRPr="00834CDC">
              <w:rPr>
                <w:sz w:val="18"/>
                <w:szCs w:val="18"/>
              </w:rPr>
              <w:t>1.00</w:t>
            </w: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1AEA055" w14:textId="77777777" w:rsidR="00611A1C" w:rsidRPr="00834CDC" w:rsidRDefault="00611A1C" w:rsidP="00CB6F73">
            <w:pPr>
              <w:rPr>
                <w:sz w:val="18"/>
                <w:szCs w:val="18"/>
              </w:rPr>
            </w:pPr>
          </w:p>
        </w:tc>
      </w:tr>
      <w:tr w:rsidR="00CB6F73" w:rsidRPr="00834CDC" w14:paraId="605166DD" w14:textId="77777777" w:rsidTr="00CB6F73">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FB6CE36" w14:textId="77777777" w:rsidR="00611A1C" w:rsidRPr="00834CDC" w:rsidRDefault="00611A1C" w:rsidP="00CB6F73">
            <w:pPr>
              <w:pStyle w:val="NormalWeb"/>
              <w:jc w:val="left"/>
              <w:rPr>
                <w:sz w:val="18"/>
                <w:szCs w:val="18"/>
              </w:rPr>
            </w:pPr>
            <w:r w:rsidRPr="00834CDC">
              <w:rPr>
                <w:sz w:val="18"/>
                <w:szCs w:val="18"/>
              </w:rPr>
              <w:t>Pertussis</w:t>
            </w: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311CC2D" w14:textId="77777777" w:rsidR="00611A1C" w:rsidRPr="00834CDC" w:rsidRDefault="00611A1C" w:rsidP="00CB6F73">
            <w:pPr>
              <w:pStyle w:val="NormalWeb"/>
              <w:jc w:val="left"/>
              <w:rPr>
                <w:sz w:val="18"/>
                <w:szCs w:val="18"/>
              </w:rPr>
            </w:pPr>
            <w:r w:rsidRPr="00834CDC">
              <w:rPr>
                <w:sz w:val="18"/>
                <w:szCs w:val="18"/>
              </w:rPr>
              <w:t>Aboriginal and Torres Strait Islander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CD2D408" w14:textId="77777777" w:rsidR="00611A1C" w:rsidRPr="00834CDC" w:rsidRDefault="00611A1C" w:rsidP="00CB6F73">
            <w:pPr>
              <w:pStyle w:val="NormalWeb"/>
              <w:rPr>
                <w:sz w:val="18"/>
                <w:szCs w:val="18"/>
              </w:rPr>
            </w:pPr>
            <w:r w:rsidRPr="00834CDC">
              <w:rPr>
                <w:sz w:val="18"/>
                <w:szCs w:val="18"/>
              </w:rPr>
              <w:t>636</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F1D1024" w14:textId="77777777" w:rsidR="00611A1C" w:rsidRPr="00834CDC" w:rsidRDefault="00611A1C" w:rsidP="00CB6F73">
            <w:pPr>
              <w:pStyle w:val="NormalWeb"/>
              <w:rPr>
                <w:sz w:val="18"/>
                <w:szCs w:val="18"/>
              </w:rPr>
            </w:pPr>
            <w:r w:rsidRPr="00834CDC">
              <w:rPr>
                <w:sz w:val="18"/>
                <w:szCs w:val="18"/>
              </w:rPr>
              <w:t>168.46</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9014219" w14:textId="77777777" w:rsidR="00611A1C" w:rsidRPr="00834CDC" w:rsidRDefault="00611A1C" w:rsidP="00CB6F73">
            <w:pPr>
              <w:pStyle w:val="NormalWeb"/>
              <w:rPr>
                <w:sz w:val="18"/>
                <w:szCs w:val="18"/>
              </w:rPr>
            </w:pPr>
            <w:r w:rsidRPr="00834CDC">
              <w:rPr>
                <w:sz w:val="18"/>
                <w:szCs w:val="18"/>
              </w:rPr>
              <w:t>1.4 (1.3-1.6)</w:t>
            </w:r>
          </w:p>
        </w:tc>
      </w:tr>
      <w:tr w:rsidR="00611A1C" w:rsidRPr="00834CDC" w14:paraId="0C1CC67A" w14:textId="77777777" w:rsidTr="00CB6F73">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DE40574" w14:textId="77777777" w:rsidR="00611A1C" w:rsidRPr="00834CDC" w:rsidRDefault="00611A1C" w:rsidP="00CB6F73">
            <w:pPr>
              <w:jc w:val="left"/>
              <w:rPr>
                <w:sz w:val="18"/>
                <w:szCs w:val="18"/>
              </w:rPr>
            </w:pP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FB1EC77" w14:textId="77777777" w:rsidR="00611A1C" w:rsidRPr="00834CDC" w:rsidRDefault="00611A1C" w:rsidP="00CB6F73">
            <w:pPr>
              <w:pStyle w:val="NormalWeb"/>
              <w:jc w:val="left"/>
              <w:rPr>
                <w:sz w:val="18"/>
                <w:szCs w:val="18"/>
              </w:rPr>
            </w:pPr>
            <w:r w:rsidRPr="00834CDC">
              <w:rPr>
                <w:sz w:val="18"/>
                <w:szCs w:val="18"/>
              </w:rPr>
              <w:t>Other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7C942FD" w14:textId="77777777" w:rsidR="00611A1C" w:rsidRPr="00834CDC" w:rsidRDefault="00611A1C" w:rsidP="00CB6F73">
            <w:pPr>
              <w:pStyle w:val="NormalWeb"/>
              <w:rPr>
                <w:sz w:val="18"/>
                <w:szCs w:val="18"/>
              </w:rPr>
            </w:pPr>
            <w:r w:rsidRPr="00834CDC">
              <w:rPr>
                <w:sz w:val="18"/>
                <w:szCs w:val="18"/>
              </w:rPr>
              <w:t>6,979</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F1B8866" w14:textId="77777777" w:rsidR="00611A1C" w:rsidRPr="00834CDC" w:rsidRDefault="00611A1C" w:rsidP="00CB6F73">
            <w:pPr>
              <w:pStyle w:val="NormalWeb"/>
              <w:rPr>
                <w:sz w:val="18"/>
                <w:szCs w:val="18"/>
              </w:rPr>
            </w:pPr>
            <w:r w:rsidRPr="00834CDC">
              <w:rPr>
                <w:sz w:val="18"/>
                <w:szCs w:val="18"/>
              </w:rPr>
              <w:t>118.0</w:t>
            </w: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E4C9C80" w14:textId="77777777" w:rsidR="00611A1C" w:rsidRPr="00834CDC" w:rsidRDefault="00611A1C" w:rsidP="00CB6F73">
            <w:pPr>
              <w:rPr>
                <w:sz w:val="18"/>
                <w:szCs w:val="18"/>
              </w:rPr>
            </w:pPr>
          </w:p>
        </w:tc>
      </w:tr>
      <w:tr w:rsidR="00CB6F73" w:rsidRPr="00834CDC" w14:paraId="3E580917" w14:textId="77777777" w:rsidTr="00CB6F73">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7FE5999" w14:textId="65EF7987" w:rsidR="00611A1C" w:rsidRPr="00834CDC" w:rsidRDefault="00611A1C" w:rsidP="00CB6F73">
            <w:pPr>
              <w:pStyle w:val="NormalWeb"/>
              <w:jc w:val="left"/>
              <w:rPr>
                <w:sz w:val="18"/>
                <w:szCs w:val="18"/>
              </w:rPr>
            </w:pPr>
            <w:r w:rsidRPr="00834CDC">
              <w:rPr>
                <w:sz w:val="18"/>
                <w:szCs w:val="18"/>
              </w:rPr>
              <w:t>Pneumococcal</w:t>
            </w:r>
            <w:r w:rsidR="00CB6F73" w:rsidRPr="00834CDC">
              <w:rPr>
                <w:sz w:val="18"/>
                <w:szCs w:val="18"/>
              </w:rPr>
              <w:t xml:space="preserve"> </w:t>
            </w:r>
            <w:r w:rsidRPr="00834CDC">
              <w:rPr>
                <w:sz w:val="18"/>
                <w:szCs w:val="18"/>
              </w:rPr>
              <w:t>disease</w:t>
            </w: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3BFF442" w14:textId="77777777" w:rsidR="00611A1C" w:rsidRPr="00834CDC" w:rsidRDefault="00611A1C" w:rsidP="00CB6F73">
            <w:pPr>
              <w:pStyle w:val="NormalWeb"/>
              <w:jc w:val="left"/>
              <w:rPr>
                <w:sz w:val="18"/>
                <w:szCs w:val="18"/>
              </w:rPr>
            </w:pPr>
            <w:r w:rsidRPr="00834CDC">
              <w:rPr>
                <w:sz w:val="18"/>
                <w:szCs w:val="18"/>
              </w:rPr>
              <w:t>Aboriginal and Torres Strait Islander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60A723A" w14:textId="77777777" w:rsidR="00611A1C" w:rsidRPr="00834CDC" w:rsidRDefault="00611A1C" w:rsidP="00CB6F73">
            <w:pPr>
              <w:pStyle w:val="NormalWeb"/>
              <w:rPr>
                <w:sz w:val="18"/>
                <w:szCs w:val="18"/>
              </w:rPr>
            </w:pPr>
            <w:r w:rsidRPr="00834CDC">
              <w:rPr>
                <w:sz w:val="18"/>
                <w:szCs w:val="18"/>
              </w:rPr>
              <w:t>916</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9CCE446" w14:textId="77777777" w:rsidR="00611A1C" w:rsidRPr="00834CDC" w:rsidRDefault="00611A1C" w:rsidP="00CB6F73">
            <w:pPr>
              <w:pStyle w:val="NormalWeb"/>
              <w:rPr>
                <w:sz w:val="18"/>
                <w:szCs w:val="18"/>
              </w:rPr>
            </w:pPr>
            <w:r w:rsidRPr="00834CDC">
              <w:rPr>
                <w:sz w:val="18"/>
                <w:szCs w:val="18"/>
              </w:rPr>
              <w:t>37.32</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45E3D07" w14:textId="77777777" w:rsidR="00611A1C" w:rsidRPr="00834CDC" w:rsidRDefault="00611A1C" w:rsidP="00CB6F73">
            <w:pPr>
              <w:pStyle w:val="NormalWeb"/>
              <w:rPr>
                <w:sz w:val="18"/>
                <w:szCs w:val="18"/>
              </w:rPr>
            </w:pPr>
            <w:r w:rsidRPr="00834CDC">
              <w:rPr>
                <w:sz w:val="18"/>
                <w:szCs w:val="18"/>
              </w:rPr>
              <w:t>5.2 (4.9-5.5)</w:t>
            </w:r>
          </w:p>
        </w:tc>
      </w:tr>
      <w:tr w:rsidR="00611A1C" w:rsidRPr="00834CDC" w14:paraId="03C057FE" w14:textId="77777777" w:rsidTr="00CB6F73">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2617F23" w14:textId="77777777" w:rsidR="00611A1C" w:rsidRPr="00834CDC" w:rsidRDefault="00611A1C" w:rsidP="00CB6F73">
            <w:pPr>
              <w:jc w:val="left"/>
              <w:rPr>
                <w:sz w:val="18"/>
                <w:szCs w:val="18"/>
              </w:rPr>
            </w:pP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1573C02" w14:textId="77777777" w:rsidR="00611A1C" w:rsidRPr="00834CDC" w:rsidRDefault="00611A1C" w:rsidP="00CB6F73">
            <w:pPr>
              <w:pStyle w:val="NormalWeb"/>
              <w:jc w:val="left"/>
              <w:rPr>
                <w:sz w:val="18"/>
                <w:szCs w:val="18"/>
              </w:rPr>
            </w:pPr>
            <w:r w:rsidRPr="00834CDC">
              <w:rPr>
                <w:sz w:val="18"/>
                <w:szCs w:val="18"/>
              </w:rPr>
              <w:t>Other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AA5C77C" w14:textId="77777777" w:rsidR="00611A1C" w:rsidRPr="00834CDC" w:rsidRDefault="00611A1C" w:rsidP="00CB6F73">
            <w:pPr>
              <w:pStyle w:val="NormalWeb"/>
              <w:rPr>
                <w:sz w:val="18"/>
                <w:szCs w:val="18"/>
              </w:rPr>
            </w:pPr>
            <w:r w:rsidRPr="00834CDC">
              <w:rPr>
                <w:sz w:val="18"/>
                <w:szCs w:val="18"/>
              </w:rPr>
              <w:t>6,956</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4E2A0B7" w14:textId="77777777" w:rsidR="00611A1C" w:rsidRPr="00834CDC" w:rsidRDefault="00611A1C" w:rsidP="00CB6F73">
            <w:pPr>
              <w:pStyle w:val="NormalWeb"/>
              <w:rPr>
                <w:sz w:val="18"/>
                <w:szCs w:val="18"/>
              </w:rPr>
            </w:pPr>
            <w:r w:rsidRPr="00834CDC">
              <w:rPr>
                <w:sz w:val="18"/>
                <w:szCs w:val="18"/>
              </w:rPr>
              <w:t>7.21</w:t>
            </w: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53C4217" w14:textId="77777777" w:rsidR="00611A1C" w:rsidRPr="00834CDC" w:rsidRDefault="00611A1C" w:rsidP="00CB6F73">
            <w:pPr>
              <w:rPr>
                <w:sz w:val="18"/>
                <w:szCs w:val="18"/>
              </w:rPr>
            </w:pPr>
          </w:p>
        </w:tc>
      </w:tr>
      <w:tr w:rsidR="00CB6F73" w:rsidRPr="00834CDC" w14:paraId="668FE943" w14:textId="77777777" w:rsidTr="00CB6F73">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4FC6F2A" w14:textId="77777777" w:rsidR="00611A1C" w:rsidRPr="00834CDC" w:rsidRDefault="00611A1C" w:rsidP="00CB6F73">
            <w:pPr>
              <w:pStyle w:val="NormalWeb"/>
              <w:jc w:val="left"/>
              <w:rPr>
                <w:sz w:val="18"/>
                <w:szCs w:val="18"/>
              </w:rPr>
            </w:pPr>
            <w:r w:rsidRPr="00834CDC">
              <w:rPr>
                <w:sz w:val="18"/>
                <w:szCs w:val="18"/>
              </w:rPr>
              <w:t>Poliomyelitis</w:t>
            </w: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3414119" w14:textId="77777777" w:rsidR="00611A1C" w:rsidRPr="00834CDC" w:rsidRDefault="00611A1C" w:rsidP="00CB6F73">
            <w:pPr>
              <w:pStyle w:val="NormalWeb"/>
              <w:jc w:val="left"/>
              <w:rPr>
                <w:sz w:val="18"/>
                <w:szCs w:val="18"/>
              </w:rPr>
            </w:pPr>
            <w:r w:rsidRPr="00834CDC">
              <w:rPr>
                <w:sz w:val="18"/>
                <w:szCs w:val="18"/>
              </w:rPr>
              <w:t>Aboriginal and Torres Strait Islander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96B47AE" w14:textId="77777777" w:rsidR="00611A1C" w:rsidRPr="00834CDC" w:rsidRDefault="00611A1C" w:rsidP="00CB6F73">
            <w:pPr>
              <w:pStyle w:val="NormalWeb"/>
              <w:rPr>
                <w:sz w:val="18"/>
                <w:szCs w:val="18"/>
              </w:rPr>
            </w:pPr>
            <w:r w:rsidRPr="00834CDC">
              <w:rPr>
                <w:sz w:val="18"/>
                <w:szCs w:val="18"/>
              </w:rPr>
              <w:t>0</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3A9B1C3" w14:textId="77777777" w:rsidR="00611A1C" w:rsidRPr="00834CDC" w:rsidRDefault="00611A1C" w:rsidP="00CB6F73">
            <w:pPr>
              <w:pStyle w:val="NormalWeb"/>
              <w:rPr>
                <w:sz w:val="18"/>
                <w:szCs w:val="18"/>
              </w:rPr>
            </w:pPr>
            <w:r w:rsidRPr="00834CDC">
              <w:rPr>
                <w:sz w:val="18"/>
                <w:szCs w:val="18"/>
              </w:rPr>
              <w:t>0</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0152743" w14:textId="77777777" w:rsidR="00611A1C" w:rsidRPr="00834CDC" w:rsidRDefault="00611A1C" w:rsidP="00CB6F73">
            <w:pPr>
              <w:pStyle w:val="NormalWeb"/>
              <w:rPr>
                <w:sz w:val="18"/>
                <w:szCs w:val="18"/>
              </w:rPr>
            </w:pPr>
            <w:r w:rsidRPr="00834CDC">
              <w:rPr>
                <w:sz w:val="18"/>
                <w:szCs w:val="18"/>
              </w:rPr>
              <w:t>—</w:t>
            </w:r>
          </w:p>
        </w:tc>
      </w:tr>
      <w:tr w:rsidR="00611A1C" w:rsidRPr="00834CDC" w14:paraId="5CA8E95D" w14:textId="77777777" w:rsidTr="00CB6F73">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9F4AAD3" w14:textId="77777777" w:rsidR="00611A1C" w:rsidRPr="00834CDC" w:rsidRDefault="00611A1C" w:rsidP="00CB6F73">
            <w:pPr>
              <w:jc w:val="left"/>
              <w:rPr>
                <w:sz w:val="18"/>
                <w:szCs w:val="18"/>
              </w:rPr>
            </w:pP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A4A2150" w14:textId="77777777" w:rsidR="00611A1C" w:rsidRPr="00834CDC" w:rsidRDefault="00611A1C" w:rsidP="00CB6F73">
            <w:pPr>
              <w:pStyle w:val="NormalWeb"/>
              <w:jc w:val="left"/>
              <w:rPr>
                <w:sz w:val="18"/>
                <w:szCs w:val="18"/>
              </w:rPr>
            </w:pPr>
            <w:r w:rsidRPr="00834CDC">
              <w:rPr>
                <w:sz w:val="18"/>
                <w:szCs w:val="18"/>
              </w:rPr>
              <w:t>Other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8ECF0E7" w14:textId="77777777" w:rsidR="00611A1C" w:rsidRPr="00834CDC" w:rsidRDefault="00611A1C" w:rsidP="00CB6F73">
            <w:pPr>
              <w:pStyle w:val="NormalWeb"/>
              <w:rPr>
                <w:sz w:val="18"/>
                <w:szCs w:val="18"/>
              </w:rPr>
            </w:pPr>
            <w:r w:rsidRPr="00834CDC">
              <w:rPr>
                <w:sz w:val="18"/>
                <w:szCs w:val="18"/>
              </w:rPr>
              <w:t>0</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4E284B2" w14:textId="77777777" w:rsidR="00611A1C" w:rsidRPr="00834CDC" w:rsidRDefault="00611A1C" w:rsidP="00CB6F73">
            <w:pPr>
              <w:pStyle w:val="NormalWeb"/>
              <w:rPr>
                <w:sz w:val="18"/>
                <w:szCs w:val="18"/>
              </w:rPr>
            </w:pPr>
            <w:r w:rsidRPr="00834CDC">
              <w:rPr>
                <w:sz w:val="18"/>
                <w:szCs w:val="18"/>
              </w:rPr>
              <w:t>0</w:t>
            </w: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1094BAD" w14:textId="77777777" w:rsidR="00611A1C" w:rsidRPr="00834CDC" w:rsidRDefault="00611A1C" w:rsidP="00CB6F73">
            <w:pPr>
              <w:rPr>
                <w:sz w:val="18"/>
                <w:szCs w:val="18"/>
              </w:rPr>
            </w:pPr>
          </w:p>
        </w:tc>
      </w:tr>
      <w:tr w:rsidR="00CB6F73" w:rsidRPr="00834CDC" w14:paraId="7AE09394" w14:textId="77777777" w:rsidTr="00CB6F73">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70D737F" w14:textId="77777777" w:rsidR="00611A1C" w:rsidRPr="00834CDC" w:rsidRDefault="00611A1C" w:rsidP="00CB6F73">
            <w:pPr>
              <w:pStyle w:val="NormalWeb"/>
              <w:jc w:val="left"/>
              <w:rPr>
                <w:sz w:val="18"/>
                <w:szCs w:val="18"/>
              </w:rPr>
            </w:pPr>
            <w:r w:rsidRPr="00834CDC">
              <w:rPr>
                <w:sz w:val="18"/>
                <w:szCs w:val="18"/>
              </w:rPr>
              <w:t>Rotavirus</w:t>
            </w: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A14A4DB" w14:textId="77777777" w:rsidR="00611A1C" w:rsidRPr="00834CDC" w:rsidRDefault="00611A1C" w:rsidP="00CB6F73">
            <w:pPr>
              <w:pStyle w:val="NormalWeb"/>
              <w:jc w:val="left"/>
              <w:rPr>
                <w:sz w:val="18"/>
                <w:szCs w:val="18"/>
              </w:rPr>
            </w:pPr>
            <w:r w:rsidRPr="00834CDC">
              <w:rPr>
                <w:sz w:val="18"/>
                <w:szCs w:val="18"/>
              </w:rPr>
              <w:t>Aboriginal and Torres Strait Islander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505379B" w14:textId="77777777" w:rsidR="00611A1C" w:rsidRPr="00834CDC" w:rsidRDefault="00611A1C" w:rsidP="00CB6F73">
            <w:pPr>
              <w:pStyle w:val="NormalWeb"/>
              <w:rPr>
                <w:sz w:val="18"/>
                <w:szCs w:val="18"/>
              </w:rPr>
            </w:pPr>
            <w:r w:rsidRPr="00834CDC">
              <w:rPr>
                <w:sz w:val="18"/>
                <w:szCs w:val="18"/>
              </w:rPr>
              <w:t>342</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4330B2C" w14:textId="77777777" w:rsidR="00611A1C" w:rsidRPr="00834CDC" w:rsidRDefault="00611A1C" w:rsidP="00CB6F73">
            <w:pPr>
              <w:pStyle w:val="NormalWeb"/>
              <w:rPr>
                <w:sz w:val="18"/>
                <w:szCs w:val="18"/>
              </w:rPr>
            </w:pPr>
            <w:r w:rsidRPr="00834CDC">
              <w:rPr>
                <w:sz w:val="18"/>
                <w:szCs w:val="18"/>
              </w:rPr>
              <w:t>412.8</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5409D54" w14:textId="77777777" w:rsidR="00611A1C" w:rsidRPr="00834CDC" w:rsidRDefault="00611A1C" w:rsidP="00CB6F73">
            <w:pPr>
              <w:pStyle w:val="NormalWeb"/>
              <w:rPr>
                <w:sz w:val="18"/>
                <w:szCs w:val="18"/>
              </w:rPr>
            </w:pPr>
            <w:r w:rsidRPr="00834CDC">
              <w:rPr>
                <w:sz w:val="18"/>
                <w:szCs w:val="18"/>
              </w:rPr>
              <w:t>1.8 (1.6-2.0)</w:t>
            </w:r>
          </w:p>
        </w:tc>
      </w:tr>
      <w:tr w:rsidR="00611A1C" w:rsidRPr="00834CDC" w14:paraId="64FE8831" w14:textId="77777777" w:rsidTr="00CB6F73">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48A7C78" w14:textId="77777777" w:rsidR="00611A1C" w:rsidRPr="00834CDC" w:rsidRDefault="00611A1C" w:rsidP="00CB6F73">
            <w:pPr>
              <w:jc w:val="left"/>
              <w:rPr>
                <w:sz w:val="18"/>
                <w:szCs w:val="18"/>
              </w:rPr>
            </w:pP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FD5CA0F" w14:textId="77777777" w:rsidR="00611A1C" w:rsidRPr="00834CDC" w:rsidRDefault="00611A1C" w:rsidP="00CB6F73">
            <w:pPr>
              <w:pStyle w:val="NormalWeb"/>
              <w:jc w:val="left"/>
              <w:rPr>
                <w:sz w:val="18"/>
                <w:szCs w:val="18"/>
              </w:rPr>
            </w:pPr>
            <w:r w:rsidRPr="00834CDC">
              <w:rPr>
                <w:sz w:val="18"/>
                <w:szCs w:val="18"/>
              </w:rPr>
              <w:t>Other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7B55958" w14:textId="77777777" w:rsidR="00611A1C" w:rsidRPr="00834CDC" w:rsidRDefault="00611A1C" w:rsidP="00CB6F73">
            <w:pPr>
              <w:pStyle w:val="NormalWeb"/>
              <w:rPr>
                <w:sz w:val="18"/>
                <w:szCs w:val="18"/>
              </w:rPr>
            </w:pPr>
            <w:r w:rsidRPr="00834CDC">
              <w:rPr>
                <w:sz w:val="18"/>
                <w:szCs w:val="18"/>
              </w:rPr>
              <w:t>2,102</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3317224" w14:textId="77777777" w:rsidR="00611A1C" w:rsidRPr="00834CDC" w:rsidRDefault="00611A1C" w:rsidP="00CB6F73">
            <w:pPr>
              <w:pStyle w:val="NormalWeb"/>
              <w:rPr>
                <w:sz w:val="18"/>
                <w:szCs w:val="18"/>
              </w:rPr>
            </w:pPr>
            <w:r w:rsidRPr="00834CDC">
              <w:rPr>
                <w:sz w:val="18"/>
                <w:szCs w:val="18"/>
              </w:rPr>
              <w:t>230.0</w:t>
            </w: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AF49B82" w14:textId="77777777" w:rsidR="00611A1C" w:rsidRPr="00834CDC" w:rsidRDefault="00611A1C" w:rsidP="00CB6F73">
            <w:pPr>
              <w:rPr>
                <w:sz w:val="18"/>
                <w:szCs w:val="18"/>
              </w:rPr>
            </w:pPr>
          </w:p>
        </w:tc>
      </w:tr>
      <w:tr w:rsidR="00CB6F73" w:rsidRPr="00834CDC" w14:paraId="5CAF8451" w14:textId="77777777" w:rsidTr="00CB6F73">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3BBA1F6" w14:textId="77777777" w:rsidR="00611A1C" w:rsidRPr="00834CDC" w:rsidRDefault="00611A1C" w:rsidP="00CB6F73">
            <w:pPr>
              <w:pStyle w:val="NormalWeb"/>
              <w:jc w:val="left"/>
              <w:rPr>
                <w:sz w:val="18"/>
                <w:szCs w:val="18"/>
              </w:rPr>
            </w:pPr>
            <w:r w:rsidRPr="00834CDC">
              <w:rPr>
                <w:sz w:val="18"/>
                <w:szCs w:val="18"/>
              </w:rPr>
              <w:t>Rubella</w:t>
            </w: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0410BE6" w14:textId="77777777" w:rsidR="00611A1C" w:rsidRPr="00834CDC" w:rsidRDefault="00611A1C" w:rsidP="00CB6F73">
            <w:pPr>
              <w:pStyle w:val="NormalWeb"/>
              <w:jc w:val="left"/>
              <w:rPr>
                <w:sz w:val="18"/>
                <w:szCs w:val="18"/>
              </w:rPr>
            </w:pPr>
            <w:r w:rsidRPr="00834CDC">
              <w:rPr>
                <w:sz w:val="18"/>
                <w:szCs w:val="18"/>
              </w:rPr>
              <w:t>Aboriginal and Torres Strait Islander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A722C80" w14:textId="77777777" w:rsidR="00611A1C" w:rsidRPr="00834CDC" w:rsidRDefault="00611A1C" w:rsidP="00CB6F73">
            <w:pPr>
              <w:pStyle w:val="NormalWeb"/>
              <w:rPr>
                <w:sz w:val="18"/>
                <w:szCs w:val="18"/>
              </w:rPr>
            </w:pPr>
            <w:r w:rsidRPr="00834CDC">
              <w:rPr>
                <w:sz w:val="18"/>
                <w:szCs w:val="18"/>
              </w:rPr>
              <w:t>1</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9222250" w14:textId="6C7FB5C8" w:rsidR="00611A1C" w:rsidRPr="00834CDC" w:rsidRDefault="00611A1C" w:rsidP="00CB6F73">
            <w:pPr>
              <w:pStyle w:val="NormalWeb"/>
              <w:rPr>
                <w:sz w:val="18"/>
                <w:szCs w:val="18"/>
              </w:rPr>
            </w:pPr>
            <w:r w:rsidRPr="00834CDC">
              <w:rPr>
                <w:sz w:val="18"/>
                <w:szCs w:val="18"/>
              </w:rPr>
              <w:t>0.03</w:t>
            </w:r>
            <w:r w:rsidR="006C707B">
              <w:rPr>
                <w:sz w:val="18"/>
                <w:szCs w:val="18"/>
              </w:rPr>
              <w:t xml:space="preserve"> </w:t>
            </w:r>
            <w:r w:rsidRPr="006C707B">
              <w:rPr>
                <w:sz w:val="18"/>
                <w:szCs w:val="18"/>
                <w:vertAlign w:val="superscript"/>
              </w:rPr>
              <w:t>d</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D8B1B9E" w14:textId="77777777" w:rsidR="00611A1C" w:rsidRPr="00834CDC" w:rsidRDefault="00611A1C" w:rsidP="00CB6F73">
            <w:pPr>
              <w:pStyle w:val="NormalWeb"/>
              <w:rPr>
                <w:sz w:val="18"/>
                <w:szCs w:val="18"/>
              </w:rPr>
            </w:pPr>
            <w:r w:rsidRPr="00834CDC">
              <w:rPr>
                <w:sz w:val="18"/>
                <w:szCs w:val="18"/>
              </w:rPr>
              <w:t>—</w:t>
            </w:r>
          </w:p>
        </w:tc>
      </w:tr>
      <w:tr w:rsidR="00611A1C" w:rsidRPr="00834CDC" w14:paraId="5BCDA14D" w14:textId="77777777" w:rsidTr="00CB6F73">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4740472" w14:textId="77777777" w:rsidR="00611A1C" w:rsidRPr="00834CDC" w:rsidRDefault="00611A1C" w:rsidP="00CB6F73">
            <w:pPr>
              <w:jc w:val="left"/>
              <w:rPr>
                <w:sz w:val="18"/>
                <w:szCs w:val="18"/>
              </w:rPr>
            </w:pP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1DB6E46" w14:textId="77777777" w:rsidR="00611A1C" w:rsidRPr="00834CDC" w:rsidRDefault="00611A1C" w:rsidP="00CB6F73">
            <w:pPr>
              <w:pStyle w:val="NormalWeb"/>
              <w:jc w:val="left"/>
              <w:rPr>
                <w:sz w:val="18"/>
                <w:szCs w:val="18"/>
              </w:rPr>
            </w:pPr>
            <w:r w:rsidRPr="00834CDC">
              <w:rPr>
                <w:sz w:val="18"/>
                <w:szCs w:val="18"/>
              </w:rPr>
              <w:t>Other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A221346" w14:textId="77777777" w:rsidR="00611A1C" w:rsidRPr="00834CDC" w:rsidRDefault="00611A1C" w:rsidP="00CB6F73">
            <w:pPr>
              <w:pStyle w:val="NormalWeb"/>
              <w:rPr>
                <w:sz w:val="18"/>
                <w:szCs w:val="18"/>
              </w:rPr>
            </w:pPr>
            <w:r w:rsidRPr="00834CDC">
              <w:rPr>
                <w:sz w:val="18"/>
                <w:szCs w:val="18"/>
              </w:rPr>
              <w:t>57</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84A45D6" w14:textId="77777777" w:rsidR="00611A1C" w:rsidRPr="00834CDC" w:rsidRDefault="00611A1C" w:rsidP="00CB6F73">
            <w:pPr>
              <w:pStyle w:val="NormalWeb"/>
              <w:rPr>
                <w:sz w:val="18"/>
                <w:szCs w:val="18"/>
              </w:rPr>
            </w:pPr>
            <w:r w:rsidRPr="00834CDC">
              <w:rPr>
                <w:sz w:val="18"/>
                <w:szCs w:val="18"/>
              </w:rPr>
              <w:t>0.06</w:t>
            </w: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46618AF" w14:textId="77777777" w:rsidR="00611A1C" w:rsidRPr="00834CDC" w:rsidRDefault="00611A1C" w:rsidP="00CB6F73">
            <w:pPr>
              <w:rPr>
                <w:sz w:val="18"/>
                <w:szCs w:val="18"/>
              </w:rPr>
            </w:pPr>
          </w:p>
        </w:tc>
      </w:tr>
      <w:tr w:rsidR="00CB6F73" w:rsidRPr="00834CDC" w14:paraId="4E027EFF" w14:textId="77777777" w:rsidTr="00CB6F73">
        <w:trPr>
          <w:divId w:val="1988506822"/>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AB1FBDC" w14:textId="77777777" w:rsidR="00611A1C" w:rsidRPr="00834CDC" w:rsidRDefault="00611A1C" w:rsidP="00CB6F73">
            <w:pPr>
              <w:pStyle w:val="NormalWeb"/>
              <w:jc w:val="left"/>
              <w:rPr>
                <w:sz w:val="18"/>
                <w:szCs w:val="18"/>
              </w:rPr>
            </w:pPr>
            <w:r w:rsidRPr="00834CDC">
              <w:rPr>
                <w:sz w:val="18"/>
                <w:szCs w:val="18"/>
              </w:rPr>
              <w:t>Tetanus</w:t>
            </w: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9180E8D" w14:textId="77777777" w:rsidR="00611A1C" w:rsidRPr="00834CDC" w:rsidRDefault="00611A1C" w:rsidP="00CB6F73">
            <w:pPr>
              <w:pStyle w:val="NormalWeb"/>
              <w:jc w:val="left"/>
              <w:rPr>
                <w:sz w:val="18"/>
                <w:szCs w:val="18"/>
              </w:rPr>
            </w:pPr>
            <w:r w:rsidRPr="00834CDC">
              <w:rPr>
                <w:sz w:val="18"/>
                <w:szCs w:val="18"/>
              </w:rPr>
              <w:t>Aboriginal and Torres Strait Islander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AF2F2CA" w14:textId="77777777" w:rsidR="00611A1C" w:rsidRPr="00834CDC" w:rsidRDefault="00611A1C" w:rsidP="00CB6F73">
            <w:pPr>
              <w:pStyle w:val="NormalWeb"/>
              <w:rPr>
                <w:sz w:val="18"/>
                <w:szCs w:val="18"/>
              </w:rPr>
            </w:pPr>
            <w:r w:rsidRPr="00834CDC">
              <w:rPr>
                <w:sz w:val="18"/>
                <w:szCs w:val="18"/>
              </w:rPr>
              <w:t>0</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55918BB" w14:textId="77777777" w:rsidR="00611A1C" w:rsidRPr="00834CDC" w:rsidRDefault="00611A1C" w:rsidP="00CB6F73">
            <w:pPr>
              <w:pStyle w:val="NormalWeb"/>
              <w:rPr>
                <w:sz w:val="18"/>
                <w:szCs w:val="18"/>
              </w:rPr>
            </w:pPr>
            <w:r w:rsidRPr="00834CDC">
              <w:rPr>
                <w:sz w:val="18"/>
                <w:szCs w:val="18"/>
              </w:rPr>
              <w:t>0.00</w:t>
            </w:r>
          </w:p>
        </w:tc>
        <w:tc>
          <w:tcPr>
            <w:tcW w:w="210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616A69C" w14:textId="77777777" w:rsidR="00611A1C" w:rsidRPr="00834CDC" w:rsidRDefault="00611A1C" w:rsidP="00CB6F73">
            <w:pPr>
              <w:pStyle w:val="NormalWeb"/>
              <w:rPr>
                <w:sz w:val="18"/>
                <w:szCs w:val="18"/>
              </w:rPr>
            </w:pPr>
            <w:r w:rsidRPr="00834CDC">
              <w:rPr>
                <w:sz w:val="18"/>
                <w:szCs w:val="18"/>
              </w:rPr>
              <w:t>—</w:t>
            </w:r>
          </w:p>
        </w:tc>
      </w:tr>
      <w:tr w:rsidR="00611A1C" w:rsidRPr="00834CDC" w14:paraId="19C0796D" w14:textId="77777777" w:rsidTr="00CB6F73">
        <w:trPr>
          <w:cnfStyle w:val="000000010000" w:firstRow="0" w:lastRow="0" w:firstColumn="0" w:lastColumn="0" w:oddVBand="0" w:evenVBand="0" w:oddHBand="0" w:evenHBand="1" w:firstRowFirstColumn="0" w:firstRowLastColumn="0" w:lastRowFirstColumn="0" w:lastRowLastColumn="0"/>
          <w:divId w:val="1988506822"/>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CECBAF" w14:textId="77777777" w:rsidR="00611A1C" w:rsidRPr="00834CDC" w:rsidRDefault="00611A1C" w:rsidP="00611A1C">
            <w:pPr>
              <w:jc w:val="left"/>
              <w:rPr>
                <w:sz w:val="18"/>
                <w:szCs w:val="18"/>
              </w:rPr>
            </w:pPr>
          </w:p>
        </w:tc>
        <w:tc>
          <w:tcPr>
            <w:tcW w:w="46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68EA9E" w14:textId="77777777" w:rsidR="00611A1C" w:rsidRPr="00834CDC" w:rsidRDefault="00611A1C" w:rsidP="00611A1C">
            <w:pPr>
              <w:pStyle w:val="NormalWeb"/>
              <w:jc w:val="left"/>
              <w:rPr>
                <w:sz w:val="18"/>
                <w:szCs w:val="18"/>
              </w:rPr>
            </w:pPr>
            <w:r w:rsidRPr="00834CDC">
              <w:rPr>
                <w:sz w:val="18"/>
                <w:szCs w:val="18"/>
              </w:rPr>
              <w:t>Other</w:t>
            </w:r>
          </w:p>
        </w:tc>
        <w:tc>
          <w:tcPr>
            <w:tcW w:w="6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FD7468" w14:textId="77777777" w:rsidR="00611A1C" w:rsidRPr="00834CDC" w:rsidRDefault="00611A1C" w:rsidP="00CB6F73">
            <w:pPr>
              <w:pStyle w:val="NormalWeb"/>
              <w:rPr>
                <w:sz w:val="18"/>
                <w:szCs w:val="18"/>
              </w:rPr>
            </w:pPr>
            <w:r w:rsidRPr="00834CDC">
              <w:rPr>
                <w:sz w:val="18"/>
                <w:szCs w:val="18"/>
              </w:rPr>
              <w:t>17</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679EC9" w14:textId="77777777" w:rsidR="00611A1C" w:rsidRPr="00834CDC" w:rsidRDefault="00611A1C" w:rsidP="00CB6F73">
            <w:pPr>
              <w:pStyle w:val="NormalWeb"/>
              <w:rPr>
                <w:sz w:val="18"/>
                <w:szCs w:val="18"/>
              </w:rPr>
            </w:pPr>
            <w:r w:rsidRPr="00834CDC">
              <w:rPr>
                <w:sz w:val="18"/>
                <w:szCs w:val="18"/>
              </w:rPr>
              <w:t>0.02</w:t>
            </w:r>
          </w:p>
        </w:tc>
        <w:tc>
          <w:tcPr>
            <w:tcW w:w="210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43592B" w14:textId="77777777" w:rsidR="00611A1C" w:rsidRPr="00834CDC" w:rsidRDefault="00611A1C" w:rsidP="00CB6F73">
            <w:pPr>
              <w:rPr>
                <w:sz w:val="18"/>
                <w:szCs w:val="18"/>
              </w:rPr>
            </w:pPr>
          </w:p>
        </w:tc>
      </w:tr>
    </w:tbl>
    <w:p w14:paraId="07FF03EC" w14:textId="77777777" w:rsidR="00611A1C" w:rsidRPr="00834CDC" w:rsidRDefault="00611A1C" w:rsidP="00741AA9">
      <w:pPr>
        <w:pStyle w:val="CDIfootnotes"/>
        <w:divId w:val="1988506822"/>
      </w:pPr>
      <w:r w:rsidRPr="00834CDC">
        <w:t>a</w:t>
      </w:r>
      <w:r w:rsidRPr="00834CDC">
        <w:tab/>
        <w:t xml:space="preserve">Notifications where the date of diagnosis was between 1 January 2016 and 31 December 2016. Rotavirus became nationally notifiable in mid-2018 so notifications where the date of diagnosis was between 1 July 2018 and 31 December 2016 </w:t>
      </w:r>
      <w:proofErr w:type="gramStart"/>
      <w:r w:rsidRPr="00834CDC">
        <w:t>were included</w:t>
      </w:r>
      <w:proofErr w:type="gramEnd"/>
      <w:r w:rsidRPr="00834CDC">
        <w:t xml:space="preserve"> for rotavirus.</w:t>
      </w:r>
    </w:p>
    <w:p w14:paraId="5D46267C" w14:textId="77777777" w:rsidR="00611A1C" w:rsidRPr="00834CDC" w:rsidRDefault="00611A1C" w:rsidP="00741AA9">
      <w:pPr>
        <w:pStyle w:val="CDIfootnotes"/>
        <w:divId w:val="1988506822"/>
      </w:pPr>
      <w:r w:rsidRPr="00834CDC">
        <w:t>b</w:t>
      </w:r>
      <w:r w:rsidRPr="00834CDC">
        <w:tab/>
        <w:t xml:space="preserve">Influenza data presented for two states and territories (Western Australia and the Northern Territory); pertussis data presented for under 5 years of age only; rotavirus data presented for under 5 years of age only for six states and territories (Australian Capital Territory, Northern Territory, Queensland, South Australia, </w:t>
      </w:r>
      <w:proofErr w:type="gramStart"/>
      <w:r w:rsidRPr="00834CDC">
        <w:t>Tasmania</w:t>
      </w:r>
      <w:proofErr w:type="gramEnd"/>
      <w:r w:rsidRPr="00834CDC">
        <w:t xml:space="preserve"> and Western Australia). Varicella zoster excluded due to the high proportion of notifications unspecified. HPV excluded as not notifiable.</w:t>
      </w:r>
    </w:p>
    <w:p w14:paraId="673F5443" w14:textId="77777777" w:rsidR="00611A1C" w:rsidRPr="00834CDC" w:rsidRDefault="00611A1C" w:rsidP="00741AA9">
      <w:pPr>
        <w:pStyle w:val="CDIfootnotes"/>
        <w:divId w:val="1988506822"/>
      </w:pPr>
      <w:r w:rsidRPr="00834CDC">
        <w:t>c</w:t>
      </w:r>
      <w:r w:rsidRPr="00834CDC">
        <w:tab/>
        <w:t>Rates are per 100,000 per year for all ages combined, age-standardised to the Australian Bureau of Statistics Australian population estimates for 2016.</w:t>
      </w:r>
    </w:p>
    <w:p w14:paraId="039079CB" w14:textId="77777777" w:rsidR="00611A1C" w:rsidRPr="00834CDC" w:rsidRDefault="00611A1C" w:rsidP="00741AA9">
      <w:pPr>
        <w:pStyle w:val="CDIfootnotes"/>
        <w:divId w:val="1988506822"/>
      </w:pPr>
      <w:r w:rsidRPr="00834CDC">
        <w:t>d</w:t>
      </w:r>
      <w:r w:rsidRPr="00834CDC">
        <w:tab/>
        <w:t xml:space="preserve">Rate not standardised due to </w:t>
      </w:r>
      <w:proofErr w:type="gramStart"/>
      <w:r w:rsidRPr="00834CDC">
        <w:t>low number</w:t>
      </w:r>
      <w:proofErr w:type="gramEnd"/>
      <w:r w:rsidRPr="00834CDC">
        <w:t xml:space="preserve"> of Aboriginal and Torres Strait Islander cases.</w:t>
      </w:r>
    </w:p>
    <w:p w14:paraId="10239454" w14:textId="77777777" w:rsidR="002230C0" w:rsidRPr="002230C0" w:rsidRDefault="002230C0" w:rsidP="002230C0">
      <w:pPr>
        <w:pStyle w:val="Heading1"/>
      </w:pPr>
      <w:r w:rsidRPr="002230C0">
        <w:rPr>
          <w:rStyle w:val="Strong"/>
          <w:b/>
          <w:bCs/>
        </w:rPr>
        <w:lastRenderedPageBreak/>
        <w:t xml:space="preserve">Appendix D: Summary of hospitalisations in Australia, for vaccine preventable diseases, 2016 to </w:t>
      </w:r>
      <w:proofErr w:type="gramStart"/>
      <w:r w:rsidRPr="002230C0">
        <w:rPr>
          <w:rStyle w:val="Strong"/>
          <w:b/>
          <w:bCs/>
        </w:rPr>
        <w:t>2019,</w:t>
      </w:r>
      <w:r w:rsidRPr="002230C0">
        <w:rPr>
          <w:rStyle w:val="Strong"/>
          <w:b/>
          <w:bCs/>
          <w:vertAlign w:val="superscript"/>
        </w:rPr>
        <w:t>a</w:t>
      </w:r>
      <w:proofErr w:type="gramEnd"/>
      <w:r w:rsidRPr="002230C0">
        <w:rPr>
          <w:rStyle w:val="Strong"/>
          <w:b/>
          <w:bCs/>
        </w:rPr>
        <w:t xml:space="preserve"> by Aboriginal and Torres Strait Islander status</w:t>
      </w:r>
    </w:p>
    <w:tbl>
      <w:tblPr>
        <w:tblStyle w:val="CDI-StandardTable"/>
        <w:tblW w:w="0" w:type="auto"/>
        <w:tblLook w:val="04A0" w:firstRow="1" w:lastRow="0" w:firstColumn="1" w:lastColumn="0" w:noHBand="0" w:noVBand="1"/>
      </w:tblPr>
      <w:tblGrid>
        <w:gridCol w:w="1832"/>
        <w:gridCol w:w="4405"/>
        <w:gridCol w:w="1134"/>
        <w:gridCol w:w="993"/>
        <w:gridCol w:w="2076"/>
      </w:tblGrid>
      <w:tr w:rsidR="002230C0" w:rsidRPr="002230C0" w14:paraId="16A17B42" w14:textId="77777777" w:rsidTr="00BE4FF2">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3FFE05C0" w14:textId="77777777" w:rsidR="002230C0" w:rsidRPr="002230C0" w:rsidRDefault="002230C0" w:rsidP="009915D5">
            <w:pPr>
              <w:pStyle w:val="NormalWeb"/>
              <w:jc w:val="left"/>
              <w:rPr>
                <w:sz w:val="18"/>
                <w:szCs w:val="18"/>
                <w:lang w:val="en-GB"/>
              </w:rPr>
            </w:pPr>
            <w:proofErr w:type="spellStart"/>
            <w:r w:rsidRPr="002230C0">
              <w:rPr>
                <w:sz w:val="18"/>
                <w:szCs w:val="18"/>
                <w:lang w:val="en-GB"/>
              </w:rPr>
              <w:t>Disease</w:t>
            </w:r>
            <w:r w:rsidRPr="002230C0">
              <w:rPr>
                <w:sz w:val="18"/>
                <w:szCs w:val="18"/>
                <w:vertAlign w:val="superscript"/>
                <w:lang w:val="en-GB"/>
              </w:rPr>
              <w:t>b</w:t>
            </w:r>
            <w:proofErr w:type="spellEnd"/>
          </w:p>
        </w:tc>
        <w:tc>
          <w:tcPr>
            <w:tcW w:w="4405" w:type="dxa"/>
            <w:vMerge w:val="restart"/>
            <w:hideMark/>
          </w:tcPr>
          <w:p w14:paraId="0F2F692D" w14:textId="77777777" w:rsidR="002230C0" w:rsidRPr="002230C0" w:rsidRDefault="002230C0" w:rsidP="00BE4FF2">
            <w:pPr>
              <w:pStyle w:val="NormalWeb"/>
              <w:jc w:val="left"/>
              <w:rPr>
                <w:sz w:val="18"/>
                <w:szCs w:val="18"/>
                <w:lang w:val="en-GB"/>
              </w:rPr>
            </w:pPr>
            <w:r w:rsidRPr="002230C0">
              <w:rPr>
                <w:sz w:val="18"/>
                <w:szCs w:val="18"/>
                <w:lang w:val="en-GB"/>
              </w:rPr>
              <w:t>Aboriginal and Torres Strait Islander status</w:t>
            </w:r>
          </w:p>
        </w:tc>
        <w:tc>
          <w:tcPr>
            <w:tcW w:w="4203" w:type="dxa"/>
            <w:gridSpan w:val="3"/>
            <w:hideMark/>
          </w:tcPr>
          <w:p w14:paraId="28E28F55" w14:textId="77777777" w:rsidR="002230C0" w:rsidRPr="002230C0" w:rsidRDefault="002230C0" w:rsidP="002C5283">
            <w:pPr>
              <w:pStyle w:val="NormalWeb"/>
              <w:rPr>
                <w:sz w:val="18"/>
                <w:szCs w:val="18"/>
                <w:lang w:val="en-GB"/>
              </w:rPr>
            </w:pPr>
            <w:r w:rsidRPr="002230C0">
              <w:rPr>
                <w:sz w:val="18"/>
                <w:szCs w:val="18"/>
                <w:lang w:val="en-GB"/>
              </w:rPr>
              <w:t>Hospitalisations</w:t>
            </w:r>
          </w:p>
        </w:tc>
      </w:tr>
      <w:tr w:rsidR="00BE4FF2" w:rsidRPr="002230C0" w14:paraId="4BE1C336" w14:textId="77777777" w:rsidTr="00BE4FF2">
        <w:trPr>
          <w:cnfStyle w:val="100000000000" w:firstRow="1" w:lastRow="0" w:firstColumn="0" w:lastColumn="0" w:oddVBand="0" w:evenVBand="0" w:oddHBand="0" w:evenHBand="0" w:firstRowFirstColumn="0" w:firstRowLastColumn="0" w:lastRowFirstColumn="0" w:lastRowLastColumn="0"/>
          <w:tblHeader/>
        </w:trPr>
        <w:tc>
          <w:tcPr>
            <w:tcW w:w="0" w:type="auto"/>
            <w:vMerge/>
            <w:tcBorders>
              <w:bottom w:val="single" w:sz="4" w:space="0" w:color="808080" w:themeColor="background1" w:themeShade="80"/>
            </w:tcBorders>
            <w:hideMark/>
          </w:tcPr>
          <w:p w14:paraId="4C02627A" w14:textId="77777777" w:rsidR="002230C0" w:rsidRPr="002230C0" w:rsidRDefault="002230C0" w:rsidP="009915D5">
            <w:pPr>
              <w:jc w:val="left"/>
              <w:rPr>
                <w:sz w:val="18"/>
                <w:szCs w:val="18"/>
                <w:lang w:val="en-GB"/>
              </w:rPr>
            </w:pPr>
          </w:p>
        </w:tc>
        <w:tc>
          <w:tcPr>
            <w:tcW w:w="4405" w:type="dxa"/>
            <w:vMerge/>
            <w:tcBorders>
              <w:bottom w:val="single" w:sz="4" w:space="0" w:color="808080" w:themeColor="background1" w:themeShade="80"/>
            </w:tcBorders>
            <w:hideMark/>
          </w:tcPr>
          <w:p w14:paraId="1288B173" w14:textId="77777777" w:rsidR="002230C0" w:rsidRPr="002230C0" w:rsidRDefault="002230C0" w:rsidP="00BE4FF2">
            <w:pPr>
              <w:jc w:val="left"/>
              <w:rPr>
                <w:sz w:val="18"/>
                <w:szCs w:val="18"/>
                <w:lang w:val="en-GB"/>
              </w:rPr>
            </w:pPr>
          </w:p>
        </w:tc>
        <w:tc>
          <w:tcPr>
            <w:tcW w:w="1134" w:type="dxa"/>
            <w:tcBorders>
              <w:bottom w:val="single" w:sz="4" w:space="0" w:color="808080" w:themeColor="background1" w:themeShade="80"/>
            </w:tcBorders>
            <w:hideMark/>
          </w:tcPr>
          <w:p w14:paraId="210C3510" w14:textId="77777777" w:rsidR="002230C0" w:rsidRPr="002230C0" w:rsidRDefault="002230C0" w:rsidP="002C5283">
            <w:pPr>
              <w:pStyle w:val="NormalWeb"/>
              <w:rPr>
                <w:sz w:val="18"/>
                <w:szCs w:val="18"/>
                <w:lang w:val="en-GB"/>
              </w:rPr>
            </w:pPr>
            <w:r w:rsidRPr="002230C0">
              <w:rPr>
                <w:sz w:val="18"/>
                <w:szCs w:val="18"/>
                <w:lang w:val="en-GB"/>
              </w:rPr>
              <w:t>N</w:t>
            </w:r>
          </w:p>
        </w:tc>
        <w:tc>
          <w:tcPr>
            <w:tcW w:w="993" w:type="dxa"/>
            <w:tcBorders>
              <w:bottom w:val="single" w:sz="4" w:space="0" w:color="808080" w:themeColor="background1" w:themeShade="80"/>
            </w:tcBorders>
            <w:hideMark/>
          </w:tcPr>
          <w:p w14:paraId="6C5C67B3" w14:textId="77777777" w:rsidR="002230C0" w:rsidRPr="002230C0" w:rsidRDefault="002230C0" w:rsidP="002C5283">
            <w:pPr>
              <w:pStyle w:val="NormalWeb"/>
              <w:rPr>
                <w:sz w:val="18"/>
                <w:szCs w:val="18"/>
                <w:lang w:val="en-GB"/>
              </w:rPr>
            </w:pPr>
            <w:proofErr w:type="spellStart"/>
            <w:r w:rsidRPr="002230C0">
              <w:rPr>
                <w:sz w:val="18"/>
                <w:szCs w:val="18"/>
                <w:lang w:val="en-GB"/>
              </w:rPr>
              <w:t>Rate</w:t>
            </w:r>
            <w:r w:rsidRPr="002230C0">
              <w:rPr>
                <w:sz w:val="18"/>
                <w:szCs w:val="18"/>
                <w:vertAlign w:val="superscript"/>
                <w:lang w:val="en-GB"/>
              </w:rPr>
              <w:t>c</w:t>
            </w:r>
            <w:proofErr w:type="spellEnd"/>
          </w:p>
        </w:tc>
        <w:tc>
          <w:tcPr>
            <w:tcW w:w="2076" w:type="dxa"/>
            <w:tcBorders>
              <w:bottom w:val="single" w:sz="4" w:space="0" w:color="808080" w:themeColor="background1" w:themeShade="80"/>
            </w:tcBorders>
            <w:hideMark/>
          </w:tcPr>
          <w:p w14:paraId="03721D7C" w14:textId="4007DC3E" w:rsidR="002230C0" w:rsidRPr="002230C0" w:rsidRDefault="002230C0" w:rsidP="002230C0">
            <w:pPr>
              <w:pStyle w:val="NormalWeb"/>
              <w:rPr>
                <w:sz w:val="18"/>
                <w:szCs w:val="18"/>
                <w:lang w:val="en-GB"/>
              </w:rPr>
            </w:pPr>
            <w:r w:rsidRPr="002230C0">
              <w:rPr>
                <w:sz w:val="18"/>
                <w:szCs w:val="18"/>
                <w:lang w:val="en-GB"/>
              </w:rPr>
              <w:t>Rate ratio</w:t>
            </w:r>
            <w:r>
              <w:rPr>
                <w:sz w:val="18"/>
                <w:szCs w:val="18"/>
                <w:lang w:val="en-GB"/>
              </w:rPr>
              <w:br/>
            </w:r>
            <w:r w:rsidRPr="002230C0">
              <w:rPr>
                <w:sz w:val="18"/>
                <w:szCs w:val="18"/>
                <w:lang w:val="en-GB"/>
              </w:rPr>
              <w:t>(95% confidence interval)</w:t>
            </w:r>
          </w:p>
        </w:tc>
      </w:tr>
      <w:tr w:rsidR="002230C0" w:rsidRPr="002230C0" w14:paraId="5D4000D4" w14:textId="77777777" w:rsidTr="00BE4FF2">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F0ACC0E" w14:textId="77777777" w:rsidR="002230C0" w:rsidRPr="002230C0" w:rsidRDefault="002230C0" w:rsidP="009915D5">
            <w:pPr>
              <w:pStyle w:val="NormalWeb"/>
              <w:jc w:val="left"/>
              <w:rPr>
                <w:sz w:val="18"/>
                <w:szCs w:val="18"/>
                <w:lang w:val="en-GB"/>
              </w:rPr>
            </w:pPr>
            <w:r w:rsidRPr="002230C0">
              <w:rPr>
                <w:sz w:val="18"/>
                <w:szCs w:val="18"/>
                <w:lang w:val="en-GB"/>
              </w:rPr>
              <w:t>Diphtheria</w:t>
            </w: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C42FBF8" w14:textId="77777777" w:rsidR="002230C0" w:rsidRPr="002230C0" w:rsidRDefault="002230C0" w:rsidP="00BE4FF2">
            <w:pPr>
              <w:pStyle w:val="NormalWeb"/>
              <w:jc w:val="left"/>
              <w:rPr>
                <w:sz w:val="18"/>
                <w:szCs w:val="18"/>
                <w:lang w:val="en-GB"/>
              </w:rPr>
            </w:pPr>
            <w:r w:rsidRPr="002230C0">
              <w:rPr>
                <w:sz w:val="18"/>
                <w:szCs w:val="18"/>
                <w:lang w:val="en-GB"/>
              </w:rPr>
              <w:t>Aboriginal and Torres Strait Islander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0C92C7D" w14:textId="77777777" w:rsidR="002230C0" w:rsidRPr="002230C0" w:rsidRDefault="002230C0" w:rsidP="002C5283">
            <w:pPr>
              <w:pStyle w:val="NormalWeb"/>
              <w:rPr>
                <w:sz w:val="18"/>
                <w:szCs w:val="18"/>
                <w:lang w:val="en-GB"/>
              </w:rPr>
            </w:pPr>
            <w:r w:rsidRPr="002230C0">
              <w:rPr>
                <w:sz w:val="18"/>
                <w:szCs w:val="18"/>
                <w:lang w:val="en-GB"/>
              </w:rPr>
              <w:t>6</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0BC979F" w14:textId="77777777" w:rsidR="002230C0" w:rsidRPr="002230C0" w:rsidRDefault="002230C0" w:rsidP="002C5283">
            <w:pPr>
              <w:pStyle w:val="NormalWeb"/>
              <w:rPr>
                <w:sz w:val="18"/>
                <w:szCs w:val="18"/>
                <w:lang w:val="en-GB"/>
              </w:rPr>
            </w:pPr>
            <w:r w:rsidRPr="002230C0">
              <w:rPr>
                <w:sz w:val="18"/>
                <w:szCs w:val="18"/>
                <w:lang w:val="en-GB"/>
              </w:rPr>
              <w:t>0.18</w:t>
            </w:r>
          </w:p>
        </w:tc>
        <w:tc>
          <w:tcPr>
            <w:tcW w:w="20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E116AED" w14:textId="77777777" w:rsidR="002230C0" w:rsidRPr="002230C0" w:rsidRDefault="002230C0" w:rsidP="002C5283">
            <w:pPr>
              <w:pStyle w:val="NormalWeb"/>
              <w:rPr>
                <w:sz w:val="18"/>
                <w:szCs w:val="18"/>
                <w:lang w:val="en-GB"/>
              </w:rPr>
            </w:pPr>
            <w:r w:rsidRPr="002230C0">
              <w:rPr>
                <w:sz w:val="18"/>
                <w:szCs w:val="18"/>
                <w:lang w:val="en-GB"/>
              </w:rPr>
              <w:t>3.3 (1.0–8.1)</w:t>
            </w:r>
          </w:p>
        </w:tc>
      </w:tr>
      <w:tr w:rsidR="002230C0" w:rsidRPr="002230C0" w14:paraId="1DB2B761" w14:textId="77777777" w:rsidTr="00BE4FF2">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B6CBE8C" w14:textId="77777777" w:rsidR="002230C0" w:rsidRPr="002230C0" w:rsidRDefault="002230C0" w:rsidP="009915D5">
            <w:pPr>
              <w:jc w:val="left"/>
              <w:rPr>
                <w:sz w:val="18"/>
                <w:szCs w:val="18"/>
                <w:lang w:val="en-GB"/>
              </w:rPr>
            </w:pP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5D6F287" w14:textId="77777777" w:rsidR="002230C0" w:rsidRPr="002230C0" w:rsidRDefault="002230C0" w:rsidP="00BE4FF2">
            <w:pPr>
              <w:pStyle w:val="NormalWeb"/>
              <w:jc w:val="left"/>
              <w:rPr>
                <w:sz w:val="18"/>
                <w:szCs w:val="18"/>
                <w:lang w:val="en-GB"/>
              </w:rPr>
            </w:pPr>
            <w:r w:rsidRPr="002230C0">
              <w:rPr>
                <w:sz w:val="18"/>
                <w:szCs w:val="18"/>
                <w:lang w:val="en-GB"/>
              </w:rPr>
              <w:t>Other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222EDA5" w14:textId="77777777" w:rsidR="002230C0" w:rsidRPr="002230C0" w:rsidRDefault="002230C0" w:rsidP="002C5283">
            <w:pPr>
              <w:pStyle w:val="NormalWeb"/>
              <w:rPr>
                <w:sz w:val="18"/>
                <w:szCs w:val="18"/>
                <w:lang w:val="en-GB"/>
              </w:rPr>
            </w:pPr>
            <w:r w:rsidRPr="002230C0">
              <w:rPr>
                <w:sz w:val="18"/>
                <w:szCs w:val="18"/>
                <w:lang w:val="en-GB"/>
              </w:rPr>
              <w:t>46</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103D385" w14:textId="77777777" w:rsidR="002230C0" w:rsidRPr="002230C0" w:rsidRDefault="002230C0" w:rsidP="002C5283">
            <w:pPr>
              <w:pStyle w:val="NormalWeb"/>
              <w:rPr>
                <w:sz w:val="18"/>
                <w:szCs w:val="18"/>
                <w:lang w:val="en-GB"/>
              </w:rPr>
            </w:pPr>
            <w:r w:rsidRPr="002230C0">
              <w:rPr>
                <w:sz w:val="18"/>
                <w:szCs w:val="18"/>
                <w:lang w:val="en-GB"/>
              </w:rPr>
              <w:t>0.05</w:t>
            </w:r>
          </w:p>
        </w:tc>
        <w:tc>
          <w:tcPr>
            <w:tcW w:w="20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AD66377" w14:textId="77777777" w:rsidR="002230C0" w:rsidRPr="002230C0" w:rsidRDefault="002230C0" w:rsidP="002C5283">
            <w:pPr>
              <w:rPr>
                <w:sz w:val="18"/>
                <w:szCs w:val="18"/>
                <w:lang w:val="en-GB"/>
              </w:rPr>
            </w:pPr>
          </w:p>
        </w:tc>
      </w:tr>
      <w:tr w:rsidR="002230C0" w:rsidRPr="002230C0" w14:paraId="684743AE" w14:textId="77777777" w:rsidTr="00BE4FF2">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C31D456" w14:textId="77777777" w:rsidR="002230C0" w:rsidRPr="002230C0" w:rsidRDefault="002230C0" w:rsidP="009915D5">
            <w:pPr>
              <w:pStyle w:val="NormalWeb"/>
              <w:jc w:val="left"/>
              <w:rPr>
                <w:sz w:val="18"/>
                <w:szCs w:val="18"/>
                <w:lang w:val="en-GB"/>
              </w:rPr>
            </w:pPr>
            <w:r w:rsidRPr="002230C0">
              <w:rPr>
                <w:sz w:val="18"/>
                <w:szCs w:val="18"/>
                <w:lang w:val="en-GB"/>
              </w:rPr>
              <w:t>Hepatitis A</w:t>
            </w: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ABC7C0" w14:textId="77777777" w:rsidR="002230C0" w:rsidRPr="002230C0" w:rsidRDefault="002230C0" w:rsidP="00BE4FF2">
            <w:pPr>
              <w:pStyle w:val="NormalWeb"/>
              <w:jc w:val="left"/>
              <w:rPr>
                <w:sz w:val="18"/>
                <w:szCs w:val="18"/>
                <w:lang w:val="en-GB"/>
              </w:rPr>
            </w:pPr>
            <w:r w:rsidRPr="002230C0">
              <w:rPr>
                <w:sz w:val="18"/>
                <w:szCs w:val="18"/>
                <w:lang w:val="en-GB"/>
              </w:rPr>
              <w:t>Aboriginal and Torres Strait Islander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F1AE8CB" w14:textId="77777777" w:rsidR="002230C0" w:rsidRPr="002230C0" w:rsidRDefault="002230C0" w:rsidP="002C5283">
            <w:pPr>
              <w:pStyle w:val="NormalWeb"/>
              <w:rPr>
                <w:sz w:val="18"/>
                <w:szCs w:val="18"/>
                <w:lang w:val="en-GB"/>
              </w:rPr>
            </w:pPr>
            <w:r w:rsidRPr="002230C0">
              <w:rPr>
                <w:sz w:val="18"/>
                <w:szCs w:val="18"/>
                <w:lang w:val="en-GB"/>
              </w:rPr>
              <w:t>46</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66177A2" w14:textId="77777777" w:rsidR="002230C0" w:rsidRPr="002230C0" w:rsidRDefault="002230C0" w:rsidP="002C5283">
            <w:pPr>
              <w:pStyle w:val="NormalWeb"/>
              <w:rPr>
                <w:sz w:val="18"/>
                <w:szCs w:val="18"/>
                <w:lang w:val="en-GB"/>
              </w:rPr>
            </w:pPr>
            <w:r w:rsidRPr="002230C0">
              <w:rPr>
                <w:sz w:val="18"/>
                <w:szCs w:val="18"/>
                <w:lang w:val="en-GB"/>
              </w:rPr>
              <w:t>1.96</w:t>
            </w:r>
          </w:p>
        </w:tc>
        <w:tc>
          <w:tcPr>
            <w:tcW w:w="20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4374B0E" w14:textId="77777777" w:rsidR="002230C0" w:rsidRPr="002230C0" w:rsidRDefault="002230C0" w:rsidP="002C5283">
            <w:pPr>
              <w:pStyle w:val="NormalWeb"/>
              <w:rPr>
                <w:sz w:val="18"/>
                <w:szCs w:val="18"/>
                <w:lang w:val="en-GB"/>
              </w:rPr>
            </w:pPr>
            <w:r w:rsidRPr="002230C0">
              <w:rPr>
                <w:sz w:val="18"/>
                <w:szCs w:val="18"/>
                <w:lang w:val="en-GB"/>
              </w:rPr>
              <w:t>1.3 (0.9-1.6)</w:t>
            </w:r>
          </w:p>
        </w:tc>
      </w:tr>
      <w:tr w:rsidR="002230C0" w:rsidRPr="002230C0" w14:paraId="71AE5D12" w14:textId="77777777" w:rsidTr="00BE4FF2">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0FC641F" w14:textId="77777777" w:rsidR="002230C0" w:rsidRPr="002230C0" w:rsidRDefault="002230C0" w:rsidP="009915D5">
            <w:pPr>
              <w:jc w:val="left"/>
              <w:rPr>
                <w:sz w:val="18"/>
                <w:szCs w:val="18"/>
                <w:lang w:val="en-GB"/>
              </w:rPr>
            </w:pP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D99C10B" w14:textId="77777777" w:rsidR="002230C0" w:rsidRPr="002230C0" w:rsidRDefault="002230C0" w:rsidP="00BE4FF2">
            <w:pPr>
              <w:pStyle w:val="NormalWeb"/>
              <w:jc w:val="left"/>
              <w:rPr>
                <w:sz w:val="18"/>
                <w:szCs w:val="18"/>
                <w:lang w:val="en-GB"/>
              </w:rPr>
            </w:pPr>
            <w:r w:rsidRPr="002230C0">
              <w:rPr>
                <w:sz w:val="18"/>
                <w:szCs w:val="18"/>
                <w:lang w:val="en-GB"/>
              </w:rPr>
              <w:t>Other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8F9D49" w14:textId="77777777" w:rsidR="002230C0" w:rsidRPr="002230C0" w:rsidRDefault="002230C0" w:rsidP="002C5283">
            <w:pPr>
              <w:pStyle w:val="NormalWeb"/>
              <w:rPr>
                <w:sz w:val="18"/>
                <w:szCs w:val="18"/>
                <w:lang w:val="en-GB"/>
              </w:rPr>
            </w:pPr>
            <w:r w:rsidRPr="002230C0">
              <w:rPr>
                <w:sz w:val="18"/>
                <w:szCs w:val="18"/>
                <w:lang w:val="en-GB"/>
              </w:rPr>
              <w:t>1,289</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691CEA3" w14:textId="77777777" w:rsidR="002230C0" w:rsidRPr="002230C0" w:rsidRDefault="002230C0" w:rsidP="002C5283">
            <w:pPr>
              <w:pStyle w:val="NormalWeb"/>
              <w:rPr>
                <w:sz w:val="18"/>
                <w:szCs w:val="18"/>
                <w:lang w:val="en-GB"/>
              </w:rPr>
            </w:pPr>
            <w:r w:rsidRPr="002230C0">
              <w:rPr>
                <w:sz w:val="18"/>
                <w:szCs w:val="18"/>
                <w:lang w:val="en-GB"/>
              </w:rPr>
              <w:t>1.53</w:t>
            </w:r>
          </w:p>
        </w:tc>
        <w:tc>
          <w:tcPr>
            <w:tcW w:w="20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2B12A3E" w14:textId="77777777" w:rsidR="002230C0" w:rsidRPr="002230C0" w:rsidRDefault="002230C0" w:rsidP="002C5283">
            <w:pPr>
              <w:rPr>
                <w:sz w:val="18"/>
                <w:szCs w:val="18"/>
                <w:lang w:val="en-GB"/>
              </w:rPr>
            </w:pPr>
          </w:p>
        </w:tc>
      </w:tr>
      <w:tr w:rsidR="002230C0" w:rsidRPr="002230C0" w14:paraId="328F12DC" w14:textId="77777777" w:rsidTr="00BE4FF2">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9355F7E" w14:textId="77777777" w:rsidR="002230C0" w:rsidRPr="002230C0" w:rsidRDefault="002230C0" w:rsidP="009915D5">
            <w:pPr>
              <w:pStyle w:val="NormalWeb"/>
              <w:jc w:val="left"/>
              <w:rPr>
                <w:sz w:val="18"/>
                <w:szCs w:val="18"/>
                <w:lang w:val="en-GB"/>
              </w:rPr>
            </w:pPr>
            <w:r w:rsidRPr="002230C0">
              <w:rPr>
                <w:sz w:val="18"/>
                <w:szCs w:val="18"/>
                <w:lang w:val="en-GB"/>
              </w:rPr>
              <w:t>Hepatitis B</w:t>
            </w: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F9D4A9A" w14:textId="77777777" w:rsidR="002230C0" w:rsidRPr="002230C0" w:rsidRDefault="002230C0" w:rsidP="00BE4FF2">
            <w:pPr>
              <w:pStyle w:val="NormalWeb"/>
              <w:jc w:val="left"/>
              <w:rPr>
                <w:sz w:val="18"/>
                <w:szCs w:val="18"/>
                <w:lang w:val="en-GB"/>
              </w:rPr>
            </w:pPr>
            <w:r w:rsidRPr="002230C0">
              <w:rPr>
                <w:sz w:val="18"/>
                <w:szCs w:val="18"/>
                <w:lang w:val="en-GB"/>
              </w:rPr>
              <w:t>Aboriginal and Torres Strait Islander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043CA03" w14:textId="77777777" w:rsidR="002230C0" w:rsidRPr="002230C0" w:rsidRDefault="002230C0" w:rsidP="002C5283">
            <w:pPr>
              <w:pStyle w:val="NormalWeb"/>
              <w:rPr>
                <w:sz w:val="18"/>
                <w:szCs w:val="18"/>
                <w:lang w:val="en-GB"/>
              </w:rPr>
            </w:pPr>
            <w:r w:rsidRPr="002230C0">
              <w:rPr>
                <w:sz w:val="18"/>
                <w:szCs w:val="18"/>
                <w:lang w:val="en-GB"/>
              </w:rPr>
              <w:t>29</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3A9CDA6" w14:textId="77777777" w:rsidR="002230C0" w:rsidRPr="002230C0" w:rsidRDefault="002230C0" w:rsidP="002C5283">
            <w:pPr>
              <w:pStyle w:val="NormalWeb"/>
              <w:rPr>
                <w:sz w:val="18"/>
                <w:szCs w:val="18"/>
                <w:lang w:val="en-GB"/>
              </w:rPr>
            </w:pPr>
            <w:r w:rsidRPr="002230C0">
              <w:rPr>
                <w:sz w:val="18"/>
                <w:szCs w:val="18"/>
                <w:lang w:val="en-GB"/>
              </w:rPr>
              <w:t>1.06</w:t>
            </w:r>
          </w:p>
        </w:tc>
        <w:tc>
          <w:tcPr>
            <w:tcW w:w="20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4433D2F" w14:textId="77777777" w:rsidR="002230C0" w:rsidRPr="002230C0" w:rsidRDefault="002230C0" w:rsidP="002C5283">
            <w:pPr>
              <w:pStyle w:val="NormalWeb"/>
              <w:rPr>
                <w:sz w:val="18"/>
                <w:szCs w:val="18"/>
                <w:lang w:val="en-GB"/>
              </w:rPr>
            </w:pPr>
            <w:r w:rsidRPr="002230C0">
              <w:rPr>
                <w:sz w:val="18"/>
                <w:szCs w:val="18"/>
                <w:lang w:val="en-GB"/>
              </w:rPr>
              <w:t>3.1 (2.0–4.4)</w:t>
            </w:r>
          </w:p>
        </w:tc>
      </w:tr>
      <w:tr w:rsidR="002230C0" w:rsidRPr="002230C0" w14:paraId="45050E4B" w14:textId="77777777" w:rsidTr="00BE4FF2">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5D35325" w14:textId="77777777" w:rsidR="002230C0" w:rsidRPr="002230C0" w:rsidRDefault="002230C0" w:rsidP="009915D5">
            <w:pPr>
              <w:jc w:val="left"/>
              <w:rPr>
                <w:sz w:val="18"/>
                <w:szCs w:val="18"/>
                <w:lang w:val="en-GB"/>
              </w:rPr>
            </w:pP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7298863" w14:textId="77777777" w:rsidR="002230C0" w:rsidRPr="002230C0" w:rsidRDefault="002230C0" w:rsidP="00BE4FF2">
            <w:pPr>
              <w:pStyle w:val="NormalWeb"/>
              <w:jc w:val="left"/>
              <w:rPr>
                <w:sz w:val="18"/>
                <w:szCs w:val="18"/>
                <w:lang w:val="en-GB"/>
              </w:rPr>
            </w:pPr>
            <w:r w:rsidRPr="002230C0">
              <w:rPr>
                <w:sz w:val="18"/>
                <w:szCs w:val="18"/>
                <w:lang w:val="en-GB"/>
              </w:rPr>
              <w:t>Other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F61FE8D" w14:textId="77777777" w:rsidR="002230C0" w:rsidRPr="002230C0" w:rsidRDefault="002230C0" w:rsidP="002C5283">
            <w:pPr>
              <w:pStyle w:val="NormalWeb"/>
              <w:rPr>
                <w:sz w:val="18"/>
                <w:szCs w:val="18"/>
                <w:lang w:val="en-GB"/>
              </w:rPr>
            </w:pPr>
            <w:r w:rsidRPr="002230C0">
              <w:rPr>
                <w:sz w:val="18"/>
                <w:szCs w:val="18"/>
                <w:lang w:val="en-GB"/>
              </w:rPr>
              <w:t>291</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D6F5717" w14:textId="77777777" w:rsidR="002230C0" w:rsidRPr="002230C0" w:rsidRDefault="002230C0" w:rsidP="002C5283">
            <w:pPr>
              <w:pStyle w:val="NormalWeb"/>
              <w:rPr>
                <w:sz w:val="18"/>
                <w:szCs w:val="18"/>
                <w:lang w:val="en-GB"/>
              </w:rPr>
            </w:pPr>
            <w:r w:rsidRPr="002230C0">
              <w:rPr>
                <w:sz w:val="18"/>
                <w:szCs w:val="18"/>
                <w:lang w:val="en-GB"/>
              </w:rPr>
              <w:t>0.35</w:t>
            </w:r>
          </w:p>
        </w:tc>
        <w:tc>
          <w:tcPr>
            <w:tcW w:w="20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36CEE76" w14:textId="77777777" w:rsidR="002230C0" w:rsidRPr="002230C0" w:rsidRDefault="002230C0" w:rsidP="002C5283">
            <w:pPr>
              <w:rPr>
                <w:sz w:val="18"/>
                <w:szCs w:val="18"/>
                <w:lang w:val="en-GB"/>
              </w:rPr>
            </w:pPr>
          </w:p>
        </w:tc>
      </w:tr>
      <w:tr w:rsidR="002230C0" w:rsidRPr="002230C0" w14:paraId="0C746841" w14:textId="77777777" w:rsidTr="00BE4FF2">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E021C86" w14:textId="77777777" w:rsidR="002230C0" w:rsidRPr="002230C0" w:rsidRDefault="002230C0" w:rsidP="009915D5">
            <w:pPr>
              <w:pStyle w:val="NormalWeb"/>
              <w:jc w:val="left"/>
              <w:rPr>
                <w:sz w:val="18"/>
                <w:szCs w:val="18"/>
                <w:lang w:val="en-GB"/>
              </w:rPr>
            </w:pPr>
            <w:r w:rsidRPr="002230C0">
              <w:rPr>
                <w:sz w:val="18"/>
                <w:szCs w:val="18"/>
                <w:lang w:val="en-GB"/>
              </w:rPr>
              <w:t>Influenza</w:t>
            </w: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20D333E" w14:textId="77777777" w:rsidR="002230C0" w:rsidRPr="002230C0" w:rsidRDefault="002230C0" w:rsidP="00BE4FF2">
            <w:pPr>
              <w:pStyle w:val="NormalWeb"/>
              <w:jc w:val="left"/>
              <w:rPr>
                <w:sz w:val="18"/>
                <w:szCs w:val="18"/>
                <w:lang w:val="en-GB"/>
              </w:rPr>
            </w:pPr>
            <w:r w:rsidRPr="002230C0">
              <w:rPr>
                <w:sz w:val="18"/>
                <w:szCs w:val="18"/>
                <w:lang w:val="en-GB"/>
              </w:rPr>
              <w:t>Aboriginal and Torres Strait Islander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F73C763" w14:textId="77777777" w:rsidR="002230C0" w:rsidRPr="002230C0" w:rsidRDefault="002230C0" w:rsidP="002C5283">
            <w:pPr>
              <w:pStyle w:val="NormalWeb"/>
              <w:rPr>
                <w:sz w:val="18"/>
                <w:szCs w:val="18"/>
                <w:lang w:val="en-GB"/>
              </w:rPr>
            </w:pPr>
            <w:r w:rsidRPr="002230C0">
              <w:rPr>
                <w:sz w:val="18"/>
                <w:szCs w:val="18"/>
                <w:lang w:val="en-GB"/>
              </w:rPr>
              <w:t>5,635</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7B4F018" w14:textId="77777777" w:rsidR="002230C0" w:rsidRPr="002230C0" w:rsidRDefault="002230C0" w:rsidP="002C5283">
            <w:pPr>
              <w:pStyle w:val="NormalWeb"/>
              <w:rPr>
                <w:sz w:val="18"/>
                <w:szCs w:val="18"/>
                <w:lang w:val="en-GB"/>
              </w:rPr>
            </w:pPr>
            <w:r w:rsidRPr="002230C0">
              <w:rPr>
                <w:sz w:val="18"/>
                <w:szCs w:val="18"/>
                <w:lang w:val="en-GB"/>
              </w:rPr>
              <w:t>261.5</w:t>
            </w:r>
          </w:p>
        </w:tc>
        <w:tc>
          <w:tcPr>
            <w:tcW w:w="20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36B7500" w14:textId="77777777" w:rsidR="002230C0" w:rsidRPr="002230C0" w:rsidRDefault="002230C0" w:rsidP="002C5283">
            <w:pPr>
              <w:pStyle w:val="NormalWeb"/>
              <w:rPr>
                <w:sz w:val="18"/>
                <w:szCs w:val="18"/>
                <w:lang w:val="en-GB"/>
              </w:rPr>
            </w:pPr>
            <w:r w:rsidRPr="002230C0">
              <w:rPr>
                <w:sz w:val="18"/>
                <w:szCs w:val="18"/>
                <w:lang w:val="en-GB"/>
              </w:rPr>
              <w:t>2.1 (2.0–2.1)</w:t>
            </w:r>
          </w:p>
        </w:tc>
      </w:tr>
      <w:tr w:rsidR="002230C0" w:rsidRPr="002230C0" w14:paraId="0233F2E5" w14:textId="77777777" w:rsidTr="00BE4FF2">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8D044A0" w14:textId="77777777" w:rsidR="002230C0" w:rsidRPr="002230C0" w:rsidRDefault="002230C0" w:rsidP="009915D5">
            <w:pPr>
              <w:jc w:val="left"/>
              <w:rPr>
                <w:sz w:val="18"/>
                <w:szCs w:val="18"/>
                <w:lang w:val="en-GB"/>
              </w:rPr>
            </w:pP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8E5A51D" w14:textId="77777777" w:rsidR="002230C0" w:rsidRPr="002230C0" w:rsidRDefault="002230C0" w:rsidP="00BE4FF2">
            <w:pPr>
              <w:pStyle w:val="NormalWeb"/>
              <w:jc w:val="left"/>
              <w:rPr>
                <w:sz w:val="18"/>
                <w:szCs w:val="18"/>
                <w:lang w:val="en-GB"/>
              </w:rPr>
            </w:pPr>
            <w:r w:rsidRPr="002230C0">
              <w:rPr>
                <w:sz w:val="18"/>
                <w:szCs w:val="18"/>
                <w:lang w:val="en-GB"/>
              </w:rPr>
              <w:t>Other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CFC0E18" w14:textId="77777777" w:rsidR="002230C0" w:rsidRPr="002230C0" w:rsidRDefault="002230C0" w:rsidP="002C5283">
            <w:pPr>
              <w:pStyle w:val="NormalWeb"/>
              <w:rPr>
                <w:sz w:val="18"/>
                <w:szCs w:val="18"/>
                <w:lang w:val="en-GB"/>
              </w:rPr>
            </w:pPr>
            <w:r w:rsidRPr="002230C0">
              <w:rPr>
                <w:sz w:val="18"/>
                <w:szCs w:val="18"/>
                <w:lang w:val="en-GB"/>
              </w:rPr>
              <w:t>106,617</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CB59047" w14:textId="77777777" w:rsidR="002230C0" w:rsidRPr="002230C0" w:rsidRDefault="002230C0" w:rsidP="002C5283">
            <w:pPr>
              <w:pStyle w:val="NormalWeb"/>
              <w:rPr>
                <w:sz w:val="18"/>
                <w:szCs w:val="18"/>
                <w:lang w:val="en-GB"/>
              </w:rPr>
            </w:pPr>
            <w:r w:rsidRPr="002230C0">
              <w:rPr>
                <w:sz w:val="18"/>
                <w:szCs w:val="18"/>
                <w:lang w:val="en-GB"/>
              </w:rPr>
              <w:t>126.2</w:t>
            </w:r>
          </w:p>
        </w:tc>
        <w:tc>
          <w:tcPr>
            <w:tcW w:w="20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C6CBA4D" w14:textId="77777777" w:rsidR="002230C0" w:rsidRPr="002230C0" w:rsidRDefault="002230C0" w:rsidP="002C5283">
            <w:pPr>
              <w:rPr>
                <w:sz w:val="18"/>
                <w:szCs w:val="18"/>
                <w:lang w:val="en-GB"/>
              </w:rPr>
            </w:pPr>
          </w:p>
        </w:tc>
      </w:tr>
      <w:tr w:rsidR="002230C0" w:rsidRPr="002230C0" w14:paraId="4409F1EF" w14:textId="77777777" w:rsidTr="00BE4FF2">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DF9E348" w14:textId="77777777" w:rsidR="002230C0" w:rsidRPr="002230C0" w:rsidRDefault="002230C0" w:rsidP="009915D5">
            <w:pPr>
              <w:pStyle w:val="NormalWeb"/>
              <w:jc w:val="left"/>
              <w:rPr>
                <w:sz w:val="18"/>
                <w:szCs w:val="18"/>
                <w:lang w:val="en-GB"/>
              </w:rPr>
            </w:pPr>
            <w:r w:rsidRPr="002230C0">
              <w:rPr>
                <w:sz w:val="18"/>
                <w:szCs w:val="18"/>
                <w:lang w:val="en-GB"/>
              </w:rPr>
              <w:t>Measles</w:t>
            </w: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690FB75" w14:textId="77777777" w:rsidR="002230C0" w:rsidRPr="002230C0" w:rsidRDefault="002230C0" w:rsidP="00BE4FF2">
            <w:pPr>
              <w:pStyle w:val="NormalWeb"/>
              <w:jc w:val="left"/>
              <w:rPr>
                <w:sz w:val="18"/>
                <w:szCs w:val="18"/>
                <w:lang w:val="en-GB"/>
              </w:rPr>
            </w:pPr>
            <w:r w:rsidRPr="002230C0">
              <w:rPr>
                <w:sz w:val="18"/>
                <w:szCs w:val="18"/>
                <w:lang w:val="en-GB"/>
              </w:rPr>
              <w:t>Aboriginal and Torres Strait Islander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30B67C2" w14:textId="77777777" w:rsidR="002230C0" w:rsidRPr="002230C0" w:rsidRDefault="002230C0" w:rsidP="002C5283">
            <w:pPr>
              <w:pStyle w:val="NormalWeb"/>
              <w:rPr>
                <w:sz w:val="18"/>
                <w:szCs w:val="18"/>
                <w:lang w:val="en-GB"/>
              </w:rPr>
            </w:pPr>
            <w:r w:rsidRPr="002230C0">
              <w:rPr>
                <w:sz w:val="18"/>
                <w:szCs w:val="18"/>
                <w:lang w:val="en-GB"/>
              </w:rPr>
              <w:t>5</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798566A" w14:textId="77777777" w:rsidR="002230C0" w:rsidRPr="002230C0" w:rsidRDefault="002230C0" w:rsidP="002C5283">
            <w:pPr>
              <w:pStyle w:val="NormalWeb"/>
              <w:rPr>
                <w:sz w:val="18"/>
                <w:szCs w:val="18"/>
                <w:lang w:val="en-GB"/>
              </w:rPr>
            </w:pPr>
            <w:r w:rsidRPr="002230C0">
              <w:rPr>
                <w:sz w:val="18"/>
                <w:szCs w:val="18"/>
                <w:lang w:val="en-GB"/>
              </w:rPr>
              <w:t>0.16</w:t>
            </w:r>
          </w:p>
        </w:tc>
        <w:tc>
          <w:tcPr>
            <w:tcW w:w="20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A3811A7" w14:textId="77777777" w:rsidR="002230C0" w:rsidRPr="002230C0" w:rsidRDefault="002230C0" w:rsidP="002C5283">
            <w:pPr>
              <w:pStyle w:val="NormalWeb"/>
              <w:rPr>
                <w:sz w:val="18"/>
                <w:szCs w:val="18"/>
                <w:lang w:val="en-GB"/>
              </w:rPr>
            </w:pPr>
            <w:r w:rsidRPr="002230C0">
              <w:rPr>
                <w:sz w:val="18"/>
                <w:szCs w:val="18"/>
                <w:lang w:val="en-GB"/>
              </w:rPr>
              <w:t>0.6 (0.2-1.6)</w:t>
            </w:r>
          </w:p>
        </w:tc>
      </w:tr>
      <w:tr w:rsidR="002230C0" w:rsidRPr="002230C0" w14:paraId="2A7DCC91" w14:textId="77777777" w:rsidTr="00BE4FF2">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C93357D" w14:textId="77777777" w:rsidR="002230C0" w:rsidRPr="002230C0" w:rsidRDefault="002230C0" w:rsidP="009915D5">
            <w:pPr>
              <w:jc w:val="left"/>
              <w:rPr>
                <w:sz w:val="18"/>
                <w:szCs w:val="18"/>
                <w:lang w:val="en-GB"/>
              </w:rPr>
            </w:pP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677EA2E" w14:textId="77777777" w:rsidR="002230C0" w:rsidRPr="002230C0" w:rsidRDefault="002230C0" w:rsidP="00BE4FF2">
            <w:pPr>
              <w:pStyle w:val="NormalWeb"/>
              <w:jc w:val="left"/>
              <w:rPr>
                <w:sz w:val="18"/>
                <w:szCs w:val="18"/>
                <w:lang w:val="en-GB"/>
              </w:rPr>
            </w:pPr>
            <w:r w:rsidRPr="002230C0">
              <w:rPr>
                <w:sz w:val="18"/>
                <w:szCs w:val="18"/>
                <w:lang w:val="en-GB"/>
              </w:rPr>
              <w:t>Other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15FC486" w14:textId="77777777" w:rsidR="002230C0" w:rsidRPr="002230C0" w:rsidRDefault="002230C0" w:rsidP="002C5283">
            <w:pPr>
              <w:pStyle w:val="NormalWeb"/>
              <w:rPr>
                <w:sz w:val="18"/>
                <w:szCs w:val="18"/>
                <w:lang w:val="en-GB"/>
              </w:rPr>
            </w:pPr>
            <w:r w:rsidRPr="002230C0">
              <w:rPr>
                <w:sz w:val="18"/>
                <w:szCs w:val="18"/>
                <w:lang w:val="en-GB"/>
              </w:rPr>
              <w:t>218</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2030C0A" w14:textId="77777777" w:rsidR="002230C0" w:rsidRPr="002230C0" w:rsidRDefault="002230C0" w:rsidP="002C5283">
            <w:pPr>
              <w:pStyle w:val="NormalWeb"/>
              <w:rPr>
                <w:sz w:val="18"/>
                <w:szCs w:val="18"/>
                <w:lang w:val="en-GB"/>
              </w:rPr>
            </w:pPr>
            <w:r w:rsidRPr="002230C0">
              <w:rPr>
                <w:sz w:val="18"/>
                <w:szCs w:val="18"/>
                <w:lang w:val="en-GB"/>
              </w:rPr>
              <w:t>0.26</w:t>
            </w:r>
          </w:p>
        </w:tc>
        <w:tc>
          <w:tcPr>
            <w:tcW w:w="20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9F1C0C9" w14:textId="77777777" w:rsidR="002230C0" w:rsidRPr="002230C0" w:rsidRDefault="002230C0" w:rsidP="002C5283">
            <w:pPr>
              <w:rPr>
                <w:sz w:val="18"/>
                <w:szCs w:val="18"/>
                <w:lang w:val="en-GB"/>
              </w:rPr>
            </w:pPr>
          </w:p>
        </w:tc>
      </w:tr>
      <w:tr w:rsidR="002230C0" w:rsidRPr="002230C0" w14:paraId="44EFFE18" w14:textId="77777777" w:rsidTr="00BE4FF2">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71D9F95" w14:textId="77777777" w:rsidR="002230C0" w:rsidRPr="002230C0" w:rsidRDefault="002230C0" w:rsidP="009915D5">
            <w:pPr>
              <w:pStyle w:val="NormalWeb"/>
              <w:jc w:val="left"/>
              <w:rPr>
                <w:sz w:val="18"/>
                <w:szCs w:val="18"/>
                <w:lang w:val="en-GB"/>
              </w:rPr>
            </w:pPr>
            <w:r w:rsidRPr="002230C0">
              <w:rPr>
                <w:sz w:val="18"/>
                <w:szCs w:val="18"/>
                <w:lang w:val="en-GB"/>
              </w:rPr>
              <w:t>Mumps</w:t>
            </w: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67FE6DB" w14:textId="77777777" w:rsidR="002230C0" w:rsidRPr="002230C0" w:rsidRDefault="002230C0" w:rsidP="00BE4FF2">
            <w:pPr>
              <w:pStyle w:val="NormalWeb"/>
              <w:jc w:val="left"/>
              <w:rPr>
                <w:sz w:val="18"/>
                <w:szCs w:val="18"/>
                <w:lang w:val="en-GB"/>
              </w:rPr>
            </w:pPr>
            <w:r w:rsidRPr="002230C0">
              <w:rPr>
                <w:sz w:val="18"/>
                <w:szCs w:val="18"/>
                <w:lang w:val="en-GB"/>
              </w:rPr>
              <w:t>Aboriginal and Torres Strait Islander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3C81D39" w14:textId="77777777" w:rsidR="002230C0" w:rsidRPr="002230C0" w:rsidRDefault="002230C0" w:rsidP="002C5283">
            <w:pPr>
              <w:pStyle w:val="NormalWeb"/>
              <w:rPr>
                <w:sz w:val="18"/>
                <w:szCs w:val="18"/>
                <w:lang w:val="en-GB"/>
              </w:rPr>
            </w:pPr>
            <w:r w:rsidRPr="002230C0">
              <w:rPr>
                <w:sz w:val="18"/>
                <w:szCs w:val="18"/>
                <w:lang w:val="en-GB"/>
              </w:rPr>
              <w:t>102</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F16005A" w14:textId="77777777" w:rsidR="002230C0" w:rsidRPr="002230C0" w:rsidRDefault="002230C0" w:rsidP="002C5283">
            <w:pPr>
              <w:pStyle w:val="NormalWeb"/>
              <w:rPr>
                <w:sz w:val="18"/>
                <w:szCs w:val="18"/>
                <w:lang w:val="en-GB"/>
              </w:rPr>
            </w:pPr>
            <w:r w:rsidRPr="002230C0">
              <w:rPr>
                <w:sz w:val="18"/>
                <w:szCs w:val="18"/>
                <w:lang w:val="en-GB"/>
              </w:rPr>
              <w:t>3.20</w:t>
            </w:r>
          </w:p>
        </w:tc>
        <w:tc>
          <w:tcPr>
            <w:tcW w:w="20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A186538" w14:textId="77777777" w:rsidR="002230C0" w:rsidRPr="002230C0" w:rsidRDefault="002230C0" w:rsidP="002C5283">
            <w:pPr>
              <w:pStyle w:val="NormalWeb"/>
              <w:rPr>
                <w:sz w:val="18"/>
                <w:szCs w:val="18"/>
                <w:lang w:val="en-GB"/>
              </w:rPr>
            </w:pPr>
            <w:r w:rsidRPr="002230C0">
              <w:rPr>
                <w:sz w:val="18"/>
                <w:szCs w:val="18"/>
                <w:lang w:val="en-GB"/>
              </w:rPr>
              <w:t>7.2 (5.7-9.1)</w:t>
            </w:r>
          </w:p>
        </w:tc>
      </w:tr>
      <w:tr w:rsidR="002230C0" w:rsidRPr="002230C0" w14:paraId="3E23F2A6" w14:textId="77777777" w:rsidTr="00BE4FF2">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5F3B603" w14:textId="77777777" w:rsidR="002230C0" w:rsidRPr="002230C0" w:rsidRDefault="002230C0" w:rsidP="009915D5">
            <w:pPr>
              <w:jc w:val="left"/>
              <w:rPr>
                <w:sz w:val="18"/>
                <w:szCs w:val="18"/>
                <w:lang w:val="en-GB"/>
              </w:rPr>
            </w:pP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19A5C05" w14:textId="77777777" w:rsidR="002230C0" w:rsidRPr="002230C0" w:rsidRDefault="002230C0" w:rsidP="00BE4FF2">
            <w:pPr>
              <w:pStyle w:val="NormalWeb"/>
              <w:jc w:val="left"/>
              <w:rPr>
                <w:sz w:val="18"/>
                <w:szCs w:val="18"/>
                <w:lang w:val="en-GB"/>
              </w:rPr>
            </w:pPr>
            <w:r w:rsidRPr="002230C0">
              <w:rPr>
                <w:sz w:val="18"/>
                <w:szCs w:val="18"/>
                <w:lang w:val="en-GB"/>
              </w:rPr>
              <w:t>Other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9C8F7DF" w14:textId="77777777" w:rsidR="002230C0" w:rsidRPr="002230C0" w:rsidRDefault="002230C0" w:rsidP="002C5283">
            <w:pPr>
              <w:pStyle w:val="NormalWeb"/>
              <w:rPr>
                <w:sz w:val="18"/>
                <w:szCs w:val="18"/>
                <w:lang w:val="en-GB"/>
              </w:rPr>
            </w:pPr>
            <w:r w:rsidRPr="002230C0">
              <w:rPr>
                <w:sz w:val="18"/>
                <w:szCs w:val="18"/>
                <w:lang w:val="en-GB"/>
              </w:rPr>
              <w:t>370</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DD9E77F" w14:textId="77777777" w:rsidR="002230C0" w:rsidRPr="002230C0" w:rsidRDefault="002230C0" w:rsidP="002C5283">
            <w:pPr>
              <w:pStyle w:val="NormalWeb"/>
              <w:rPr>
                <w:sz w:val="18"/>
                <w:szCs w:val="18"/>
                <w:lang w:val="en-GB"/>
              </w:rPr>
            </w:pPr>
            <w:r w:rsidRPr="002230C0">
              <w:rPr>
                <w:sz w:val="18"/>
                <w:szCs w:val="18"/>
                <w:lang w:val="en-GB"/>
              </w:rPr>
              <w:t>0.44</w:t>
            </w:r>
          </w:p>
        </w:tc>
        <w:tc>
          <w:tcPr>
            <w:tcW w:w="20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B92E9E6" w14:textId="77777777" w:rsidR="002230C0" w:rsidRPr="002230C0" w:rsidRDefault="002230C0" w:rsidP="002C5283">
            <w:pPr>
              <w:rPr>
                <w:sz w:val="18"/>
                <w:szCs w:val="18"/>
                <w:lang w:val="en-GB"/>
              </w:rPr>
            </w:pPr>
          </w:p>
        </w:tc>
      </w:tr>
      <w:tr w:rsidR="002230C0" w:rsidRPr="002230C0" w14:paraId="46807451" w14:textId="77777777" w:rsidTr="00BE4FF2">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42098D5" w14:textId="77777777" w:rsidR="002230C0" w:rsidRPr="002230C0" w:rsidRDefault="002230C0" w:rsidP="009915D5">
            <w:pPr>
              <w:pStyle w:val="NormalWeb"/>
              <w:jc w:val="left"/>
              <w:rPr>
                <w:sz w:val="18"/>
                <w:szCs w:val="18"/>
                <w:lang w:val="en-GB"/>
              </w:rPr>
            </w:pPr>
            <w:r w:rsidRPr="002230C0">
              <w:rPr>
                <w:sz w:val="18"/>
                <w:szCs w:val="18"/>
                <w:lang w:val="en-GB"/>
              </w:rPr>
              <w:t>Pertussis</w:t>
            </w: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193E4A4" w14:textId="77777777" w:rsidR="002230C0" w:rsidRPr="002230C0" w:rsidRDefault="002230C0" w:rsidP="00BE4FF2">
            <w:pPr>
              <w:pStyle w:val="NormalWeb"/>
              <w:jc w:val="left"/>
              <w:rPr>
                <w:sz w:val="18"/>
                <w:szCs w:val="18"/>
                <w:lang w:val="en-GB"/>
              </w:rPr>
            </w:pPr>
            <w:r w:rsidRPr="002230C0">
              <w:rPr>
                <w:sz w:val="18"/>
                <w:szCs w:val="18"/>
                <w:lang w:val="en-GB"/>
              </w:rPr>
              <w:t>Aboriginal and Torres Strait Islander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1B7496F" w14:textId="77777777" w:rsidR="002230C0" w:rsidRPr="002230C0" w:rsidRDefault="002230C0" w:rsidP="002C5283">
            <w:pPr>
              <w:pStyle w:val="NormalWeb"/>
              <w:rPr>
                <w:sz w:val="18"/>
                <w:szCs w:val="18"/>
                <w:lang w:val="en-GB"/>
              </w:rPr>
            </w:pPr>
            <w:r w:rsidRPr="002230C0">
              <w:rPr>
                <w:sz w:val="18"/>
                <w:szCs w:val="18"/>
                <w:lang w:val="en-GB"/>
              </w:rPr>
              <w:t>193</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F8909DA" w14:textId="77777777" w:rsidR="002230C0" w:rsidRPr="002230C0" w:rsidRDefault="002230C0" w:rsidP="002C5283">
            <w:pPr>
              <w:pStyle w:val="NormalWeb"/>
              <w:rPr>
                <w:sz w:val="18"/>
                <w:szCs w:val="18"/>
                <w:lang w:val="en-GB"/>
              </w:rPr>
            </w:pPr>
            <w:r w:rsidRPr="002230C0">
              <w:rPr>
                <w:sz w:val="18"/>
                <w:szCs w:val="18"/>
                <w:lang w:val="en-GB"/>
              </w:rPr>
              <w:t>5.35</w:t>
            </w:r>
          </w:p>
        </w:tc>
        <w:tc>
          <w:tcPr>
            <w:tcW w:w="20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74BEAEE" w14:textId="77777777" w:rsidR="002230C0" w:rsidRPr="002230C0" w:rsidRDefault="002230C0" w:rsidP="002C5283">
            <w:pPr>
              <w:pStyle w:val="NormalWeb"/>
              <w:rPr>
                <w:sz w:val="18"/>
                <w:szCs w:val="18"/>
                <w:lang w:val="en-GB"/>
              </w:rPr>
            </w:pPr>
            <w:r w:rsidRPr="002230C0">
              <w:rPr>
                <w:sz w:val="18"/>
                <w:szCs w:val="18"/>
                <w:lang w:val="en-GB"/>
              </w:rPr>
              <w:t>2.4 (2.0–2.8)</w:t>
            </w:r>
          </w:p>
        </w:tc>
      </w:tr>
      <w:tr w:rsidR="002230C0" w:rsidRPr="002230C0" w14:paraId="3A0B90B2" w14:textId="77777777" w:rsidTr="00BE4FF2">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8FB28AF" w14:textId="77777777" w:rsidR="002230C0" w:rsidRPr="002230C0" w:rsidRDefault="002230C0" w:rsidP="009915D5">
            <w:pPr>
              <w:jc w:val="left"/>
              <w:rPr>
                <w:sz w:val="18"/>
                <w:szCs w:val="18"/>
                <w:lang w:val="en-GB"/>
              </w:rPr>
            </w:pP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6549292" w14:textId="77777777" w:rsidR="002230C0" w:rsidRPr="002230C0" w:rsidRDefault="002230C0" w:rsidP="00BE4FF2">
            <w:pPr>
              <w:pStyle w:val="NormalWeb"/>
              <w:jc w:val="left"/>
              <w:rPr>
                <w:sz w:val="18"/>
                <w:szCs w:val="18"/>
                <w:lang w:val="en-GB"/>
              </w:rPr>
            </w:pPr>
            <w:r w:rsidRPr="002230C0">
              <w:rPr>
                <w:sz w:val="18"/>
                <w:szCs w:val="18"/>
                <w:lang w:val="en-GB"/>
              </w:rPr>
              <w:t>Other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587D270" w14:textId="77777777" w:rsidR="002230C0" w:rsidRPr="002230C0" w:rsidRDefault="002230C0" w:rsidP="002C5283">
            <w:pPr>
              <w:pStyle w:val="NormalWeb"/>
              <w:rPr>
                <w:sz w:val="18"/>
                <w:szCs w:val="18"/>
                <w:lang w:val="en-GB"/>
              </w:rPr>
            </w:pPr>
            <w:r w:rsidRPr="002230C0">
              <w:rPr>
                <w:sz w:val="18"/>
                <w:szCs w:val="18"/>
                <w:lang w:val="en-GB"/>
              </w:rPr>
              <w:t>1,841</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6A10600" w14:textId="77777777" w:rsidR="002230C0" w:rsidRPr="002230C0" w:rsidRDefault="002230C0" w:rsidP="002C5283">
            <w:pPr>
              <w:pStyle w:val="NormalWeb"/>
              <w:rPr>
                <w:sz w:val="18"/>
                <w:szCs w:val="18"/>
                <w:lang w:val="en-GB"/>
              </w:rPr>
            </w:pPr>
            <w:r w:rsidRPr="002230C0">
              <w:rPr>
                <w:sz w:val="18"/>
                <w:szCs w:val="18"/>
                <w:lang w:val="en-GB"/>
              </w:rPr>
              <w:t>2.24</w:t>
            </w:r>
          </w:p>
        </w:tc>
        <w:tc>
          <w:tcPr>
            <w:tcW w:w="20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701CBE" w14:textId="77777777" w:rsidR="002230C0" w:rsidRPr="002230C0" w:rsidRDefault="002230C0" w:rsidP="002C5283">
            <w:pPr>
              <w:rPr>
                <w:sz w:val="18"/>
                <w:szCs w:val="18"/>
                <w:lang w:val="en-GB"/>
              </w:rPr>
            </w:pPr>
          </w:p>
        </w:tc>
      </w:tr>
      <w:tr w:rsidR="002230C0" w:rsidRPr="002230C0" w14:paraId="6887E37E" w14:textId="77777777" w:rsidTr="00BE4FF2">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8BAD740" w14:textId="77777777" w:rsidR="002230C0" w:rsidRPr="002230C0" w:rsidRDefault="002230C0" w:rsidP="009915D5">
            <w:pPr>
              <w:pStyle w:val="NormalWeb"/>
              <w:jc w:val="left"/>
              <w:rPr>
                <w:sz w:val="18"/>
                <w:szCs w:val="18"/>
                <w:lang w:val="en-GB"/>
              </w:rPr>
            </w:pPr>
            <w:r w:rsidRPr="002230C0">
              <w:rPr>
                <w:sz w:val="18"/>
                <w:szCs w:val="18"/>
                <w:lang w:val="en-GB"/>
              </w:rPr>
              <w:t>Poliomyelitis (principal)</w:t>
            </w: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2E0A33D" w14:textId="77777777" w:rsidR="002230C0" w:rsidRPr="002230C0" w:rsidRDefault="002230C0" w:rsidP="00BE4FF2">
            <w:pPr>
              <w:pStyle w:val="NormalWeb"/>
              <w:jc w:val="left"/>
              <w:rPr>
                <w:sz w:val="18"/>
                <w:szCs w:val="18"/>
                <w:lang w:val="en-GB"/>
              </w:rPr>
            </w:pPr>
            <w:r w:rsidRPr="002230C0">
              <w:rPr>
                <w:sz w:val="18"/>
                <w:szCs w:val="18"/>
                <w:lang w:val="en-GB"/>
              </w:rPr>
              <w:t>Aboriginal and Torres Strait Islander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EE35810" w14:textId="77777777" w:rsidR="002230C0" w:rsidRPr="002230C0" w:rsidRDefault="002230C0" w:rsidP="002C5283">
            <w:pPr>
              <w:pStyle w:val="NormalWeb"/>
              <w:rPr>
                <w:sz w:val="18"/>
                <w:szCs w:val="18"/>
                <w:lang w:val="en-GB"/>
              </w:rPr>
            </w:pPr>
            <w:r w:rsidRPr="002230C0">
              <w:rPr>
                <w:sz w:val="18"/>
                <w:szCs w:val="18"/>
                <w:lang w:val="en-GB"/>
              </w:rPr>
              <w:t>0</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2B65626" w14:textId="77777777" w:rsidR="002230C0" w:rsidRPr="002230C0" w:rsidRDefault="002230C0" w:rsidP="002C5283">
            <w:pPr>
              <w:pStyle w:val="NormalWeb"/>
              <w:rPr>
                <w:sz w:val="18"/>
                <w:szCs w:val="18"/>
                <w:lang w:val="en-GB"/>
              </w:rPr>
            </w:pPr>
            <w:r w:rsidRPr="002230C0">
              <w:rPr>
                <w:sz w:val="18"/>
                <w:szCs w:val="18"/>
                <w:lang w:val="en-GB"/>
              </w:rPr>
              <w:t>0.00</w:t>
            </w:r>
          </w:p>
        </w:tc>
        <w:tc>
          <w:tcPr>
            <w:tcW w:w="20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813BEB4" w14:textId="77777777" w:rsidR="002230C0" w:rsidRPr="002230C0" w:rsidRDefault="002230C0" w:rsidP="002C5283">
            <w:pPr>
              <w:pStyle w:val="NormalWeb"/>
              <w:rPr>
                <w:sz w:val="18"/>
                <w:szCs w:val="18"/>
                <w:lang w:val="en-GB"/>
              </w:rPr>
            </w:pPr>
            <w:r w:rsidRPr="002230C0">
              <w:rPr>
                <w:sz w:val="18"/>
                <w:szCs w:val="18"/>
                <w:lang w:val="en-GB"/>
              </w:rPr>
              <w:t>—</w:t>
            </w:r>
          </w:p>
        </w:tc>
      </w:tr>
      <w:tr w:rsidR="002230C0" w:rsidRPr="002230C0" w14:paraId="6D9F6E0E" w14:textId="77777777" w:rsidTr="00BE4FF2">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02F4C63" w14:textId="77777777" w:rsidR="002230C0" w:rsidRPr="002230C0" w:rsidRDefault="002230C0" w:rsidP="009915D5">
            <w:pPr>
              <w:jc w:val="left"/>
              <w:rPr>
                <w:sz w:val="18"/>
                <w:szCs w:val="18"/>
                <w:lang w:val="en-GB"/>
              </w:rPr>
            </w:pP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1925637" w14:textId="77777777" w:rsidR="002230C0" w:rsidRPr="002230C0" w:rsidRDefault="002230C0" w:rsidP="00BE4FF2">
            <w:pPr>
              <w:pStyle w:val="NormalWeb"/>
              <w:jc w:val="left"/>
              <w:rPr>
                <w:sz w:val="18"/>
                <w:szCs w:val="18"/>
                <w:lang w:val="en-GB"/>
              </w:rPr>
            </w:pPr>
            <w:r w:rsidRPr="002230C0">
              <w:rPr>
                <w:sz w:val="18"/>
                <w:szCs w:val="18"/>
                <w:lang w:val="en-GB"/>
              </w:rPr>
              <w:t>Other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6027D89" w14:textId="77777777" w:rsidR="002230C0" w:rsidRPr="002230C0" w:rsidRDefault="002230C0" w:rsidP="002C5283">
            <w:pPr>
              <w:pStyle w:val="NormalWeb"/>
              <w:rPr>
                <w:sz w:val="18"/>
                <w:szCs w:val="18"/>
                <w:lang w:val="en-GB"/>
              </w:rPr>
            </w:pPr>
            <w:r w:rsidRPr="002230C0">
              <w:rPr>
                <w:sz w:val="18"/>
                <w:szCs w:val="18"/>
                <w:lang w:val="en-GB"/>
              </w:rPr>
              <w:t>6</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896A67D" w14:textId="77777777" w:rsidR="002230C0" w:rsidRPr="002230C0" w:rsidRDefault="002230C0" w:rsidP="002C5283">
            <w:pPr>
              <w:pStyle w:val="NormalWeb"/>
              <w:rPr>
                <w:sz w:val="18"/>
                <w:szCs w:val="18"/>
                <w:lang w:val="en-GB"/>
              </w:rPr>
            </w:pPr>
            <w:r w:rsidRPr="002230C0">
              <w:rPr>
                <w:sz w:val="18"/>
                <w:szCs w:val="18"/>
                <w:lang w:val="en-GB"/>
              </w:rPr>
              <w:t>0.007</w:t>
            </w:r>
          </w:p>
        </w:tc>
        <w:tc>
          <w:tcPr>
            <w:tcW w:w="20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67E12AE" w14:textId="77777777" w:rsidR="002230C0" w:rsidRPr="002230C0" w:rsidRDefault="002230C0" w:rsidP="002C5283">
            <w:pPr>
              <w:rPr>
                <w:sz w:val="18"/>
                <w:szCs w:val="18"/>
                <w:lang w:val="en-GB"/>
              </w:rPr>
            </w:pPr>
          </w:p>
        </w:tc>
      </w:tr>
      <w:tr w:rsidR="002230C0" w:rsidRPr="002230C0" w14:paraId="0268D4B9" w14:textId="77777777" w:rsidTr="00BE4FF2">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84E0EEB" w14:textId="77777777" w:rsidR="002230C0" w:rsidRPr="002230C0" w:rsidRDefault="002230C0" w:rsidP="009915D5">
            <w:pPr>
              <w:pStyle w:val="NormalWeb"/>
              <w:jc w:val="left"/>
              <w:rPr>
                <w:sz w:val="18"/>
                <w:szCs w:val="18"/>
                <w:lang w:val="en-GB"/>
              </w:rPr>
            </w:pPr>
            <w:r w:rsidRPr="002230C0">
              <w:rPr>
                <w:sz w:val="18"/>
                <w:szCs w:val="18"/>
                <w:lang w:val="en-GB"/>
              </w:rPr>
              <w:t>Rotavirus</w:t>
            </w: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59EFC5B" w14:textId="77777777" w:rsidR="002230C0" w:rsidRPr="002230C0" w:rsidRDefault="002230C0" w:rsidP="00BE4FF2">
            <w:pPr>
              <w:pStyle w:val="NormalWeb"/>
              <w:jc w:val="left"/>
              <w:rPr>
                <w:sz w:val="18"/>
                <w:szCs w:val="18"/>
                <w:lang w:val="en-GB"/>
              </w:rPr>
            </w:pPr>
            <w:r w:rsidRPr="002230C0">
              <w:rPr>
                <w:sz w:val="18"/>
                <w:szCs w:val="18"/>
                <w:lang w:val="en-GB"/>
              </w:rPr>
              <w:t>Aboriginal and Torres Strait Islander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F43DE44" w14:textId="77777777" w:rsidR="002230C0" w:rsidRPr="002230C0" w:rsidRDefault="002230C0" w:rsidP="002C5283">
            <w:pPr>
              <w:pStyle w:val="NormalWeb"/>
              <w:rPr>
                <w:sz w:val="18"/>
                <w:szCs w:val="18"/>
                <w:lang w:val="en-GB"/>
              </w:rPr>
            </w:pPr>
            <w:r w:rsidRPr="002230C0">
              <w:rPr>
                <w:sz w:val="18"/>
                <w:szCs w:val="18"/>
                <w:lang w:val="en-GB"/>
              </w:rPr>
              <w:t>518</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9B29AD1" w14:textId="77777777" w:rsidR="002230C0" w:rsidRPr="002230C0" w:rsidRDefault="002230C0" w:rsidP="002C5283">
            <w:pPr>
              <w:pStyle w:val="NormalWeb"/>
              <w:rPr>
                <w:sz w:val="18"/>
                <w:szCs w:val="18"/>
                <w:lang w:val="en-GB"/>
              </w:rPr>
            </w:pPr>
            <w:r w:rsidRPr="002230C0">
              <w:rPr>
                <w:sz w:val="18"/>
                <w:szCs w:val="18"/>
                <w:lang w:val="en-GB"/>
              </w:rPr>
              <w:t>12.30</w:t>
            </w:r>
          </w:p>
        </w:tc>
        <w:tc>
          <w:tcPr>
            <w:tcW w:w="20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3E9FBAC" w14:textId="77777777" w:rsidR="002230C0" w:rsidRPr="002230C0" w:rsidRDefault="002230C0" w:rsidP="002C5283">
            <w:pPr>
              <w:pStyle w:val="NormalWeb"/>
              <w:rPr>
                <w:sz w:val="18"/>
                <w:szCs w:val="18"/>
                <w:lang w:val="en-GB"/>
              </w:rPr>
            </w:pPr>
            <w:r w:rsidRPr="002230C0">
              <w:rPr>
                <w:sz w:val="18"/>
                <w:szCs w:val="18"/>
                <w:lang w:val="en-GB"/>
              </w:rPr>
              <w:t>2.8 (2.5–3.1)</w:t>
            </w:r>
          </w:p>
        </w:tc>
      </w:tr>
      <w:tr w:rsidR="002230C0" w:rsidRPr="002230C0" w14:paraId="718148D2" w14:textId="77777777" w:rsidTr="00BE4FF2">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AB56B84" w14:textId="77777777" w:rsidR="002230C0" w:rsidRPr="002230C0" w:rsidRDefault="002230C0" w:rsidP="009915D5">
            <w:pPr>
              <w:jc w:val="left"/>
              <w:rPr>
                <w:sz w:val="18"/>
                <w:szCs w:val="18"/>
                <w:lang w:val="en-GB"/>
              </w:rPr>
            </w:pP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CEA642B" w14:textId="77777777" w:rsidR="002230C0" w:rsidRPr="002230C0" w:rsidRDefault="002230C0" w:rsidP="00BE4FF2">
            <w:pPr>
              <w:pStyle w:val="NormalWeb"/>
              <w:jc w:val="left"/>
              <w:rPr>
                <w:sz w:val="18"/>
                <w:szCs w:val="18"/>
                <w:lang w:val="en-GB"/>
              </w:rPr>
            </w:pPr>
            <w:r w:rsidRPr="002230C0">
              <w:rPr>
                <w:sz w:val="18"/>
                <w:szCs w:val="18"/>
                <w:lang w:val="en-GB"/>
              </w:rPr>
              <w:t>Other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711C5D0" w14:textId="77777777" w:rsidR="002230C0" w:rsidRPr="002230C0" w:rsidRDefault="002230C0" w:rsidP="002C5283">
            <w:pPr>
              <w:pStyle w:val="NormalWeb"/>
              <w:rPr>
                <w:sz w:val="18"/>
                <w:szCs w:val="18"/>
                <w:lang w:val="en-GB"/>
              </w:rPr>
            </w:pPr>
            <w:r w:rsidRPr="002230C0">
              <w:rPr>
                <w:sz w:val="18"/>
                <w:szCs w:val="18"/>
                <w:lang w:val="en-GB"/>
              </w:rPr>
              <w:t>3,627</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FDEA562" w14:textId="77777777" w:rsidR="002230C0" w:rsidRPr="002230C0" w:rsidRDefault="002230C0" w:rsidP="002C5283">
            <w:pPr>
              <w:pStyle w:val="NormalWeb"/>
              <w:rPr>
                <w:sz w:val="18"/>
                <w:szCs w:val="18"/>
                <w:lang w:val="en-GB"/>
              </w:rPr>
            </w:pPr>
            <w:r w:rsidRPr="002230C0">
              <w:rPr>
                <w:sz w:val="18"/>
                <w:szCs w:val="18"/>
                <w:lang w:val="en-GB"/>
              </w:rPr>
              <w:t>4.42</w:t>
            </w:r>
          </w:p>
        </w:tc>
        <w:tc>
          <w:tcPr>
            <w:tcW w:w="20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B7BA54D" w14:textId="77777777" w:rsidR="002230C0" w:rsidRPr="002230C0" w:rsidRDefault="002230C0" w:rsidP="002C5283">
            <w:pPr>
              <w:rPr>
                <w:sz w:val="18"/>
                <w:szCs w:val="18"/>
                <w:lang w:val="en-GB"/>
              </w:rPr>
            </w:pPr>
          </w:p>
        </w:tc>
      </w:tr>
      <w:tr w:rsidR="002230C0" w:rsidRPr="002230C0" w14:paraId="46B6E695" w14:textId="77777777" w:rsidTr="00BE4FF2">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7D395EE" w14:textId="77777777" w:rsidR="002230C0" w:rsidRPr="002230C0" w:rsidRDefault="002230C0" w:rsidP="009915D5">
            <w:pPr>
              <w:pStyle w:val="NormalWeb"/>
              <w:jc w:val="left"/>
              <w:rPr>
                <w:sz w:val="18"/>
                <w:szCs w:val="18"/>
                <w:lang w:val="en-GB"/>
              </w:rPr>
            </w:pPr>
            <w:r w:rsidRPr="002230C0">
              <w:rPr>
                <w:sz w:val="18"/>
                <w:szCs w:val="18"/>
                <w:lang w:val="en-GB"/>
              </w:rPr>
              <w:t>Rubella</w:t>
            </w: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B2B85D4" w14:textId="77777777" w:rsidR="002230C0" w:rsidRPr="002230C0" w:rsidRDefault="002230C0" w:rsidP="00BE4FF2">
            <w:pPr>
              <w:pStyle w:val="NormalWeb"/>
              <w:jc w:val="left"/>
              <w:rPr>
                <w:sz w:val="18"/>
                <w:szCs w:val="18"/>
                <w:lang w:val="en-GB"/>
              </w:rPr>
            </w:pPr>
            <w:r w:rsidRPr="002230C0">
              <w:rPr>
                <w:sz w:val="18"/>
                <w:szCs w:val="18"/>
                <w:lang w:val="en-GB"/>
              </w:rPr>
              <w:t>Aboriginal and Torres Strait Islander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FBA02F6" w14:textId="77777777" w:rsidR="002230C0" w:rsidRPr="002230C0" w:rsidRDefault="002230C0" w:rsidP="002C5283">
            <w:pPr>
              <w:pStyle w:val="NormalWeb"/>
              <w:rPr>
                <w:sz w:val="18"/>
                <w:szCs w:val="18"/>
                <w:lang w:val="en-GB"/>
              </w:rPr>
            </w:pPr>
            <w:r w:rsidRPr="002230C0">
              <w:rPr>
                <w:sz w:val="18"/>
                <w:szCs w:val="18"/>
                <w:lang w:val="en-GB"/>
              </w:rPr>
              <w:t>1-4d</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E107541" w14:textId="77777777" w:rsidR="002230C0" w:rsidRPr="002230C0" w:rsidRDefault="002230C0" w:rsidP="002C5283">
            <w:pPr>
              <w:pStyle w:val="NormalWeb"/>
              <w:rPr>
                <w:sz w:val="18"/>
                <w:szCs w:val="18"/>
                <w:lang w:val="en-GB"/>
              </w:rPr>
            </w:pPr>
            <w:r w:rsidRPr="002230C0">
              <w:rPr>
                <w:sz w:val="18"/>
                <w:szCs w:val="18"/>
                <w:lang w:val="en-GB"/>
              </w:rPr>
              <w:t>0.02</w:t>
            </w:r>
          </w:p>
        </w:tc>
        <w:tc>
          <w:tcPr>
            <w:tcW w:w="20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86F08F2" w14:textId="77777777" w:rsidR="002230C0" w:rsidRPr="002230C0" w:rsidRDefault="002230C0" w:rsidP="002C5283">
            <w:pPr>
              <w:pStyle w:val="NormalWeb"/>
              <w:rPr>
                <w:sz w:val="18"/>
                <w:szCs w:val="18"/>
                <w:lang w:val="en-GB"/>
              </w:rPr>
            </w:pPr>
            <w:r w:rsidRPr="002230C0">
              <w:rPr>
                <w:sz w:val="18"/>
                <w:szCs w:val="18"/>
                <w:lang w:val="en-GB"/>
              </w:rPr>
              <w:t>No rate ratio</w:t>
            </w:r>
          </w:p>
        </w:tc>
      </w:tr>
      <w:tr w:rsidR="002230C0" w:rsidRPr="002230C0" w14:paraId="1338780B" w14:textId="77777777" w:rsidTr="00BE4FF2">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1B8C495" w14:textId="77777777" w:rsidR="002230C0" w:rsidRPr="002230C0" w:rsidRDefault="002230C0" w:rsidP="009915D5">
            <w:pPr>
              <w:jc w:val="left"/>
              <w:rPr>
                <w:sz w:val="18"/>
                <w:szCs w:val="18"/>
                <w:lang w:val="en-GB"/>
              </w:rPr>
            </w:pP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85A7BE4" w14:textId="77777777" w:rsidR="002230C0" w:rsidRPr="002230C0" w:rsidRDefault="002230C0" w:rsidP="00BE4FF2">
            <w:pPr>
              <w:pStyle w:val="NormalWeb"/>
              <w:jc w:val="left"/>
              <w:rPr>
                <w:sz w:val="18"/>
                <w:szCs w:val="18"/>
                <w:lang w:val="en-GB"/>
              </w:rPr>
            </w:pPr>
            <w:r w:rsidRPr="002230C0">
              <w:rPr>
                <w:sz w:val="18"/>
                <w:szCs w:val="18"/>
                <w:lang w:val="en-GB"/>
              </w:rPr>
              <w:t>Other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24FCC19" w14:textId="77777777" w:rsidR="002230C0" w:rsidRPr="002230C0" w:rsidRDefault="002230C0" w:rsidP="002C5283">
            <w:pPr>
              <w:pStyle w:val="NormalWeb"/>
              <w:rPr>
                <w:sz w:val="18"/>
                <w:szCs w:val="18"/>
                <w:lang w:val="en-GB"/>
              </w:rPr>
            </w:pPr>
            <w:r w:rsidRPr="002230C0">
              <w:rPr>
                <w:sz w:val="18"/>
                <w:szCs w:val="18"/>
                <w:lang w:val="en-GB"/>
              </w:rPr>
              <w:t>56</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A558EA1" w14:textId="77777777" w:rsidR="002230C0" w:rsidRPr="002230C0" w:rsidRDefault="002230C0" w:rsidP="002C5283">
            <w:pPr>
              <w:pStyle w:val="NormalWeb"/>
              <w:rPr>
                <w:sz w:val="18"/>
                <w:szCs w:val="18"/>
                <w:lang w:val="en-GB"/>
              </w:rPr>
            </w:pPr>
            <w:r w:rsidRPr="002230C0">
              <w:rPr>
                <w:sz w:val="18"/>
                <w:szCs w:val="18"/>
                <w:lang w:val="en-GB"/>
              </w:rPr>
              <w:t>0.07</w:t>
            </w:r>
          </w:p>
        </w:tc>
        <w:tc>
          <w:tcPr>
            <w:tcW w:w="20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F4DB57D" w14:textId="77777777" w:rsidR="002230C0" w:rsidRPr="002230C0" w:rsidRDefault="002230C0" w:rsidP="002C5283">
            <w:pPr>
              <w:rPr>
                <w:sz w:val="18"/>
                <w:szCs w:val="18"/>
                <w:lang w:val="en-GB"/>
              </w:rPr>
            </w:pPr>
          </w:p>
        </w:tc>
      </w:tr>
      <w:tr w:rsidR="002230C0" w:rsidRPr="002230C0" w14:paraId="0EA0E01E" w14:textId="77777777" w:rsidTr="00BE4FF2">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8620CBE" w14:textId="77777777" w:rsidR="002230C0" w:rsidRPr="002230C0" w:rsidRDefault="002230C0" w:rsidP="009915D5">
            <w:pPr>
              <w:pStyle w:val="NormalWeb"/>
              <w:jc w:val="left"/>
              <w:rPr>
                <w:sz w:val="18"/>
                <w:szCs w:val="18"/>
                <w:lang w:val="en-GB"/>
              </w:rPr>
            </w:pPr>
            <w:r w:rsidRPr="002230C0">
              <w:rPr>
                <w:sz w:val="18"/>
                <w:szCs w:val="18"/>
                <w:lang w:val="en-GB"/>
              </w:rPr>
              <w:t>Tetanus</w:t>
            </w: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48FD18D" w14:textId="77777777" w:rsidR="002230C0" w:rsidRPr="002230C0" w:rsidRDefault="002230C0" w:rsidP="00BE4FF2">
            <w:pPr>
              <w:pStyle w:val="NormalWeb"/>
              <w:jc w:val="left"/>
              <w:rPr>
                <w:sz w:val="18"/>
                <w:szCs w:val="18"/>
                <w:lang w:val="en-GB"/>
              </w:rPr>
            </w:pPr>
            <w:r w:rsidRPr="002230C0">
              <w:rPr>
                <w:sz w:val="18"/>
                <w:szCs w:val="18"/>
                <w:lang w:val="en-GB"/>
              </w:rPr>
              <w:t>Aboriginal and Torres Strait Islander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C670A3A" w14:textId="77777777" w:rsidR="002230C0" w:rsidRPr="002230C0" w:rsidRDefault="002230C0" w:rsidP="002C5283">
            <w:pPr>
              <w:pStyle w:val="NormalWeb"/>
              <w:rPr>
                <w:sz w:val="18"/>
                <w:szCs w:val="18"/>
                <w:lang w:val="en-GB"/>
              </w:rPr>
            </w:pPr>
            <w:r w:rsidRPr="002230C0">
              <w:rPr>
                <w:sz w:val="18"/>
                <w:szCs w:val="18"/>
                <w:lang w:val="en-GB"/>
              </w:rPr>
              <w:t>1-4d</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8004484" w14:textId="77777777" w:rsidR="002230C0" w:rsidRPr="002230C0" w:rsidRDefault="002230C0" w:rsidP="002C5283">
            <w:pPr>
              <w:pStyle w:val="NormalWeb"/>
              <w:rPr>
                <w:sz w:val="18"/>
                <w:szCs w:val="18"/>
                <w:lang w:val="en-GB"/>
              </w:rPr>
            </w:pPr>
            <w:r w:rsidRPr="002230C0">
              <w:rPr>
                <w:sz w:val="18"/>
                <w:szCs w:val="18"/>
                <w:lang w:val="en-GB"/>
              </w:rPr>
              <w:t>0.06</w:t>
            </w:r>
          </w:p>
        </w:tc>
        <w:tc>
          <w:tcPr>
            <w:tcW w:w="20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D512FBA" w14:textId="77777777" w:rsidR="002230C0" w:rsidRPr="002230C0" w:rsidRDefault="002230C0" w:rsidP="002C5283">
            <w:pPr>
              <w:pStyle w:val="NormalWeb"/>
              <w:rPr>
                <w:sz w:val="18"/>
                <w:szCs w:val="18"/>
                <w:lang w:val="en-GB"/>
              </w:rPr>
            </w:pPr>
            <w:r w:rsidRPr="002230C0">
              <w:rPr>
                <w:sz w:val="18"/>
                <w:szCs w:val="18"/>
                <w:lang w:val="en-GB"/>
              </w:rPr>
              <w:t>No rate ratio</w:t>
            </w:r>
          </w:p>
        </w:tc>
      </w:tr>
      <w:tr w:rsidR="002230C0" w:rsidRPr="002230C0" w14:paraId="107AB720" w14:textId="77777777" w:rsidTr="00BE4FF2">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CC2A7CE" w14:textId="77777777" w:rsidR="002230C0" w:rsidRPr="002230C0" w:rsidRDefault="002230C0" w:rsidP="009915D5">
            <w:pPr>
              <w:jc w:val="left"/>
              <w:rPr>
                <w:sz w:val="18"/>
                <w:szCs w:val="18"/>
                <w:lang w:val="en-GB"/>
              </w:rPr>
            </w:pP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2AC598F" w14:textId="77777777" w:rsidR="002230C0" w:rsidRPr="002230C0" w:rsidRDefault="002230C0" w:rsidP="00BE4FF2">
            <w:pPr>
              <w:pStyle w:val="NormalWeb"/>
              <w:jc w:val="left"/>
              <w:rPr>
                <w:sz w:val="18"/>
                <w:szCs w:val="18"/>
                <w:lang w:val="en-GB"/>
              </w:rPr>
            </w:pPr>
            <w:r w:rsidRPr="002230C0">
              <w:rPr>
                <w:sz w:val="18"/>
                <w:szCs w:val="18"/>
                <w:lang w:val="en-GB"/>
              </w:rPr>
              <w:t>Other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8F4A6FB" w14:textId="77777777" w:rsidR="002230C0" w:rsidRPr="002230C0" w:rsidRDefault="002230C0" w:rsidP="002C5283">
            <w:pPr>
              <w:pStyle w:val="NormalWeb"/>
              <w:rPr>
                <w:sz w:val="18"/>
                <w:szCs w:val="18"/>
                <w:lang w:val="en-GB"/>
              </w:rPr>
            </w:pPr>
            <w:r w:rsidRPr="002230C0">
              <w:rPr>
                <w:sz w:val="18"/>
                <w:szCs w:val="18"/>
                <w:lang w:val="en-GB"/>
              </w:rPr>
              <w:t>62</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CB6B178" w14:textId="77777777" w:rsidR="002230C0" w:rsidRPr="002230C0" w:rsidRDefault="002230C0" w:rsidP="002C5283">
            <w:pPr>
              <w:pStyle w:val="NormalWeb"/>
              <w:rPr>
                <w:sz w:val="18"/>
                <w:szCs w:val="18"/>
                <w:lang w:val="en-GB"/>
              </w:rPr>
            </w:pPr>
            <w:r w:rsidRPr="002230C0">
              <w:rPr>
                <w:sz w:val="18"/>
                <w:szCs w:val="18"/>
                <w:lang w:val="en-GB"/>
              </w:rPr>
              <w:t>0.07</w:t>
            </w:r>
          </w:p>
        </w:tc>
        <w:tc>
          <w:tcPr>
            <w:tcW w:w="20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7C30A9A" w14:textId="77777777" w:rsidR="002230C0" w:rsidRPr="002230C0" w:rsidRDefault="002230C0" w:rsidP="002C5283">
            <w:pPr>
              <w:rPr>
                <w:sz w:val="18"/>
                <w:szCs w:val="18"/>
                <w:lang w:val="en-GB"/>
              </w:rPr>
            </w:pPr>
          </w:p>
        </w:tc>
      </w:tr>
      <w:tr w:rsidR="002230C0" w:rsidRPr="002230C0" w14:paraId="259973F7" w14:textId="77777777" w:rsidTr="00BE4FF2">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CFFFCB" w14:textId="77777777" w:rsidR="002230C0" w:rsidRPr="002230C0" w:rsidRDefault="002230C0" w:rsidP="009915D5">
            <w:pPr>
              <w:pStyle w:val="NormalWeb"/>
              <w:jc w:val="left"/>
              <w:rPr>
                <w:sz w:val="18"/>
                <w:szCs w:val="18"/>
                <w:lang w:val="en-GB"/>
              </w:rPr>
            </w:pPr>
            <w:r w:rsidRPr="002230C0">
              <w:rPr>
                <w:sz w:val="18"/>
                <w:szCs w:val="18"/>
                <w:lang w:val="en-GB"/>
              </w:rPr>
              <w:t>Varicella</w:t>
            </w: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C94FF4A" w14:textId="77777777" w:rsidR="002230C0" w:rsidRPr="002230C0" w:rsidRDefault="002230C0" w:rsidP="00BE4FF2">
            <w:pPr>
              <w:pStyle w:val="NormalWeb"/>
              <w:jc w:val="left"/>
              <w:rPr>
                <w:sz w:val="18"/>
                <w:szCs w:val="18"/>
                <w:lang w:val="en-GB"/>
              </w:rPr>
            </w:pPr>
            <w:r w:rsidRPr="002230C0">
              <w:rPr>
                <w:sz w:val="18"/>
                <w:szCs w:val="18"/>
                <w:lang w:val="en-GB"/>
              </w:rPr>
              <w:t>Aboriginal and Torres Strait Islander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B128CFB" w14:textId="77777777" w:rsidR="002230C0" w:rsidRPr="002230C0" w:rsidRDefault="002230C0" w:rsidP="002C5283">
            <w:pPr>
              <w:pStyle w:val="NormalWeb"/>
              <w:rPr>
                <w:sz w:val="18"/>
                <w:szCs w:val="18"/>
                <w:lang w:val="en-GB"/>
              </w:rPr>
            </w:pPr>
            <w:r w:rsidRPr="002230C0">
              <w:rPr>
                <w:sz w:val="18"/>
                <w:szCs w:val="18"/>
                <w:lang w:val="en-GB"/>
              </w:rPr>
              <w:t>107</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1B73D85" w14:textId="77777777" w:rsidR="002230C0" w:rsidRPr="002230C0" w:rsidRDefault="002230C0" w:rsidP="002C5283">
            <w:pPr>
              <w:pStyle w:val="NormalWeb"/>
              <w:rPr>
                <w:sz w:val="18"/>
                <w:szCs w:val="18"/>
                <w:lang w:val="en-GB"/>
              </w:rPr>
            </w:pPr>
            <w:r w:rsidRPr="002230C0">
              <w:rPr>
                <w:sz w:val="18"/>
                <w:szCs w:val="18"/>
                <w:lang w:val="en-GB"/>
              </w:rPr>
              <w:t>4.27</w:t>
            </w:r>
          </w:p>
        </w:tc>
        <w:tc>
          <w:tcPr>
            <w:tcW w:w="20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DBFE3F7" w14:textId="77777777" w:rsidR="002230C0" w:rsidRPr="002230C0" w:rsidRDefault="002230C0" w:rsidP="002C5283">
            <w:pPr>
              <w:pStyle w:val="NormalWeb"/>
              <w:rPr>
                <w:sz w:val="18"/>
                <w:szCs w:val="18"/>
                <w:lang w:val="en-GB"/>
              </w:rPr>
            </w:pPr>
            <w:r w:rsidRPr="002230C0">
              <w:rPr>
                <w:sz w:val="18"/>
                <w:szCs w:val="18"/>
                <w:lang w:val="en-GB"/>
              </w:rPr>
              <w:t>1.3 (1.0–1.5)</w:t>
            </w:r>
          </w:p>
        </w:tc>
      </w:tr>
      <w:tr w:rsidR="002230C0" w:rsidRPr="002230C0" w14:paraId="1599D51D" w14:textId="77777777" w:rsidTr="00BE4FF2">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B02A087" w14:textId="77777777" w:rsidR="002230C0" w:rsidRPr="002230C0" w:rsidRDefault="002230C0" w:rsidP="009915D5">
            <w:pPr>
              <w:jc w:val="left"/>
              <w:rPr>
                <w:sz w:val="18"/>
                <w:szCs w:val="18"/>
                <w:lang w:val="en-GB"/>
              </w:rPr>
            </w:pP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ED50DB1" w14:textId="77777777" w:rsidR="002230C0" w:rsidRPr="002230C0" w:rsidRDefault="002230C0" w:rsidP="00BE4FF2">
            <w:pPr>
              <w:pStyle w:val="NormalWeb"/>
              <w:jc w:val="left"/>
              <w:rPr>
                <w:sz w:val="18"/>
                <w:szCs w:val="18"/>
                <w:lang w:val="en-GB"/>
              </w:rPr>
            </w:pPr>
            <w:r w:rsidRPr="002230C0">
              <w:rPr>
                <w:sz w:val="18"/>
                <w:szCs w:val="18"/>
                <w:lang w:val="en-GB"/>
              </w:rPr>
              <w:t>Other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7B3769" w14:textId="77777777" w:rsidR="002230C0" w:rsidRPr="002230C0" w:rsidRDefault="002230C0" w:rsidP="002C5283">
            <w:pPr>
              <w:pStyle w:val="NormalWeb"/>
              <w:rPr>
                <w:sz w:val="18"/>
                <w:szCs w:val="18"/>
                <w:lang w:val="en-GB"/>
              </w:rPr>
            </w:pPr>
            <w:r w:rsidRPr="002230C0">
              <w:rPr>
                <w:sz w:val="18"/>
                <w:szCs w:val="18"/>
                <w:lang w:val="en-GB"/>
              </w:rPr>
              <w:t>2,848</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8099793" w14:textId="77777777" w:rsidR="002230C0" w:rsidRPr="002230C0" w:rsidRDefault="002230C0" w:rsidP="002C5283">
            <w:pPr>
              <w:pStyle w:val="NormalWeb"/>
              <w:rPr>
                <w:sz w:val="18"/>
                <w:szCs w:val="18"/>
                <w:lang w:val="en-GB"/>
              </w:rPr>
            </w:pPr>
            <w:r w:rsidRPr="002230C0">
              <w:rPr>
                <w:sz w:val="18"/>
                <w:szCs w:val="18"/>
                <w:lang w:val="en-GB"/>
              </w:rPr>
              <w:t>3.38</w:t>
            </w:r>
          </w:p>
        </w:tc>
        <w:tc>
          <w:tcPr>
            <w:tcW w:w="20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308D9D6" w14:textId="77777777" w:rsidR="002230C0" w:rsidRPr="002230C0" w:rsidRDefault="002230C0" w:rsidP="002C5283">
            <w:pPr>
              <w:rPr>
                <w:sz w:val="18"/>
                <w:szCs w:val="18"/>
                <w:lang w:val="en-GB"/>
              </w:rPr>
            </w:pPr>
          </w:p>
        </w:tc>
      </w:tr>
      <w:tr w:rsidR="002230C0" w:rsidRPr="002230C0" w14:paraId="167B64E7" w14:textId="77777777" w:rsidTr="00BE4FF2">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991825D" w14:textId="77777777" w:rsidR="002230C0" w:rsidRPr="002230C0" w:rsidRDefault="002230C0" w:rsidP="009915D5">
            <w:pPr>
              <w:pStyle w:val="NormalWeb"/>
              <w:jc w:val="left"/>
              <w:rPr>
                <w:sz w:val="18"/>
                <w:szCs w:val="18"/>
                <w:lang w:val="en-GB"/>
              </w:rPr>
            </w:pPr>
            <w:r w:rsidRPr="002230C0">
              <w:rPr>
                <w:sz w:val="18"/>
                <w:szCs w:val="18"/>
                <w:lang w:val="en-GB"/>
              </w:rPr>
              <w:t>Zoster</w:t>
            </w: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E4318E7" w14:textId="77777777" w:rsidR="002230C0" w:rsidRPr="002230C0" w:rsidRDefault="002230C0" w:rsidP="00BE4FF2">
            <w:pPr>
              <w:pStyle w:val="NormalWeb"/>
              <w:jc w:val="left"/>
              <w:rPr>
                <w:sz w:val="18"/>
                <w:szCs w:val="18"/>
                <w:lang w:val="en-GB"/>
              </w:rPr>
            </w:pPr>
            <w:r w:rsidRPr="002230C0">
              <w:rPr>
                <w:sz w:val="18"/>
                <w:szCs w:val="18"/>
                <w:lang w:val="en-GB"/>
              </w:rPr>
              <w:t>Aboriginal and Torres Strait Islander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F1F3E12" w14:textId="77777777" w:rsidR="002230C0" w:rsidRPr="002230C0" w:rsidRDefault="002230C0" w:rsidP="002C5283">
            <w:pPr>
              <w:pStyle w:val="NormalWeb"/>
              <w:rPr>
                <w:sz w:val="18"/>
                <w:szCs w:val="18"/>
                <w:lang w:val="en-GB"/>
              </w:rPr>
            </w:pPr>
            <w:r w:rsidRPr="002230C0">
              <w:rPr>
                <w:sz w:val="18"/>
                <w:szCs w:val="18"/>
                <w:lang w:val="en-GB"/>
              </w:rPr>
              <w:t>521</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C9CFE9A" w14:textId="77777777" w:rsidR="002230C0" w:rsidRPr="002230C0" w:rsidRDefault="002230C0" w:rsidP="002C5283">
            <w:pPr>
              <w:pStyle w:val="NormalWeb"/>
              <w:rPr>
                <w:sz w:val="18"/>
                <w:szCs w:val="18"/>
                <w:lang w:val="en-GB"/>
              </w:rPr>
            </w:pPr>
            <w:r w:rsidRPr="002230C0">
              <w:rPr>
                <w:sz w:val="18"/>
                <w:szCs w:val="18"/>
                <w:lang w:val="en-GB"/>
              </w:rPr>
              <w:t>29.60</w:t>
            </w:r>
          </w:p>
        </w:tc>
        <w:tc>
          <w:tcPr>
            <w:tcW w:w="207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DE0070C" w14:textId="77777777" w:rsidR="002230C0" w:rsidRPr="002230C0" w:rsidRDefault="002230C0" w:rsidP="002C5283">
            <w:pPr>
              <w:pStyle w:val="NormalWeb"/>
              <w:rPr>
                <w:sz w:val="18"/>
                <w:szCs w:val="18"/>
                <w:lang w:val="en-GB"/>
              </w:rPr>
            </w:pPr>
            <w:r w:rsidRPr="002230C0">
              <w:rPr>
                <w:sz w:val="18"/>
                <w:szCs w:val="18"/>
                <w:lang w:val="en-GB"/>
              </w:rPr>
              <w:t>1.0 (0.9-1.0)</w:t>
            </w:r>
          </w:p>
        </w:tc>
      </w:tr>
      <w:tr w:rsidR="002230C0" w:rsidRPr="002230C0" w14:paraId="2FA773C9" w14:textId="77777777" w:rsidTr="00BE4FF2">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6DAAA0B" w14:textId="77777777" w:rsidR="002230C0" w:rsidRPr="002230C0" w:rsidRDefault="002230C0" w:rsidP="009915D5">
            <w:pPr>
              <w:jc w:val="left"/>
              <w:rPr>
                <w:sz w:val="18"/>
                <w:szCs w:val="18"/>
                <w:lang w:val="en-GB"/>
              </w:rPr>
            </w:pPr>
          </w:p>
        </w:tc>
        <w:tc>
          <w:tcPr>
            <w:tcW w:w="4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DBA1D58" w14:textId="77777777" w:rsidR="002230C0" w:rsidRPr="002230C0" w:rsidRDefault="002230C0" w:rsidP="00BE4FF2">
            <w:pPr>
              <w:pStyle w:val="NormalWeb"/>
              <w:jc w:val="left"/>
              <w:rPr>
                <w:sz w:val="18"/>
                <w:szCs w:val="18"/>
                <w:lang w:val="en-GB"/>
              </w:rPr>
            </w:pPr>
            <w:r w:rsidRPr="002230C0">
              <w:rPr>
                <w:sz w:val="18"/>
                <w:szCs w:val="18"/>
                <w:lang w:val="en-GB"/>
              </w:rPr>
              <w:t>Other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8049F65" w14:textId="77777777" w:rsidR="002230C0" w:rsidRPr="002230C0" w:rsidRDefault="002230C0" w:rsidP="002C5283">
            <w:pPr>
              <w:pStyle w:val="NormalWeb"/>
              <w:rPr>
                <w:sz w:val="18"/>
                <w:szCs w:val="18"/>
                <w:lang w:val="en-GB"/>
              </w:rPr>
            </w:pPr>
            <w:r w:rsidRPr="002230C0">
              <w:rPr>
                <w:sz w:val="18"/>
                <w:szCs w:val="18"/>
                <w:lang w:val="en-GB"/>
              </w:rPr>
              <w:t>27,260</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463CB24" w14:textId="77777777" w:rsidR="002230C0" w:rsidRPr="002230C0" w:rsidRDefault="002230C0" w:rsidP="002C5283">
            <w:pPr>
              <w:pStyle w:val="NormalWeb"/>
              <w:rPr>
                <w:sz w:val="18"/>
                <w:szCs w:val="18"/>
                <w:lang w:val="en-GB"/>
              </w:rPr>
            </w:pPr>
            <w:r w:rsidRPr="002230C0">
              <w:rPr>
                <w:sz w:val="18"/>
                <w:szCs w:val="18"/>
                <w:lang w:val="en-GB"/>
              </w:rPr>
              <w:t>31.07</w:t>
            </w:r>
          </w:p>
        </w:tc>
        <w:tc>
          <w:tcPr>
            <w:tcW w:w="207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3752209" w14:textId="77777777" w:rsidR="002230C0" w:rsidRPr="002230C0" w:rsidRDefault="002230C0" w:rsidP="002C5283">
            <w:pPr>
              <w:rPr>
                <w:sz w:val="18"/>
                <w:szCs w:val="18"/>
                <w:lang w:val="en-GB"/>
              </w:rPr>
            </w:pPr>
          </w:p>
        </w:tc>
      </w:tr>
    </w:tbl>
    <w:p w14:paraId="4611A88E" w14:textId="77777777" w:rsidR="002230C0" w:rsidRDefault="002230C0" w:rsidP="002230C0">
      <w:pPr>
        <w:pStyle w:val="CDIfootnotes"/>
        <w:rPr>
          <w:lang w:val="en-GB"/>
        </w:rPr>
      </w:pPr>
      <w:r>
        <w:rPr>
          <w:lang w:val="en-GB"/>
        </w:rPr>
        <w:t>a</w:t>
      </w:r>
      <w:r>
        <w:rPr>
          <w:lang w:val="en-GB"/>
        </w:rPr>
        <w:tab/>
        <w:t>Hospitalisations where the date of admission was between 1 January 2016 and 30 June 2019. 2019 hospitalisation data was annualised.</w:t>
      </w:r>
    </w:p>
    <w:p w14:paraId="2E7C34D1" w14:textId="77777777" w:rsidR="002230C0" w:rsidRDefault="002230C0" w:rsidP="002230C0">
      <w:pPr>
        <w:pStyle w:val="CDIfootnotes"/>
        <w:rPr>
          <w:lang w:val="en-GB"/>
        </w:rPr>
      </w:pPr>
      <w:r>
        <w:rPr>
          <w:lang w:val="en-GB"/>
        </w:rPr>
        <w:t>b</w:t>
      </w:r>
      <w:r>
        <w:rPr>
          <w:lang w:val="en-GB"/>
        </w:rPr>
        <w:tab/>
        <w:t>Hib hospitalisation and death data excluded due to no type-specific code available. Pneumococcal disease hospitalisation data excluded due to limitations identifying pneumococcal disease using discharge diagnosis codes. Meningococcal disease hospitalisation data excluded due to known problems with interpretation due to readmissions.</w:t>
      </w:r>
    </w:p>
    <w:p w14:paraId="6E02F89C" w14:textId="77777777" w:rsidR="002230C0" w:rsidRDefault="002230C0" w:rsidP="002230C0">
      <w:pPr>
        <w:pStyle w:val="CDIfootnotes"/>
        <w:rPr>
          <w:lang w:val="en-GB"/>
        </w:rPr>
      </w:pPr>
      <w:r>
        <w:rPr>
          <w:lang w:val="en-GB"/>
        </w:rPr>
        <w:t>c</w:t>
      </w:r>
      <w:r>
        <w:rPr>
          <w:lang w:val="en-GB"/>
        </w:rPr>
        <w:tab/>
        <w:t>Rates are per 100,000 populations for all ages combined, age-standardised to the Australian Bureau of Statistics Australian population estimates for 2016.</w:t>
      </w:r>
    </w:p>
    <w:p w14:paraId="03086BD7" w14:textId="77777777" w:rsidR="002230C0" w:rsidRDefault="002230C0" w:rsidP="002230C0">
      <w:pPr>
        <w:pStyle w:val="CDIfootnotes"/>
        <w:rPr>
          <w:lang w:val="en-GB"/>
        </w:rPr>
      </w:pPr>
      <w:r>
        <w:rPr>
          <w:lang w:val="en-GB"/>
        </w:rPr>
        <w:t>d</w:t>
      </w:r>
      <w:r>
        <w:rPr>
          <w:lang w:val="en-GB"/>
        </w:rPr>
        <w:tab/>
      </w:r>
      <w:proofErr w:type="gramStart"/>
      <w:r>
        <w:rPr>
          <w:lang w:val="en-GB"/>
        </w:rPr>
        <w:t>To</w:t>
      </w:r>
      <w:proofErr w:type="gramEnd"/>
      <w:r>
        <w:rPr>
          <w:lang w:val="en-GB"/>
        </w:rPr>
        <w:t xml:space="preserve"> comply with the AIHW’s data release condition that hospitalisation counts &lt; 5 be suppressed in published reports, counts between 1 and 4 are reported as a range.</w:t>
      </w:r>
    </w:p>
    <w:p w14:paraId="6A632C45" w14:textId="77777777" w:rsidR="00C91EF0" w:rsidRPr="00834CDC" w:rsidRDefault="00C91EF0">
      <w:pPr>
        <w:rPr>
          <w:rFonts w:asciiTheme="majorHAnsi" w:eastAsia="Times New Roman" w:hAnsiTheme="majorHAnsi" w:cstheme="majorBidi"/>
          <w:b/>
          <w:bCs/>
          <w:sz w:val="32"/>
          <w:szCs w:val="28"/>
        </w:rPr>
      </w:pPr>
      <w:r w:rsidRPr="00834CDC">
        <w:rPr>
          <w:rFonts w:eastAsia="Times New Roman"/>
        </w:rPr>
        <w:br w:type="page"/>
      </w:r>
    </w:p>
    <w:p w14:paraId="60FD5B06" w14:textId="4745D1DD" w:rsidR="0033445F" w:rsidRPr="00834CDC" w:rsidRDefault="0033445F" w:rsidP="00743334">
      <w:pPr>
        <w:pStyle w:val="Heading1"/>
        <w:divId w:val="1988506822"/>
      </w:pPr>
      <w:r w:rsidRPr="00834CDC">
        <w:lastRenderedPageBreak/>
        <w:t xml:space="preserve">Appendix E: Summary of the National Immunisation Program Schedule and vaccination coverage estimates, by milestone age and vaccine, for Aboriginal and Torres Strait Islander children, adolescents and adults, Australia, 2019 </w:t>
      </w:r>
    </w:p>
    <w:tbl>
      <w:tblPr>
        <w:tblStyle w:val="CDI-StandardTable"/>
        <w:tblW w:w="0" w:type="auto"/>
        <w:tblCellMar>
          <w:top w:w="28" w:type="dxa"/>
          <w:bottom w:w="28" w:type="dxa"/>
        </w:tblCellMar>
        <w:tblLook w:val="04A0" w:firstRow="1" w:lastRow="0" w:firstColumn="1" w:lastColumn="0" w:noHBand="0" w:noVBand="1"/>
        <w:tblDescription w:val="This table summarises the National Immunisation Program schedule and shows vaccination coverage estimates, by milestone age and vaccine, for Aboriginal and Torres Strait Islander children, adolescents and adults, Australia, 2019. "/>
      </w:tblPr>
      <w:tblGrid>
        <w:gridCol w:w="2977"/>
        <w:gridCol w:w="3969"/>
        <w:gridCol w:w="1985"/>
        <w:gridCol w:w="1535"/>
      </w:tblGrid>
      <w:tr w:rsidR="00E05BEB" w:rsidRPr="00834CDC" w14:paraId="74E9C340" w14:textId="77777777" w:rsidTr="00154D8F">
        <w:trPr>
          <w:cnfStyle w:val="100000000000" w:firstRow="1" w:lastRow="0" w:firstColumn="0" w:lastColumn="0" w:oddVBand="0" w:evenVBand="0" w:oddHBand="0" w:evenHBand="0" w:firstRowFirstColumn="0" w:firstRowLastColumn="0" w:lastRowFirstColumn="0" w:lastRowLastColumn="0"/>
          <w:divId w:val="1988506822"/>
        </w:trPr>
        <w:tc>
          <w:tcPr>
            <w:tcW w:w="2977" w:type="dxa"/>
            <w:tcBorders>
              <w:bottom w:val="single" w:sz="2" w:space="0" w:color="808080" w:themeColor="background1" w:themeShade="80"/>
            </w:tcBorders>
            <w:hideMark/>
          </w:tcPr>
          <w:p w14:paraId="408CED73" w14:textId="77777777" w:rsidR="00743334" w:rsidRPr="00834CDC" w:rsidRDefault="00743334" w:rsidP="00B579B4">
            <w:pPr>
              <w:pStyle w:val="NormalWeb"/>
              <w:jc w:val="left"/>
              <w:rPr>
                <w:sz w:val="18"/>
                <w:szCs w:val="18"/>
              </w:rPr>
            </w:pPr>
            <w:r w:rsidRPr="00834CDC">
              <w:rPr>
                <w:sz w:val="18"/>
                <w:szCs w:val="18"/>
              </w:rPr>
              <w:t>Vaccine</w:t>
            </w:r>
          </w:p>
        </w:tc>
        <w:tc>
          <w:tcPr>
            <w:tcW w:w="3969" w:type="dxa"/>
            <w:tcBorders>
              <w:bottom w:val="single" w:sz="2" w:space="0" w:color="808080" w:themeColor="background1" w:themeShade="80"/>
            </w:tcBorders>
            <w:hideMark/>
          </w:tcPr>
          <w:p w14:paraId="771A48BA" w14:textId="7DFA76EB" w:rsidR="00743334" w:rsidRPr="00834CDC" w:rsidRDefault="00743334" w:rsidP="00B579B4">
            <w:pPr>
              <w:pStyle w:val="NormalWeb"/>
              <w:rPr>
                <w:sz w:val="18"/>
                <w:szCs w:val="18"/>
              </w:rPr>
            </w:pPr>
            <w:r w:rsidRPr="00834CDC">
              <w:rPr>
                <w:sz w:val="18"/>
                <w:szCs w:val="18"/>
              </w:rPr>
              <w:t xml:space="preserve">National Immunisation Program Schedule (2019) (dose </w:t>
            </w:r>
            <w:proofErr w:type="gramStart"/>
            <w:r w:rsidRPr="00834CDC">
              <w:rPr>
                <w:sz w:val="18"/>
                <w:szCs w:val="18"/>
              </w:rPr>
              <w:t>1</w:t>
            </w:r>
            <w:proofErr w:type="gramEnd"/>
            <w:r w:rsidRPr="00834CDC">
              <w:rPr>
                <w:sz w:val="18"/>
                <w:szCs w:val="18"/>
              </w:rPr>
              <w:t>, dose 2, dose 3, etc.)</w:t>
            </w:r>
          </w:p>
        </w:tc>
        <w:tc>
          <w:tcPr>
            <w:tcW w:w="1985" w:type="dxa"/>
            <w:tcBorders>
              <w:bottom w:val="single" w:sz="2" w:space="0" w:color="808080" w:themeColor="background1" w:themeShade="80"/>
            </w:tcBorders>
            <w:hideMark/>
          </w:tcPr>
          <w:p w14:paraId="4664EDB3" w14:textId="77777777" w:rsidR="00743334" w:rsidRPr="00834CDC" w:rsidRDefault="00743334" w:rsidP="00B579B4">
            <w:pPr>
              <w:pStyle w:val="NormalWeb"/>
              <w:rPr>
                <w:sz w:val="18"/>
                <w:szCs w:val="18"/>
              </w:rPr>
            </w:pPr>
            <w:r w:rsidRPr="00834CDC">
              <w:rPr>
                <w:sz w:val="18"/>
                <w:szCs w:val="18"/>
              </w:rPr>
              <w:t>Milestone age for vaccination coverage</w:t>
            </w:r>
          </w:p>
        </w:tc>
        <w:tc>
          <w:tcPr>
            <w:tcW w:w="1535" w:type="dxa"/>
            <w:tcBorders>
              <w:bottom w:val="single" w:sz="2" w:space="0" w:color="808080" w:themeColor="background1" w:themeShade="80"/>
            </w:tcBorders>
            <w:hideMark/>
          </w:tcPr>
          <w:p w14:paraId="28FFB5AF" w14:textId="77777777" w:rsidR="00743334" w:rsidRPr="00834CDC" w:rsidRDefault="00743334" w:rsidP="00B579B4">
            <w:pPr>
              <w:pStyle w:val="NormalWeb"/>
              <w:rPr>
                <w:sz w:val="18"/>
                <w:szCs w:val="18"/>
              </w:rPr>
            </w:pPr>
            <w:r w:rsidRPr="00834CDC">
              <w:rPr>
                <w:sz w:val="18"/>
                <w:szCs w:val="18"/>
              </w:rPr>
              <w:t>Current reporting period coverage (2019)</w:t>
            </w:r>
          </w:p>
        </w:tc>
      </w:tr>
      <w:tr w:rsidR="00743334" w:rsidRPr="00834CDC" w14:paraId="2B57DD37" w14:textId="77777777" w:rsidTr="00B579B4">
        <w:trPr>
          <w:divId w:val="1988506822"/>
        </w:trPr>
        <w:tc>
          <w:tcPr>
            <w:tcW w:w="0" w:type="auto"/>
            <w:gridSpan w:val="4"/>
            <w:tcBorders>
              <w:top w:val="single" w:sz="2" w:space="0" w:color="808080" w:themeColor="background1" w:themeShade="80"/>
              <w:left w:val="single" w:sz="2" w:space="0" w:color="808080" w:themeColor="background1" w:themeShade="80"/>
              <w:bottom w:val="single" w:sz="6" w:space="0" w:color="808080" w:themeColor="background1" w:themeShade="80"/>
              <w:right w:val="single" w:sz="2" w:space="0" w:color="808080" w:themeColor="background1" w:themeShade="80"/>
            </w:tcBorders>
            <w:shd w:val="clear" w:color="auto" w:fill="BBA991"/>
            <w:vAlign w:val="top"/>
            <w:hideMark/>
          </w:tcPr>
          <w:p w14:paraId="46F475CC" w14:textId="77777777" w:rsidR="00743334" w:rsidRPr="00834CDC" w:rsidRDefault="00743334" w:rsidP="00F05A14">
            <w:pPr>
              <w:pStyle w:val="NormalWeb"/>
              <w:jc w:val="left"/>
              <w:rPr>
                <w:b/>
                <w:bCs/>
                <w:sz w:val="18"/>
                <w:szCs w:val="18"/>
              </w:rPr>
            </w:pPr>
            <w:r w:rsidRPr="00834CDC">
              <w:rPr>
                <w:b/>
                <w:bCs/>
                <w:sz w:val="18"/>
                <w:szCs w:val="18"/>
              </w:rPr>
              <w:t>Children</w:t>
            </w:r>
          </w:p>
        </w:tc>
      </w:tr>
      <w:tr w:rsidR="00743334" w:rsidRPr="00834CDC" w14:paraId="6C0BE39D" w14:textId="77777777" w:rsidTr="00154D8F">
        <w:trPr>
          <w:cnfStyle w:val="000000010000" w:firstRow="0" w:lastRow="0" w:firstColumn="0" w:lastColumn="0" w:oddVBand="0" w:evenVBand="0" w:oddHBand="0" w:evenHBand="1" w:firstRowFirstColumn="0" w:firstRowLastColumn="0" w:lastRowFirstColumn="0" w:lastRowLastColumn="0"/>
          <w:divId w:val="1988506822"/>
        </w:trPr>
        <w:tc>
          <w:tcPr>
            <w:tcW w:w="2977" w:type="dxa"/>
            <w:vMerge w:val="restart"/>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64CE531B" w14:textId="77777777" w:rsidR="00743334" w:rsidRPr="00834CDC" w:rsidRDefault="00743334" w:rsidP="00B579B4">
            <w:pPr>
              <w:pStyle w:val="NormalWeb"/>
              <w:jc w:val="left"/>
              <w:rPr>
                <w:sz w:val="18"/>
                <w:szCs w:val="18"/>
              </w:rPr>
            </w:pPr>
            <w:r w:rsidRPr="00834CDC">
              <w:rPr>
                <w:sz w:val="18"/>
                <w:szCs w:val="18"/>
              </w:rPr>
              <w:t>Diphtheria-tetanus- acellular pertussis</w:t>
            </w:r>
          </w:p>
        </w:tc>
        <w:tc>
          <w:tcPr>
            <w:tcW w:w="3969"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5A5721A0" w14:textId="77777777" w:rsidR="00743334" w:rsidRPr="00834CDC" w:rsidRDefault="00743334" w:rsidP="00B579B4">
            <w:pPr>
              <w:pStyle w:val="NormalWeb"/>
              <w:rPr>
                <w:sz w:val="18"/>
                <w:szCs w:val="18"/>
              </w:rPr>
            </w:pPr>
            <w:r w:rsidRPr="00834CDC">
              <w:rPr>
                <w:sz w:val="18"/>
                <w:szCs w:val="18"/>
              </w:rPr>
              <w:t>2 months, 4 months, 6 months, 18 months, 48 months</w:t>
            </w: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5BB1E9C4" w14:textId="77777777" w:rsidR="00743334" w:rsidRPr="00834CDC" w:rsidRDefault="00743334" w:rsidP="00B579B4">
            <w:pPr>
              <w:pStyle w:val="NormalWeb"/>
              <w:rPr>
                <w:sz w:val="18"/>
                <w:szCs w:val="18"/>
              </w:rPr>
            </w:pPr>
            <w:r w:rsidRPr="00834CDC">
              <w:rPr>
                <w:sz w:val="18"/>
                <w:szCs w:val="18"/>
              </w:rPr>
              <w:t>12 months (dose 3)</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5361DA98" w14:textId="77777777" w:rsidR="00743334" w:rsidRPr="00834CDC" w:rsidRDefault="00743334" w:rsidP="00B579B4">
            <w:pPr>
              <w:pStyle w:val="NormalWeb"/>
              <w:rPr>
                <w:sz w:val="18"/>
                <w:szCs w:val="18"/>
              </w:rPr>
            </w:pPr>
            <w:r w:rsidRPr="00834CDC">
              <w:rPr>
                <w:sz w:val="18"/>
                <w:szCs w:val="18"/>
              </w:rPr>
              <w:t>93.2</w:t>
            </w:r>
          </w:p>
        </w:tc>
      </w:tr>
      <w:tr w:rsidR="00E05BEB" w:rsidRPr="00834CDC" w14:paraId="5A13706B" w14:textId="77777777" w:rsidTr="00154D8F">
        <w:trPr>
          <w:divId w:val="1988506822"/>
        </w:trPr>
        <w:tc>
          <w:tcPr>
            <w:tcW w:w="2977"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1F27FB8B" w14:textId="77777777" w:rsidR="00743334" w:rsidRPr="00834CDC" w:rsidRDefault="00743334" w:rsidP="00B579B4">
            <w:pPr>
              <w:jc w:val="left"/>
              <w:rPr>
                <w:sz w:val="18"/>
                <w:szCs w:val="18"/>
              </w:rPr>
            </w:pPr>
          </w:p>
        </w:tc>
        <w:tc>
          <w:tcPr>
            <w:tcW w:w="396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5BE9C090" w14:textId="77777777" w:rsidR="00743334" w:rsidRPr="00834CDC" w:rsidRDefault="00743334" w:rsidP="00B579B4">
            <w:pPr>
              <w:rPr>
                <w:sz w:val="18"/>
                <w:szCs w:val="18"/>
              </w:rPr>
            </w:pP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318D2F94" w14:textId="77777777" w:rsidR="00743334" w:rsidRPr="00834CDC" w:rsidRDefault="00743334" w:rsidP="00B579B4">
            <w:pPr>
              <w:pStyle w:val="NormalWeb"/>
              <w:rPr>
                <w:sz w:val="18"/>
                <w:szCs w:val="18"/>
              </w:rPr>
            </w:pPr>
            <w:r w:rsidRPr="00834CDC">
              <w:rPr>
                <w:sz w:val="18"/>
                <w:szCs w:val="18"/>
              </w:rPr>
              <w:t>24 months (dose 4)</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1066FD63" w14:textId="77777777" w:rsidR="00743334" w:rsidRPr="00834CDC" w:rsidRDefault="00743334" w:rsidP="00B579B4">
            <w:pPr>
              <w:pStyle w:val="NormalWeb"/>
              <w:rPr>
                <w:sz w:val="18"/>
                <w:szCs w:val="18"/>
              </w:rPr>
            </w:pPr>
            <w:r w:rsidRPr="00834CDC">
              <w:rPr>
                <w:sz w:val="18"/>
                <w:szCs w:val="18"/>
              </w:rPr>
              <w:t>91.5</w:t>
            </w:r>
          </w:p>
        </w:tc>
      </w:tr>
      <w:tr w:rsidR="00743334" w:rsidRPr="00834CDC" w14:paraId="606CD524" w14:textId="77777777" w:rsidTr="00154D8F">
        <w:trPr>
          <w:cnfStyle w:val="000000010000" w:firstRow="0" w:lastRow="0" w:firstColumn="0" w:lastColumn="0" w:oddVBand="0" w:evenVBand="0" w:oddHBand="0" w:evenHBand="1" w:firstRowFirstColumn="0" w:firstRowLastColumn="0" w:lastRowFirstColumn="0" w:lastRowLastColumn="0"/>
          <w:divId w:val="1988506822"/>
        </w:trPr>
        <w:tc>
          <w:tcPr>
            <w:tcW w:w="2977"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36CC8E37" w14:textId="77777777" w:rsidR="00743334" w:rsidRPr="00834CDC" w:rsidRDefault="00743334" w:rsidP="00B579B4">
            <w:pPr>
              <w:jc w:val="left"/>
              <w:rPr>
                <w:sz w:val="18"/>
                <w:szCs w:val="18"/>
              </w:rPr>
            </w:pPr>
          </w:p>
        </w:tc>
        <w:tc>
          <w:tcPr>
            <w:tcW w:w="396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6078A98C" w14:textId="77777777" w:rsidR="00743334" w:rsidRPr="00834CDC" w:rsidRDefault="00743334" w:rsidP="00B579B4">
            <w:pPr>
              <w:rPr>
                <w:sz w:val="18"/>
                <w:szCs w:val="18"/>
              </w:rPr>
            </w:pP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100D4A56" w14:textId="77777777" w:rsidR="00743334" w:rsidRPr="00834CDC" w:rsidRDefault="00743334" w:rsidP="00B579B4">
            <w:pPr>
              <w:pStyle w:val="NormalWeb"/>
              <w:rPr>
                <w:sz w:val="18"/>
                <w:szCs w:val="18"/>
              </w:rPr>
            </w:pPr>
            <w:r w:rsidRPr="00834CDC">
              <w:rPr>
                <w:sz w:val="18"/>
                <w:szCs w:val="18"/>
              </w:rPr>
              <w:t>60 months (dose 4 or 5)</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68E97CFD" w14:textId="77777777" w:rsidR="00743334" w:rsidRPr="00834CDC" w:rsidRDefault="00743334" w:rsidP="00B579B4">
            <w:pPr>
              <w:pStyle w:val="NormalWeb"/>
              <w:rPr>
                <w:sz w:val="18"/>
                <w:szCs w:val="18"/>
              </w:rPr>
            </w:pPr>
            <w:r w:rsidRPr="00834CDC">
              <w:rPr>
                <w:sz w:val="18"/>
                <w:szCs w:val="18"/>
              </w:rPr>
              <w:t>97.4</w:t>
            </w:r>
          </w:p>
        </w:tc>
      </w:tr>
      <w:tr w:rsidR="00E05BEB" w:rsidRPr="00834CDC" w14:paraId="5BEC1B04" w14:textId="77777777" w:rsidTr="00154D8F">
        <w:trPr>
          <w:divId w:val="1988506822"/>
        </w:trPr>
        <w:tc>
          <w:tcPr>
            <w:tcW w:w="2977" w:type="dxa"/>
            <w:vMerge w:val="restart"/>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4A39C11C" w14:textId="77777777" w:rsidR="00743334" w:rsidRPr="00834CDC" w:rsidRDefault="00743334" w:rsidP="00B579B4">
            <w:pPr>
              <w:pStyle w:val="NormalWeb"/>
              <w:jc w:val="left"/>
              <w:rPr>
                <w:sz w:val="18"/>
                <w:szCs w:val="18"/>
              </w:rPr>
            </w:pPr>
            <w:r w:rsidRPr="00834CDC">
              <w:rPr>
                <w:sz w:val="18"/>
                <w:szCs w:val="18"/>
              </w:rPr>
              <w:t>Polio</w:t>
            </w:r>
          </w:p>
        </w:tc>
        <w:tc>
          <w:tcPr>
            <w:tcW w:w="3969"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24B232C1" w14:textId="77777777" w:rsidR="00743334" w:rsidRPr="00834CDC" w:rsidRDefault="00743334" w:rsidP="00B579B4">
            <w:pPr>
              <w:pStyle w:val="NormalWeb"/>
              <w:rPr>
                <w:sz w:val="18"/>
                <w:szCs w:val="18"/>
              </w:rPr>
            </w:pPr>
            <w:r w:rsidRPr="00834CDC">
              <w:rPr>
                <w:sz w:val="18"/>
                <w:szCs w:val="18"/>
              </w:rPr>
              <w:t>2 months, 4 months, 6 months, 48 months</w:t>
            </w: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6351D8F3" w14:textId="77777777" w:rsidR="00743334" w:rsidRPr="00834CDC" w:rsidRDefault="00743334" w:rsidP="00B579B4">
            <w:pPr>
              <w:pStyle w:val="NormalWeb"/>
              <w:rPr>
                <w:sz w:val="18"/>
                <w:szCs w:val="18"/>
              </w:rPr>
            </w:pPr>
            <w:r w:rsidRPr="00834CDC">
              <w:rPr>
                <w:sz w:val="18"/>
                <w:szCs w:val="18"/>
              </w:rPr>
              <w:t>12 months (dose 3)</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55FCBD04" w14:textId="77777777" w:rsidR="00743334" w:rsidRPr="00834CDC" w:rsidRDefault="00743334" w:rsidP="00B579B4">
            <w:pPr>
              <w:pStyle w:val="NormalWeb"/>
              <w:rPr>
                <w:sz w:val="18"/>
                <w:szCs w:val="18"/>
              </w:rPr>
            </w:pPr>
            <w:r w:rsidRPr="00834CDC">
              <w:rPr>
                <w:sz w:val="18"/>
                <w:szCs w:val="18"/>
              </w:rPr>
              <w:t>93.1</w:t>
            </w:r>
          </w:p>
        </w:tc>
      </w:tr>
      <w:tr w:rsidR="00743334" w:rsidRPr="00834CDC" w14:paraId="52E8C907" w14:textId="77777777" w:rsidTr="00154D8F">
        <w:trPr>
          <w:cnfStyle w:val="000000010000" w:firstRow="0" w:lastRow="0" w:firstColumn="0" w:lastColumn="0" w:oddVBand="0" w:evenVBand="0" w:oddHBand="0" w:evenHBand="1" w:firstRowFirstColumn="0" w:firstRowLastColumn="0" w:lastRowFirstColumn="0" w:lastRowLastColumn="0"/>
          <w:divId w:val="1988506822"/>
        </w:trPr>
        <w:tc>
          <w:tcPr>
            <w:tcW w:w="2977"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0BD55D1F" w14:textId="77777777" w:rsidR="00743334" w:rsidRPr="00834CDC" w:rsidRDefault="00743334" w:rsidP="00B579B4">
            <w:pPr>
              <w:jc w:val="left"/>
              <w:rPr>
                <w:sz w:val="18"/>
                <w:szCs w:val="18"/>
              </w:rPr>
            </w:pPr>
          </w:p>
        </w:tc>
        <w:tc>
          <w:tcPr>
            <w:tcW w:w="396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13621A9F" w14:textId="77777777" w:rsidR="00743334" w:rsidRPr="00834CDC" w:rsidRDefault="00743334" w:rsidP="00B579B4">
            <w:pPr>
              <w:rPr>
                <w:sz w:val="18"/>
                <w:szCs w:val="18"/>
              </w:rPr>
            </w:pP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35A40D9E" w14:textId="77777777" w:rsidR="00743334" w:rsidRPr="00834CDC" w:rsidRDefault="00743334" w:rsidP="00B579B4">
            <w:pPr>
              <w:pStyle w:val="NormalWeb"/>
              <w:rPr>
                <w:sz w:val="18"/>
                <w:szCs w:val="18"/>
              </w:rPr>
            </w:pPr>
            <w:r w:rsidRPr="00834CDC">
              <w:rPr>
                <w:sz w:val="18"/>
                <w:szCs w:val="18"/>
              </w:rPr>
              <w:t>24 months (dose 3)</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71AB47A7" w14:textId="77777777" w:rsidR="00743334" w:rsidRPr="00834CDC" w:rsidRDefault="00743334" w:rsidP="00B579B4">
            <w:pPr>
              <w:pStyle w:val="NormalWeb"/>
              <w:rPr>
                <w:sz w:val="18"/>
                <w:szCs w:val="18"/>
              </w:rPr>
            </w:pPr>
            <w:r w:rsidRPr="00834CDC">
              <w:rPr>
                <w:sz w:val="18"/>
                <w:szCs w:val="18"/>
              </w:rPr>
              <w:t>97.1</w:t>
            </w:r>
          </w:p>
        </w:tc>
      </w:tr>
      <w:tr w:rsidR="00E05BEB" w:rsidRPr="00834CDC" w14:paraId="0518E4BD" w14:textId="77777777" w:rsidTr="00154D8F">
        <w:trPr>
          <w:divId w:val="1988506822"/>
        </w:trPr>
        <w:tc>
          <w:tcPr>
            <w:tcW w:w="2977"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4774F905" w14:textId="77777777" w:rsidR="00743334" w:rsidRPr="00834CDC" w:rsidRDefault="00743334" w:rsidP="00B579B4">
            <w:pPr>
              <w:jc w:val="left"/>
              <w:rPr>
                <w:sz w:val="18"/>
                <w:szCs w:val="18"/>
              </w:rPr>
            </w:pPr>
          </w:p>
        </w:tc>
        <w:tc>
          <w:tcPr>
            <w:tcW w:w="396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6D8208BC" w14:textId="77777777" w:rsidR="00743334" w:rsidRPr="00834CDC" w:rsidRDefault="00743334" w:rsidP="00B579B4">
            <w:pPr>
              <w:rPr>
                <w:sz w:val="18"/>
                <w:szCs w:val="18"/>
              </w:rPr>
            </w:pP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3095FEEC" w14:textId="77777777" w:rsidR="00743334" w:rsidRPr="00834CDC" w:rsidRDefault="00743334" w:rsidP="00B579B4">
            <w:pPr>
              <w:pStyle w:val="NormalWeb"/>
              <w:rPr>
                <w:sz w:val="18"/>
                <w:szCs w:val="18"/>
              </w:rPr>
            </w:pPr>
            <w:r w:rsidRPr="00834CDC">
              <w:rPr>
                <w:sz w:val="18"/>
                <w:szCs w:val="18"/>
              </w:rPr>
              <w:t>60 months (dose 4)</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0561697F" w14:textId="77777777" w:rsidR="00743334" w:rsidRPr="00834CDC" w:rsidRDefault="00743334" w:rsidP="00B579B4">
            <w:pPr>
              <w:pStyle w:val="NormalWeb"/>
              <w:rPr>
                <w:sz w:val="18"/>
                <w:szCs w:val="18"/>
              </w:rPr>
            </w:pPr>
            <w:r w:rsidRPr="00834CDC">
              <w:rPr>
                <w:sz w:val="18"/>
                <w:szCs w:val="18"/>
              </w:rPr>
              <w:t>97.0</w:t>
            </w:r>
          </w:p>
        </w:tc>
      </w:tr>
      <w:tr w:rsidR="00743334" w:rsidRPr="00834CDC" w14:paraId="70059234" w14:textId="77777777" w:rsidTr="00154D8F">
        <w:trPr>
          <w:cnfStyle w:val="000000010000" w:firstRow="0" w:lastRow="0" w:firstColumn="0" w:lastColumn="0" w:oddVBand="0" w:evenVBand="0" w:oddHBand="0" w:evenHBand="1" w:firstRowFirstColumn="0" w:firstRowLastColumn="0" w:lastRowFirstColumn="0" w:lastRowLastColumn="0"/>
          <w:divId w:val="1988506822"/>
        </w:trPr>
        <w:tc>
          <w:tcPr>
            <w:tcW w:w="2977" w:type="dxa"/>
            <w:vMerge w:val="restart"/>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270BD199" w14:textId="77777777" w:rsidR="00743334" w:rsidRPr="00834CDC" w:rsidRDefault="00743334" w:rsidP="00B579B4">
            <w:pPr>
              <w:pStyle w:val="NormalWeb"/>
              <w:jc w:val="left"/>
              <w:rPr>
                <w:sz w:val="18"/>
                <w:szCs w:val="18"/>
              </w:rPr>
            </w:pPr>
            <w:r w:rsidRPr="006C707B">
              <w:rPr>
                <w:i/>
                <w:iCs/>
                <w:sz w:val="18"/>
                <w:szCs w:val="18"/>
              </w:rPr>
              <w:t>Haemophilus influenzae</w:t>
            </w:r>
            <w:r w:rsidRPr="00834CDC">
              <w:rPr>
                <w:sz w:val="18"/>
                <w:szCs w:val="18"/>
              </w:rPr>
              <w:t xml:space="preserve"> type b</w:t>
            </w:r>
          </w:p>
        </w:tc>
        <w:tc>
          <w:tcPr>
            <w:tcW w:w="3969"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0B749122" w14:textId="77777777" w:rsidR="00743334" w:rsidRPr="00834CDC" w:rsidRDefault="00743334" w:rsidP="00B579B4">
            <w:pPr>
              <w:pStyle w:val="NormalWeb"/>
              <w:rPr>
                <w:sz w:val="18"/>
                <w:szCs w:val="18"/>
              </w:rPr>
            </w:pPr>
            <w:r w:rsidRPr="00834CDC">
              <w:rPr>
                <w:sz w:val="18"/>
                <w:szCs w:val="18"/>
              </w:rPr>
              <w:t>2 months, 4 months, 6 months, 18 months</w:t>
            </w: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11F081D2" w14:textId="77777777" w:rsidR="00743334" w:rsidRPr="00834CDC" w:rsidRDefault="00743334" w:rsidP="00B579B4">
            <w:pPr>
              <w:pStyle w:val="NormalWeb"/>
              <w:rPr>
                <w:sz w:val="18"/>
                <w:szCs w:val="18"/>
              </w:rPr>
            </w:pPr>
            <w:r w:rsidRPr="00834CDC">
              <w:rPr>
                <w:sz w:val="18"/>
                <w:szCs w:val="18"/>
              </w:rPr>
              <w:t>12 months (dose 3)</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52B11F2B" w14:textId="77777777" w:rsidR="00743334" w:rsidRPr="00834CDC" w:rsidRDefault="00743334" w:rsidP="00B579B4">
            <w:pPr>
              <w:pStyle w:val="NormalWeb"/>
              <w:rPr>
                <w:sz w:val="18"/>
                <w:szCs w:val="18"/>
              </w:rPr>
            </w:pPr>
            <w:r w:rsidRPr="00834CDC">
              <w:rPr>
                <w:sz w:val="18"/>
                <w:szCs w:val="18"/>
              </w:rPr>
              <w:t>93.1</w:t>
            </w:r>
          </w:p>
        </w:tc>
      </w:tr>
      <w:tr w:rsidR="00E05BEB" w:rsidRPr="00834CDC" w14:paraId="154C91A6" w14:textId="77777777" w:rsidTr="00154D8F">
        <w:trPr>
          <w:divId w:val="1988506822"/>
        </w:trPr>
        <w:tc>
          <w:tcPr>
            <w:tcW w:w="2977"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20C6D013" w14:textId="77777777" w:rsidR="00743334" w:rsidRPr="00834CDC" w:rsidRDefault="00743334" w:rsidP="00B579B4">
            <w:pPr>
              <w:jc w:val="left"/>
              <w:rPr>
                <w:sz w:val="18"/>
                <w:szCs w:val="18"/>
              </w:rPr>
            </w:pPr>
          </w:p>
        </w:tc>
        <w:tc>
          <w:tcPr>
            <w:tcW w:w="396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0629340F" w14:textId="77777777" w:rsidR="00743334" w:rsidRPr="00834CDC" w:rsidRDefault="00743334" w:rsidP="00B579B4">
            <w:pPr>
              <w:rPr>
                <w:sz w:val="18"/>
                <w:szCs w:val="18"/>
              </w:rPr>
            </w:pP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75BEDE0A" w14:textId="77777777" w:rsidR="00743334" w:rsidRPr="00834CDC" w:rsidRDefault="00743334" w:rsidP="00B579B4">
            <w:pPr>
              <w:pStyle w:val="NormalWeb"/>
              <w:rPr>
                <w:sz w:val="18"/>
                <w:szCs w:val="18"/>
              </w:rPr>
            </w:pPr>
            <w:r w:rsidRPr="00834CDC">
              <w:rPr>
                <w:sz w:val="18"/>
                <w:szCs w:val="18"/>
              </w:rPr>
              <w:t>24 months (dose 4)</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3659277C" w14:textId="77777777" w:rsidR="00743334" w:rsidRPr="00834CDC" w:rsidRDefault="00743334" w:rsidP="00B579B4">
            <w:pPr>
              <w:pStyle w:val="NormalWeb"/>
              <w:rPr>
                <w:sz w:val="18"/>
                <w:szCs w:val="18"/>
              </w:rPr>
            </w:pPr>
            <w:r w:rsidRPr="00834CDC">
              <w:rPr>
                <w:sz w:val="18"/>
                <w:szCs w:val="18"/>
              </w:rPr>
              <w:t>94.6</w:t>
            </w:r>
          </w:p>
        </w:tc>
      </w:tr>
      <w:tr w:rsidR="00743334" w:rsidRPr="00834CDC" w14:paraId="75A82030" w14:textId="77777777" w:rsidTr="00154D8F">
        <w:trPr>
          <w:cnfStyle w:val="000000010000" w:firstRow="0" w:lastRow="0" w:firstColumn="0" w:lastColumn="0" w:oddVBand="0" w:evenVBand="0" w:oddHBand="0" w:evenHBand="1" w:firstRowFirstColumn="0" w:firstRowLastColumn="0" w:lastRowFirstColumn="0" w:lastRowLastColumn="0"/>
          <w:divId w:val="1988506822"/>
        </w:trPr>
        <w:tc>
          <w:tcPr>
            <w:tcW w:w="2977" w:type="dxa"/>
            <w:vMerge w:val="restart"/>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357C395D" w14:textId="77777777" w:rsidR="00743334" w:rsidRPr="00834CDC" w:rsidRDefault="00743334" w:rsidP="00B579B4">
            <w:pPr>
              <w:pStyle w:val="NormalWeb"/>
              <w:jc w:val="left"/>
              <w:rPr>
                <w:sz w:val="18"/>
                <w:szCs w:val="18"/>
              </w:rPr>
            </w:pPr>
            <w:r w:rsidRPr="00834CDC">
              <w:rPr>
                <w:sz w:val="18"/>
                <w:szCs w:val="18"/>
              </w:rPr>
              <w:t>Hepatitis B</w:t>
            </w:r>
          </w:p>
        </w:tc>
        <w:tc>
          <w:tcPr>
            <w:tcW w:w="3969"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79B17721" w14:textId="77777777" w:rsidR="00743334" w:rsidRPr="00834CDC" w:rsidRDefault="00743334" w:rsidP="00B579B4">
            <w:pPr>
              <w:pStyle w:val="NormalWeb"/>
              <w:rPr>
                <w:sz w:val="18"/>
                <w:szCs w:val="18"/>
              </w:rPr>
            </w:pPr>
            <w:r w:rsidRPr="00834CDC">
              <w:rPr>
                <w:sz w:val="18"/>
                <w:szCs w:val="18"/>
              </w:rPr>
              <w:t>Birth, 2 months, 4 months, 6 months</w:t>
            </w: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28341EBB" w14:textId="77777777" w:rsidR="00743334" w:rsidRPr="00834CDC" w:rsidRDefault="00743334" w:rsidP="00B579B4">
            <w:pPr>
              <w:pStyle w:val="NormalWeb"/>
              <w:rPr>
                <w:sz w:val="18"/>
                <w:szCs w:val="18"/>
              </w:rPr>
            </w:pPr>
            <w:r w:rsidRPr="00834CDC">
              <w:rPr>
                <w:sz w:val="18"/>
                <w:szCs w:val="18"/>
              </w:rPr>
              <w:t>12 months (dose 3)</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728BBB94" w14:textId="77777777" w:rsidR="00743334" w:rsidRPr="00834CDC" w:rsidRDefault="00743334" w:rsidP="00B579B4">
            <w:pPr>
              <w:pStyle w:val="NormalWeb"/>
              <w:rPr>
                <w:sz w:val="18"/>
                <w:szCs w:val="18"/>
              </w:rPr>
            </w:pPr>
            <w:r w:rsidRPr="00834CDC">
              <w:rPr>
                <w:sz w:val="18"/>
                <w:szCs w:val="18"/>
              </w:rPr>
              <w:t>93.1</w:t>
            </w:r>
          </w:p>
        </w:tc>
      </w:tr>
      <w:tr w:rsidR="00E05BEB" w:rsidRPr="00834CDC" w14:paraId="21902285" w14:textId="77777777" w:rsidTr="00154D8F">
        <w:trPr>
          <w:divId w:val="1988506822"/>
        </w:trPr>
        <w:tc>
          <w:tcPr>
            <w:tcW w:w="2977"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4DE7C25B" w14:textId="77777777" w:rsidR="00743334" w:rsidRPr="00834CDC" w:rsidRDefault="00743334" w:rsidP="00B579B4">
            <w:pPr>
              <w:jc w:val="left"/>
              <w:rPr>
                <w:sz w:val="18"/>
                <w:szCs w:val="18"/>
              </w:rPr>
            </w:pPr>
          </w:p>
        </w:tc>
        <w:tc>
          <w:tcPr>
            <w:tcW w:w="396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4F17ECB5" w14:textId="77777777" w:rsidR="00743334" w:rsidRPr="00834CDC" w:rsidRDefault="00743334" w:rsidP="00B579B4">
            <w:pPr>
              <w:rPr>
                <w:sz w:val="18"/>
                <w:szCs w:val="18"/>
              </w:rPr>
            </w:pP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63E0B8D0" w14:textId="77777777" w:rsidR="00743334" w:rsidRPr="00834CDC" w:rsidRDefault="00743334" w:rsidP="00B579B4">
            <w:pPr>
              <w:pStyle w:val="NormalWeb"/>
              <w:rPr>
                <w:sz w:val="18"/>
                <w:szCs w:val="18"/>
              </w:rPr>
            </w:pPr>
            <w:r w:rsidRPr="00834CDC">
              <w:rPr>
                <w:sz w:val="18"/>
                <w:szCs w:val="18"/>
              </w:rPr>
              <w:t>24 months (dose 3)</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3F1EF454" w14:textId="77777777" w:rsidR="00743334" w:rsidRPr="00834CDC" w:rsidRDefault="00743334" w:rsidP="00B579B4">
            <w:pPr>
              <w:pStyle w:val="NormalWeb"/>
              <w:rPr>
                <w:sz w:val="18"/>
                <w:szCs w:val="18"/>
              </w:rPr>
            </w:pPr>
            <w:r w:rsidRPr="00834CDC">
              <w:rPr>
                <w:sz w:val="18"/>
                <w:szCs w:val="18"/>
              </w:rPr>
              <w:t>97.1</w:t>
            </w:r>
          </w:p>
        </w:tc>
      </w:tr>
      <w:tr w:rsidR="00743334" w:rsidRPr="00834CDC" w14:paraId="230DE671" w14:textId="77777777" w:rsidTr="00154D8F">
        <w:trPr>
          <w:cnfStyle w:val="000000010000" w:firstRow="0" w:lastRow="0" w:firstColumn="0" w:lastColumn="0" w:oddVBand="0" w:evenVBand="0" w:oddHBand="0" w:evenHBand="1" w:firstRowFirstColumn="0" w:firstRowLastColumn="0" w:lastRowFirstColumn="0" w:lastRowLastColumn="0"/>
          <w:divId w:val="1988506822"/>
        </w:trPr>
        <w:tc>
          <w:tcPr>
            <w:tcW w:w="2977" w:type="dxa"/>
            <w:vMerge w:val="restart"/>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3189004A" w14:textId="77777777" w:rsidR="00743334" w:rsidRPr="00834CDC" w:rsidRDefault="00743334" w:rsidP="00B579B4">
            <w:pPr>
              <w:pStyle w:val="NormalWeb"/>
              <w:jc w:val="left"/>
              <w:rPr>
                <w:sz w:val="18"/>
                <w:szCs w:val="18"/>
              </w:rPr>
            </w:pPr>
            <w:r w:rsidRPr="00834CDC">
              <w:rPr>
                <w:sz w:val="18"/>
                <w:szCs w:val="18"/>
              </w:rPr>
              <w:t>Measles-mumps-rubella</w:t>
            </w:r>
          </w:p>
        </w:tc>
        <w:tc>
          <w:tcPr>
            <w:tcW w:w="3969"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6FDCE4A8" w14:textId="0D069DA7" w:rsidR="00743334" w:rsidRPr="00834CDC" w:rsidRDefault="00743334" w:rsidP="00B579B4">
            <w:pPr>
              <w:pStyle w:val="NormalWeb"/>
              <w:rPr>
                <w:sz w:val="18"/>
                <w:szCs w:val="18"/>
              </w:rPr>
            </w:pPr>
            <w:r w:rsidRPr="00834CDC">
              <w:rPr>
                <w:sz w:val="18"/>
                <w:szCs w:val="18"/>
              </w:rPr>
              <w:t>12 months, 18 months</w:t>
            </w:r>
            <w:r w:rsidR="00B579B4" w:rsidRPr="00834CDC">
              <w:rPr>
                <w:sz w:val="18"/>
                <w:szCs w:val="18"/>
              </w:rPr>
              <w:t xml:space="preserve"> </w:t>
            </w:r>
            <w:r w:rsidRPr="00834CDC">
              <w:rPr>
                <w:sz w:val="18"/>
                <w:szCs w:val="18"/>
                <w:vertAlign w:val="superscript"/>
              </w:rPr>
              <w:t>a</w:t>
            </w: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083CEFB4" w14:textId="77777777" w:rsidR="00743334" w:rsidRPr="00834CDC" w:rsidRDefault="00743334" w:rsidP="00B579B4">
            <w:pPr>
              <w:pStyle w:val="NormalWeb"/>
              <w:rPr>
                <w:sz w:val="18"/>
                <w:szCs w:val="18"/>
              </w:rPr>
            </w:pPr>
            <w:r w:rsidRPr="00834CDC">
              <w:rPr>
                <w:sz w:val="18"/>
                <w:szCs w:val="18"/>
              </w:rPr>
              <w:t>24 months (dose 1)</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24C48ACF" w14:textId="77777777" w:rsidR="00743334" w:rsidRPr="00834CDC" w:rsidRDefault="00743334" w:rsidP="00B579B4">
            <w:pPr>
              <w:pStyle w:val="NormalWeb"/>
              <w:rPr>
                <w:sz w:val="18"/>
                <w:szCs w:val="18"/>
              </w:rPr>
            </w:pPr>
            <w:r w:rsidRPr="00834CDC">
              <w:rPr>
                <w:sz w:val="18"/>
                <w:szCs w:val="18"/>
              </w:rPr>
              <w:t>96.6</w:t>
            </w:r>
          </w:p>
        </w:tc>
      </w:tr>
      <w:tr w:rsidR="00E05BEB" w:rsidRPr="00834CDC" w14:paraId="73137B79" w14:textId="77777777" w:rsidTr="00154D8F">
        <w:trPr>
          <w:divId w:val="1988506822"/>
        </w:trPr>
        <w:tc>
          <w:tcPr>
            <w:tcW w:w="2977"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674E3C37" w14:textId="77777777" w:rsidR="00743334" w:rsidRPr="00834CDC" w:rsidRDefault="00743334" w:rsidP="00B579B4">
            <w:pPr>
              <w:jc w:val="left"/>
              <w:rPr>
                <w:sz w:val="18"/>
                <w:szCs w:val="18"/>
              </w:rPr>
            </w:pPr>
          </w:p>
        </w:tc>
        <w:tc>
          <w:tcPr>
            <w:tcW w:w="396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3F68E88A" w14:textId="77777777" w:rsidR="00743334" w:rsidRPr="00834CDC" w:rsidRDefault="00743334" w:rsidP="00B579B4">
            <w:pPr>
              <w:rPr>
                <w:sz w:val="18"/>
                <w:szCs w:val="18"/>
              </w:rPr>
            </w:pP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36ADD8D0" w14:textId="77777777" w:rsidR="00743334" w:rsidRPr="00834CDC" w:rsidRDefault="00743334" w:rsidP="00B579B4">
            <w:pPr>
              <w:pStyle w:val="NormalWeb"/>
              <w:rPr>
                <w:sz w:val="18"/>
                <w:szCs w:val="18"/>
              </w:rPr>
            </w:pPr>
            <w:r w:rsidRPr="00834CDC">
              <w:rPr>
                <w:sz w:val="18"/>
                <w:szCs w:val="18"/>
              </w:rPr>
              <w:t>24 months (dose 2)</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466385DE" w14:textId="77777777" w:rsidR="00743334" w:rsidRPr="00834CDC" w:rsidRDefault="00743334" w:rsidP="00B579B4">
            <w:pPr>
              <w:pStyle w:val="NormalWeb"/>
              <w:rPr>
                <w:sz w:val="18"/>
                <w:szCs w:val="18"/>
              </w:rPr>
            </w:pPr>
            <w:r w:rsidRPr="00834CDC">
              <w:rPr>
                <w:sz w:val="18"/>
                <w:szCs w:val="18"/>
              </w:rPr>
              <w:t>92.9</w:t>
            </w:r>
          </w:p>
        </w:tc>
      </w:tr>
      <w:tr w:rsidR="00743334" w:rsidRPr="00834CDC" w14:paraId="76B26929" w14:textId="77777777" w:rsidTr="00154D8F">
        <w:trPr>
          <w:cnfStyle w:val="000000010000" w:firstRow="0" w:lastRow="0" w:firstColumn="0" w:lastColumn="0" w:oddVBand="0" w:evenVBand="0" w:oddHBand="0" w:evenHBand="1" w:firstRowFirstColumn="0" w:firstRowLastColumn="0" w:lastRowFirstColumn="0" w:lastRowLastColumn="0"/>
          <w:divId w:val="1988506822"/>
        </w:trPr>
        <w:tc>
          <w:tcPr>
            <w:tcW w:w="2977"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4D74CB64" w14:textId="77777777" w:rsidR="00743334" w:rsidRPr="00834CDC" w:rsidRDefault="00743334" w:rsidP="00B579B4">
            <w:pPr>
              <w:jc w:val="left"/>
              <w:rPr>
                <w:sz w:val="18"/>
                <w:szCs w:val="18"/>
              </w:rPr>
            </w:pPr>
          </w:p>
        </w:tc>
        <w:tc>
          <w:tcPr>
            <w:tcW w:w="396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14AB8DAD" w14:textId="77777777" w:rsidR="00743334" w:rsidRPr="00834CDC" w:rsidRDefault="00743334" w:rsidP="00B579B4">
            <w:pPr>
              <w:rPr>
                <w:sz w:val="18"/>
                <w:szCs w:val="18"/>
              </w:rPr>
            </w:pP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1466F13A" w14:textId="77777777" w:rsidR="00743334" w:rsidRPr="00834CDC" w:rsidRDefault="00743334" w:rsidP="00B579B4">
            <w:pPr>
              <w:pStyle w:val="NormalWeb"/>
              <w:rPr>
                <w:sz w:val="18"/>
                <w:szCs w:val="18"/>
              </w:rPr>
            </w:pPr>
            <w:r w:rsidRPr="00834CDC">
              <w:rPr>
                <w:sz w:val="18"/>
                <w:szCs w:val="18"/>
              </w:rPr>
              <w:t>60 months (dose 2)</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4C410D92" w14:textId="77777777" w:rsidR="00743334" w:rsidRPr="00834CDC" w:rsidRDefault="00743334" w:rsidP="00B579B4">
            <w:pPr>
              <w:pStyle w:val="NormalWeb"/>
              <w:rPr>
                <w:sz w:val="18"/>
                <w:szCs w:val="18"/>
              </w:rPr>
            </w:pPr>
            <w:r w:rsidRPr="00834CDC">
              <w:rPr>
                <w:sz w:val="18"/>
                <w:szCs w:val="18"/>
              </w:rPr>
              <w:t>98.9</w:t>
            </w:r>
          </w:p>
        </w:tc>
      </w:tr>
      <w:tr w:rsidR="00E05BEB" w:rsidRPr="00834CDC" w14:paraId="43C568E3" w14:textId="77777777" w:rsidTr="00154D8F">
        <w:trPr>
          <w:divId w:val="1988506822"/>
        </w:trPr>
        <w:tc>
          <w:tcPr>
            <w:tcW w:w="2977" w:type="dxa"/>
            <w:vMerge w:val="restart"/>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357942E8" w14:textId="77777777" w:rsidR="00743334" w:rsidRPr="00834CDC" w:rsidRDefault="00743334" w:rsidP="00B579B4">
            <w:pPr>
              <w:pStyle w:val="NormalWeb"/>
              <w:jc w:val="left"/>
              <w:rPr>
                <w:sz w:val="18"/>
                <w:szCs w:val="18"/>
              </w:rPr>
            </w:pPr>
            <w:r w:rsidRPr="00834CDC">
              <w:rPr>
                <w:sz w:val="18"/>
                <w:szCs w:val="18"/>
              </w:rPr>
              <w:t>Varicella</w:t>
            </w:r>
          </w:p>
        </w:tc>
        <w:tc>
          <w:tcPr>
            <w:tcW w:w="3969"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08087F3F" w14:textId="51DAD8CC" w:rsidR="00743334" w:rsidRPr="00834CDC" w:rsidRDefault="00743334" w:rsidP="00B579B4">
            <w:pPr>
              <w:pStyle w:val="NormalWeb"/>
              <w:rPr>
                <w:sz w:val="18"/>
                <w:szCs w:val="18"/>
              </w:rPr>
            </w:pPr>
            <w:r w:rsidRPr="00834CDC">
              <w:rPr>
                <w:sz w:val="18"/>
                <w:szCs w:val="18"/>
              </w:rPr>
              <w:t>18 months</w:t>
            </w:r>
            <w:r w:rsidR="00B579B4" w:rsidRPr="00834CDC">
              <w:rPr>
                <w:sz w:val="18"/>
                <w:szCs w:val="18"/>
              </w:rPr>
              <w:t xml:space="preserve"> </w:t>
            </w:r>
            <w:r w:rsidRPr="00834CDC">
              <w:rPr>
                <w:sz w:val="18"/>
                <w:szCs w:val="18"/>
                <w:vertAlign w:val="superscript"/>
              </w:rPr>
              <w:t>a</w:t>
            </w: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490659DF" w14:textId="77777777" w:rsidR="00743334" w:rsidRPr="00834CDC" w:rsidRDefault="00743334" w:rsidP="00B579B4">
            <w:pPr>
              <w:pStyle w:val="NormalWeb"/>
              <w:rPr>
                <w:sz w:val="18"/>
                <w:szCs w:val="18"/>
              </w:rPr>
            </w:pPr>
            <w:r w:rsidRPr="00834CDC">
              <w:rPr>
                <w:sz w:val="18"/>
                <w:szCs w:val="18"/>
              </w:rPr>
              <w:t>24 months (dose 1)</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13B28C84" w14:textId="77777777" w:rsidR="00743334" w:rsidRPr="00834CDC" w:rsidRDefault="00743334" w:rsidP="00B579B4">
            <w:pPr>
              <w:pStyle w:val="NormalWeb"/>
              <w:rPr>
                <w:sz w:val="18"/>
                <w:szCs w:val="18"/>
              </w:rPr>
            </w:pPr>
            <w:r w:rsidRPr="00834CDC">
              <w:rPr>
                <w:sz w:val="18"/>
                <w:szCs w:val="18"/>
              </w:rPr>
              <w:t>92.7</w:t>
            </w:r>
          </w:p>
        </w:tc>
      </w:tr>
      <w:tr w:rsidR="00743334" w:rsidRPr="00834CDC" w14:paraId="471C72E9" w14:textId="77777777" w:rsidTr="00154D8F">
        <w:trPr>
          <w:cnfStyle w:val="000000010000" w:firstRow="0" w:lastRow="0" w:firstColumn="0" w:lastColumn="0" w:oddVBand="0" w:evenVBand="0" w:oddHBand="0" w:evenHBand="1" w:firstRowFirstColumn="0" w:firstRowLastColumn="0" w:lastRowFirstColumn="0" w:lastRowLastColumn="0"/>
          <w:divId w:val="1988506822"/>
        </w:trPr>
        <w:tc>
          <w:tcPr>
            <w:tcW w:w="2977"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0755AA81" w14:textId="77777777" w:rsidR="00743334" w:rsidRPr="00834CDC" w:rsidRDefault="00743334" w:rsidP="00B579B4">
            <w:pPr>
              <w:jc w:val="left"/>
              <w:rPr>
                <w:sz w:val="18"/>
                <w:szCs w:val="18"/>
              </w:rPr>
            </w:pPr>
          </w:p>
        </w:tc>
        <w:tc>
          <w:tcPr>
            <w:tcW w:w="396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7C7AC8C3" w14:textId="77777777" w:rsidR="00743334" w:rsidRPr="00834CDC" w:rsidRDefault="00743334" w:rsidP="00B579B4">
            <w:pPr>
              <w:rPr>
                <w:sz w:val="18"/>
                <w:szCs w:val="18"/>
              </w:rPr>
            </w:pP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0D74DFFF" w14:textId="77777777" w:rsidR="00743334" w:rsidRPr="00834CDC" w:rsidRDefault="00743334" w:rsidP="00B579B4">
            <w:pPr>
              <w:pStyle w:val="NormalWeb"/>
              <w:rPr>
                <w:sz w:val="18"/>
                <w:szCs w:val="18"/>
              </w:rPr>
            </w:pPr>
            <w:r w:rsidRPr="00834CDC">
              <w:rPr>
                <w:sz w:val="18"/>
                <w:szCs w:val="18"/>
              </w:rPr>
              <w:t>60 months (dose 1)</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57C1F68D" w14:textId="77777777" w:rsidR="00743334" w:rsidRPr="00834CDC" w:rsidRDefault="00743334" w:rsidP="00B579B4">
            <w:pPr>
              <w:pStyle w:val="NormalWeb"/>
              <w:rPr>
                <w:sz w:val="18"/>
                <w:szCs w:val="18"/>
              </w:rPr>
            </w:pPr>
            <w:r w:rsidRPr="00834CDC">
              <w:rPr>
                <w:sz w:val="18"/>
                <w:szCs w:val="18"/>
              </w:rPr>
              <w:t>98.8</w:t>
            </w:r>
          </w:p>
        </w:tc>
      </w:tr>
      <w:tr w:rsidR="00E05BEB" w:rsidRPr="00834CDC" w14:paraId="2EB5337C" w14:textId="77777777" w:rsidTr="00154D8F">
        <w:trPr>
          <w:divId w:val="1988506822"/>
        </w:trPr>
        <w:tc>
          <w:tcPr>
            <w:tcW w:w="2977" w:type="dxa"/>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29713FDE" w14:textId="77777777" w:rsidR="00743334" w:rsidRPr="00834CDC" w:rsidRDefault="00743334" w:rsidP="00B579B4">
            <w:pPr>
              <w:pStyle w:val="NormalWeb"/>
              <w:jc w:val="left"/>
              <w:rPr>
                <w:sz w:val="18"/>
                <w:szCs w:val="18"/>
              </w:rPr>
            </w:pPr>
            <w:r w:rsidRPr="00834CDC">
              <w:rPr>
                <w:sz w:val="18"/>
                <w:szCs w:val="18"/>
              </w:rPr>
              <w:t>Meningococcal C</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78ABFEB6" w14:textId="77777777" w:rsidR="00743334" w:rsidRPr="00834CDC" w:rsidRDefault="00743334" w:rsidP="00B579B4">
            <w:pPr>
              <w:pStyle w:val="NormalWeb"/>
              <w:rPr>
                <w:sz w:val="18"/>
                <w:szCs w:val="18"/>
              </w:rPr>
            </w:pPr>
            <w:r w:rsidRPr="00834CDC">
              <w:rPr>
                <w:sz w:val="18"/>
                <w:szCs w:val="18"/>
              </w:rPr>
              <w:t>12 months (until 2018)</w:t>
            </w: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79578EDD" w14:textId="77777777" w:rsidR="00743334" w:rsidRPr="00834CDC" w:rsidRDefault="00743334" w:rsidP="00B579B4">
            <w:pPr>
              <w:pStyle w:val="NormalWeb"/>
              <w:rPr>
                <w:sz w:val="18"/>
                <w:szCs w:val="18"/>
              </w:rPr>
            </w:pPr>
            <w:r w:rsidRPr="00834CDC">
              <w:rPr>
                <w:sz w:val="18"/>
                <w:szCs w:val="18"/>
              </w:rPr>
              <w:t>24 months (dose 1)</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2F10B324" w14:textId="77777777" w:rsidR="00743334" w:rsidRPr="00834CDC" w:rsidRDefault="00743334" w:rsidP="00B579B4">
            <w:pPr>
              <w:pStyle w:val="NormalWeb"/>
              <w:rPr>
                <w:sz w:val="18"/>
                <w:szCs w:val="18"/>
              </w:rPr>
            </w:pPr>
            <w:r w:rsidRPr="00834CDC">
              <w:rPr>
                <w:sz w:val="18"/>
                <w:szCs w:val="18"/>
              </w:rPr>
              <w:t>96.6</w:t>
            </w:r>
          </w:p>
        </w:tc>
      </w:tr>
      <w:tr w:rsidR="00743334" w:rsidRPr="00834CDC" w14:paraId="47426278" w14:textId="77777777" w:rsidTr="00154D8F">
        <w:trPr>
          <w:cnfStyle w:val="000000010000" w:firstRow="0" w:lastRow="0" w:firstColumn="0" w:lastColumn="0" w:oddVBand="0" w:evenVBand="0" w:oddHBand="0" w:evenHBand="1" w:firstRowFirstColumn="0" w:firstRowLastColumn="0" w:lastRowFirstColumn="0" w:lastRowLastColumn="0"/>
          <w:divId w:val="1988506822"/>
        </w:trPr>
        <w:tc>
          <w:tcPr>
            <w:tcW w:w="2977" w:type="dxa"/>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7884F9DB" w14:textId="77777777" w:rsidR="00743334" w:rsidRPr="00834CDC" w:rsidRDefault="00743334" w:rsidP="00B579B4">
            <w:pPr>
              <w:pStyle w:val="NormalWeb"/>
              <w:jc w:val="left"/>
              <w:rPr>
                <w:sz w:val="18"/>
                <w:szCs w:val="18"/>
              </w:rPr>
            </w:pPr>
            <w:r w:rsidRPr="00834CDC">
              <w:rPr>
                <w:sz w:val="18"/>
                <w:szCs w:val="18"/>
              </w:rPr>
              <w:t>Meningococcal ACWY</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20723049" w14:textId="77777777" w:rsidR="00743334" w:rsidRPr="00834CDC" w:rsidRDefault="00743334" w:rsidP="00B579B4">
            <w:pPr>
              <w:pStyle w:val="NormalWeb"/>
              <w:rPr>
                <w:sz w:val="18"/>
                <w:szCs w:val="18"/>
              </w:rPr>
            </w:pPr>
            <w:r w:rsidRPr="00834CDC">
              <w:rPr>
                <w:sz w:val="18"/>
                <w:szCs w:val="18"/>
              </w:rPr>
              <w:t>12 months</w:t>
            </w: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57B31F62" w14:textId="77777777" w:rsidR="00743334" w:rsidRPr="00834CDC" w:rsidRDefault="00743334" w:rsidP="00B579B4">
            <w:pPr>
              <w:pStyle w:val="NormalWeb"/>
              <w:rPr>
                <w:sz w:val="18"/>
                <w:szCs w:val="18"/>
              </w:rPr>
            </w:pPr>
            <w:r w:rsidRPr="00834CDC">
              <w:rPr>
                <w:sz w:val="18"/>
                <w:szCs w:val="18"/>
              </w:rPr>
              <w:t>24 months (dose 1)</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0DC7DBA8" w14:textId="77777777" w:rsidR="00743334" w:rsidRPr="00834CDC" w:rsidRDefault="00743334" w:rsidP="00B579B4">
            <w:pPr>
              <w:pStyle w:val="NormalWeb"/>
              <w:rPr>
                <w:sz w:val="18"/>
                <w:szCs w:val="18"/>
              </w:rPr>
            </w:pPr>
            <w:r w:rsidRPr="00834CDC">
              <w:rPr>
                <w:sz w:val="18"/>
                <w:szCs w:val="18"/>
              </w:rPr>
              <w:t>95.0</w:t>
            </w:r>
          </w:p>
        </w:tc>
      </w:tr>
      <w:tr w:rsidR="00E05BEB" w:rsidRPr="00834CDC" w14:paraId="369B2EA3" w14:textId="77777777" w:rsidTr="00154D8F">
        <w:trPr>
          <w:divId w:val="1988506822"/>
        </w:trPr>
        <w:tc>
          <w:tcPr>
            <w:tcW w:w="2977" w:type="dxa"/>
            <w:vMerge w:val="restart"/>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58C87666" w14:textId="77777777" w:rsidR="00743334" w:rsidRPr="00834CDC" w:rsidRDefault="00743334" w:rsidP="00B579B4">
            <w:pPr>
              <w:pStyle w:val="NormalWeb"/>
              <w:jc w:val="left"/>
              <w:rPr>
                <w:sz w:val="18"/>
                <w:szCs w:val="18"/>
              </w:rPr>
            </w:pPr>
            <w:r w:rsidRPr="00834CDC">
              <w:rPr>
                <w:sz w:val="18"/>
                <w:szCs w:val="18"/>
              </w:rPr>
              <w:t>13-valent pneumococcal conjugate</w:t>
            </w:r>
          </w:p>
        </w:tc>
        <w:tc>
          <w:tcPr>
            <w:tcW w:w="3969"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1D731AF9" w14:textId="77777777" w:rsidR="00743334" w:rsidRPr="00834CDC" w:rsidRDefault="00743334" w:rsidP="00B579B4">
            <w:pPr>
              <w:pStyle w:val="NormalWeb"/>
              <w:rPr>
                <w:sz w:val="18"/>
                <w:szCs w:val="18"/>
              </w:rPr>
            </w:pPr>
            <w:r w:rsidRPr="00834CDC">
              <w:rPr>
                <w:sz w:val="18"/>
                <w:szCs w:val="18"/>
              </w:rPr>
              <w:t>2 months, 4 months, 6 months, 12 months</w:t>
            </w: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63DE75DB" w14:textId="77777777" w:rsidR="00743334" w:rsidRPr="00834CDC" w:rsidRDefault="00743334" w:rsidP="00B579B4">
            <w:pPr>
              <w:pStyle w:val="NormalWeb"/>
              <w:rPr>
                <w:sz w:val="18"/>
                <w:szCs w:val="18"/>
              </w:rPr>
            </w:pPr>
            <w:r w:rsidRPr="00834CDC">
              <w:rPr>
                <w:sz w:val="18"/>
                <w:szCs w:val="18"/>
              </w:rPr>
              <w:t>12 months (dose 2 or 3)</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685C43A0" w14:textId="77777777" w:rsidR="00743334" w:rsidRPr="00834CDC" w:rsidRDefault="00743334" w:rsidP="00B579B4">
            <w:pPr>
              <w:pStyle w:val="NormalWeb"/>
              <w:rPr>
                <w:sz w:val="18"/>
                <w:szCs w:val="18"/>
              </w:rPr>
            </w:pPr>
            <w:r w:rsidRPr="00834CDC">
              <w:rPr>
                <w:sz w:val="18"/>
                <w:szCs w:val="18"/>
              </w:rPr>
              <w:t>97.0</w:t>
            </w:r>
          </w:p>
        </w:tc>
      </w:tr>
      <w:tr w:rsidR="00743334" w:rsidRPr="00834CDC" w14:paraId="0191C1E0" w14:textId="77777777" w:rsidTr="00154D8F">
        <w:trPr>
          <w:cnfStyle w:val="000000010000" w:firstRow="0" w:lastRow="0" w:firstColumn="0" w:lastColumn="0" w:oddVBand="0" w:evenVBand="0" w:oddHBand="0" w:evenHBand="1" w:firstRowFirstColumn="0" w:firstRowLastColumn="0" w:lastRowFirstColumn="0" w:lastRowLastColumn="0"/>
          <w:divId w:val="1988506822"/>
        </w:trPr>
        <w:tc>
          <w:tcPr>
            <w:tcW w:w="2977"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7A58F110" w14:textId="77777777" w:rsidR="00743334" w:rsidRPr="00834CDC" w:rsidRDefault="00743334" w:rsidP="00B579B4">
            <w:pPr>
              <w:jc w:val="left"/>
              <w:rPr>
                <w:sz w:val="18"/>
                <w:szCs w:val="18"/>
              </w:rPr>
            </w:pPr>
          </w:p>
        </w:tc>
        <w:tc>
          <w:tcPr>
            <w:tcW w:w="396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4124E873" w14:textId="77777777" w:rsidR="00743334" w:rsidRPr="00834CDC" w:rsidRDefault="00743334" w:rsidP="00B579B4">
            <w:pPr>
              <w:rPr>
                <w:sz w:val="18"/>
                <w:szCs w:val="18"/>
              </w:rPr>
            </w:pP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3FF66483" w14:textId="77777777" w:rsidR="00743334" w:rsidRPr="00834CDC" w:rsidRDefault="00743334" w:rsidP="00B579B4">
            <w:pPr>
              <w:pStyle w:val="NormalWeb"/>
              <w:rPr>
                <w:sz w:val="18"/>
                <w:szCs w:val="18"/>
              </w:rPr>
            </w:pPr>
            <w:r w:rsidRPr="00834CDC">
              <w:rPr>
                <w:sz w:val="18"/>
                <w:szCs w:val="18"/>
              </w:rPr>
              <w:t>24 months (dose 3)</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6A7ABC2C" w14:textId="77777777" w:rsidR="00743334" w:rsidRPr="00834CDC" w:rsidRDefault="00743334" w:rsidP="00B579B4">
            <w:pPr>
              <w:pStyle w:val="NormalWeb"/>
              <w:rPr>
                <w:sz w:val="18"/>
                <w:szCs w:val="18"/>
              </w:rPr>
            </w:pPr>
            <w:r w:rsidRPr="00834CDC">
              <w:rPr>
                <w:sz w:val="18"/>
                <w:szCs w:val="18"/>
              </w:rPr>
              <w:t>96.7</w:t>
            </w:r>
          </w:p>
        </w:tc>
      </w:tr>
      <w:tr w:rsidR="00E05BEB" w:rsidRPr="00834CDC" w14:paraId="1EC10B91" w14:textId="77777777" w:rsidTr="00154D8F">
        <w:trPr>
          <w:divId w:val="1988506822"/>
        </w:trPr>
        <w:tc>
          <w:tcPr>
            <w:tcW w:w="2977"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4FC75257" w14:textId="77777777" w:rsidR="00743334" w:rsidRPr="00834CDC" w:rsidRDefault="00743334" w:rsidP="00B579B4">
            <w:pPr>
              <w:jc w:val="left"/>
              <w:rPr>
                <w:sz w:val="18"/>
                <w:szCs w:val="18"/>
              </w:rPr>
            </w:pPr>
          </w:p>
        </w:tc>
        <w:tc>
          <w:tcPr>
            <w:tcW w:w="396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2CAEB4A4" w14:textId="77777777" w:rsidR="00743334" w:rsidRPr="00834CDC" w:rsidRDefault="00743334" w:rsidP="00B579B4">
            <w:pPr>
              <w:rPr>
                <w:sz w:val="18"/>
                <w:szCs w:val="18"/>
              </w:rPr>
            </w:pP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4554BF22" w14:textId="77777777" w:rsidR="00743334" w:rsidRPr="00834CDC" w:rsidRDefault="00743334" w:rsidP="00B579B4">
            <w:pPr>
              <w:pStyle w:val="NormalWeb"/>
              <w:rPr>
                <w:sz w:val="18"/>
                <w:szCs w:val="18"/>
              </w:rPr>
            </w:pPr>
            <w:r w:rsidRPr="00834CDC">
              <w:rPr>
                <w:sz w:val="18"/>
                <w:szCs w:val="18"/>
              </w:rPr>
              <w:t>30 months (dose 4)</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5F356719" w14:textId="77777777" w:rsidR="00743334" w:rsidRPr="00834CDC" w:rsidRDefault="00743334" w:rsidP="00B579B4">
            <w:pPr>
              <w:pStyle w:val="NormalWeb"/>
              <w:rPr>
                <w:sz w:val="18"/>
                <w:szCs w:val="18"/>
              </w:rPr>
            </w:pPr>
            <w:r w:rsidRPr="00834CDC">
              <w:rPr>
                <w:sz w:val="18"/>
                <w:szCs w:val="18"/>
              </w:rPr>
              <w:t>62.0</w:t>
            </w:r>
          </w:p>
        </w:tc>
      </w:tr>
      <w:tr w:rsidR="00743334" w:rsidRPr="00834CDC" w14:paraId="725DD8B4" w14:textId="77777777" w:rsidTr="00154D8F">
        <w:trPr>
          <w:cnfStyle w:val="000000010000" w:firstRow="0" w:lastRow="0" w:firstColumn="0" w:lastColumn="0" w:oddVBand="0" w:evenVBand="0" w:oddHBand="0" w:evenHBand="1" w:firstRowFirstColumn="0" w:firstRowLastColumn="0" w:lastRowFirstColumn="0" w:lastRowLastColumn="0"/>
          <w:divId w:val="1988506822"/>
        </w:trPr>
        <w:tc>
          <w:tcPr>
            <w:tcW w:w="2977" w:type="dxa"/>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6EE57936" w14:textId="77777777" w:rsidR="00743334" w:rsidRPr="00834CDC" w:rsidRDefault="00743334" w:rsidP="00B579B4">
            <w:pPr>
              <w:pStyle w:val="NormalWeb"/>
              <w:jc w:val="left"/>
              <w:rPr>
                <w:sz w:val="18"/>
                <w:szCs w:val="18"/>
              </w:rPr>
            </w:pPr>
            <w:r w:rsidRPr="00834CDC">
              <w:rPr>
                <w:sz w:val="18"/>
                <w:szCs w:val="18"/>
              </w:rPr>
              <w:t>Rotavirus</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74680E04" w14:textId="77777777" w:rsidR="00743334" w:rsidRPr="00834CDC" w:rsidRDefault="00743334" w:rsidP="00B579B4">
            <w:pPr>
              <w:pStyle w:val="NormalWeb"/>
              <w:rPr>
                <w:sz w:val="18"/>
                <w:szCs w:val="18"/>
              </w:rPr>
            </w:pPr>
            <w:r w:rsidRPr="00834CDC">
              <w:rPr>
                <w:sz w:val="18"/>
                <w:szCs w:val="18"/>
              </w:rPr>
              <w:t>2 months, 4 months</w:t>
            </w: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56EEA3F7" w14:textId="77777777" w:rsidR="00743334" w:rsidRPr="00834CDC" w:rsidRDefault="00743334" w:rsidP="00B579B4">
            <w:pPr>
              <w:pStyle w:val="NormalWeb"/>
              <w:rPr>
                <w:sz w:val="18"/>
                <w:szCs w:val="18"/>
              </w:rPr>
            </w:pPr>
            <w:r w:rsidRPr="00834CDC">
              <w:rPr>
                <w:sz w:val="18"/>
                <w:szCs w:val="18"/>
              </w:rPr>
              <w:t>12 months (dose 2)</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1C1525F5" w14:textId="77777777" w:rsidR="00743334" w:rsidRPr="00834CDC" w:rsidRDefault="00743334" w:rsidP="00B579B4">
            <w:pPr>
              <w:pStyle w:val="NormalWeb"/>
              <w:rPr>
                <w:sz w:val="18"/>
                <w:szCs w:val="18"/>
              </w:rPr>
            </w:pPr>
            <w:r w:rsidRPr="00834CDC">
              <w:rPr>
                <w:sz w:val="18"/>
                <w:szCs w:val="18"/>
              </w:rPr>
              <w:t>87.3</w:t>
            </w:r>
          </w:p>
        </w:tc>
      </w:tr>
      <w:tr w:rsidR="00E05BEB" w:rsidRPr="00834CDC" w14:paraId="208D1E8B" w14:textId="77777777" w:rsidTr="00154D8F">
        <w:trPr>
          <w:divId w:val="1988506822"/>
        </w:trPr>
        <w:tc>
          <w:tcPr>
            <w:tcW w:w="2977" w:type="dxa"/>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154F7425" w14:textId="6C413089" w:rsidR="00743334" w:rsidRPr="00834CDC" w:rsidRDefault="00743334" w:rsidP="00B579B4">
            <w:pPr>
              <w:pStyle w:val="NormalWeb"/>
              <w:jc w:val="left"/>
              <w:rPr>
                <w:sz w:val="18"/>
                <w:szCs w:val="18"/>
              </w:rPr>
            </w:pPr>
            <w:r w:rsidRPr="00834CDC">
              <w:rPr>
                <w:sz w:val="18"/>
                <w:szCs w:val="18"/>
              </w:rPr>
              <w:t>Hepatitis A</w:t>
            </w:r>
            <w:r w:rsidR="00B579B4" w:rsidRPr="00834CDC">
              <w:rPr>
                <w:sz w:val="18"/>
                <w:szCs w:val="18"/>
              </w:rPr>
              <w:t xml:space="preserve"> </w:t>
            </w:r>
            <w:r w:rsidRPr="00834CDC">
              <w:rPr>
                <w:sz w:val="18"/>
                <w:szCs w:val="18"/>
                <w:vertAlign w:val="superscript"/>
              </w:rPr>
              <w:t>b</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24276192" w14:textId="77777777" w:rsidR="00743334" w:rsidRPr="00834CDC" w:rsidRDefault="00743334" w:rsidP="00B579B4">
            <w:pPr>
              <w:pStyle w:val="NormalWeb"/>
              <w:rPr>
                <w:sz w:val="18"/>
                <w:szCs w:val="18"/>
              </w:rPr>
            </w:pPr>
            <w:r w:rsidRPr="00834CDC">
              <w:rPr>
                <w:sz w:val="18"/>
                <w:szCs w:val="18"/>
              </w:rPr>
              <w:t>12 months, 18 months</w:t>
            </w: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15D6E560" w14:textId="77777777" w:rsidR="00743334" w:rsidRPr="00834CDC" w:rsidRDefault="00743334" w:rsidP="00B579B4">
            <w:pPr>
              <w:pStyle w:val="NormalWeb"/>
              <w:rPr>
                <w:sz w:val="18"/>
                <w:szCs w:val="18"/>
              </w:rPr>
            </w:pPr>
            <w:r w:rsidRPr="00834CDC">
              <w:rPr>
                <w:sz w:val="18"/>
                <w:szCs w:val="18"/>
              </w:rPr>
              <w:t>30 months (dose 2)</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702A445A" w14:textId="77777777" w:rsidR="00743334" w:rsidRPr="00834CDC" w:rsidRDefault="00743334" w:rsidP="00B579B4">
            <w:pPr>
              <w:pStyle w:val="NormalWeb"/>
              <w:rPr>
                <w:sz w:val="18"/>
                <w:szCs w:val="18"/>
              </w:rPr>
            </w:pPr>
            <w:r w:rsidRPr="00834CDC">
              <w:rPr>
                <w:sz w:val="18"/>
                <w:szCs w:val="18"/>
              </w:rPr>
              <w:t>72.2</w:t>
            </w:r>
          </w:p>
        </w:tc>
      </w:tr>
      <w:tr w:rsidR="00743334" w:rsidRPr="00834CDC" w14:paraId="120627FE" w14:textId="77777777" w:rsidTr="00B579B4">
        <w:trPr>
          <w:cnfStyle w:val="000000010000" w:firstRow="0" w:lastRow="0" w:firstColumn="0" w:lastColumn="0" w:oddVBand="0" w:evenVBand="0" w:oddHBand="0" w:evenHBand="1" w:firstRowFirstColumn="0" w:firstRowLastColumn="0" w:lastRowFirstColumn="0" w:lastRowLastColumn="0"/>
          <w:divId w:val="1988506822"/>
        </w:trPr>
        <w:tc>
          <w:tcPr>
            <w:tcW w:w="0" w:type="auto"/>
            <w:gridSpan w:val="4"/>
            <w:tcBorders>
              <w:top w:val="single" w:sz="6" w:space="0" w:color="808080" w:themeColor="background1" w:themeShade="80"/>
              <w:left w:val="single" w:sz="2" w:space="0" w:color="808080" w:themeColor="background1" w:themeShade="80"/>
              <w:bottom w:val="single" w:sz="6" w:space="0" w:color="808080" w:themeColor="background1" w:themeShade="80"/>
              <w:right w:val="single" w:sz="2" w:space="0" w:color="808080" w:themeColor="background1" w:themeShade="80"/>
            </w:tcBorders>
            <w:shd w:val="clear" w:color="auto" w:fill="BBA991"/>
            <w:vAlign w:val="top"/>
            <w:hideMark/>
          </w:tcPr>
          <w:p w14:paraId="60D9790F" w14:textId="77777777" w:rsidR="00743334" w:rsidRPr="00834CDC" w:rsidRDefault="00743334" w:rsidP="00B579B4">
            <w:pPr>
              <w:pStyle w:val="NormalWeb"/>
              <w:jc w:val="left"/>
              <w:rPr>
                <w:b/>
                <w:bCs/>
                <w:sz w:val="18"/>
                <w:szCs w:val="18"/>
              </w:rPr>
            </w:pPr>
            <w:r w:rsidRPr="00834CDC">
              <w:rPr>
                <w:b/>
                <w:bCs/>
                <w:sz w:val="18"/>
                <w:szCs w:val="18"/>
              </w:rPr>
              <w:t>Adolescents (</w:t>
            </w:r>
            <w:proofErr w:type="gramStart"/>
            <w:r w:rsidRPr="00834CDC">
              <w:rPr>
                <w:b/>
                <w:bCs/>
                <w:sz w:val="18"/>
                <w:szCs w:val="18"/>
              </w:rPr>
              <w:t>predominantly via</w:t>
            </w:r>
            <w:proofErr w:type="gramEnd"/>
            <w:r w:rsidRPr="00834CDC">
              <w:rPr>
                <w:b/>
                <w:bCs/>
                <w:sz w:val="18"/>
                <w:szCs w:val="18"/>
              </w:rPr>
              <w:t xml:space="preserve"> school programs)</w:t>
            </w:r>
          </w:p>
        </w:tc>
      </w:tr>
      <w:tr w:rsidR="00E05BEB" w:rsidRPr="00834CDC" w14:paraId="6F7571FC" w14:textId="77777777" w:rsidTr="00154D8F">
        <w:trPr>
          <w:divId w:val="1988506822"/>
        </w:trPr>
        <w:tc>
          <w:tcPr>
            <w:tcW w:w="2977" w:type="dxa"/>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1138F233" w14:textId="77777777" w:rsidR="00743334" w:rsidRPr="00834CDC" w:rsidRDefault="00743334" w:rsidP="00B579B4">
            <w:pPr>
              <w:pStyle w:val="NormalWeb"/>
              <w:jc w:val="left"/>
              <w:rPr>
                <w:sz w:val="18"/>
                <w:szCs w:val="18"/>
              </w:rPr>
            </w:pPr>
            <w:r w:rsidRPr="00834CDC">
              <w:rPr>
                <w:sz w:val="18"/>
                <w:szCs w:val="18"/>
              </w:rPr>
              <w:t>HPV</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50B04779" w14:textId="77777777" w:rsidR="00743334" w:rsidRPr="00834CDC" w:rsidRDefault="00743334" w:rsidP="00B579B4">
            <w:pPr>
              <w:pStyle w:val="NormalWeb"/>
              <w:rPr>
                <w:sz w:val="18"/>
                <w:szCs w:val="18"/>
              </w:rPr>
            </w:pPr>
            <w:r w:rsidRPr="00834CDC">
              <w:rPr>
                <w:sz w:val="18"/>
                <w:szCs w:val="18"/>
              </w:rPr>
              <w:t>12 –&lt; 15 years</w:t>
            </w: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06C64EAE" w14:textId="447DEF58" w:rsidR="00743334" w:rsidRPr="00834CDC" w:rsidRDefault="00743334" w:rsidP="00B579B4">
            <w:pPr>
              <w:pStyle w:val="NormalWeb"/>
              <w:rPr>
                <w:sz w:val="18"/>
                <w:szCs w:val="18"/>
              </w:rPr>
            </w:pPr>
            <w:r w:rsidRPr="00834CDC">
              <w:rPr>
                <w:sz w:val="18"/>
                <w:szCs w:val="18"/>
              </w:rPr>
              <w:t>15 years (dose 1)</w:t>
            </w:r>
            <w:r w:rsidR="00E05BEB" w:rsidRPr="00834CDC">
              <w:rPr>
                <w:sz w:val="18"/>
                <w:szCs w:val="18"/>
              </w:rPr>
              <w:br/>
            </w:r>
            <w:r w:rsidRPr="00834CDC">
              <w:rPr>
                <w:sz w:val="18"/>
                <w:szCs w:val="18"/>
              </w:rPr>
              <w:t>15 years (dose 2)</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721A211E" w14:textId="134CECAF" w:rsidR="00743334" w:rsidRPr="00834CDC" w:rsidRDefault="00743334" w:rsidP="00B579B4">
            <w:pPr>
              <w:pStyle w:val="NormalWeb"/>
              <w:rPr>
                <w:sz w:val="18"/>
                <w:szCs w:val="18"/>
              </w:rPr>
            </w:pPr>
            <w:r w:rsidRPr="00834CDC">
              <w:rPr>
                <w:sz w:val="18"/>
                <w:szCs w:val="18"/>
              </w:rPr>
              <w:t>87.8 (girls)</w:t>
            </w:r>
            <w:r w:rsidR="00E05BEB" w:rsidRPr="00834CDC">
              <w:rPr>
                <w:sz w:val="18"/>
                <w:szCs w:val="18"/>
              </w:rPr>
              <w:br/>
            </w:r>
            <w:r w:rsidRPr="00834CDC">
              <w:rPr>
                <w:sz w:val="18"/>
                <w:szCs w:val="18"/>
              </w:rPr>
              <w:t>83.0 (boys)</w:t>
            </w:r>
            <w:r w:rsidR="00E05BEB" w:rsidRPr="00834CDC">
              <w:rPr>
                <w:sz w:val="18"/>
                <w:szCs w:val="18"/>
              </w:rPr>
              <w:br/>
            </w:r>
            <w:r w:rsidRPr="00834CDC">
              <w:rPr>
                <w:sz w:val="18"/>
                <w:szCs w:val="18"/>
              </w:rPr>
              <w:t>77.9 (girls)</w:t>
            </w:r>
            <w:r w:rsidR="00E05BEB" w:rsidRPr="00834CDC">
              <w:rPr>
                <w:sz w:val="18"/>
                <w:szCs w:val="18"/>
              </w:rPr>
              <w:br/>
            </w:r>
            <w:r w:rsidRPr="00834CDC">
              <w:rPr>
                <w:sz w:val="18"/>
                <w:szCs w:val="18"/>
              </w:rPr>
              <w:t>71.8 (boys)</w:t>
            </w:r>
          </w:p>
        </w:tc>
      </w:tr>
      <w:tr w:rsidR="00743334" w:rsidRPr="00834CDC" w14:paraId="1D4DF8E9" w14:textId="77777777" w:rsidTr="00154D8F">
        <w:trPr>
          <w:cnfStyle w:val="000000010000" w:firstRow="0" w:lastRow="0" w:firstColumn="0" w:lastColumn="0" w:oddVBand="0" w:evenVBand="0" w:oddHBand="0" w:evenHBand="1" w:firstRowFirstColumn="0" w:firstRowLastColumn="0" w:lastRowFirstColumn="0" w:lastRowLastColumn="0"/>
          <w:divId w:val="1988506822"/>
        </w:trPr>
        <w:tc>
          <w:tcPr>
            <w:tcW w:w="2977" w:type="dxa"/>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07A2B494" w14:textId="77777777" w:rsidR="00743334" w:rsidRPr="00834CDC" w:rsidRDefault="00743334" w:rsidP="00B579B4">
            <w:pPr>
              <w:pStyle w:val="NormalWeb"/>
              <w:jc w:val="left"/>
              <w:rPr>
                <w:sz w:val="18"/>
                <w:szCs w:val="18"/>
              </w:rPr>
            </w:pPr>
            <w:r w:rsidRPr="00834CDC">
              <w:rPr>
                <w:sz w:val="18"/>
                <w:szCs w:val="18"/>
              </w:rPr>
              <w:t>Meningococcal ACWY</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07F65821" w14:textId="77777777" w:rsidR="00743334" w:rsidRPr="00834CDC" w:rsidRDefault="00743334" w:rsidP="00B579B4">
            <w:pPr>
              <w:pStyle w:val="NormalWeb"/>
              <w:rPr>
                <w:sz w:val="18"/>
                <w:szCs w:val="18"/>
              </w:rPr>
            </w:pPr>
            <w:r w:rsidRPr="00834CDC">
              <w:rPr>
                <w:sz w:val="18"/>
                <w:szCs w:val="18"/>
              </w:rPr>
              <w:t>14 –&lt; 16 years</w:t>
            </w: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109F8C9C" w14:textId="77777777" w:rsidR="00743334" w:rsidRPr="00834CDC" w:rsidRDefault="00743334" w:rsidP="00B579B4">
            <w:pPr>
              <w:pStyle w:val="NormalWeb"/>
              <w:rPr>
                <w:sz w:val="18"/>
                <w:szCs w:val="18"/>
              </w:rPr>
            </w:pPr>
            <w:r w:rsidRPr="00834CDC">
              <w:rPr>
                <w:sz w:val="18"/>
                <w:szCs w:val="18"/>
              </w:rPr>
              <w:t>16 years</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53E1ED00" w14:textId="77777777" w:rsidR="00743334" w:rsidRPr="00834CDC" w:rsidRDefault="00743334" w:rsidP="00B579B4">
            <w:pPr>
              <w:pStyle w:val="NormalWeb"/>
              <w:rPr>
                <w:sz w:val="18"/>
                <w:szCs w:val="18"/>
              </w:rPr>
            </w:pPr>
            <w:r w:rsidRPr="00834CDC">
              <w:rPr>
                <w:sz w:val="18"/>
                <w:szCs w:val="18"/>
              </w:rPr>
              <w:t>66.1</w:t>
            </w:r>
          </w:p>
        </w:tc>
      </w:tr>
      <w:tr w:rsidR="00743334" w:rsidRPr="00834CDC" w14:paraId="2A0173D4" w14:textId="77777777" w:rsidTr="00B579B4">
        <w:trPr>
          <w:divId w:val="1988506822"/>
        </w:trPr>
        <w:tc>
          <w:tcPr>
            <w:tcW w:w="0" w:type="auto"/>
            <w:gridSpan w:val="4"/>
            <w:tcBorders>
              <w:top w:val="single" w:sz="6" w:space="0" w:color="808080" w:themeColor="background1" w:themeShade="80"/>
              <w:left w:val="single" w:sz="2"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5352C94D" w14:textId="77777777" w:rsidR="00743334" w:rsidRPr="00834CDC" w:rsidRDefault="00743334" w:rsidP="00B579B4">
            <w:pPr>
              <w:pStyle w:val="NormalWeb"/>
              <w:jc w:val="left"/>
              <w:rPr>
                <w:b/>
                <w:bCs/>
                <w:sz w:val="18"/>
                <w:szCs w:val="18"/>
              </w:rPr>
            </w:pPr>
            <w:r w:rsidRPr="00834CDC">
              <w:rPr>
                <w:b/>
                <w:bCs/>
                <w:sz w:val="18"/>
                <w:szCs w:val="18"/>
              </w:rPr>
              <w:t>Adults</w:t>
            </w:r>
          </w:p>
        </w:tc>
      </w:tr>
      <w:tr w:rsidR="00743334" w:rsidRPr="00834CDC" w14:paraId="69BE08AF" w14:textId="77777777" w:rsidTr="00154D8F">
        <w:trPr>
          <w:cnfStyle w:val="000000010000" w:firstRow="0" w:lastRow="0" w:firstColumn="0" w:lastColumn="0" w:oddVBand="0" w:evenVBand="0" w:oddHBand="0" w:evenHBand="1" w:firstRowFirstColumn="0" w:firstRowLastColumn="0" w:lastRowFirstColumn="0" w:lastRowLastColumn="0"/>
          <w:divId w:val="1988506822"/>
        </w:trPr>
        <w:tc>
          <w:tcPr>
            <w:tcW w:w="2977" w:type="dxa"/>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14C5523A" w14:textId="77777777" w:rsidR="00743334" w:rsidRPr="00834CDC" w:rsidRDefault="00743334" w:rsidP="00B579B4">
            <w:pPr>
              <w:pStyle w:val="NormalWeb"/>
              <w:jc w:val="left"/>
              <w:rPr>
                <w:sz w:val="18"/>
                <w:szCs w:val="18"/>
              </w:rPr>
            </w:pPr>
            <w:r w:rsidRPr="00834CDC">
              <w:rPr>
                <w:sz w:val="18"/>
                <w:szCs w:val="18"/>
              </w:rPr>
              <w:t>Herpes zoster</w:t>
            </w:r>
          </w:p>
        </w:tc>
        <w:tc>
          <w:tcPr>
            <w:tcW w:w="396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70F0361C" w14:textId="77777777" w:rsidR="00743334" w:rsidRPr="00834CDC" w:rsidRDefault="00743334" w:rsidP="00B579B4">
            <w:pPr>
              <w:pStyle w:val="NormalWeb"/>
              <w:rPr>
                <w:sz w:val="18"/>
                <w:szCs w:val="18"/>
              </w:rPr>
            </w:pPr>
            <w:r w:rsidRPr="00834CDC">
              <w:rPr>
                <w:sz w:val="18"/>
                <w:szCs w:val="18"/>
              </w:rPr>
              <w:t>70 years</w:t>
            </w:r>
          </w:p>
        </w:tc>
        <w:tc>
          <w:tcPr>
            <w:tcW w:w="19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top"/>
            <w:hideMark/>
          </w:tcPr>
          <w:p w14:paraId="4A58D578" w14:textId="77777777" w:rsidR="00743334" w:rsidRPr="00834CDC" w:rsidRDefault="00743334" w:rsidP="00B579B4">
            <w:pPr>
              <w:pStyle w:val="NormalWeb"/>
              <w:rPr>
                <w:sz w:val="18"/>
                <w:szCs w:val="18"/>
              </w:rPr>
            </w:pPr>
            <w:r w:rsidRPr="00834CDC">
              <w:rPr>
                <w:sz w:val="18"/>
                <w:szCs w:val="18"/>
              </w:rPr>
              <w:t>71 years</w:t>
            </w:r>
          </w:p>
        </w:tc>
        <w:tc>
          <w:tcPr>
            <w:tcW w:w="15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4D023BD4" w14:textId="77777777" w:rsidR="00743334" w:rsidRPr="00834CDC" w:rsidRDefault="00743334" w:rsidP="00B579B4">
            <w:pPr>
              <w:pStyle w:val="NormalWeb"/>
              <w:rPr>
                <w:sz w:val="18"/>
                <w:szCs w:val="18"/>
              </w:rPr>
            </w:pPr>
            <w:r w:rsidRPr="00834CDC">
              <w:rPr>
                <w:sz w:val="18"/>
                <w:szCs w:val="18"/>
              </w:rPr>
              <w:t>33.2</w:t>
            </w:r>
          </w:p>
        </w:tc>
      </w:tr>
      <w:tr w:rsidR="00743334" w:rsidRPr="00834CDC" w14:paraId="10B2925F" w14:textId="77777777" w:rsidTr="00B579B4">
        <w:trPr>
          <w:divId w:val="1988506822"/>
        </w:trPr>
        <w:tc>
          <w:tcPr>
            <w:tcW w:w="0" w:type="auto"/>
            <w:gridSpan w:val="4"/>
            <w:tcBorders>
              <w:top w:val="single" w:sz="6" w:space="0" w:color="808080" w:themeColor="background1" w:themeShade="80"/>
              <w:left w:val="single" w:sz="2" w:space="0" w:color="808080" w:themeColor="background1" w:themeShade="80"/>
              <w:bottom w:val="single" w:sz="6" w:space="0" w:color="808080" w:themeColor="background1" w:themeShade="80"/>
              <w:right w:val="single" w:sz="2" w:space="0" w:color="808080" w:themeColor="background1" w:themeShade="80"/>
            </w:tcBorders>
            <w:shd w:val="clear" w:color="auto" w:fill="auto"/>
            <w:vAlign w:val="top"/>
            <w:hideMark/>
          </w:tcPr>
          <w:p w14:paraId="3A600528" w14:textId="77777777" w:rsidR="00743334" w:rsidRPr="00834CDC" w:rsidRDefault="00743334" w:rsidP="00B579B4">
            <w:pPr>
              <w:pStyle w:val="NormalWeb"/>
              <w:jc w:val="left"/>
              <w:rPr>
                <w:b/>
                <w:bCs/>
                <w:sz w:val="18"/>
                <w:szCs w:val="18"/>
              </w:rPr>
            </w:pPr>
            <w:r w:rsidRPr="00834CDC">
              <w:rPr>
                <w:b/>
                <w:bCs/>
                <w:sz w:val="18"/>
                <w:szCs w:val="18"/>
              </w:rPr>
              <w:t>Influenza vaccination – all ages</w:t>
            </w:r>
          </w:p>
        </w:tc>
      </w:tr>
      <w:tr w:rsidR="00743334" w:rsidRPr="00834CDC" w14:paraId="43632CA8" w14:textId="77777777" w:rsidTr="00154D8F">
        <w:trPr>
          <w:cnfStyle w:val="000000010000" w:firstRow="0" w:lastRow="0" w:firstColumn="0" w:lastColumn="0" w:oddVBand="0" w:evenVBand="0" w:oddHBand="0" w:evenHBand="1" w:firstRowFirstColumn="0" w:firstRowLastColumn="0" w:lastRowFirstColumn="0" w:lastRowLastColumn="0"/>
          <w:divId w:val="1988506822"/>
        </w:trPr>
        <w:tc>
          <w:tcPr>
            <w:tcW w:w="2977" w:type="dxa"/>
            <w:tcBorders>
              <w:top w:val="single" w:sz="6" w:space="0" w:color="808080" w:themeColor="background1" w:themeShade="80"/>
              <w:left w:val="single" w:sz="2" w:space="0" w:color="808080" w:themeColor="background1" w:themeShade="80"/>
              <w:bottom w:val="single" w:sz="2" w:space="0" w:color="808080" w:themeColor="background1" w:themeShade="80"/>
              <w:right w:val="single" w:sz="6" w:space="0" w:color="808080" w:themeColor="background1" w:themeShade="80"/>
            </w:tcBorders>
            <w:shd w:val="clear" w:color="auto" w:fill="auto"/>
            <w:vAlign w:val="top"/>
            <w:hideMark/>
          </w:tcPr>
          <w:p w14:paraId="2DA5FAE3" w14:textId="77777777" w:rsidR="00743334" w:rsidRPr="00834CDC" w:rsidRDefault="00743334" w:rsidP="00B579B4">
            <w:pPr>
              <w:pStyle w:val="NormalWeb"/>
              <w:jc w:val="left"/>
              <w:rPr>
                <w:sz w:val="18"/>
                <w:szCs w:val="18"/>
              </w:rPr>
            </w:pPr>
            <w:r w:rsidRPr="00834CDC">
              <w:rPr>
                <w:sz w:val="18"/>
                <w:szCs w:val="18"/>
              </w:rPr>
              <w:t>Influenza</w:t>
            </w:r>
          </w:p>
        </w:tc>
        <w:tc>
          <w:tcPr>
            <w:tcW w:w="3969" w:type="dxa"/>
            <w:tcBorders>
              <w:top w:val="single" w:sz="6" w:space="0" w:color="808080" w:themeColor="background1" w:themeShade="80"/>
              <w:left w:val="single" w:sz="6" w:space="0" w:color="808080" w:themeColor="background1" w:themeShade="80"/>
              <w:bottom w:val="single" w:sz="2" w:space="0" w:color="808080" w:themeColor="background1" w:themeShade="80"/>
              <w:right w:val="single" w:sz="6" w:space="0" w:color="808080" w:themeColor="background1" w:themeShade="80"/>
            </w:tcBorders>
            <w:shd w:val="clear" w:color="auto" w:fill="auto"/>
            <w:vAlign w:val="top"/>
            <w:hideMark/>
          </w:tcPr>
          <w:p w14:paraId="5396AF07" w14:textId="77777777" w:rsidR="00743334" w:rsidRPr="00834CDC" w:rsidRDefault="00743334" w:rsidP="00B579B4">
            <w:pPr>
              <w:pStyle w:val="NormalWeb"/>
              <w:rPr>
                <w:sz w:val="18"/>
                <w:szCs w:val="18"/>
              </w:rPr>
            </w:pPr>
            <w:r w:rsidRPr="00834CDC">
              <w:rPr>
                <w:sz w:val="18"/>
                <w:szCs w:val="18"/>
              </w:rPr>
              <w:t>Annual vaccination for all Aboriginal and Torres Strait Islander people aged ≥ 6 months</w:t>
            </w:r>
          </w:p>
        </w:tc>
        <w:tc>
          <w:tcPr>
            <w:tcW w:w="1985" w:type="dxa"/>
            <w:tcBorders>
              <w:top w:val="single" w:sz="6" w:space="0" w:color="808080" w:themeColor="background1" w:themeShade="80"/>
              <w:left w:val="single" w:sz="6" w:space="0" w:color="808080" w:themeColor="background1" w:themeShade="80"/>
              <w:bottom w:val="single" w:sz="2" w:space="0" w:color="808080" w:themeColor="background1" w:themeShade="80"/>
              <w:right w:val="single" w:sz="6" w:space="0" w:color="808080" w:themeColor="background1" w:themeShade="80"/>
            </w:tcBorders>
            <w:shd w:val="clear" w:color="auto" w:fill="auto"/>
            <w:vAlign w:val="top"/>
            <w:hideMark/>
          </w:tcPr>
          <w:p w14:paraId="4D715A7D" w14:textId="1636B956" w:rsidR="00743334" w:rsidRPr="00834CDC" w:rsidRDefault="00743334" w:rsidP="00B579B4">
            <w:pPr>
              <w:pStyle w:val="NormalWeb"/>
              <w:rPr>
                <w:sz w:val="18"/>
                <w:szCs w:val="18"/>
              </w:rPr>
            </w:pPr>
            <w:r w:rsidRPr="00834CDC">
              <w:rPr>
                <w:sz w:val="18"/>
                <w:szCs w:val="18"/>
              </w:rPr>
              <w:t>6 months to &lt; 5 years</w:t>
            </w:r>
            <w:r w:rsidR="00E05BEB" w:rsidRPr="00834CDC">
              <w:rPr>
                <w:sz w:val="18"/>
                <w:szCs w:val="18"/>
              </w:rPr>
              <w:br/>
            </w:r>
            <w:r w:rsidRPr="00834CDC">
              <w:rPr>
                <w:sz w:val="18"/>
                <w:szCs w:val="18"/>
              </w:rPr>
              <w:t>5 –&lt; 10 years</w:t>
            </w:r>
            <w:r w:rsidR="00E05BEB" w:rsidRPr="00834CDC">
              <w:rPr>
                <w:sz w:val="18"/>
                <w:szCs w:val="18"/>
              </w:rPr>
              <w:br/>
            </w:r>
            <w:r w:rsidRPr="00834CDC">
              <w:rPr>
                <w:sz w:val="18"/>
                <w:szCs w:val="18"/>
              </w:rPr>
              <w:t>10 –&lt; 15 years</w:t>
            </w:r>
            <w:r w:rsidR="00E05BEB" w:rsidRPr="00834CDC">
              <w:rPr>
                <w:sz w:val="18"/>
                <w:szCs w:val="18"/>
              </w:rPr>
              <w:br/>
            </w:r>
            <w:r w:rsidRPr="00834CDC">
              <w:rPr>
                <w:sz w:val="18"/>
                <w:szCs w:val="18"/>
              </w:rPr>
              <w:t>15 –&lt; 20 years</w:t>
            </w:r>
            <w:r w:rsidR="00E05BEB" w:rsidRPr="00834CDC">
              <w:rPr>
                <w:sz w:val="18"/>
                <w:szCs w:val="18"/>
              </w:rPr>
              <w:br/>
            </w:r>
            <w:r w:rsidRPr="00834CDC">
              <w:rPr>
                <w:sz w:val="18"/>
                <w:szCs w:val="18"/>
              </w:rPr>
              <w:t>20 –&lt; 50 years</w:t>
            </w:r>
            <w:r w:rsidR="00E05BEB" w:rsidRPr="00834CDC">
              <w:rPr>
                <w:sz w:val="18"/>
                <w:szCs w:val="18"/>
              </w:rPr>
              <w:br/>
            </w:r>
            <w:r w:rsidRPr="00834CDC">
              <w:rPr>
                <w:sz w:val="18"/>
                <w:szCs w:val="18"/>
              </w:rPr>
              <w:t>50 –&lt; 65 years</w:t>
            </w:r>
            <w:r w:rsidR="00E05BEB" w:rsidRPr="00834CDC">
              <w:rPr>
                <w:sz w:val="18"/>
                <w:szCs w:val="18"/>
              </w:rPr>
              <w:br/>
            </w:r>
            <w:r w:rsidRPr="00834CDC">
              <w:rPr>
                <w:sz w:val="18"/>
                <w:szCs w:val="18"/>
              </w:rPr>
              <w:t>65 –&lt; 75 years</w:t>
            </w:r>
            <w:r w:rsidR="00E05BEB" w:rsidRPr="00834CDC">
              <w:rPr>
                <w:sz w:val="18"/>
                <w:szCs w:val="18"/>
              </w:rPr>
              <w:br/>
            </w:r>
            <w:r w:rsidRPr="00834CDC">
              <w:rPr>
                <w:sz w:val="18"/>
                <w:szCs w:val="18"/>
              </w:rPr>
              <w:t>≥ 75 years</w:t>
            </w:r>
          </w:p>
        </w:tc>
        <w:tc>
          <w:tcPr>
            <w:tcW w:w="1535" w:type="dxa"/>
            <w:tcBorders>
              <w:top w:val="single" w:sz="6" w:space="0" w:color="808080" w:themeColor="background1" w:themeShade="80"/>
              <w:left w:val="single" w:sz="6"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3AB081E" w14:textId="17021378" w:rsidR="00743334" w:rsidRPr="00834CDC" w:rsidRDefault="00743334" w:rsidP="00B579B4">
            <w:pPr>
              <w:pStyle w:val="NormalWeb"/>
              <w:rPr>
                <w:sz w:val="18"/>
                <w:szCs w:val="18"/>
              </w:rPr>
            </w:pPr>
            <w:r w:rsidRPr="00834CDC">
              <w:rPr>
                <w:sz w:val="18"/>
                <w:szCs w:val="18"/>
              </w:rPr>
              <w:t>43.6</w:t>
            </w:r>
            <w:r w:rsidR="00E05BEB" w:rsidRPr="00834CDC">
              <w:rPr>
                <w:sz w:val="18"/>
                <w:szCs w:val="18"/>
              </w:rPr>
              <w:br/>
            </w:r>
            <w:r w:rsidRPr="00834CDC">
              <w:rPr>
                <w:sz w:val="18"/>
                <w:szCs w:val="18"/>
              </w:rPr>
              <w:t>32.3</w:t>
            </w:r>
            <w:r w:rsidR="00E05BEB" w:rsidRPr="00834CDC">
              <w:rPr>
                <w:sz w:val="18"/>
                <w:szCs w:val="18"/>
              </w:rPr>
              <w:br/>
            </w:r>
            <w:r w:rsidRPr="00834CDC">
              <w:rPr>
                <w:sz w:val="18"/>
                <w:szCs w:val="18"/>
              </w:rPr>
              <w:t>29.4</w:t>
            </w:r>
            <w:r w:rsidR="00E05BEB" w:rsidRPr="00834CDC">
              <w:rPr>
                <w:sz w:val="18"/>
                <w:szCs w:val="18"/>
              </w:rPr>
              <w:br/>
            </w:r>
            <w:r w:rsidRPr="00834CDC">
              <w:rPr>
                <w:sz w:val="18"/>
                <w:szCs w:val="18"/>
              </w:rPr>
              <w:t>27.3</w:t>
            </w:r>
            <w:r w:rsidR="00E05BEB" w:rsidRPr="00834CDC">
              <w:rPr>
                <w:sz w:val="18"/>
                <w:szCs w:val="18"/>
              </w:rPr>
              <w:br/>
            </w:r>
            <w:r w:rsidRPr="00834CDC">
              <w:rPr>
                <w:sz w:val="18"/>
                <w:szCs w:val="18"/>
              </w:rPr>
              <w:t>31.1</w:t>
            </w:r>
            <w:r w:rsidR="00E05BEB" w:rsidRPr="00834CDC">
              <w:rPr>
                <w:sz w:val="18"/>
                <w:szCs w:val="18"/>
              </w:rPr>
              <w:br/>
            </w:r>
            <w:r w:rsidRPr="00834CDC">
              <w:rPr>
                <w:sz w:val="18"/>
                <w:szCs w:val="18"/>
              </w:rPr>
              <w:t>52.7</w:t>
            </w:r>
            <w:r w:rsidR="00E05BEB" w:rsidRPr="00834CDC">
              <w:rPr>
                <w:sz w:val="18"/>
                <w:szCs w:val="18"/>
              </w:rPr>
              <w:br/>
            </w:r>
            <w:r w:rsidRPr="00834CDC">
              <w:rPr>
                <w:sz w:val="18"/>
                <w:szCs w:val="18"/>
              </w:rPr>
              <w:t>74.9</w:t>
            </w:r>
            <w:r w:rsidR="00E05BEB" w:rsidRPr="00834CDC">
              <w:rPr>
                <w:sz w:val="18"/>
                <w:szCs w:val="18"/>
              </w:rPr>
              <w:br/>
            </w:r>
            <w:r w:rsidRPr="00834CDC">
              <w:rPr>
                <w:sz w:val="18"/>
                <w:szCs w:val="18"/>
              </w:rPr>
              <w:t>83.5</w:t>
            </w:r>
          </w:p>
        </w:tc>
      </w:tr>
    </w:tbl>
    <w:p w14:paraId="7531E6F1" w14:textId="7969F897" w:rsidR="00D8059D" w:rsidRPr="00834CDC" w:rsidRDefault="00D8059D" w:rsidP="00D8059D">
      <w:pPr>
        <w:pStyle w:val="CDIfootnotes"/>
        <w:rPr>
          <w:rStyle w:val="A10"/>
          <w:rFonts w:cstheme="minorBidi"/>
          <w:color w:val="auto"/>
          <w:sz w:val="18"/>
        </w:rPr>
      </w:pPr>
      <w:r w:rsidRPr="00834CDC">
        <w:rPr>
          <w:rStyle w:val="A10"/>
          <w:rFonts w:cstheme="minorBidi"/>
          <w:color w:val="auto"/>
          <w:sz w:val="18"/>
        </w:rPr>
        <w:t>a</w:t>
      </w:r>
      <w:r w:rsidR="00F26779" w:rsidRPr="00834CDC">
        <w:rPr>
          <w:rStyle w:val="A10"/>
          <w:rFonts w:cstheme="minorBidi"/>
          <w:color w:val="auto"/>
          <w:sz w:val="18"/>
        </w:rPr>
        <w:tab/>
      </w:r>
      <w:r w:rsidRPr="00834CDC">
        <w:rPr>
          <w:rStyle w:val="A10"/>
          <w:rFonts w:cstheme="minorBidi"/>
          <w:color w:val="auto"/>
          <w:sz w:val="18"/>
        </w:rPr>
        <w:t>MMRV vaccine given at 18 months.</w:t>
      </w:r>
    </w:p>
    <w:p w14:paraId="243482B6" w14:textId="71FFB259" w:rsidR="008B5348" w:rsidRPr="00834CDC" w:rsidRDefault="00D8059D" w:rsidP="00D8059D">
      <w:pPr>
        <w:pStyle w:val="CDIfootnotes"/>
        <w:rPr>
          <w:rStyle w:val="A10"/>
        </w:rPr>
      </w:pPr>
      <w:r w:rsidRPr="00834CDC">
        <w:rPr>
          <w:rStyle w:val="A10"/>
          <w:rFonts w:cstheme="minorBidi"/>
          <w:color w:val="auto"/>
          <w:sz w:val="18"/>
        </w:rPr>
        <w:t>b</w:t>
      </w:r>
      <w:r w:rsidR="00F26779" w:rsidRPr="00834CDC">
        <w:rPr>
          <w:rStyle w:val="A10"/>
          <w:rFonts w:cstheme="minorBidi"/>
          <w:color w:val="auto"/>
          <w:sz w:val="18"/>
        </w:rPr>
        <w:tab/>
      </w:r>
      <w:r w:rsidRPr="00834CDC">
        <w:rPr>
          <w:rStyle w:val="A10"/>
          <w:rFonts w:cstheme="minorBidi"/>
          <w:color w:val="auto"/>
          <w:sz w:val="18"/>
        </w:rPr>
        <w:t xml:space="preserve">Aboriginal and Torres Strait Islander children only in the Northern Territory, Queensland, South </w:t>
      </w:r>
      <w:proofErr w:type="gramStart"/>
      <w:r w:rsidRPr="00834CDC">
        <w:rPr>
          <w:rStyle w:val="A10"/>
          <w:rFonts w:cstheme="minorBidi"/>
          <w:color w:val="auto"/>
          <w:sz w:val="18"/>
        </w:rPr>
        <w:t>Australia</w:t>
      </w:r>
      <w:proofErr w:type="gramEnd"/>
      <w:r w:rsidRPr="00834CDC">
        <w:rPr>
          <w:rStyle w:val="A10"/>
          <w:rFonts w:cstheme="minorBidi"/>
          <w:color w:val="auto"/>
          <w:sz w:val="18"/>
        </w:rPr>
        <w:t xml:space="preserve"> and Western Australia.</w:t>
      </w:r>
      <w:r w:rsidR="008B5348" w:rsidRPr="00834CDC">
        <w:rPr>
          <w:rStyle w:val="A10"/>
        </w:rPr>
        <w:br w:type="page"/>
      </w:r>
    </w:p>
    <w:p w14:paraId="0D873F36" w14:textId="77777777" w:rsidR="008B5348" w:rsidRPr="00834CDC" w:rsidRDefault="008B5348">
      <w:pPr>
        <w:rPr>
          <w:rStyle w:val="A10"/>
        </w:rPr>
        <w:sectPr w:rsidR="008B5348" w:rsidRPr="00834CDC" w:rsidSect="00513744">
          <w:footnotePr>
            <w:numFmt w:val="lowerRoman"/>
          </w:footnotePr>
          <w:pgSz w:w="11906" w:h="16838"/>
          <w:pgMar w:top="720" w:right="720" w:bottom="1134" w:left="720" w:header="709" w:footer="284" w:gutter="0"/>
          <w:cols w:space="708"/>
          <w:titlePg/>
          <w:docGrid w:linePitch="360"/>
        </w:sectPr>
      </w:pPr>
    </w:p>
    <w:p w14:paraId="1890ABD9" w14:textId="77777777" w:rsidR="000A5F42" w:rsidRPr="00834CDC" w:rsidRDefault="000A5F42" w:rsidP="000A5F42">
      <w:pPr>
        <w:pStyle w:val="NoSpacing"/>
        <w:rPr>
          <w:rFonts w:cstheme="minorHAnsi"/>
          <w:sz w:val="18"/>
          <w:szCs w:val="18"/>
        </w:rPr>
      </w:pPr>
      <w:r w:rsidRPr="00834CDC">
        <w:rPr>
          <w:rStyle w:val="Strong"/>
          <w:bCs w:val="0"/>
          <w:sz w:val="20"/>
        </w:rPr>
        <w:lastRenderedPageBreak/>
        <w:t>Communicable Diseases Intelligence</w:t>
      </w:r>
    </w:p>
    <w:p w14:paraId="011D6446" w14:textId="77777777" w:rsidR="000A5F42" w:rsidRPr="00834CDC" w:rsidRDefault="000A5F42" w:rsidP="000A5F42">
      <w:pPr>
        <w:pStyle w:val="NoSpacing"/>
        <w:rPr>
          <w:rFonts w:cstheme="minorHAnsi"/>
          <w:sz w:val="20"/>
          <w:szCs w:val="18"/>
        </w:rPr>
      </w:pPr>
      <w:r w:rsidRPr="00834CDC">
        <w:rPr>
          <w:rFonts w:cstheme="minorHAnsi"/>
          <w:sz w:val="20"/>
          <w:szCs w:val="18"/>
        </w:rPr>
        <w:t>ISSN: 2209-6051 Online</w:t>
      </w:r>
    </w:p>
    <w:p w14:paraId="5F9C8CFF" w14:textId="77777777" w:rsidR="000A5F42" w:rsidRPr="00834CDC" w:rsidRDefault="000A5F42" w:rsidP="000A5F42">
      <w:pPr>
        <w:pStyle w:val="NoSpacing"/>
        <w:rPr>
          <w:rStyle w:val="URI"/>
          <w:rFonts w:cstheme="minorHAnsi"/>
          <w:sz w:val="20"/>
          <w:szCs w:val="18"/>
        </w:rPr>
      </w:pPr>
    </w:p>
    <w:p w14:paraId="13D9FBFD" w14:textId="77777777" w:rsidR="000A5F42" w:rsidRPr="00834CDC" w:rsidRDefault="000A5F42" w:rsidP="000A5F42">
      <w:pPr>
        <w:pStyle w:val="NoSpacing"/>
        <w:rPr>
          <w:rStyle w:val="Strong"/>
          <w:rFonts w:cs="Calibri"/>
          <w:sz w:val="20"/>
          <w:szCs w:val="18"/>
        </w:rPr>
      </w:pPr>
      <w:r w:rsidRPr="00834CDC">
        <w:rPr>
          <w:rStyle w:val="Strong"/>
          <w:rFonts w:cs="Calibri"/>
          <w:b w:val="0"/>
          <w:bCs w:val="0"/>
          <w:sz w:val="20"/>
          <w:szCs w:val="18"/>
        </w:rPr>
        <w:t xml:space="preserve">Communicable Diseases Intelligence (CDI) is a peer-reviewed scientific journal published by the Office of Health Protection, </w:t>
      </w:r>
      <w:r w:rsidR="001723AC" w:rsidRPr="00834CDC">
        <w:rPr>
          <w:rStyle w:val="Strong"/>
          <w:rFonts w:cs="Calibri"/>
          <w:b w:val="0"/>
          <w:bCs w:val="0"/>
          <w:sz w:val="20"/>
          <w:szCs w:val="18"/>
        </w:rPr>
        <w:t xml:space="preserve">Department of </w:t>
      </w:r>
      <w:proofErr w:type="gramStart"/>
      <w:r w:rsidR="001723AC" w:rsidRPr="00834CDC">
        <w:rPr>
          <w:rStyle w:val="Strong"/>
          <w:rFonts w:cs="Calibri"/>
          <w:b w:val="0"/>
          <w:bCs w:val="0"/>
          <w:sz w:val="20"/>
          <w:szCs w:val="18"/>
        </w:rPr>
        <w:t>Health</w:t>
      </w:r>
      <w:proofErr w:type="gramEnd"/>
      <w:r w:rsidR="001723AC" w:rsidRPr="00834CDC">
        <w:rPr>
          <w:rStyle w:val="Strong"/>
          <w:rFonts w:cs="Calibri"/>
          <w:b w:val="0"/>
          <w:bCs w:val="0"/>
          <w:sz w:val="20"/>
          <w:szCs w:val="18"/>
        </w:rPr>
        <w:t xml:space="preserve"> and Aged Care</w:t>
      </w:r>
      <w:r w:rsidRPr="00834CDC">
        <w:rPr>
          <w:rStyle w:val="Strong"/>
          <w:rFonts w:cs="Calibri"/>
          <w:b w:val="0"/>
          <w:bCs w:val="0"/>
          <w:sz w:val="20"/>
          <w:szCs w:val="18"/>
        </w:rPr>
        <w:t xml:space="preserve">. The journal aims to </w:t>
      </w:r>
      <w:proofErr w:type="gramStart"/>
      <w:r w:rsidRPr="00834CDC">
        <w:rPr>
          <w:rStyle w:val="Strong"/>
          <w:rFonts w:cs="Calibri"/>
          <w:b w:val="0"/>
          <w:bCs w:val="0"/>
          <w:sz w:val="20"/>
          <w:szCs w:val="18"/>
        </w:rPr>
        <w:t>disseminate</w:t>
      </w:r>
      <w:proofErr w:type="gramEnd"/>
      <w:r w:rsidRPr="00834CDC">
        <w:rPr>
          <w:rStyle w:val="Strong"/>
          <w:rFonts w:cs="Calibri"/>
          <w:b w:val="0"/>
          <w:bCs w:val="0"/>
          <w:sz w:val="20"/>
          <w:szCs w:val="18"/>
        </w:rPr>
        <w:t xml:space="preserve"> information on the epidemiology, surveillance, prevention and control of communicable diseases of relevance to Australia.</w:t>
      </w:r>
    </w:p>
    <w:p w14:paraId="2CA4E6B0" w14:textId="77777777" w:rsidR="000A5F42" w:rsidRPr="00834CDC" w:rsidRDefault="000A5F42" w:rsidP="000A5F42">
      <w:pPr>
        <w:pStyle w:val="NoSpacing"/>
        <w:rPr>
          <w:rStyle w:val="Strong"/>
          <w:rFonts w:cstheme="minorHAnsi"/>
          <w:sz w:val="20"/>
          <w:szCs w:val="18"/>
        </w:rPr>
      </w:pPr>
    </w:p>
    <w:p w14:paraId="4D32B63E" w14:textId="519FC118" w:rsidR="000A5F42" w:rsidRPr="00834CDC" w:rsidRDefault="000A5F42" w:rsidP="000A5F42">
      <w:pPr>
        <w:pStyle w:val="NoSpacing"/>
        <w:rPr>
          <w:rFonts w:cstheme="minorHAnsi"/>
          <w:sz w:val="20"/>
          <w:szCs w:val="18"/>
        </w:rPr>
      </w:pPr>
      <w:r w:rsidRPr="00834CDC">
        <w:rPr>
          <w:rStyle w:val="Strong"/>
          <w:rFonts w:cstheme="minorHAnsi"/>
          <w:sz w:val="20"/>
          <w:szCs w:val="18"/>
        </w:rPr>
        <w:t xml:space="preserve">Editor: </w:t>
      </w:r>
      <w:r w:rsidR="00E638FD" w:rsidRPr="00834CDC">
        <w:rPr>
          <w:rFonts w:cstheme="minorHAnsi"/>
          <w:sz w:val="20"/>
          <w:szCs w:val="18"/>
        </w:rPr>
        <w:t>Emily Harper</w:t>
      </w:r>
    </w:p>
    <w:p w14:paraId="2D864D3A" w14:textId="77777777" w:rsidR="000A5F42" w:rsidRPr="00834CDC" w:rsidRDefault="000A5F42" w:rsidP="000A5F42">
      <w:pPr>
        <w:pStyle w:val="NoSpacing"/>
        <w:rPr>
          <w:rFonts w:cstheme="minorHAnsi"/>
          <w:sz w:val="20"/>
          <w:szCs w:val="18"/>
        </w:rPr>
      </w:pPr>
      <w:r w:rsidRPr="00834CDC">
        <w:rPr>
          <w:rStyle w:val="Strong"/>
          <w:rFonts w:cstheme="minorHAnsi"/>
          <w:sz w:val="20"/>
          <w:szCs w:val="18"/>
        </w:rPr>
        <w:t xml:space="preserve">Deputy Editor: </w:t>
      </w:r>
      <w:r w:rsidR="00C838F5" w:rsidRPr="00834CDC">
        <w:rPr>
          <w:rFonts w:cstheme="minorHAnsi"/>
          <w:sz w:val="20"/>
          <w:szCs w:val="18"/>
        </w:rPr>
        <w:t>Simon Petrie</w:t>
      </w:r>
    </w:p>
    <w:p w14:paraId="144D88B5" w14:textId="77777777" w:rsidR="000A5F42" w:rsidRPr="00834CDC" w:rsidRDefault="00967410" w:rsidP="000A5F42">
      <w:pPr>
        <w:pStyle w:val="NoSpacing"/>
        <w:rPr>
          <w:rFonts w:cstheme="minorHAnsi"/>
          <w:sz w:val="20"/>
          <w:szCs w:val="18"/>
        </w:rPr>
      </w:pPr>
      <w:r w:rsidRPr="00834CDC">
        <w:rPr>
          <w:rStyle w:val="Strong"/>
          <w:rFonts w:cstheme="minorHAnsi"/>
          <w:sz w:val="20"/>
          <w:szCs w:val="18"/>
        </w:rPr>
        <w:t>Design</w:t>
      </w:r>
      <w:r w:rsidR="000A5F42" w:rsidRPr="00834CDC">
        <w:rPr>
          <w:rStyle w:val="Strong"/>
          <w:rFonts w:cstheme="minorHAnsi"/>
          <w:sz w:val="20"/>
          <w:szCs w:val="18"/>
        </w:rPr>
        <w:t xml:space="preserve"> and Production: </w:t>
      </w:r>
      <w:r w:rsidR="000A5F42" w:rsidRPr="00834CDC">
        <w:rPr>
          <w:rFonts w:cstheme="minorHAnsi"/>
          <w:sz w:val="20"/>
          <w:szCs w:val="18"/>
        </w:rPr>
        <w:t>Kasra Yousefi</w:t>
      </w:r>
    </w:p>
    <w:p w14:paraId="7D824B09" w14:textId="77777777" w:rsidR="000A5F42" w:rsidRPr="00834CDC" w:rsidRDefault="000A5F42" w:rsidP="000A5F42">
      <w:pPr>
        <w:pStyle w:val="NoSpacing"/>
        <w:rPr>
          <w:rFonts w:cstheme="minorHAnsi"/>
          <w:b/>
          <w:bCs/>
          <w:sz w:val="20"/>
          <w:szCs w:val="18"/>
        </w:rPr>
      </w:pPr>
      <w:r w:rsidRPr="00834CDC">
        <w:rPr>
          <w:rStyle w:val="Strong"/>
          <w:rFonts w:cstheme="minorHAnsi"/>
          <w:sz w:val="20"/>
          <w:szCs w:val="18"/>
        </w:rPr>
        <w:t xml:space="preserve">Editorial Advisory Board: </w:t>
      </w:r>
      <w:r w:rsidR="00CF75DF" w:rsidRPr="00834CDC">
        <w:rPr>
          <w:rFonts w:cstheme="minorHAnsi"/>
          <w:sz w:val="20"/>
          <w:szCs w:val="18"/>
        </w:rPr>
        <w:t xml:space="preserve">David </w:t>
      </w:r>
      <w:proofErr w:type="spellStart"/>
      <w:r w:rsidR="00CF75DF" w:rsidRPr="00834CDC">
        <w:rPr>
          <w:rFonts w:cstheme="minorHAnsi"/>
          <w:sz w:val="20"/>
          <w:szCs w:val="18"/>
        </w:rPr>
        <w:t>Durrheim</w:t>
      </w:r>
      <w:proofErr w:type="spellEnd"/>
      <w:r w:rsidR="00CF75DF" w:rsidRPr="00834CDC">
        <w:rPr>
          <w:rFonts w:cstheme="minorHAnsi"/>
          <w:sz w:val="20"/>
          <w:szCs w:val="18"/>
        </w:rPr>
        <w:t xml:space="preserve">, Mark Ferson, Clare Huppatz, John Kaldor, Martyn Kirk, Meru </w:t>
      </w:r>
      <w:proofErr w:type="gramStart"/>
      <w:r w:rsidR="00CF75DF" w:rsidRPr="00834CDC">
        <w:rPr>
          <w:rFonts w:cstheme="minorHAnsi"/>
          <w:sz w:val="20"/>
          <w:szCs w:val="18"/>
        </w:rPr>
        <w:t>Sheel</w:t>
      </w:r>
      <w:proofErr w:type="gramEnd"/>
      <w:r w:rsidR="00CF75DF" w:rsidRPr="00834CDC">
        <w:rPr>
          <w:rFonts w:cstheme="minorHAnsi"/>
          <w:sz w:val="20"/>
          <w:szCs w:val="18"/>
        </w:rPr>
        <w:t xml:space="preserve"> and Steph Williams</w:t>
      </w:r>
    </w:p>
    <w:p w14:paraId="0A859CD2" w14:textId="77777777" w:rsidR="000A5F42" w:rsidRPr="00834CDC" w:rsidRDefault="000A5F42" w:rsidP="000A5F42">
      <w:pPr>
        <w:pStyle w:val="NoSpacing"/>
        <w:rPr>
          <w:rStyle w:val="Strong"/>
          <w:rFonts w:cstheme="minorHAnsi"/>
          <w:sz w:val="20"/>
          <w:szCs w:val="18"/>
        </w:rPr>
      </w:pPr>
    </w:p>
    <w:p w14:paraId="42DDE434" w14:textId="689AAF9B" w:rsidR="000A5F42" w:rsidRPr="00834CDC" w:rsidRDefault="000A5F42" w:rsidP="000A5F42">
      <w:pPr>
        <w:pStyle w:val="NoSpacing"/>
        <w:rPr>
          <w:rStyle w:val="URI"/>
          <w:rFonts w:cstheme="minorHAnsi"/>
          <w:sz w:val="20"/>
          <w:szCs w:val="18"/>
        </w:rPr>
      </w:pPr>
      <w:r w:rsidRPr="00834CDC">
        <w:rPr>
          <w:rStyle w:val="Strong"/>
          <w:rFonts w:cstheme="minorHAnsi"/>
          <w:sz w:val="20"/>
          <w:szCs w:val="18"/>
        </w:rPr>
        <w:t>Website</w:t>
      </w:r>
      <w:r w:rsidRPr="00834CDC">
        <w:rPr>
          <w:rFonts w:cstheme="minorHAnsi"/>
          <w:sz w:val="20"/>
          <w:szCs w:val="18"/>
        </w:rPr>
        <w:t xml:space="preserve">: </w:t>
      </w:r>
      <w:hyperlink r:id="rId42" w:tooltip="CDI website" w:history="1">
        <w:r w:rsidRPr="00834CDC">
          <w:rPr>
            <w:rStyle w:val="Hyperlink"/>
            <w:rFonts w:cstheme="minorHAnsi"/>
            <w:sz w:val="20"/>
            <w:szCs w:val="18"/>
          </w:rPr>
          <w:t>http://www.health.gov.au/cdi</w:t>
        </w:r>
      </w:hyperlink>
      <w:r w:rsidRPr="00834CDC">
        <w:rPr>
          <w:rStyle w:val="URI"/>
          <w:rFonts w:cstheme="minorHAnsi"/>
          <w:sz w:val="20"/>
          <w:szCs w:val="18"/>
        </w:rPr>
        <w:t xml:space="preserve"> </w:t>
      </w:r>
    </w:p>
    <w:p w14:paraId="55887668" w14:textId="77777777" w:rsidR="000A5F42" w:rsidRPr="00834CDC" w:rsidRDefault="000A5F42" w:rsidP="000A5F42">
      <w:pPr>
        <w:pStyle w:val="NoSpacing"/>
        <w:rPr>
          <w:rStyle w:val="Strong"/>
          <w:rFonts w:cstheme="minorHAnsi"/>
          <w:sz w:val="20"/>
          <w:szCs w:val="18"/>
        </w:rPr>
      </w:pPr>
    </w:p>
    <w:p w14:paraId="6F33539D" w14:textId="77777777" w:rsidR="000A5F42" w:rsidRPr="00834CDC" w:rsidRDefault="000A5F42" w:rsidP="00E54BBD">
      <w:pPr>
        <w:pStyle w:val="NoSpacing"/>
        <w:rPr>
          <w:rFonts w:cstheme="minorHAnsi"/>
          <w:sz w:val="20"/>
          <w:szCs w:val="18"/>
        </w:rPr>
      </w:pPr>
      <w:r w:rsidRPr="00834CDC">
        <w:rPr>
          <w:rStyle w:val="Strong"/>
          <w:rFonts w:cstheme="minorHAnsi"/>
          <w:sz w:val="20"/>
          <w:szCs w:val="18"/>
        </w:rPr>
        <w:t>Contacts</w:t>
      </w:r>
      <w:r w:rsidRPr="00834CDC">
        <w:rPr>
          <w:rStyle w:val="Strong"/>
          <w:rFonts w:cstheme="minorHAnsi"/>
          <w:sz w:val="20"/>
          <w:szCs w:val="18"/>
        </w:rPr>
        <w:br/>
      </w:r>
      <w:r w:rsidR="00E54BBD" w:rsidRPr="00834CDC">
        <w:rPr>
          <w:rFonts w:cstheme="minorHAnsi"/>
          <w:sz w:val="20"/>
          <w:szCs w:val="18"/>
        </w:rPr>
        <w:t xml:space="preserve">CDI </w:t>
      </w:r>
      <w:proofErr w:type="gramStart"/>
      <w:r w:rsidR="00E54BBD" w:rsidRPr="00834CDC">
        <w:rPr>
          <w:rFonts w:cstheme="minorHAnsi"/>
          <w:sz w:val="20"/>
          <w:szCs w:val="18"/>
        </w:rPr>
        <w:t>is produced</w:t>
      </w:r>
      <w:proofErr w:type="gramEnd"/>
      <w:r w:rsidR="00E54BBD" w:rsidRPr="00834CDC">
        <w:rPr>
          <w:rFonts w:cstheme="minorHAnsi"/>
          <w:sz w:val="20"/>
          <w:szCs w:val="18"/>
        </w:rPr>
        <w:t xml:space="preserve"> by</w:t>
      </w:r>
      <w:r w:rsidR="00F74958" w:rsidRPr="00834CDC">
        <w:rPr>
          <w:rFonts w:cstheme="minorHAnsi"/>
          <w:sz w:val="20"/>
          <w:szCs w:val="18"/>
        </w:rPr>
        <w:t xml:space="preserve"> the</w:t>
      </w:r>
      <w:r w:rsidR="00E54BBD" w:rsidRPr="00834CDC">
        <w:rPr>
          <w:rFonts w:cstheme="minorHAnsi"/>
          <w:sz w:val="20"/>
          <w:szCs w:val="18"/>
        </w:rPr>
        <w:t xml:space="preserve"> Office of Health Protection, Australian Government Department of Health</w:t>
      </w:r>
      <w:r w:rsidR="00AE0209" w:rsidRPr="00834CDC">
        <w:rPr>
          <w:rFonts w:cstheme="minorHAnsi"/>
          <w:sz w:val="20"/>
          <w:szCs w:val="18"/>
        </w:rPr>
        <w:t xml:space="preserve"> and Aged Care</w:t>
      </w:r>
      <w:r w:rsidR="00E54BBD" w:rsidRPr="00834CDC">
        <w:rPr>
          <w:rFonts w:cstheme="minorHAnsi"/>
          <w:sz w:val="20"/>
          <w:szCs w:val="18"/>
        </w:rPr>
        <w:t>, GPO Box 9848, (MDP 6) CANBERRA ACT 2601</w:t>
      </w:r>
    </w:p>
    <w:p w14:paraId="1F1B9417" w14:textId="77777777" w:rsidR="000A5F42" w:rsidRPr="00834CDC" w:rsidRDefault="000A5F42" w:rsidP="000A5F42">
      <w:pPr>
        <w:pStyle w:val="NoSpacing"/>
        <w:rPr>
          <w:rStyle w:val="Strong"/>
          <w:rFonts w:cstheme="minorHAnsi"/>
          <w:sz w:val="20"/>
          <w:szCs w:val="18"/>
        </w:rPr>
      </w:pPr>
    </w:p>
    <w:p w14:paraId="000CF91F" w14:textId="73DCBC74" w:rsidR="000A5F42" w:rsidRPr="00834CDC" w:rsidRDefault="000A5F42" w:rsidP="000A5F42">
      <w:pPr>
        <w:pStyle w:val="NoSpacing"/>
        <w:rPr>
          <w:rStyle w:val="URI"/>
          <w:rFonts w:cstheme="minorHAnsi"/>
          <w:sz w:val="20"/>
          <w:szCs w:val="18"/>
        </w:rPr>
      </w:pPr>
      <w:r w:rsidRPr="00834CDC">
        <w:rPr>
          <w:rStyle w:val="Strong"/>
          <w:rFonts w:cstheme="minorHAnsi"/>
          <w:sz w:val="20"/>
          <w:szCs w:val="18"/>
        </w:rPr>
        <w:t xml:space="preserve">Email: </w:t>
      </w:r>
      <w:hyperlink r:id="rId43" w:history="1">
        <w:r w:rsidRPr="00834CDC">
          <w:rPr>
            <w:rStyle w:val="Hyperlink"/>
            <w:rFonts w:cstheme="minorHAnsi"/>
            <w:sz w:val="20"/>
            <w:szCs w:val="18"/>
          </w:rPr>
          <w:t>cdi.editor@health.gov.au</w:t>
        </w:r>
      </w:hyperlink>
      <w:r w:rsidRPr="00834CDC">
        <w:rPr>
          <w:rStyle w:val="URI"/>
          <w:rFonts w:cstheme="minorHAnsi"/>
          <w:sz w:val="20"/>
          <w:szCs w:val="18"/>
        </w:rPr>
        <w:t xml:space="preserve"> </w:t>
      </w:r>
    </w:p>
    <w:p w14:paraId="0CBDC7AC" w14:textId="77777777" w:rsidR="000A5F42" w:rsidRPr="00834CDC" w:rsidRDefault="000A5F42" w:rsidP="000A5F42">
      <w:pPr>
        <w:pStyle w:val="NoSpacing"/>
        <w:rPr>
          <w:rStyle w:val="Strong"/>
          <w:rFonts w:cstheme="minorHAnsi"/>
          <w:sz w:val="20"/>
          <w:szCs w:val="18"/>
        </w:rPr>
      </w:pPr>
    </w:p>
    <w:p w14:paraId="67A1C7CF" w14:textId="04239BA9" w:rsidR="000A5F42" w:rsidRPr="00834CDC" w:rsidRDefault="000A5F42" w:rsidP="000A5F42">
      <w:pPr>
        <w:pStyle w:val="NoSpacing"/>
        <w:rPr>
          <w:rFonts w:cstheme="minorHAnsi"/>
          <w:sz w:val="20"/>
          <w:szCs w:val="18"/>
        </w:rPr>
      </w:pPr>
      <w:r w:rsidRPr="00834CDC">
        <w:rPr>
          <w:rStyle w:val="Strong"/>
          <w:rFonts w:cstheme="minorHAnsi"/>
          <w:sz w:val="20"/>
          <w:szCs w:val="18"/>
        </w:rPr>
        <w:t xml:space="preserve">Submit an </w:t>
      </w:r>
      <w:proofErr w:type="gramStart"/>
      <w:r w:rsidRPr="00834CDC">
        <w:rPr>
          <w:rStyle w:val="Strong"/>
          <w:rFonts w:cstheme="minorHAnsi"/>
          <w:sz w:val="20"/>
          <w:szCs w:val="18"/>
        </w:rPr>
        <w:t>Article</w:t>
      </w:r>
      <w:proofErr w:type="gramEnd"/>
      <w:r w:rsidRPr="00834CDC">
        <w:rPr>
          <w:rStyle w:val="Strong"/>
          <w:rFonts w:cstheme="minorHAnsi"/>
          <w:sz w:val="20"/>
          <w:szCs w:val="18"/>
        </w:rPr>
        <w:br/>
      </w:r>
      <w:r w:rsidRPr="00834CD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834CDC">
        <w:rPr>
          <w:rFonts w:cstheme="minorHAnsi"/>
          <w:sz w:val="20"/>
          <w:szCs w:val="18"/>
        </w:rPr>
        <w:t>regarding</w:t>
      </w:r>
      <w:proofErr w:type="gramEnd"/>
      <w:r w:rsidRPr="00834CDC">
        <w:rPr>
          <w:rFonts w:cstheme="minorHAnsi"/>
          <w:sz w:val="20"/>
          <w:szCs w:val="18"/>
        </w:rPr>
        <w:t xml:space="preserve"> CDI can be found at: </w:t>
      </w:r>
      <w:hyperlink r:id="rId44" w:tooltip="CDI Website" w:history="1">
        <w:r w:rsidRPr="00834CDC">
          <w:rPr>
            <w:rStyle w:val="Hyperlink"/>
            <w:rFonts w:cstheme="minorHAnsi"/>
            <w:sz w:val="20"/>
            <w:szCs w:val="18"/>
          </w:rPr>
          <w:t>http://health.gov.au/cdi</w:t>
        </w:r>
      </w:hyperlink>
      <w:r w:rsidRPr="00834CDC">
        <w:rPr>
          <w:rFonts w:cstheme="minorHAnsi"/>
          <w:sz w:val="20"/>
          <w:szCs w:val="18"/>
        </w:rPr>
        <w:t xml:space="preserve">. </w:t>
      </w:r>
    </w:p>
    <w:p w14:paraId="447B2BC8" w14:textId="60C246B5" w:rsidR="000A5F42" w:rsidRPr="00834CDC" w:rsidRDefault="000A5F42" w:rsidP="000A5F42">
      <w:pPr>
        <w:pStyle w:val="NoSpacing"/>
        <w:rPr>
          <w:rFonts w:cstheme="minorHAnsi"/>
          <w:sz w:val="20"/>
          <w:szCs w:val="18"/>
        </w:rPr>
      </w:pPr>
      <w:r w:rsidRPr="00834CDC">
        <w:rPr>
          <w:rFonts w:cstheme="minorHAnsi"/>
          <w:sz w:val="20"/>
          <w:szCs w:val="18"/>
        </w:rPr>
        <w:t xml:space="preserve">Further enquiries should </w:t>
      </w:r>
      <w:proofErr w:type="gramStart"/>
      <w:r w:rsidRPr="00834CDC">
        <w:rPr>
          <w:rFonts w:cstheme="minorHAnsi"/>
          <w:sz w:val="20"/>
          <w:szCs w:val="18"/>
        </w:rPr>
        <w:t>be directed</w:t>
      </w:r>
      <w:proofErr w:type="gramEnd"/>
      <w:r w:rsidRPr="00834CDC">
        <w:rPr>
          <w:rFonts w:cstheme="minorHAnsi"/>
          <w:sz w:val="20"/>
          <w:szCs w:val="18"/>
        </w:rPr>
        <w:t xml:space="preserve"> to: </w:t>
      </w:r>
      <w:hyperlink r:id="rId45" w:history="1">
        <w:r w:rsidRPr="00834CDC">
          <w:rPr>
            <w:rStyle w:val="Hyperlink"/>
            <w:rFonts w:cstheme="minorHAnsi"/>
            <w:sz w:val="20"/>
            <w:szCs w:val="18"/>
          </w:rPr>
          <w:t>cdi.editor@health.gov.au</w:t>
        </w:r>
      </w:hyperlink>
      <w:r w:rsidRPr="00834CDC">
        <w:rPr>
          <w:rFonts w:cstheme="minorHAnsi"/>
          <w:sz w:val="20"/>
          <w:szCs w:val="18"/>
        </w:rPr>
        <w:t>.</w:t>
      </w:r>
    </w:p>
    <w:p w14:paraId="444B6847" w14:textId="77777777" w:rsidR="000A5F42" w:rsidRPr="00834CDC" w:rsidRDefault="000A5F42" w:rsidP="000A5F42">
      <w:pPr>
        <w:pStyle w:val="NoSpacing"/>
        <w:pBdr>
          <w:bottom w:val="single" w:sz="6" w:space="1" w:color="auto"/>
        </w:pBdr>
        <w:rPr>
          <w:rStyle w:val="Strong"/>
          <w:rFonts w:cstheme="minorHAnsi"/>
          <w:sz w:val="12"/>
          <w:szCs w:val="18"/>
        </w:rPr>
      </w:pPr>
    </w:p>
    <w:p w14:paraId="1BEC56B8" w14:textId="77777777" w:rsidR="000A5F42" w:rsidRPr="00834CDC" w:rsidRDefault="000A5F42" w:rsidP="000A5F42">
      <w:pPr>
        <w:pStyle w:val="NoSpacing"/>
        <w:rPr>
          <w:rFonts w:cstheme="minorHAnsi"/>
          <w:sz w:val="20"/>
          <w:szCs w:val="18"/>
        </w:rPr>
      </w:pPr>
    </w:p>
    <w:p w14:paraId="54C78C09" w14:textId="77777777" w:rsidR="000A5F42" w:rsidRPr="00834CDC" w:rsidRDefault="000A5F42" w:rsidP="000A5F42">
      <w:pPr>
        <w:pStyle w:val="NoSpacing"/>
        <w:rPr>
          <w:rFonts w:cstheme="minorHAnsi"/>
          <w:sz w:val="20"/>
          <w:szCs w:val="18"/>
        </w:rPr>
      </w:pPr>
      <w:r w:rsidRPr="00834CDC">
        <w:rPr>
          <w:rFonts w:cstheme="minorHAnsi"/>
          <w:sz w:val="20"/>
          <w:szCs w:val="18"/>
        </w:rPr>
        <w:t xml:space="preserve">This journal </w:t>
      </w:r>
      <w:proofErr w:type="gramStart"/>
      <w:r w:rsidRPr="00834CDC">
        <w:rPr>
          <w:rFonts w:cstheme="minorHAnsi"/>
          <w:sz w:val="20"/>
          <w:szCs w:val="18"/>
        </w:rPr>
        <w:t>is indexed</w:t>
      </w:r>
      <w:proofErr w:type="gramEnd"/>
      <w:r w:rsidRPr="00834CDC">
        <w:rPr>
          <w:rFonts w:cstheme="minorHAnsi"/>
          <w:sz w:val="20"/>
          <w:szCs w:val="18"/>
        </w:rPr>
        <w:t xml:space="preserve"> by Index </w:t>
      </w:r>
      <w:proofErr w:type="spellStart"/>
      <w:r w:rsidRPr="00834CDC">
        <w:rPr>
          <w:rFonts w:cstheme="minorHAnsi"/>
          <w:sz w:val="20"/>
          <w:szCs w:val="18"/>
        </w:rPr>
        <w:t>Medicus</w:t>
      </w:r>
      <w:proofErr w:type="spellEnd"/>
      <w:r w:rsidRPr="00834CDC">
        <w:rPr>
          <w:rFonts w:cstheme="minorHAnsi"/>
          <w:sz w:val="20"/>
          <w:szCs w:val="18"/>
        </w:rPr>
        <w:t xml:space="preserve"> and Medline.</w:t>
      </w:r>
    </w:p>
    <w:p w14:paraId="06542225" w14:textId="77777777" w:rsidR="000A5F42" w:rsidRPr="00834CDC" w:rsidRDefault="000A5F42" w:rsidP="000A5F42">
      <w:pPr>
        <w:pStyle w:val="NoSpacing"/>
        <w:rPr>
          <w:rFonts w:cstheme="minorHAnsi"/>
          <w:sz w:val="20"/>
          <w:szCs w:val="18"/>
        </w:rPr>
      </w:pPr>
    </w:p>
    <w:p w14:paraId="64AE95FE" w14:textId="77777777" w:rsidR="000A5F42" w:rsidRPr="00834CDC" w:rsidRDefault="000A5F42" w:rsidP="000A5F42">
      <w:pPr>
        <w:pStyle w:val="NoSpacing"/>
        <w:rPr>
          <w:rFonts w:cstheme="minorHAnsi"/>
          <w:sz w:val="20"/>
          <w:szCs w:val="18"/>
        </w:rPr>
      </w:pPr>
      <w:r w:rsidRPr="00834CDC">
        <w:rPr>
          <w:rFonts w:cstheme="minorHAnsi"/>
          <w:sz w:val="20"/>
          <w:szCs w:val="18"/>
        </w:rPr>
        <w:t>Creative Commons Licence - Attribution-</w:t>
      </w:r>
      <w:proofErr w:type="spellStart"/>
      <w:r w:rsidRPr="00834CDC">
        <w:rPr>
          <w:rFonts w:cstheme="minorHAnsi"/>
          <w:sz w:val="20"/>
          <w:szCs w:val="18"/>
        </w:rPr>
        <w:t>NonCommercial</w:t>
      </w:r>
      <w:proofErr w:type="spellEnd"/>
      <w:r w:rsidRPr="00834CDC">
        <w:rPr>
          <w:rFonts w:cstheme="minorHAnsi"/>
          <w:sz w:val="20"/>
          <w:szCs w:val="18"/>
        </w:rPr>
        <w:t>-</w:t>
      </w:r>
      <w:proofErr w:type="spellStart"/>
      <w:r w:rsidRPr="00834CDC">
        <w:rPr>
          <w:rFonts w:cstheme="minorHAnsi"/>
          <w:sz w:val="20"/>
          <w:szCs w:val="18"/>
        </w:rPr>
        <w:t>NoDerivatives</w:t>
      </w:r>
      <w:proofErr w:type="spellEnd"/>
      <w:r w:rsidRPr="00834CDC">
        <w:rPr>
          <w:rFonts w:cstheme="minorHAnsi"/>
          <w:sz w:val="20"/>
          <w:szCs w:val="18"/>
        </w:rPr>
        <w:t xml:space="preserve"> CC BY-NC-ND</w:t>
      </w:r>
    </w:p>
    <w:p w14:paraId="18BD2617" w14:textId="77777777" w:rsidR="000A5F42" w:rsidRPr="00834CDC" w:rsidRDefault="000A5F42" w:rsidP="000A5F42">
      <w:pPr>
        <w:pStyle w:val="NoSpacing"/>
        <w:rPr>
          <w:rFonts w:cstheme="minorHAnsi"/>
          <w:sz w:val="20"/>
          <w:szCs w:val="18"/>
        </w:rPr>
      </w:pPr>
      <w:r w:rsidRPr="00834CDC">
        <w:rPr>
          <w:rFonts w:cstheme="minorHAnsi"/>
          <w:sz w:val="20"/>
          <w:szCs w:val="18"/>
        </w:rPr>
        <w:t xml:space="preserve">© </w:t>
      </w:r>
      <w:r w:rsidR="00852E2B" w:rsidRPr="00834CDC">
        <w:rPr>
          <w:rFonts w:cstheme="minorHAnsi"/>
          <w:sz w:val="20"/>
          <w:szCs w:val="18"/>
        </w:rPr>
        <w:fldChar w:fldCharType="begin"/>
      </w:r>
      <w:r w:rsidR="00852E2B" w:rsidRPr="00834CDC">
        <w:rPr>
          <w:rFonts w:cstheme="minorHAnsi"/>
          <w:sz w:val="20"/>
          <w:szCs w:val="18"/>
        </w:rPr>
        <w:instrText xml:space="preserve"> DOCPROPERTY  Year  \* MERGEFORMAT </w:instrText>
      </w:r>
      <w:r w:rsidR="00852E2B" w:rsidRPr="00834CDC">
        <w:rPr>
          <w:rFonts w:cstheme="minorHAnsi"/>
          <w:sz w:val="20"/>
          <w:szCs w:val="18"/>
        </w:rPr>
        <w:fldChar w:fldCharType="separate"/>
      </w:r>
      <w:r w:rsidR="005428FE" w:rsidRPr="00834CDC">
        <w:rPr>
          <w:rFonts w:cstheme="minorHAnsi"/>
          <w:sz w:val="20"/>
          <w:szCs w:val="18"/>
        </w:rPr>
        <w:t>2023</w:t>
      </w:r>
      <w:r w:rsidR="00852E2B" w:rsidRPr="00834CDC">
        <w:rPr>
          <w:rFonts w:cstheme="minorHAnsi"/>
          <w:sz w:val="20"/>
          <w:szCs w:val="18"/>
        </w:rPr>
        <w:fldChar w:fldCharType="end"/>
      </w:r>
      <w:r w:rsidR="00852E2B" w:rsidRPr="00834CDC">
        <w:rPr>
          <w:rFonts w:cstheme="minorHAnsi"/>
          <w:sz w:val="20"/>
          <w:szCs w:val="18"/>
        </w:rPr>
        <w:t xml:space="preserve"> </w:t>
      </w:r>
      <w:r w:rsidRPr="00834CDC">
        <w:rPr>
          <w:rFonts w:cstheme="minorHAnsi"/>
          <w:sz w:val="20"/>
          <w:szCs w:val="18"/>
        </w:rPr>
        <w:t xml:space="preserve">Commonwealth of Australia as represented by the </w:t>
      </w:r>
      <w:r w:rsidR="001723AC" w:rsidRPr="00834CDC">
        <w:rPr>
          <w:rFonts w:cstheme="minorHAnsi"/>
          <w:sz w:val="20"/>
          <w:szCs w:val="18"/>
        </w:rPr>
        <w:t>Department of Health and Aged Care</w:t>
      </w:r>
    </w:p>
    <w:p w14:paraId="2B6AFAA7" w14:textId="09BD042B" w:rsidR="000A5F42" w:rsidRPr="00834CDC" w:rsidRDefault="000A5F42" w:rsidP="000A5F42">
      <w:pPr>
        <w:pStyle w:val="NoSpacing"/>
        <w:rPr>
          <w:rFonts w:cstheme="minorHAnsi"/>
          <w:sz w:val="20"/>
          <w:szCs w:val="18"/>
        </w:rPr>
      </w:pPr>
      <w:r w:rsidRPr="00834CDC">
        <w:rPr>
          <w:rFonts w:cstheme="minorHAnsi"/>
          <w:sz w:val="20"/>
          <w:szCs w:val="18"/>
        </w:rPr>
        <w:t>This publication is licensed under a Creative Commons Attribution-</w:t>
      </w:r>
      <w:proofErr w:type="spellStart"/>
      <w:r w:rsidRPr="00834CDC">
        <w:rPr>
          <w:rFonts w:cstheme="minorHAnsi"/>
          <w:sz w:val="20"/>
          <w:szCs w:val="18"/>
        </w:rPr>
        <w:t>NonCommercial</w:t>
      </w:r>
      <w:proofErr w:type="spellEnd"/>
      <w:r w:rsidRPr="00834CDC">
        <w:rPr>
          <w:rFonts w:cstheme="minorHAnsi"/>
          <w:sz w:val="20"/>
          <w:szCs w:val="18"/>
        </w:rPr>
        <w:t>-</w:t>
      </w:r>
      <w:proofErr w:type="spellStart"/>
      <w:r w:rsidRPr="00834CDC">
        <w:rPr>
          <w:rFonts w:cstheme="minorHAnsi"/>
          <w:sz w:val="20"/>
          <w:szCs w:val="18"/>
        </w:rPr>
        <w:t>NoDerivatives</w:t>
      </w:r>
      <w:proofErr w:type="spellEnd"/>
      <w:r w:rsidRPr="00834CDC">
        <w:rPr>
          <w:rFonts w:cstheme="minorHAnsi"/>
          <w:sz w:val="20"/>
          <w:szCs w:val="18"/>
        </w:rPr>
        <w:t xml:space="preserve"> 4.0 International Licence from </w:t>
      </w:r>
      <w:hyperlink r:id="rId46" w:tooltip="Creative Commons licence" w:history="1">
        <w:r w:rsidRPr="00834CDC">
          <w:rPr>
            <w:rStyle w:val="Hyperlink"/>
            <w:rFonts w:cstheme="minorHAnsi"/>
            <w:sz w:val="20"/>
            <w:szCs w:val="18"/>
          </w:rPr>
          <w:t>https://creativecommons.org/licenses/by-nc-nd/4.0/legalcode</w:t>
        </w:r>
      </w:hyperlink>
      <w:r w:rsidRPr="00834CDC">
        <w:rPr>
          <w:rStyle w:val="URI"/>
          <w:rFonts w:cstheme="minorHAnsi"/>
          <w:sz w:val="20"/>
          <w:szCs w:val="18"/>
        </w:rPr>
        <w:t xml:space="preserve"> </w:t>
      </w:r>
      <w:r w:rsidRPr="00834CDC">
        <w:rPr>
          <w:rFonts w:cstheme="minorHAnsi"/>
          <w:sz w:val="20"/>
          <w:szCs w:val="18"/>
        </w:rPr>
        <w:t>(Licence). You must read and understand the Licence before using any material from this publication.</w:t>
      </w:r>
    </w:p>
    <w:p w14:paraId="421E9848" w14:textId="77777777" w:rsidR="000A5F42" w:rsidRPr="00834CDC" w:rsidRDefault="000A5F42" w:rsidP="000A5F42">
      <w:pPr>
        <w:pStyle w:val="NoSpacing"/>
        <w:rPr>
          <w:rFonts w:cstheme="minorHAnsi"/>
          <w:sz w:val="20"/>
          <w:szCs w:val="18"/>
        </w:rPr>
      </w:pPr>
    </w:p>
    <w:p w14:paraId="2AC4E42A" w14:textId="77777777" w:rsidR="000A5F42" w:rsidRPr="00834CDC" w:rsidRDefault="000A5F42" w:rsidP="000A5F42">
      <w:pPr>
        <w:pStyle w:val="NoSpacing"/>
        <w:rPr>
          <w:rFonts w:cstheme="minorHAnsi"/>
          <w:sz w:val="20"/>
          <w:szCs w:val="18"/>
        </w:rPr>
      </w:pPr>
      <w:r w:rsidRPr="00834CDC">
        <w:rPr>
          <w:rStyle w:val="Strong"/>
          <w:rFonts w:cstheme="minorHAnsi"/>
          <w:sz w:val="20"/>
          <w:szCs w:val="18"/>
        </w:rPr>
        <w:t>Restrictions</w:t>
      </w:r>
      <w:r w:rsidRPr="00834CDC">
        <w:rPr>
          <w:rStyle w:val="Strong"/>
          <w:rFonts w:cstheme="minorHAnsi"/>
          <w:sz w:val="20"/>
          <w:szCs w:val="18"/>
        </w:rPr>
        <w:br/>
      </w:r>
      <w:r w:rsidRPr="00834CDC">
        <w:rPr>
          <w:rFonts w:cstheme="minorHAnsi"/>
          <w:sz w:val="20"/>
          <w:szCs w:val="18"/>
        </w:rPr>
        <w:t>The Licence does not cover, and there is no permission given for, use of any of the following material found in this publication (if</w:t>
      </w:r>
      <w:r w:rsidR="001378A3" w:rsidRPr="00834CDC">
        <w:rPr>
          <w:rFonts w:cstheme="minorHAnsi"/>
          <w:sz w:val="20"/>
          <w:szCs w:val="18"/>
        </w:rPr>
        <w:t> </w:t>
      </w:r>
      <w:r w:rsidRPr="00834CDC">
        <w:rPr>
          <w:rFonts w:cstheme="minorHAnsi"/>
          <w:sz w:val="20"/>
          <w:szCs w:val="18"/>
        </w:rPr>
        <w:t xml:space="preserve">any): </w:t>
      </w:r>
    </w:p>
    <w:p w14:paraId="5E71E936" w14:textId="48C3E158" w:rsidR="000A5F42" w:rsidRPr="00834CDC" w:rsidRDefault="000A5F42" w:rsidP="00DC40E1">
      <w:pPr>
        <w:pStyle w:val="NoSpacing"/>
        <w:numPr>
          <w:ilvl w:val="0"/>
          <w:numId w:val="1"/>
        </w:numPr>
        <w:rPr>
          <w:rFonts w:cstheme="minorHAnsi"/>
          <w:sz w:val="20"/>
          <w:szCs w:val="18"/>
        </w:rPr>
      </w:pPr>
      <w:r w:rsidRPr="00834CDC">
        <w:rPr>
          <w:rFonts w:cstheme="minorHAnsi"/>
          <w:sz w:val="20"/>
          <w:szCs w:val="18"/>
        </w:rPr>
        <w:t xml:space="preserve">the Commonwealth Coat of Arms (by way of information, the terms under which the Coat of Arms may be used can be found at </w:t>
      </w:r>
      <w:hyperlink r:id="rId47" w:tooltip="Australian Honours system website" w:history="1">
        <w:r w:rsidRPr="00834CDC">
          <w:rPr>
            <w:rStyle w:val="Hyperlink"/>
            <w:rFonts w:cstheme="minorHAnsi"/>
            <w:sz w:val="20"/>
            <w:szCs w:val="18"/>
          </w:rPr>
          <w:t>www.itsanhonour.gov.au</w:t>
        </w:r>
      </w:hyperlink>
      <w:r w:rsidRPr="00834CDC">
        <w:rPr>
          <w:rStyle w:val="URI"/>
          <w:rFonts w:cstheme="minorHAnsi"/>
          <w:sz w:val="20"/>
          <w:szCs w:val="18"/>
          <w:u w:val="none"/>
        </w:rPr>
        <w:t>)</w:t>
      </w:r>
      <w:r w:rsidRPr="00834CDC">
        <w:rPr>
          <w:rFonts w:cstheme="minorHAnsi"/>
          <w:sz w:val="20"/>
          <w:szCs w:val="18"/>
        </w:rPr>
        <w:t xml:space="preserve">;  </w:t>
      </w:r>
    </w:p>
    <w:p w14:paraId="530CA12C" w14:textId="77777777" w:rsidR="000A5F42" w:rsidRPr="00834CDC" w:rsidRDefault="000A5F42" w:rsidP="00DC40E1">
      <w:pPr>
        <w:pStyle w:val="NoSpacing"/>
        <w:numPr>
          <w:ilvl w:val="0"/>
          <w:numId w:val="1"/>
        </w:numPr>
        <w:rPr>
          <w:rFonts w:cstheme="minorHAnsi"/>
          <w:sz w:val="20"/>
          <w:szCs w:val="18"/>
        </w:rPr>
      </w:pPr>
      <w:r w:rsidRPr="00834CDC">
        <w:rPr>
          <w:rFonts w:cstheme="minorHAnsi"/>
          <w:sz w:val="20"/>
          <w:szCs w:val="18"/>
        </w:rPr>
        <w:t xml:space="preserve">any logos (including the </w:t>
      </w:r>
      <w:r w:rsidR="001723AC" w:rsidRPr="00834CDC">
        <w:rPr>
          <w:rFonts w:cstheme="minorHAnsi"/>
          <w:sz w:val="20"/>
          <w:szCs w:val="18"/>
        </w:rPr>
        <w:t>Department of Health and Aged Care</w:t>
      </w:r>
      <w:r w:rsidRPr="00834CDC">
        <w:rPr>
          <w:rFonts w:cstheme="minorHAnsi"/>
          <w:sz w:val="20"/>
          <w:szCs w:val="18"/>
        </w:rPr>
        <w:t xml:space="preserve">’s logo) and </w:t>
      </w:r>
      <w:proofErr w:type="gramStart"/>
      <w:r w:rsidRPr="00834CDC">
        <w:rPr>
          <w:rFonts w:cstheme="minorHAnsi"/>
          <w:sz w:val="20"/>
          <w:szCs w:val="18"/>
        </w:rPr>
        <w:t>trademarks;</w:t>
      </w:r>
      <w:proofErr w:type="gramEnd"/>
    </w:p>
    <w:p w14:paraId="268FE5AF" w14:textId="77777777" w:rsidR="000A5F42" w:rsidRPr="00834CDC" w:rsidRDefault="000A5F42" w:rsidP="00DC40E1">
      <w:pPr>
        <w:pStyle w:val="NoSpacing"/>
        <w:numPr>
          <w:ilvl w:val="0"/>
          <w:numId w:val="1"/>
        </w:numPr>
        <w:rPr>
          <w:rFonts w:cstheme="minorHAnsi"/>
          <w:sz w:val="20"/>
          <w:szCs w:val="18"/>
        </w:rPr>
      </w:pPr>
      <w:r w:rsidRPr="00834CDC">
        <w:rPr>
          <w:rFonts w:cstheme="minorHAnsi"/>
          <w:sz w:val="20"/>
          <w:szCs w:val="18"/>
        </w:rPr>
        <w:t xml:space="preserve">any photographs and </w:t>
      </w:r>
      <w:proofErr w:type="gramStart"/>
      <w:r w:rsidRPr="00834CDC">
        <w:rPr>
          <w:rFonts w:cstheme="minorHAnsi"/>
          <w:sz w:val="20"/>
          <w:szCs w:val="18"/>
        </w:rPr>
        <w:t>images;</w:t>
      </w:r>
      <w:proofErr w:type="gramEnd"/>
      <w:r w:rsidRPr="00834CDC">
        <w:rPr>
          <w:rFonts w:cstheme="minorHAnsi"/>
          <w:sz w:val="20"/>
          <w:szCs w:val="18"/>
        </w:rPr>
        <w:t xml:space="preserve"> </w:t>
      </w:r>
    </w:p>
    <w:p w14:paraId="796B3619" w14:textId="77777777" w:rsidR="000A5F42" w:rsidRPr="00834CDC" w:rsidRDefault="000A5F42" w:rsidP="00DC40E1">
      <w:pPr>
        <w:pStyle w:val="NoSpacing"/>
        <w:numPr>
          <w:ilvl w:val="0"/>
          <w:numId w:val="1"/>
        </w:numPr>
        <w:rPr>
          <w:rFonts w:cstheme="minorHAnsi"/>
          <w:sz w:val="20"/>
          <w:szCs w:val="18"/>
        </w:rPr>
      </w:pPr>
      <w:r w:rsidRPr="00834CDC">
        <w:rPr>
          <w:rFonts w:cstheme="minorHAnsi"/>
          <w:sz w:val="20"/>
          <w:szCs w:val="18"/>
        </w:rPr>
        <w:t>any signatures; and</w:t>
      </w:r>
    </w:p>
    <w:p w14:paraId="210760E2" w14:textId="77777777" w:rsidR="000A5F42" w:rsidRPr="00834CDC" w:rsidRDefault="000A5F42" w:rsidP="00DC40E1">
      <w:pPr>
        <w:pStyle w:val="NoSpacing"/>
        <w:numPr>
          <w:ilvl w:val="0"/>
          <w:numId w:val="1"/>
        </w:numPr>
        <w:rPr>
          <w:rFonts w:cstheme="minorHAnsi"/>
          <w:sz w:val="20"/>
          <w:szCs w:val="18"/>
        </w:rPr>
      </w:pPr>
      <w:r w:rsidRPr="00834CDC">
        <w:rPr>
          <w:rFonts w:cstheme="minorHAnsi"/>
          <w:sz w:val="20"/>
          <w:szCs w:val="18"/>
        </w:rPr>
        <w:t xml:space="preserve">any material belonging to third parties. </w:t>
      </w:r>
    </w:p>
    <w:p w14:paraId="331C850F" w14:textId="77777777" w:rsidR="000A5F42" w:rsidRPr="00834CDC" w:rsidRDefault="000A5F42" w:rsidP="000A5F42">
      <w:pPr>
        <w:pStyle w:val="NoSpacing"/>
        <w:rPr>
          <w:rStyle w:val="Strong"/>
          <w:rFonts w:cstheme="minorHAnsi"/>
          <w:sz w:val="20"/>
          <w:szCs w:val="18"/>
        </w:rPr>
      </w:pPr>
    </w:p>
    <w:p w14:paraId="68296AD0" w14:textId="77777777" w:rsidR="000A5F42" w:rsidRPr="00834CDC" w:rsidRDefault="000A5F42" w:rsidP="000A5F42">
      <w:pPr>
        <w:pStyle w:val="NoSpacing"/>
        <w:rPr>
          <w:rStyle w:val="Strong"/>
          <w:rFonts w:cstheme="minorHAnsi"/>
          <w:sz w:val="20"/>
          <w:szCs w:val="18"/>
        </w:rPr>
      </w:pPr>
      <w:r w:rsidRPr="00834CDC">
        <w:rPr>
          <w:rStyle w:val="Strong"/>
          <w:rFonts w:cstheme="minorHAnsi"/>
          <w:sz w:val="20"/>
          <w:szCs w:val="18"/>
        </w:rPr>
        <w:t>Disclaimer</w:t>
      </w:r>
      <w:r w:rsidRPr="00834CDC">
        <w:rPr>
          <w:rStyle w:val="Strong"/>
          <w:rFonts w:cstheme="minorHAnsi"/>
          <w:sz w:val="20"/>
          <w:szCs w:val="18"/>
        </w:rPr>
        <w:br/>
      </w:r>
      <w:r w:rsidRPr="00834CDC">
        <w:rPr>
          <w:rFonts w:cstheme="minorHAnsi"/>
          <w:sz w:val="20"/>
          <w:szCs w:val="18"/>
        </w:rPr>
        <w:t xml:space="preserve">Opinions expressed in Communicable Diseases Intelligence are those of the authors and not necessarily those of the Australian Government </w:t>
      </w:r>
      <w:r w:rsidR="001723AC" w:rsidRPr="00834CDC">
        <w:rPr>
          <w:rFonts w:cstheme="minorHAnsi"/>
          <w:sz w:val="20"/>
          <w:szCs w:val="18"/>
        </w:rPr>
        <w:t>Department of Health and Aged Care</w:t>
      </w:r>
      <w:r w:rsidRPr="00834CDC">
        <w:rPr>
          <w:rFonts w:cstheme="minorHAnsi"/>
          <w:sz w:val="20"/>
          <w:szCs w:val="18"/>
        </w:rPr>
        <w:t xml:space="preserve"> or the Communicable Diseases Network Australia. Data may be subject to revision.</w:t>
      </w:r>
    </w:p>
    <w:p w14:paraId="17F389A7" w14:textId="77777777" w:rsidR="000A5F42" w:rsidRPr="00834CDC" w:rsidRDefault="000A5F42" w:rsidP="000A5F42">
      <w:pPr>
        <w:pStyle w:val="NoSpacing"/>
        <w:rPr>
          <w:rStyle w:val="Strong"/>
          <w:rFonts w:cstheme="minorHAnsi"/>
          <w:sz w:val="20"/>
          <w:szCs w:val="18"/>
        </w:rPr>
      </w:pPr>
    </w:p>
    <w:p w14:paraId="74F48835" w14:textId="385EBC44" w:rsidR="000A5F42" w:rsidRPr="00834CDC" w:rsidRDefault="000A5F42" w:rsidP="000A5F42">
      <w:pPr>
        <w:pStyle w:val="NoSpacing"/>
        <w:rPr>
          <w:rStyle w:val="URI"/>
          <w:rFonts w:cstheme="minorHAnsi"/>
          <w:sz w:val="20"/>
          <w:szCs w:val="18"/>
        </w:rPr>
      </w:pPr>
      <w:r w:rsidRPr="00834CDC">
        <w:rPr>
          <w:rStyle w:val="Strong"/>
          <w:rFonts w:cstheme="minorHAnsi"/>
          <w:sz w:val="20"/>
          <w:szCs w:val="18"/>
        </w:rPr>
        <w:t>Enquiries</w:t>
      </w:r>
      <w:r w:rsidRPr="00834CDC">
        <w:rPr>
          <w:rStyle w:val="Strong"/>
          <w:rFonts w:cstheme="minorHAnsi"/>
          <w:sz w:val="20"/>
          <w:szCs w:val="18"/>
        </w:rPr>
        <w:br/>
      </w:r>
      <w:proofErr w:type="spellStart"/>
      <w:r w:rsidRPr="00834CDC">
        <w:rPr>
          <w:rFonts w:cstheme="minorHAnsi"/>
          <w:sz w:val="20"/>
          <w:szCs w:val="18"/>
        </w:rPr>
        <w:t>Enquiries</w:t>
      </w:r>
      <w:proofErr w:type="spellEnd"/>
      <w:r w:rsidRPr="00834CDC">
        <w:rPr>
          <w:rFonts w:cstheme="minorHAnsi"/>
          <w:sz w:val="20"/>
          <w:szCs w:val="18"/>
        </w:rPr>
        <w:t xml:space="preserve"> regarding any other use of this publication should be addressed to the Communication Branch, </w:t>
      </w:r>
      <w:r w:rsidR="001723AC" w:rsidRPr="00834CDC">
        <w:rPr>
          <w:rFonts w:cstheme="minorHAnsi"/>
          <w:sz w:val="20"/>
          <w:szCs w:val="18"/>
        </w:rPr>
        <w:t>Department of Health and Aged Care</w:t>
      </w:r>
      <w:r w:rsidRPr="00834CDC">
        <w:rPr>
          <w:rFonts w:cstheme="minorHAnsi"/>
          <w:sz w:val="20"/>
          <w:szCs w:val="18"/>
        </w:rPr>
        <w:t xml:space="preserve">, GPO Box 9848, Canberra ACT 2601, or via e-mail to: </w:t>
      </w:r>
      <w:hyperlink r:id="rId48" w:history="1">
        <w:r w:rsidRPr="00834CDC">
          <w:rPr>
            <w:rStyle w:val="Hyperlink"/>
            <w:rFonts w:cstheme="minorHAnsi"/>
            <w:sz w:val="20"/>
            <w:szCs w:val="18"/>
          </w:rPr>
          <w:t>copyright@health.gov.au</w:t>
        </w:r>
      </w:hyperlink>
      <w:r w:rsidRPr="00834CDC">
        <w:rPr>
          <w:rStyle w:val="URI"/>
          <w:rFonts w:cstheme="minorHAnsi"/>
          <w:sz w:val="20"/>
          <w:szCs w:val="18"/>
        </w:rPr>
        <w:t xml:space="preserve"> </w:t>
      </w:r>
    </w:p>
    <w:p w14:paraId="641A5077" w14:textId="77777777" w:rsidR="000A5F42" w:rsidRPr="00834CDC" w:rsidRDefault="000A5F42" w:rsidP="000A5F42">
      <w:pPr>
        <w:pStyle w:val="NoSpacing"/>
        <w:rPr>
          <w:rStyle w:val="URI"/>
          <w:rFonts w:cstheme="minorHAnsi"/>
          <w:sz w:val="20"/>
          <w:szCs w:val="18"/>
        </w:rPr>
      </w:pPr>
    </w:p>
    <w:p w14:paraId="608DBEC5" w14:textId="2CA9D5DC" w:rsidR="000A5F42" w:rsidRPr="00834CDC" w:rsidRDefault="000A5F42" w:rsidP="000A5F42">
      <w:pPr>
        <w:pStyle w:val="NoSpacing"/>
        <w:rPr>
          <w:rStyle w:val="Strong"/>
          <w:rFonts w:cstheme="minorHAnsi"/>
          <w:b w:val="0"/>
          <w:bCs w:val="0"/>
          <w:color w:val="000000"/>
          <w:sz w:val="20"/>
          <w:szCs w:val="18"/>
          <w:u w:val="thick"/>
        </w:rPr>
      </w:pPr>
      <w:r w:rsidRPr="00834CDC">
        <w:rPr>
          <w:rStyle w:val="Strong"/>
          <w:rFonts w:cstheme="minorHAnsi"/>
          <w:sz w:val="20"/>
          <w:szCs w:val="18"/>
        </w:rPr>
        <w:t>Communicable Diseases Network Australia</w:t>
      </w:r>
      <w:r w:rsidRPr="00834CDC">
        <w:rPr>
          <w:rStyle w:val="Strong"/>
          <w:rFonts w:cstheme="minorHAnsi"/>
          <w:sz w:val="20"/>
          <w:szCs w:val="18"/>
        </w:rPr>
        <w:br/>
      </w:r>
      <w:r w:rsidRPr="00834CDC">
        <w:rPr>
          <w:rFonts w:cstheme="minorHAnsi"/>
          <w:sz w:val="20"/>
          <w:szCs w:val="18"/>
        </w:rPr>
        <w:t>Communicable Diseases Intelligence contributes to the work of the Communicable Diseases Network Australia.</w:t>
      </w:r>
      <w:r w:rsidRPr="00834CDC">
        <w:rPr>
          <w:rFonts w:cstheme="minorHAnsi"/>
          <w:sz w:val="20"/>
          <w:szCs w:val="18"/>
        </w:rPr>
        <w:br/>
      </w:r>
      <w:hyperlink r:id="rId49" w:tooltip="Communicable Diseases Network Australia website" w:history="1">
        <w:r w:rsidRPr="00834CDC">
          <w:rPr>
            <w:rStyle w:val="Hyperlink"/>
            <w:rFonts w:cstheme="minorHAnsi"/>
            <w:sz w:val="20"/>
            <w:szCs w:val="18"/>
          </w:rPr>
          <w:t>http://www.health.gov.au/cdna</w:t>
        </w:r>
      </w:hyperlink>
    </w:p>
    <w:sectPr w:rsidR="000A5F42" w:rsidRPr="00834CDC" w:rsidSect="002B75A9">
      <w:headerReference w:type="default" r:id="rId5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E73EE" w14:textId="77777777" w:rsidR="005428FE" w:rsidRDefault="005428FE" w:rsidP="00E54DBA">
      <w:r>
        <w:separator/>
      </w:r>
    </w:p>
    <w:p w14:paraId="56C25B7C" w14:textId="77777777" w:rsidR="005428FE" w:rsidRDefault="005428FE"/>
    <w:p w14:paraId="793C7EB5" w14:textId="77777777" w:rsidR="005428FE" w:rsidRDefault="005428FE" w:rsidP="008714B0"/>
  </w:endnote>
  <w:endnote w:type="continuationSeparator" w:id="0">
    <w:p w14:paraId="47A787FA" w14:textId="77777777" w:rsidR="005428FE" w:rsidRDefault="005428FE" w:rsidP="00E54DBA">
      <w:r>
        <w:continuationSeparator/>
      </w:r>
    </w:p>
    <w:p w14:paraId="01185B24" w14:textId="77777777" w:rsidR="005428FE" w:rsidRDefault="005428FE"/>
    <w:p w14:paraId="1E6D14F9" w14:textId="77777777" w:rsidR="005428FE" w:rsidRDefault="005428F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Variable Concept">
    <w:altName w:val="Cambria"/>
    <w:panose1 w:val="00000000000000000000"/>
    <w:charset w:val="00"/>
    <w:family w:val="roman"/>
    <w:notTrueType/>
    <w:pitch w:val="default"/>
    <w:sig w:usb0="00000003" w:usb1="00000000" w:usb2="00000000" w:usb3="00000000" w:csb0="00000001" w:csb1="00000000"/>
  </w:font>
  <w:font w:name="MinionConceptRoman-Regular">
    <w:altName w:val="Calibri"/>
    <w:panose1 w:val="00000000000000000000"/>
    <w:charset w:val="00"/>
    <w:family w:val="auto"/>
    <w:notTrueType/>
    <w:pitch w:val="default"/>
    <w:sig w:usb0="00000003" w:usb1="00000000" w:usb2="00000000" w:usb3="00000000" w:csb0="00000001" w:csb1="00000000"/>
  </w:font>
  <w:font w:name="MyriadConceptRoman-Semibold">
    <w:altName w:val="Calibri"/>
    <w:panose1 w:val="00000000000000000000"/>
    <w:charset w:val="00"/>
    <w:family w:val="auto"/>
    <w:notTrueType/>
    <w:pitch w:val="default"/>
    <w:sig w:usb0="00000003" w:usb1="00000000" w:usb2="00000000" w:usb3="00000000" w:csb0="00000001" w:csb1="00000000"/>
  </w:font>
  <w:font w:name="MyriadConceptRom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0645" w14:textId="24E08BE1"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33445F">
      <w:rPr>
        <w:i/>
        <w:sz w:val="18"/>
      </w:rPr>
      <w:t>Commun</w:t>
    </w:r>
    <w:proofErr w:type="spellEnd"/>
    <w:r w:rsidR="00CE342B" w:rsidRPr="0033445F">
      <w:rPr>
        <w:i/>
        <w:sz w:val="18"/>
      </w:rPr>
      <w:t xml:space="preserve"> Dis </w:t>
    </w:r>
    <w:proofErr w:type="spellStart"/>
    <w:r w:rsidR="00CE342B" w:rsidRPr="0033445F">
      <w:rPr>
        <w:i/>
        <w:sz w:val="18"/>
      </w:rPr>
      <w:t>Intell</w:t>
    </w:r>
    <w:proofErr w:type="spellEnd"/>
    <w:r w:rsidR="00CE342B" w:rsidRPr="0033445F">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5428FE">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5428FE">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98254B">
      <w:rPr>
        <w:sz w:val="18"/>
      </w:rPr>
      <w:t>https://doi.org/10.33321/cdi.2023.47.32</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98254B">
      <w:rPr>
        <w:sz w:val="18"/>
      </w:rPr>
      <w:t>15/6/2023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6A0E" w14:textId="30D6254F"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33445F">
      <w:rPr>
        <w:i/>
        <w:sz w:val="18"/>
      </w:rPr>
      <w:t>Commun</w:t>
    </w:r>
    <w:proofErr w:type="spellEnd"/>
    <w:r w:rsidR="00A164D5" w:rsidRPr="0033445F">
      <w:rPr>
        <w:i/>
        <w:sz w:val="18"/>
      </w:rPr>
      <w:t xml:space="preserve"> Dis </w:t>
    </w:r>
    <w:proofErr w:type="spellStart"/>
    <w:r w:rsidR="00A164D5" w:rsidRPr="0033445F">
      <w:rPr>
        <w:i/>
        <w:sz w:val="18"/>
      </w:rPr>
      <w:t>Intell</w:t>
    </w:r>
    <w:proofErr w:type="spellEnd"/>
    <w:r w:rsidR="00A164D5" w:rsidRPr="0033445F">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5428FE">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5428FE">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98254B">
      <w:rPr>
        <w:sz w:val="18"/>
      </w:rPr>
      <w:t>https://doi.org/10.33321/cdi.2023.47.32</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98254B">
      <w:rPr>
        <w:sz w:val="18"/>
      </w:rPr>
      <w:t>15/6/2023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C67BB" w14:textId="77777777" w:rsidR="005428FE" w:rsidRPr="00B91FB5" w:rsidRDefault="005428FE" w:rsidP="00B91FB5">
      <w:pPr>
        <w:spacing w:after="0" w:line="240" w:lineRule="auto"/>
        <w:rPr>
          <w:sz w:val="18"/>
          <w:szCs w:val="18"/>
        </w:rPr>
      </w:pPr>
      <w:r w:rsidRPr="00B91FB5">
        <w:rPr>
          <w:sz w:val="18"/>
          <w:szCs w:val="18"/>
        </w:rPr>
        <w:separator/>
      </w:r>
    </w:p>
  </w:footnote>
  <w:footnote w:type="continuationSeparator" w:id="0">
    <w:p w14:paraId="3CDCC624" w14:textId="77777777" w:rsidR="005428FE" w:rsidRDefault="005428FE" w:rsidP="00E54DBA">
      <w:r>
        <w:continuationSeparator/>
      </w:r>
    </w:p>
  </w:footnote>
  <w:footnote w:type="continuationNotice" w:id="1">
    <w:p w14:paraId="278A050B" w14:textId="77777777" w:rsidR="005428FE" w:rsidRPr="00224EFF" w:rsidRDefault="005428FE" w:rsidP="00224EFF">
      <w:pPr>
        <w:pStyle w:val="Footer"/>
      </w:pPr>
    </w:p>
  </w:footnote>
  <w:footnote w:id="2">
    <w:p w14:paraId="6EE11858" w14:textId="7021CD79" w:rsidR="004759FB" w:rsidRPr="004759FB" w:rsidRDefault="004759FB" w:rsidP="004759FB">
      <w:pPr>
        <w:pStyle w:val="CDIfootnotes"/>
      </w:pPr>
      <w:r w:rsidRPr="004759FB">
        <w:rPr>
          <w:rStyle w:val="FootnoteReference"/>
          <w:vertAlign w:val="baseline"/>
        </w:rPr>
        <w:footnoteRef/>
      </w:r>
      <w:r>
        <w:tab/>
      </w:r>
      <w:r w:rsidRPr="004759FB">
        <w:t>To comply with the Australian Coordinating Registry’s data release condition that death rates &lt;6 be suppressed in published reports, counts between 1 and 5 are reported as a range.</w:t>
      </w:r>
    </w:p>
  </w:footnote>
  <w:footnote w:id="3">
    <w:p w14:paraId="5F26C9A0" w14:textId="27BEB8DD" w:rsidR="00D24B47" w:rsidRDefault="00D24B47">
      <w:pPr>
        <w:pStyle w:val="FootnoteText"/>
      </w:pPr>
      <w:r>
        <w:rPr>
          <w:rStyle w:val="FootnoteReference"/>
        </w:rPr>
        <w:footnoteRef/>
      </w:r>
      <w:r>
        <w:t xml:space="preserve"> </w:t>
      </w:r>
      <w:r w:rsidRPr="00D24B47">
        <w:t>To comply with the Australian Coordinating Registry’s data release condition that death counts &lt; 6 be suppressed in published reports, counts between 1 and 5 are reported as a range.</w:t>
      </w:r>
    </w:p>
  </w:footnote>
  <w:footnote w:id="4">
    <w:p w14:paraId="2A280BAD" w14:textId="2AC63D5A" w:rsidR="00D24B47" w:rsidRDefault="00D24B47">
      <w:pPr>
        <w:pStyle w:val="FootnoteText"/>
      </w:pPr>
      <w:r>
        <w:rPr>
          <w:rStyle w:val="FootnoteReference"/>
        </w:rPr>
        <w:footnoteRef/>
      </w:r>
      <w:r>
        <w:t xml:space="preserve"> </w:t>
      </w:r>
      <w:r w:rsidRPr="00D24B47">
        <w:t>To comply with the Australian Coordinating Registry’s data release condition that death counts &lt; 6 be suppressed in published reports, counts between 1 and 5 are reported as a range.</w:t>
      </w:r>
    </w:p>
  </w:footnote>
  <w:footnote w:id="5">
    <w:p w14:paraId="238FA856" w14:textId="16D47F12" w:rsidR="00D24B47" w:rsidRDefault="00D24B47">
      <w:pPr>
        <w:pStyle w:val="FootnoteText"/>
      </w:pPr>
      <w:r>
        <w:rPr>
          <w:rStyle w:val="FootnoteReference"/>
        </w:rPr>
        <w:footnoteRef/>
      </w:r>
      <w:r>
        <w:t xml:space="preserve"> </w:t>
      </w:r>
      <w:r w:rsidRPr="00D24B47">
        <w:t>To comply with the AIHW’s data release condition that hospitalisation counts &lt; 5 be suppressed in published reports, counts between 1 and 4 are reported as a range.</w:t>
      </w:r>
    </w:p>
  </w:footnote>
  <w:footnote w:id="6">
    <w:p w14:paraId="02608047" w14:textId="72046744" w:rsidR="00D24B47" w:rsidRDefault="00D24B47">
      <w:pPr>
        <w:pStyle w:val="FootnoteText"/>
      </w:pPr>
      <w:r>
        <w:rPr>
          <w:rStyle w:val="FootnoteReference"/>
        </w:rPr>
        <w:footnoteRef/>
      </w:r>
      <w:r>
        <w:t xml:space="preserve"> </w:t>
      </w:r>
      <w:r w:rsidRPr="00D24B47">
        <w:t>To comply with the Australian Coordinating Registry’s data release condition that death counts &lt; 6 be suppressed in published reports, counts between 1 and 5 are reported as a range.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7FC" w14:textId="1335542A" w:rsidR="00257484" w:rsidRPr="00A153B6" w:rsidRDefault="0098254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C31A5">
          <w:t>Extended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0FE6"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1DECB34F" wp14:editId="1CA79AC5">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4A1"/>
    <w:multiLevelType w:val="multilevel"/>
    <w:tmpl w:val="2136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A596D"/>
    <w:multiLevelType w:val="multilevel"/>
    <w:tmpl w:val="0020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707CC"/>
    <w:multiLevelType w:val="hybridMultilevel"/>
    <w:tmpl w:val="99804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40CA7"/>
    <w:multiLevelType w:val="multilevel"/>
    <w:tmpl w:val="408A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A03DD"/>
    <w:multiLevelType w:val="multilevel"/>
    <w:tmpl w:val="CE1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61398"/>
    <w:multiLevelType w:val="hybridMultilevel"/>
    <w:tmpl w:val="237A4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082522"/>
    <w:multiLevelType w:val="multilevel"/>
    <w:tmpl w:val="8BC4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5534C"/>
    <w:multiLevelType w:val="hybridMultilevel"/>
    <w:tmpl w:val="AA562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9A4AD6"/>
    <w:multiLevelType w:val="multilevel"/>
    <w:tmpl w:val="7466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6D6464"/>
    <w:multiLevelType w:val="hybridMultilevel"/>
    <w:tmpl w:val="53FC4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465590"/>
    <w:multiLevelType w:val="multilevel"/>
    <w:tmpl w:val="5BB8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A75B1"/>
    <w:multiLevelType w:val="hybridMultilevel"/>
    <w:tmpl w:val="57EED3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DF11D2"/>
    <w:multiLevelType w:val="hybridMultilevel"/>
    <w:tmpl w:val="A5448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FE2AB9"/>
    <w:multiLevelType w:val="hybridMultilevel"/>
    <w:tmpl w:val="7722B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2878D3"/>
    <w:multiLevelType w:val="hybridMultilevel"/>
    <w:tmpl w:val="B1601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30060C"/>
    <w:multiLevelType w:val="multilevel"/>
    <w:tmpl w:val="310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905EEE"/>
    <w:multiLevelType w:val="hybridMultilevel"/>
    <w:tmpl w:val="3E68A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F809A0"/>
    <w:multiLevelType w:val="hybridMultilevel"/>
    <w:tmpl w:val="E236BA9A"/>
    <w:lvl w:ilvl="0" w:tplc="868C51F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7501B7B"/>
    <w:multiLevelType w:val="multilevel"/>
    <w:tmpl w:val="C63A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BA7E49"/>
    <w:multiLevelType w:val="multilevel"/>
    <w:tmpl w:val="F2C4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7F42D9"/>
    <w:multiLevelType w:val="multilevel"/>
    <w:tmpl w:val="8194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DE6E15"/>
    <w:multiLevelType w:val="multilevel"/>
    <w:tmpl w:val="DF20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EB4D0F"/>
    <w:multiLevelType w:val="hybridMultilevel"/>
    <w:tmpl w:val="DAF6B05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BEA238E"/>
    <w:multiLevelType w:val="multilevel"/>
    <w:tmpl w:val="66A6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8141C6"/>
    <w:multiLevelType w:val="hybridMultilevel"/>
    <w:tmpl w:val="01CE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D4C201B"/>
    <w:multiLevelType w:val="multilevel"/>
    <w:tmpl w:val="AE28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CD7DAF"/>
    <w:multiLevelType w:val="multilevel"/>
    <w:tmpl w:val="CBF6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706172"/>
    <w:multiLevelType w:val="multilevel"/>
    <w:tmpl w:val="3912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94519"/>
    <w:multiLevelType w:val="multilevel"/>
    <w:tmpl w:val="16DE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733CD5"/>
    <w:multiLevelType w:val="multilevel"/>
    <w:tmpl w:val="066C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9646D0"/>
    <w:multiLevelType w:val="multilevel"/>
    <w:tmpl w:val="B65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3A170B"/>
    <w:multiLevelType w:val="hybridMultilevel"/>
    <w:tmpl w:val="7B060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7506E0F"/>
    <w:multiLevelType w:val="multilevel"/>
    <w:tmpl w:val="1E9C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F64597"/>
    <w:multiLevelType w:val="hybridMultilevel"/>
    <w:tmpl w:val="EE76C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8AE6756"/>
    <w:multiLevelType w:val="multilevel"/>
    <w:tmpl w:val="2A9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B3664C"/>
    <w:multiLevelType w:val="multilevel"/>
    <w:tmpl w:val="7122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271B64"/>
    <w:multiLevelType w:val="multilevel"/>
    <w:tmpl w:val="E05E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8374A6"/>
    <w:multiLevelType w:val="multilevel"/>
    <w:tmpl w:val="B124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484E40"/>
    <w:multiLevelType w:val="multilevel"/>
    <w:tmpl w:val="627C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7E6FC6"/>
    <w:multiLevelType w:val="multilevel"/>
    <w:tmpl w:val="A648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D013AD"/>
    <w:multiLevelType w:val="multilevel"/>
    <w:tmpl w:val="31D2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1C3914"/>
    <w:multiLevelType w:val="multilevel"/>
    <w:tmpl w:val="F2DC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DD054A"/>
    <w:multiLevelType w:val="multilevel"/>
    <w:tmpl w:val="1532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592DD6"/>
    <w:multiLevelType w:val="multilevel"/>
    <w:tmpl w:val="2744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6576AF"/>
    <w:multiLevelType w:val="multilevel"/>
    <w:tmpl w:val="F47C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C0616A"/>
    <w:multiLevelType w:val="multilevel"/>
    <w:tmpl w:val="C6A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1535F3"/>
    <w:multiLevelType w:val="multilevel"/>
    <w:tmpl w:val="D608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4374A9"/>
    <w:multiLevelType w:val="multilevel"/>
    <w:tmpl w:val="85E4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7E4529"/>
    <w:multiLevelType w:val="multilevel"/>
    <w:tmpl w:val="D09C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B73C70"/>
    <w:multiLevelType w:val="multilevel"/>
    <w:tmpl w:val="A88E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FD4031"/>
    <w:multiLevelType w:val="hybridMultilevel"/>
    <w:tmpl w:val="D8D86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2E2253A"/>
    <w:multiLevelType w:val="hybridMultilevel"/>
    <w:tmpl w:val="B42CA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3FF4F6C"/>
    <w:multiLevelType w:val="multilevel"/>
    <w:tmpl w:val="49D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2F0A0D"/>
    <w:multiLevelType w:val="hybridMultilevel"/>
    <w:tmpl w:val="8BD2A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47D3F5A"/>
    <w:multiLevelType w:val="hybridMultilevel"/>
    <w:tmpl w:val="38E65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4B46AB3"/>
    <w:multiLevelType w:val="multilevel"/>
    <w:tmpl w:val="3F4A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DC070C"/>
    <w:multiLevelType w:val="multilevel"/>
    <w:tmpl w:val="2122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B03E82"/>
    <w:multiLevelType w:val="hybridMultilevel"/>
    <w:tmpl w:val="98B6167C"/>
    <w:lvl w:ilvl="0" w:tplc="02AA9ED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98255C0"/>
    <w:multiLevelType w:val="multilevel"/>
    <w:tmpl w:val="F2D2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240144"/>
    <w:multiLevelType w:val="multilevel"/>
    <w:tmpl w:val="7E16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4E59B4"/>
    <w:multiLevelType w:val="hybridMultilevel"/>
    <w:tmpl w:val="38883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AA3211E"/>
    <w:multiLevelType w:val="multilevel"/>
    <w:tmpl w:val="73E8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B781016"/>
    <w:multiLevelType w:val="multilevel"/>
    <w:tmpl w:val="C21C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1368CC"/>
    <w:multiLevelType w:val="multilevel"/>
    <w:tmpl w:val="32A8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570133"/>
    <w:multiLevelType w:val="multilevel"/>
    <w:tmpl w:val="68D8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062310"/>
    <w:multiLevelType w:val="multilevel"/>
    <w:tmpl w:val="94C0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1105CF"/>
    <w:multiLevelType w:val="hybridMultilevel"/>
    <w:tmpl w:val="A3D6F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66E73CA"/>
    <w:multiLevelType w:val="multilevel"/>
    <w:tmpl w:val="BF32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C6220F"/>
    <w:multiLevelType w:val="multilevel"/>
    <w:tmpl w:val="877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6576AB"/>
    <w:multiLevelType w:val="hybridMultilevel"/>
    <w:tmpl w:val="7E34219C"/>
    <w:lvl w:ilvl="0" w:tplc="02AA9ED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AA417C8"/>
    <w:multiLevelType w:val="multilevel"/>
    <w:tmpl w:val="0DF8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DE441F"/>
    <w:multiLevelType w:val="hybridMultilevel"/>
    <w:tmpl w:val="F2A4F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BCB3ED7"/>
    <w:multiLevelType w:val="multilevel"/>
    <w:tmpl w:val="E7F8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574EA9"/>
    <w:multiLevelType w:val="multilevel"/>
    <w:tmpl w:val="CA86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EA4FD0"/>
    <w:multiLevelType w:val="multilevel"/>
    <w:tmpl w:val="4C3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2F04CEB"/>
    <w:multiLevelType w:val="multilevel"/>
    <w:tmpl w:val="544A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36555DD"/>
    <w:multiLevelType w:val="multilevel"/>
    <w:tmpl w:val="9662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014C32"/>
    <w:multiLevelType w:val="multilevel"/>
    <w:tmpl w:val="D8A0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B64F29"/>
    <w:multiLevelType w:val="multilevel"/>
    <w:tmpl w:val="4524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FC3195"/>
    <w:multiLevelType w:val="multilevel"/>
    <w:tmpl w:val="98E2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C65563"/>
    <w:multiLevelType w:val="multilevel"/>
    <w:tmpl w:val="EE3E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85645D"/>
    <w:multiLevelType w:val="multilevel"/>
    <w:tmpl w:val="14FC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B4A3157"/>
    <w:multiLevelType w:val="hybridMultilevel"/>
    <w:tmpl w:val="249497EE"/>
    <w:lvl w:ilvl="0" w:tplc="02AA9ED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B8D4744"/>
    <w:multiLevelType w:val="multilevel"/>
    <w:tmpl w:val="8D4A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C9567B"/>
    <w:multiLevelType w:val="hybridMultilevel"/>
    <w:tmpl w:val="D42A1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4C2127E"/>
    <w:multiLevelType w:val="multilevel"/>
    <w:tmpl w:val="1E4A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6114704"/>
    <w:multiLevelType w:val="multilevel"/>
    <w:tmpl w:val="2D2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575F6E"/>
    <w:multiLevelType w:val="hybridMultilevel"/>
    <w:tmpl w:val="96165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DDF215B"/>
    <w:multiLevelType w:val="multilevel"/>
    <w:tmpl w:val="D5C4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314F62"/>
    <w:multiLevelType w:val="multilevel"/>
    <w:tmpl w:val="55A8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AD562E"/>
    <w:multiLevelType w:val="hybridMultilevel"/>
    <w:tmpl w:val="F3D00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5"/>
  </w:num>
  <w:num w:numId="2">
    <w:abstractNumId w:val="24"/>
  </w:num>
  <w:num w:numId="3">
    <w:abstractNumId w:val="54"/>
  </w:num>
  <w:num w:numId="4">
    <w:abstractNumId w:val="91"/>
  </w:num>
  <w:num w:numId="5">
    <w:abstractNumId w:val="50"/>
  </w:num>
  <w:num w:numId="6">
    <w:abstractNumId w:val="33"/>
  </w:num>
  <w:num w:numId="7">
    <w:abstractNumId w:val="22"/>
  </w:num>
  <w:num w:numId="8">
    <w:abstractNumId w:val="2"/>
  </w:num>
  <w:num w:numId="9">
    <w:abstractNumId w:val="51"/>
  </w:num>
  <w:num w:numId="10">
    <w:abstractNumId w:val="5"/>
  </w:num>
  <w:num w:numId="11">
    <w:abstractNumId w:val="66"/>
  </w:num>
  <w:num w:numId="12">
    <w:abstractNumId w:val="41"/>
  </w:num>
  <w:num w:numId="13">
    <w:abstractNumId w:val="15"/>
  </w:num>
  <w:num w:numId="14">
    <w:abstractNumId w:val="11"/>
  </w:num>
  <w:num w:numId="15">
    <w:abstractNumId w:val="14"/>
  </w:num>
  <w:num w:numId="16">
    <w:abstractNumId w:val="7"/>
  </w:num>
  <w:num w:numId="17">
    <w:abstractNumId w:val="53"/>
  </w:num>
  <w:num w:numId="18">
    <w:abstractNumId w:val="16"/>
  </w:num>
  <w:num w:numId="19">
    <w:abstractNumId w:val="9"/>
  </w:num>
  <w:num w:numId="20">
    <w:abstractNumId w:val="60"/>
  </w:num>
  <w:num w:numId="21">
    <w:abstractNumId w:val="88"/>
  </w:num>
  <w:num w:numId="22">
    <w:abstractNumId w:val="31"/>
  </w:num>
  <w:num w:numId="23">
    <w:abstractNumId w:val="12"/>
  </w:num>
  <w:num w:numId="24">
    <w:abstractNumId w:val="84"/>
  </w:num>
  <w:num w:numId="25">
    <w:abstractNumId w:val="73"/>
  </w:num>
  <w:num w:numId="26">
    <w:abstractNumId w:val="43"/>
  </w:num>
  <w:num w:numId="27">
    <w:abstractNumId w:val="4"/>
  </w:num>
  <w:num w:numId="28">
    <w:abstractNumId w:val="76"/>
  </w:num>
  <w:num w:numId="29">
    <w:abstractNumId w:val="74"/>
  </w:num>
  <w:num w:numId="30">
    <w:abstractNumId w:val="17"/>
  </w:num>
  <w:num w:numId="31">
    <w:abstractNumId w:val="82"/>
  </w:num>
  <w:num w:numId="32">
    <w:abstractNumId w:val="86"/>
  </w:num>
  <w:num w:numId="33">
    <w:abstractNumId w:val="58"/>
  </w:num>
  <w:num w:numId="34">
    <w:abstractNumId w:val="63"/>
  </w:num>
  <w:num w:numId="35">
    <w:abstractNumId w:val="34"/>
  </w:num>
  <w:num w:numId="36">
    <w:abstractNumId w:val="25"/>
  </w:num>
  <w:num w:numId="37">
    <w:abstractNumId w:val="87"/>
  </w:num>
  <w:num w:numId="38">
    <w:abstractNumId w:val="19"/>
  </w:num>
  <w:num w:numId="39">
    <w:abstractNumId w:val="45"/>
  </w:num>
  <w:num w:numId="40">
    <w:abstractNumId w:val="10"/>
  </w:num>
  <w:num w:numId="41">
    <w:abstractNumId w:val="28"/>
  </w:num>
  <w:num w:numId="42">
    <w:abstractNumId w:val="80"/>
  </w:num>
  <w:num w:numId="43">
    <w:abstractNumId w:val="61"/>
  </w:num>
  <w:num w:numId="44">
    <w:abstractNumId w:val="68"/>
  </w:num>
  <w:num w:numId="45">
    <w:abstractNumId w:val="35"/>
  </w:num>
  <w:num w:numId="46">
    <w:abstractNumId w:val="18"/>
  </w:num>
  <w:num w:numId="47">
    <w:abstractNumId w:val="69"/>
  </w:num>
  <w:num w:numId="48">
    <w:abstractNumId w:val="57"/>
  </w:num>
  <w:num w:numId="49">
    <w:abstractNumId w:val="29"/>
  </w:num>
  <w:num w:numId="50">
    <w:abstractNumId w:val="0"/>
  </w:num>
  <w:num w:numId="51">
    <w:abstractNumId w:val="8"/>
  </w:num>
  <w:num w:numId="52">
    <w:abstractNumId w:val="26"/>
  </w:num>
  <w:num w:numId="53">
    <w:abstractNumId w:val="65"/>
  </w:num>
  <w:num w:numId="54">
    <w:abstractNumId w:val="64"/>
  </w:num>
  <w:num w:numId="55">
    <w:abstractNumId w:val="52"/>
  </w:num>
  <w:num w:numId="56">
    <w:abstractNumId w:val="36"/>
  </w:num>
  <w:num w:numId="57">
    <w:abstractNumId w:val="55"/>
  </w:num>
  <w:num w:numId="58">
    <w:abstractNumId w:val="90"/>
  </w:num>
  <w:num w:numId="59">
    <w:abstractNumId w:val="78"/>
  </w:num>
  <w:num w:numId="60">
    <w:abstractNumId w:val="56"/>
  </w:num>
  <w:num w:numId="61">
    <w:abstractNumId w:val="79"/>
  </w:num>
  <w:num w:numId="62">
    <w:abstractNumId w:val="70"/>
  </w:num>
  <w:num w:numId="63">
    <w:abstractNumId w:val="59"/>
  </w:num>
  <w:num w:numId="64">
    <w:abstractNumId w:val="27"/>
  </w:num>
  <w:num w:numId="65">
    <w:abstractNumId w:val="23"/>
  </w:num>
  <w:num w:numId="66">
    <w:abstractNumId w:val="6"/>
  </w:num>
  <w:num w:numId="67">
    <w:abstractNumId w:val="37"/>
  </w:num>
  <w:num w:numId="68">
    <w:abstractNumId w:val="67"/>
  </w:num>
  <w:num w:numId="69">
    <w:abstractNumId w:val="49"/>
  </w:num>
  <w:num w:numId="70">
    <w:abstractNumId w:val="46"/>
  </w:num>
  <w:num w:numId="71">
    <w:abstractNumId w:val="44"/>
  </w:num>
  <w:num w:numId="72">
    <w:abstractNumId w:val="32"/>
  </w:num>
  <w:num w:numId="73">
    <w:abstractNumId w:val="40"/>
  </w:num>
  <w:num w:numId="74">
    <w:abstractNumId w:val="83"/>
  </w:num>
  <w:num w:numId="75">
    <w:abstractNumId w:val="3"/>
  </w:num>
  <w:num w:numId="76">
    <w:abstractNumId w:val="38"/>
  </w:num>
  <w:num w:numId="77">
    <w:abstractNumId w:val="30"/>
  </w:num>
  <w:num w:numId="78">
    <w:abstractNumId w:val="89"/>
  </w:num>
  <w:num w:numId="79">
    <w:abstractNumId w:val="72"/>
  </w:num>
  <w:num w:numId="80">
    <w:abstractNumId w:val="75"/>
  </w:num>
  <w:num w:numId="81">
    <w:abstractNumId w:val="1"/>
  </w:num>
  <w:num w:numId="82">
    <w:abstractNumId w:val="48"/>
  </w:num>
  <w:num w:numId="83">
    <w:abstractNumId w:val="62"/>
  </w:num>
  <w:num w:numId="84">
    <w:abstractNumId w:val="77"/>
  </w:num>
  <w:num w:numId="85">
    <w:abstractNumId w:val="13"/>
  </w:num>
  <w:num w:numId="86">
    <w:abstractNumId w:val="71"/>
  </w:num>
  <w:num w:numId="87">
    <w:abstractNumId w:val="39"/>
  </w:num>
  <w:num w:numId="88">
    <w:abstractNumId w:val="21"/>
  </w:num>
  <w:num w:numId="89">
    <w:abstractNumId w:val="47"/>
  </w:num>
  <w:num w:numId="90">
    <w:abstractNumId w:val="81"/>
  </w:num>
  <w:num w:numId="91">
    <w:abstractNumId w:val="42"/>
  </w:num>
  <w:num w:numId="92">
    <w:abstractNumId w:val="2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FE"/>
    <w:rsid w:val="00000B5B"/>
    <w:rsid w:val="00001611"/>
    <w:rsid w:val="00001C4E"/>
    <w:rsid w:val="00007A61"/>
    <w:rsid w:val="000104A8"/>
    <w:rsid w:val="0001246E"/>
    <w:rsid w:val="000124B1"/>
    <w:rsid w:val="00014343"/>
    <w:rsid w:val="00015E64"/>
    <w:rsid w:val="00016FE6"/>
    <w:rsid w:val="00017C79"/>
    <w:rsid w:val="00027830"/>
    <w:rsid w:val="00027E5D"/>
    <w:rsid w:val="00031064"/>
    <w:rsid w:val="00031125"/>
    <w:rsid w:val="00031692"/>
    <w:rsid w:val="00032531"/>
    <w:rsid w:val="000325A0"/>
    <w:rsid w:val="00032A05"/>
    <w:rsid w:val="000460FF"/>
    <w:rsid w:val="000471BF"/>
    <w:rsid w:val="00047B68"/>
    <w:rsid w:val="00052600"/>
    <w:rsid w:val="00052B10"/>
    <w:rsid w:val="00054F45"/>
    <w:rsid w:val="00055F0B"/>
    <w:rsid w:val="0005643C"/>
    <w:rsid w:val="0006264A"/>
    <w:rsid w:val="00063C35"/>
    <w:rsid w:val="000707DD"/>
    <w:rsid w:val="000729CF"/>
    <w:rsid w:val="00073D77"/>
    <w:rsid w:val="00080067"/>
    <w:rsid w:val="00080F12"/>
    <w:rsid w:val="00081655"/>
    <w:rsid w:val="00082B48"/>
    <w:rsid w:val="000864E0"/>
    <w:rsid w:val="00091242"/>
    <w:rsid w:val="000937C8"/>
    <w:rsid w:val="000969B3"/>
    <w:rsid w:val="000A5F42"/>
    <w:rsid w:val="000B1920"/>
    <w:rsid w:val="000B2CAB"/>
    <w:rsid w:val="000B5082"/>
    <w:rsid w:val="000C5288"/>
    <w:rsid w:val="000D277F"/>
    <w:rsid w:val="000D4B4D"/>
    <w:rsid w:val="000D76DB"/>
    <w:rsid w:val="000E0AAE"/>
    <w:rsid w:val="000E374B"/>
    <w:rsid w:val="000E4006"/>
    <w:rsid w:val="000F4C5C"/>
    <w:rsid w:val="000F60C1"/>
    <w:rsid w:val="000F6CEE"/>
    <w:rsid w:val="00104FD7"/>
    <w:rsid w:val="001059CA"/>
    <w:rsid w:val="00106AA6"/>
    <w:rsid w:val="00113922"/>
    <w:rsid w:val="00113D58"/>
    <w:rsid w:val="00115711"/>
    <w:rsid w:val="001167A0"/>
    <w:rsid w:val="001200CB"/>
    <w:rsid w:val="0012127F"/>
    <w:rsid w:val="00123404"/>
    <w:rsid w:val="0012702A"/>
    <w:rsid w:val="0013786C"/>
    <w:rsid w:val="001378A3"/>
    <w:rsid w:val="00141077"/>
    <w:rsid w:val="00141CB8"/>
    <w:rsid w:val="0014329F"/>
    <w:rsid w:val="00151B07"/>
    <w:rsid w:val="001522E7"/>
    <w:rsid w:val="00154D8F"/>
    <w:rsid w:val="00155582"/>
    <w:rsid w:val="00161590"/>
    <w:rsid w:val="00161EF3"/>
    <w:rsid w:val="00163A49"/>
    <w:rsid w:val="001657C7"/>
    <w:rsid w:val="00170857"/>
    <w:rsid w:val="00171CC0"/>
    <w:rsid w:val="001723AC"/>
    <w:rsid w:val="00174166"/>
    <w:rsid w:val="00175494"/>
    <w:rsid w:val="00175629"/>
    <w:rsid w:val="00182D04"/>
    <w:rsid w:val="001830EC"/>
    <w:rsid w:val="00183534"/>
    <w:rsid w:val="001901CC"/>
    <w:rsid w:val="0019283E"/>
    <w:rsid w:val="00195A17"/>
    <w:rsid w:val="00197782"/>
    <w:rsid w:val="001A181D"/>
    <w:rsid w:val="001A32F1"/>
    <w:rsid w:val="001A4A96"/>
    <w:rsid w:val="001A5D05"/>
    <w:rsid w:val="001A6F97"/>
    <w:rsid w:val="001A796C"/>
    <w:rsid w:val="001B2614"/>
    <w:rsid w:val="001B37B8"/>
    <w:rsid w:val="001B552F"/>
    <w:rsid w:val="001B59ED"/>
    <w:rsid w:val="001C024C"/>
    <w:rsid w:val="001C0893"/>
    <w:rsid w:val="001C1303"/>
    <w:rsid w:val="001C130F"/>
    <w:rsid w:val="001C20B9"/>
    <w:rsid w:val="001C36A4"/>
    <w:rsid w:val="001C70B2"/>
    <w:rsid w:val="001D2443"/>
    <w:rsid w:val="001D37C7"/>
    <w:rsid w:val="001D5494"/>
    <w:rsid w:val="001D6888"/>
    <w:rsid w:val="001E4E1D"/>
    <w:rsid w:val="001F4F2B"/>
    <w:rsid w:val="00200289"/>
    <w:rsid w:val="002063B6"/>
    <w:rsid w:val="00221C35"/>
    <w:rsid w:val="002230C0"/>
    <w:rsid w:val="00224EFF"/>
    <w:rsid w:val="002276DC"/>
    <w:rsid w:val="00227E00"/>
    <w:rsid w:val="002307CB"/>
    <w:rsid w:val="00231046"/>
    <w:rsid w:val="00231A91"/>
    <w:rsid w:val="00232167"/>
    <w:rsid w:val="0023395F"/>
    <w:rsid w:val="00233B7F"/>
    <w:rsid w:val="002342B6"/>
    <w:rsid w:val="00234F21"/>
    <w:rsid w:val="002355D4"/>
    <w:rsid w:val="0023698D"/>
    <w:rsid w:val="00242659"/>
    <w:rsid w:val="002428F7"/>
    <w:rsid w:val="0024315F"/>
    <w:rsid w:val="0024631C"/>
    <w:rsid w:val="00252C9A"/>
    <w:rsid w:val="00255AC4"/>
    <w:rsid w:val="00256309"/>
    <w:rsid w:val="00257484"/>
    <w:rsid w:val="00260636"/>
    <w:rsid w:val="00264A38"/>
    <w:rsid w:val="00275C5C"/>
    <w:rsid w:val="00275C78"/>
    <w:rsid w:val="002760F0"/>
    <w:rsid w:val="00280594"/>
    <w:rsid w:val="00281EE3"/>
    <w:rsid w:val="00284E4A"/>
    <w:rsid w:val="00286267"/>
    <w:rsid w:val="0028732F"/>
    <w:rsid w:val="00287605"/>
    <w:rsid w:val="00287FAC"/>
    <w:rsid w:val="00292791"/>
    <w:rsid w:val="002A2298"/>
    <w:rsid w:val="002A3799"/>
    <w:rsid w:val="002A3BCC"/>
    <w:rsid w:val="002A4516"/>
    <w:rsid w:val="002A569F"/>
    <w:rsid w:val="002A7066"/>
    <w:rsid w:val="002B001E"/>
    <w:rsid w:val="002B09B7"/>
    <w:rsid w:val="002B2576"/>
    <w:rsid w:val="002B75A9"/>
    <w:rsid w:val="002C2042"/>
    <w:rsid w:val="002C21B0"/>
    <w:rsid w:val="002C7821"/>
    <w:rsid w:val="002D3B27"/>
    <w:rsid w:val="002D43E6"/>
    <w:rsid w:val="002E0288"/>
    <w:rsid w:val="002E069F"/>
    <w:rsid w:val="002E2FB3"/>
    <w:rsid w:val="002E5820"/>
    <w:rsid w:val="002F0329"/>
    <w:rsid w:val="002F2199"/>
    <w:rsid w:val="002F327B"/>
    <w:rsid w:val="00301626"/>
    <w:rsid w:val="003057F3"/>
    <w:rsid w:val="003059EC"/>
    <w:rsid w:val="00311ED2"/>
    <w:rsid w:val="003144DE"/>
    <w:rsid w:val="00314FAB"/>
    <w:rsid w:val="00316CCD"/>
    <w:rsid w:val="00316FF3"/>
    <w:rsid w:val="00324F7E"/>
    <w:rsid w:val="00326AA0"/>
    <w:rsid w:val="00326B90"/>
    <w:rsid w:val="00327477"/>
    <w:rsid w:val="003323BC"/>
    <w:rsid w:val="0033445F"/>
    <w:rsid w:val="003378CC"/>
    <w:rsid w:val="00337FA1"/>
    <w:rsid w:val="00346D42"/>
    <w:rsid w:val="00346E11"/>
    <w:rsid w:val="0034729B"/>
    <w:rsid w:val="0035491A"/>
    <w:rsid w:val="00356781"/>
    <w:rsid w:val="003601C0"/>
    <w:rsid w:val="003608A9"/>
    <w:rsid w:val="003635F5"/>
    <w:rsid w:val="003645CA"/>
    <w:rsid w:val="0036655F"/>
    <w:rsid w:val="0037295F"/>
    <w:rsid w:val="00372A88"/>
    <w:rsid w:val="0037714C"/>
    <w:rsid w:val="00381A0F"/>
    <w:rsid w:val="00381FA6"/>
    <w:rsid w:val="003826AE"/>
    <w:rsid w:val="00382A9D"/>
    <w:rsid w:val="00383634"/>
    <w:rsid w:val="00384556"/>
    <w:rsid w:val="003858E5"/>
    <w:rsid w:val="00386722"/>
    <w:rsid w:val="00386FA4"/>
    <w:rsid w:val="003901FE"/>
    <w:rsid w:val="00391940"/>
    <w:rsid w:val="00392C9B"/>
    <w:rsid w:val="00395C89"/>
    <w:rsid w:val="00397883"/>
    <w:rsid w:val="00397F70"/>
    <w:rsid w:val="003A1B3A"/>
    <w:rsid w:val="003A27EF"/>
    <w:rsid w:val="003A40F5"/>
    <w:rsid w:val="003B0A02"/>
    <w:rsid w:val="003B19B6"/>
    <w:rsid w:val="003B5B8C"/>
    <w:rsid w:val="003B5C41"/>
    <w:rsid w:val="003C10B2"/>
    <w:rsid w:val="003C7841"/>
    <w:rsid w:val="003D5E10"/>
    <w:rsid w:val="003D79B1"/>
    <w:rsid w:val="003E74EE"/>
    <w:rsid w:val="003F00B9"/>
    <w:rsid w:val="003F0552"/>
    <w:rsid w:val="003F2D78"/>
    <w:rsid w:val="003F3BC2"/>
    <w:rsid w:val="003F606B"/>
    <w:rsid w:val="003F6543"/>
    <w:rsid w:val="003F725B"/>
    <w:rsid w:val="00401ED1"/>
    <w:rsid w:val="0040224C"/>
    <w:rsid w:val="0041057B"/>
    <w:rsid w:val="00413EE1"/>
    <w:rsid w:val="004156A7"/>
    <w:rsid w:val="004164BB"/>
    <w:rsid w:val="00416A27"/>
    <w:rsid w:val="0042000E"/>
    <w:rsid w:val="00421CBD"/>
    <w:rsid w:val="00421ECE"/>
    <w:rsid w:val="00422FEB"/>
    <w:rsid w:val="00423D48"/>
    <w:rsid w:val="0042435E"/>
    <w:rsid w:val="004315F5"/>
    <w:rsid w:val="0043265E"/>
    <w:rsid w:val="0043312B"/>
    <w:rsid w:val="00433456"/>
    <w:rsid w:val="00433DFA"/>
    <w:rsid w:val="00435D67"/>
    <w:rsid w:val="00442EE5"/>
    <w:rsid w:val="00443B13"/>
    <w:rsid w:val="00444216"/>
    <w:rsid w:val="00460EF6"/>
    <w:rsid w:val="00464A58"/>
    <w:rsid w:val="0046737C"/>
    <w:rsid w:val="00467D96"/>
    <w:rsid w:val="00473D2D"/>
    <w:rsid w:val="004759FB"/>
    <w:rsid w:val="0047671A"/>
    <w:rsid w:val="004A0DBB"/>
    <w:rsid w:val="004A1506"/>
    <w:rsid w:val="004A2125"/>
    <w:rsid w:val="004A38F6"/>
    <w:rsid w:val="004B237A"/>
    <w:rsid w:val="004B3D78"/>
    <w:rsid w:val="004B4EB6"/>
    <w:rsid w:val="004C021A"/>
    <w:rsid w:val="004C083C"/>
    <w:rsid w:val="004C5E20"/>
    <w:rsid w:val="004C67C6"/>
    <w:rsid w:val="004D29DE"/>
    <w:rsid w:val="004D312F"/>
    <w:rsid w:val="004D76E5"/>
    <w:rsid w:val="004E44A3"/>
    <w:rsid w:val="00500F9B"/>
    <w:rsid w:val="00501D1B"/>
    <w:rsid w:val="0050657F"/>
    <w:rsid w:val="00506C0C"/>
    <w:rsid w:val="00510EAC"/>
    <w:rsid w:val="00513744"/>
    <w:rsid w:val="0051462F"/>
    <w:rsid w:val="00515520"/>
    <w:rsid w:val="00516031"/>
    <w:rsid w:val="0052123B"/>
    <w:rsid w:val="005239A1"/>
    <w:rsid w:val="00533D5C"/>
    <w:rsid w:val="005412C3"/>
    <w:rsid w:val="005428FE"/>
    <w:rsid w:val="00542A57"/>
    <w:rsid w:val="0054688F"/>
    <w:rsid w:val="00550045"/>
    <w:rsid w:val="0055047F"/>
    <w:rsid w:val="00556D69"/>
    <w:rsid w:val="00565974"/>
    <w:rsid w:val="00565C43"/>
    <w:rsid w:val="005732C0"/>
    <w:rsid w:val="0057336D"/>
    <w:rsid w:val="0057489A"/>
    <w:rsid w:val="00574ACF"/>
    <w:rsid w:val="00581588"/>
    <w:rsid w:val="0058387E"/>
    <w:rsid w:val="005841B8"/>
    <w:rsid w:val="0058540B"/>
    <w:rsid w:val="00587C87"/>
    <w:rsid w:val="00590B80"/>
    <w:rsid w:val="005A2085"/>
    <w:rsid w:val="005B0D68"/>
    <w:rsid w:val="005B3134"/>
    <w:rsid w:val="005B4E61"/>
    <w:rsid w:val="005B595A"/>
    <w:rsid w:val="005B66C2"/>
    <w:rsid w:val="005B710F"/>
    <w:rsid w:val="005C441C"/>
    <w:rsid w:val="005C5E22"/>
    <w:rsid w:val="005C66A6"/>
    <w:rsid w:val="005C7C62"/>
    <w:rsid w:val="005D2465"/>
    <w:rsid w:val="005D4C9C"/>
    <w:rsid w:val="005D7218"/>
    <w:rsid w:val="005D74E9"/>
    <w:rsid w:val="005E3015"/>
    <w:rsid w:val="005E33DD"/>
    <w:rsid w:val="005E4229"/>
    <w:rsid w:val="005E5181"/>
    <w:rsid w:val="005E540E"/>
    <w:rsid w:val="005E55FB"/>
    <w:rsid w:val="005F0320"/>
    <w:rsid w:val="005F16BB"/>
    <w:rsid w:val="005F34F4"/>
    <w:rsid w:val="0060180D"/>
    <w:rsid w:val="00602AFC"/>
    <w:rsid w:val="00605021"/>
    <w:rsid w:val="00607115"/>
    <w:rsid w:val="006113F0"/>
    <w:rsid w:val="00611A1C"/>
    <w:rsid w:val="00611AA3"/>
    <w:rsid w:val="00620768"/>
    <w:rsid w:val="0062082B"/>
    <w:rsid w:val="006255AB"/>
    <w:rsid w:val="0062594B"/>
    <w:rsid w:val="00631406"/>
    <w:rsid w:val="00631B32"/>
    <w:rsid w:val="006324FF"/>
    <w:rsid w:val="006335C1"/>
    <w:rsid w:val="006351D6"/>
    <w:rsid w:val="00636E0D"/>
    <w:rsid w:val="006408B5"/>
    <w:rsid w:val="0064142F"/>
    <w:rsid w:val="006436D8"/>
    <w:rsid w:val="00643CB4"/>
    <w:rsid w:val="00653125"/>
    <w:rsid w:val="00655C40"/>
    <w:rsid w:val="00656427"/>
    <w:rsid w:val="00660255"/>
    <w:rsid w:val="00663EA5"/>
    <w:rsid w:val="00684F68"/>
    <w:rsid w:val="006971F3"/>
    <w:rsid w:val="006A3248"/>
    <w:rsid w:val="006A7D07"/>
    <w:rsid w:val="006C0C2E"/>
    <w:rsid w:val="006C127B"/>
    <w:rsid w:val="006C60EC"/>
    <w:rsid w:val="006C707B"/>
    <w:rsid w:val="006C74A3"/>
    <w:rsid w:val="006D1381"/>
    <w:rsid w:val="006D31BC"/>
    <w:rsid w:val="006D7AA3"/>
    <w:rsid w:val="006D7DF5"/>
    <w:rsid w:val="006E1A90"/>
    <w:rsid w:val="006E3A24"/>
    <w:rsid w:val="006E7943"/>
    <w:rsid w:val="006F00A7"/>
    <w:rsid w:val="006F24EA"/>
    <w:rsid w:val="006F5F15"/>
    <w:rsid w:val="00704CA9"/>
    <w:rsid w:val="00704E11"/>
    <w:rsid w:val="00705901"/>
    <w:rsid w:val="0071048D"/>
    <w:rsid w:val="00710F86"/>
    <w:rsid w:val="007111A8"/>
    <w:rsid w:val="0071498B"/>
    <w:rsid w:val="00716D44"/>
    <w:rsid w:val="00722366"/>
    <w:rsid w:val="00723B5F"/>
    <w:rsid w:val="00731BC3"/>
    <w:rsid w:val="00731D8D"/>
    <w:rsid w:val="00732EE1"/>
    <w:rsid w:val="00734AB5"/>
    <w:rsid w:val="00737B20"/>
    <w:rsid w:val="007402E6"/>
    <w:rsid w:val="00740956"/>
    <w:rsid w:val="00741192"/>
    <w:rsid w:val="007415F8"/>
    <w:rsid w:val="00741AA9"/>
    <w:rsid w:val="00743334"/>
    <w:rsid w:val="00743A33"/>
    <w:rsid w:val="00746080"/>
    <w:rsid w:val="0074784B"/>
    <w:rsid w:val="00747E58"/>
    <w:rsid w:val="00751135"/>
    <w:rsid w:val="0075144A"/>
    <w:rsid w:val="0075379B"/>
    <w:rsid w:val="007655C4"/>
    <w:rsid w:val="007723F9"/>
    <w:rsid w:val="00776297"/>
    <w:rsid w:val="00784BC3"/>
    <w:rsid w:val="00786329"/>
    <w:rsid w:val="00786A32"/>
    <w:rsid w:val="00792C7D"/>
    <w:rsid w:val="00794A4D"/>
    <w:rsid w:val="00797882"/>
    <w:rsid w:val="007A1B33"/>
    <w:rsid w:val="007A5234"/>
    <w:rsid w:val="007B545F"/>
    <w:rsid w:val="007B7854"/>
    <w:rsid w:val="007C56A1"/>
    <w:rsid w:val="007C6454"/>
    <w:rsid w:val="007C7628"/>
    <w:rsid w:val="007D77A8"/>
    <w:rsid w:val="007D7C7A"/>
    <w:rsid w:val="007E01E0"/>
    <w:rsid w:val="007E36A9"/>
    <w:rsid w:val="007E3F70"/>
    <w:rsid w:val="007E43CF"/>
    <w:rsid w:val="007E5CA0"/>
    <w:rsid w:val="007E643F"/>
    <w:rsid w:val="007E6C14"/>
    <w:rsid w:val="007F0B93"/>
    <w:rsid w:val="007F2ECA"/>
    <w:rsid w:val="007F2F52"/>
    <w:rsid w:val="007F30DA"/>
    <w:rsid w:val="007F501C"/>
    <w:rsid w:val="00800423"/>
    <w:rsid w:val="00811708"/>
    <w:rsid w:val="00812C86"/>
    <w:rsid w:val="0081478A"/>
    <w:rsid w:val="00815350"/>
    <w:rsid w:val="0081601B"/>
    <w:rsid w:val="00816B90"/>
    <w:rsid w:val="00817799"/>
    <w:rsid w:val="00822184"/>
    <w:rsid w:val="00822F5F"/>
    <w:rsid w:val="00824FD3"/>
    <w:rsid w:val="00826589"/>
    <w:rsid w:val="00831844"/>
    <w:rsid w:val="00831B33"/>
    <w:rsid w:val="00834BCC"/>
    <w:rsid w:val="00834CDC"/>
    <w:rsid w:val="00841281"/>
    <w:rsid w:val="00844C1E"/>
    <w:rsid w:val="00850D54"/>
    <w:rsid w:val="00852E2B"/>
    <w:rsid w:val="008563E6"/>
    <w:rsid w:val="0085769C"/>
    <w:rsid w:val="00863324"/>
    <w:rsid w:val="008669B3"/>
    <w:rsid w:val="008714B0"/>
    <w:rsid w:val="00876331"/>
    <w:rsid w:val="00880726"/>
    <w:rsid w:val="00884876"/>
    <w:rsid w:val="00893CE5"/>
    <w:rsid w:val="00896362"/>
    <w:rsid w:val="008A3544"/>
    <w:rsid w:val="008B2178"/>
    <w:rsid w:val="008B48B8"/>
    <w:rsid w:val="008B5348"/>
    <w:rsid w:val="008B58F8"/>
    <w:rsid w:val="008B7EBB"/>
    <w:rsid w:val="008C0712"/>
    <w:rsid w:val="008C2CE3"/>
    <w:rsid w:val="008C4520"/>
    <w:rsid w:val="008C5F09"/>
    <w:rsid w:val="008C659F"/>
    <w:rsid w:val="008D470F"/>
    <w:rsid w:val="008D5935"/>
    <w:rsid w:val="008D5A87"/>
    <w:rsid w:val="008E1F8F"/>
    <w:rsid w:val="008E4768"/>
    <w:rsid w:val="008E761E"/>
    <w:rsid w:val="008F61B6"/>
    <w:rsid w:val="008F744A"/>
    <w:rsid w:val="008F77B3"/>
    <w:rsid w:val="009008F5"/>
    <w:rsid w:val="00904CC1"/>
    <w:rsid w:val="0090525E"/>
    <w:rsid w:val="0090652E"/>
    <w:rsid w:val="009066AF"/>
    <w:rsid w:val="00912050"/>
    <w:rsid w:val="00912E48"/>
    <w:rsid w:val="00912E68"/>
    <w:rsid w:val="00916F61"/>
    <w:rsid w:val="009171E8"/>
    <w:rsid w:val="00920AA7"/>
    <w:rsid w:val="0092746F"/>
    <w:rsid w:val="009306D3"/>
    <w:rsid w:val="009319E3"/>
    <w:rsid w:val="00935DC9"/>
    <w:rsid w:val="009446C0"/>
    <w:rsid w:val="00946194"/>
    <w:rsid w:val="00960647"/>
    <w:rsid w:val="0096082E"/>
    <w:rsid w:val="00961347"/>
    <w:rsid w:val="00961B73"/>
    <w:rsid w:val="0096376B"/>
    <w:rsid w:val="00965726"/>
    <w:rsid w:val="00967410"/>
    <w:rsid w:val="00967466"/>
    <w:rsid w:val="00967D73"/>
    <w:rsid w:val="00971569"/>
    <w:rsid w:val="00974EDA"/>
    <w:rsid w:val="00975853"/>
    <w:rsid w:val="00975A92"/>
    <w:rsid w:val="0098119A"/>
    <w:rsid w:val="0098254B"/>
    <w:rsid w:val="00984AAF"/>
    <w:rsid w:val="009915D5"/>
    <w:rsid w:val="00991B09"/>
    <w:rsid w:val="00993CB2"/>
    <w:rsid w:val="009A101F"/>
    <w:rsid w:val="009A1127"/>
    <w:rsid w:val="009A1582"/>
    <w:rsid w:val="009A17B1"/>
    <w:rsid w:val="009A42CE"/>
    <w:rsid w:val="009A5166"/>
    <w:rsid w:val="009A76F8"/>
    <w:rsid w:val="009B03F8"/>
    <w:rsid w:val="009B1774"/>
    <w:rsid w:val="009B2B83"/>
    <w:rsid w:val="009C2B5D"/>
    <w:rsid w:val="009C31A5"/>
    <w:rsid w:val="009C338A"/>
    <w:rsid w:val="009C49F8"/>
    <w:rsid w:val="009C663B"/>
    <w:rsid w:val="009D0632"/>
    <w:rsid w:val="009D77CC"/>
    <w:rsid w:val="009D797A"/>
    <w:rsid w:val="009E050E"/>
    <w:rsid w:val="009E2423"/>
    <w:rsid w:val="009E25A5"/>
    <w:rsid w:val="009E55D7"/>
    <w:rsid w:val="009F4150"/>
    <w:rsid w:val="009F5503"/>
    <w:rsid w:val="009F5665"/>
    <w:rsid w:val="009F5DAD"/>
    <w:rsid w:val="009F6561"/>
    <w:rsid w:val="009F7131"/>
    <w:rsid w:val="00A01BCA"/>
    <w:rsid w:val="00A028EE"/>
    <w:rsid w:val="00A10458"/>
    <w:rsid w:val="00A105F7"/>
    <w:rsid w:val="00A13F68"/>
    <w:rsid w:val="00A153B6"/>
    <w:rsid w:val="00A1547C"/>
    <w:rsid w:val="00A164D5"/>
    <w:rsid w:val="00A22DCA"/>
    <w:rsid w:val="00A273C3"/>
    <w:rsid w:val="00A30C37"/>
    <w:rsid w:val="00A34353"/>
    <w:rsid w:val="00A350DD"/>
    <w:rsid w:val="00A35AF8"/>
    <w:rsid w:val="00A362A9"/>
    <w:rsid w:val="00A36C65"/>
    <w:rsid w:val="00A37E11"/>
    <w:rsid w:val="00A41BBE"/>
    <w:rsid w:val="00A42ED7"/>
    <w:rsid w:val="00A443E3"/>
    <w:rsid w:val="00A45BDD"/>
    <w:rsid w:val="00A46A0A"/>
    <w:rsid w:val="00A50301"/>
    <w:rsid w:val="00A50DD9"/>
    <w:rsid w:val="00A53F45"/>
    <w:rsid w:val="00A553F8"/>
    <w:rsid w:val="00A566E4"/>
    <w:rsid w:val="00A572B0"/>
    <w:rsid w:val="00A607E2"/>
    <w:rsid w:val="00A64669"/>
    <w:rsid w:val="00A65342"/>
    <w:rsid w:val="00A6708F"/>
    <w:rsid w:val="00A71BF6"/>
    <w:rsid w:val="00A72AF9"/>
    <w:rsid w:val="00A74378"/>
    <w:rsid w:val="00A7752B"/>
    <w:rsid w:val="00A80261"/>
    <w:rsid w:val="00A81E7D"/>
    <w:rsid w:val="00A85A55"/>
    <w:rsid w:val="00A8645A"/>
    <w:rsid w:val="00A86F9A"/>
    <w:rsid w:val="00A953DE"/>
    <w:rsid w:val="00A96803"/>
    <w:rsid w:val="00A96BE6"/>
    <w:rsid w:val="00A979E7"/>
    <w:rsid w:val="00AA14C6"/>
    <w:rsid w:val="00AA170B"/>
    <w:rsid w:val="00AA2743"/>
    <w:rsid w:val="00AA35E6"/>
    <w:rsid w:val="00AA4944"/>
    <w:rsid w:val="00AA50B6"/>
    <w:rsid w:val="00AA6FA8"/>
    <w:rsid w:val="00AB27A3"/>
    <w:rsid w:val="00AB2AEC"/>
    <w:rsid w:val="00AB2BE3"/>
    <w:rsid w:val="00AB3472"/>
    <w:rsid w:val="00AB3706"/>
    <w:rsid w:val="00AC0643"/>
    <w:rsid w:val="00AD0762"/>
    <w:rsid w:val="00AD457A"/>
    <w:rsid w:val="00AE0209"/>
    <w:rsid w:val="00AE3AE8"/>
    <w:rsid w:val="00AE3DCF"/>
    <w:rsid w:val="00AE4452"/>
    <w:rsid w:val="00AE4C5A"/>
    <w:rsid w:val="00AE56E6"/>
    <w:rsid w:val="00AE7C38"/>
    <w:rsid w:val="00AF2A98"/>
    <w:rsid w:val="00AF54EF"/>
    <w:rsid w:val="00AF76A3"/>
    <w:rsid w:val="00B00666"/>
    <w:rsid w:val="00B0128B"/>
    <w:rsid w:val="00B01F99"/>
    <w:rsid w:val="00B02B37"/>
    <w:rsid w:val="00B03245"/>
    <w:rsid w:val="00B0386D"/>
    <w:rsid w:val="00B05276"/>
    <w:rsid w:val="00B12C49"/>
    <w:rsid w:val="00B132DB"/>
    <w:rsid w:val="00B17483"/>
    <w:rsid w:val="00B1780F"/>
    <w:rsid w:val="00B2269B"/>
    <w:rsid w:val="00B31427"/>
    <w:rsid w:val="00B31A6F"/>
    <w:rsid w:val="00B324B5"/>
    <w:rsid w:val="00B33861"/>
    <w:rsid w:val="00B40DE2"/>
    <w:rsid w:val="00B50210"/>
    <w:rsid w:val="00B50D8D"/>
    <w:rsid w:val="00B52121"/>
    <w:rsid w:val="00B53955"/>
    <w:rsid w:val="00B54467"/>
    <w:rsid w:val="00B579B4"/>
    <w:rsid w:val="00B6040D"/>
    <w:rsid w:val="00B629CB"/>
    <w:rsid w:val="00B63C79"/>
    <w:rsid w:val="00B6408A"/>
    <w:rsid w:val="00B6478A"/>
    <w:rsid w:val="00B6502F"/>
    <w:rsid w:val="00B66781"/>
    <w:rsid w:val="00B714B8"/>
    <w:rsid w:val="00B72D48"/>
    <w:rsid w:val="00B763D8"/>
    <w:rsid w:val="00B82C2C"/>
    <w:rsid w:val="00B83EA6"/>
    <w:rsid w:val="00B8720B"/>
    <w:rsid w:val="00B876EF"/>
    <w:rsid w:val="00B91FB5"/>
    <w:rsid w:val="00B975E2"/>
    <w:rsid w:val="00BA093B"/>
    <w:rsid w:val="00BA4697"/>
    <w:rsid w:val="00BB0A4B"/>
    <w:rsid w:val="00BB5378"/>
    <w:rsid w:val="00BB5C76"/>
    <w:rsid w:val="00BC0AA0"/>
    <w:rsid w:val="00BC0BD3"/>
    <w:rsid w:val="00BC6879"/>
    <w:rsid w:val="00BD0107"/>
    <w:rsid w:val="00BD531D"/>
    <w:rsid w:val="00BE0C33"/>
    <w:rsid w:val="00BE18AF"/>
    <w:rsid w:val="00BE22E7"/>
    <w:rsid w:val="00BE262C"/>
    <w:rsid w:val="00BE2BFA"/>
    <w:rsid w:val="00BE4C25"/>
    <w:rsid w:val="00BE4DDE"/>
    <w:rsid w:val="00BE4FF2"/>
    <w:rsid w:val="00BE6C3D"/>
    <w:rsid w:val="00C02498"/>
    <w:rsid w:val="00C07606"/>
    <w:rsid w:val="00C10FD2"/>
    <w:rsid w:val="00C11711"/>
    <w:rsid w:val="00C12542"/>
    <w:rsid w:val="00C130EE"/>
    <w:rsid w:val="00C16929"/>
    <w:rsid w:val="00C24725"/>
    <w:rsid w:val="00C30BA9"/>
    <w:rsid w:val="00C314C0"/>
    <w:rsid w:val="00C34994"/>
    <w:rsid w:val="00C3541E"/>
    <w:rsid w:val="00C36A8F"/>
    <w:rsid w:val="00C36C8F"/>
    <w:rsid w:val="00C42834"/>
    <w:rsid w:val="00C42FFA"/>
    <w:rsid w:val="00C507D8"/>
    <w:rsid w:val="00C51F5A"/>
    <w:rsid w:val="00C53945"/>
    <w:rsid w:val="00C54B54"/>
    <w:rsid w:val="00C62BD8"/>
    <w:rsid w:val="00C62EAC"/>
    <w:rsid w:val="00C63F9F"/>
    <w:rsid w:val="00C64323"/>
    <w:rsid w:val="00C702A5"/>
    <w:rsid w:val="00C7723C"/>
    <w:rsid w:val="00C77FB7"/>
    <w:rsid w:val="00C838F5"/>
    <w:rsid w:val="00C841C0"/>
    <w:rsid w:val="00C84EF8"/>
    <w:rsid w:val="00C8564E"/>
    <w:rsid w:val="00C877E2"/>
    <w:rsid w:val="00C91EF0"/>
    <w:rsid w:val="00C97DE9"/>
    <w:rsid w:val="00CA1AF4"/>
    <w:rsid w:val="00CA3165"/>
    <w:rsid w:val="00CA6068"/>
    <w:rsid w:val="00CA7C95"/>
    <w:rsid w:val="00CB15E1"/>
    <w:rsid w:val="00CB3D46"/>
    <w:rsid w:val="00CB6F73"/>
    <w:rsid w:val="00CC1D44"/>
    <w:rsid w:val="00CD0039"/>
    <w:rsid w:val="00CD1A87"/>
    <w:rsid w:val="00CD2964"/>
    <w:rsid w:val="00CD2AD8"/>
    <w:rsid w:val="00CD35F3"/>
    <w:rsid w:val="00CD5C93"/>
    <w:rsid w:val="00CE2247"/>
    <w:rsid w:val="00CE342B"/>
    <w:rsid w:val="00CE442B"/>
    <w:rsid w:val="00CF037E"/>
    <w:rsid w:val="00CF320C"/>
    <w:rsid w:val="00CF3A4B"/>
    <w:rsid w:val="00CF4001"/>
    <w:rsid w:val="00CF75DF"/>
    <w:rsid w:val="00D0266D"/>
    <w:rsid w:val="00D05837"/>
    <w:rsid w:val="00D12D8A"/>
    <w:rsid w:val="00D13E0C"/>
    <w:rsid w:val="00D166AD"/>
    <w:rsid w:val="00D21B1E"/>
    <w:rsid w:val="00D24B47"/>
    <w:rsid w:val="00D25896"/>
    <w:rsid w:val="00D3303F"/>
    <w:rsid w:val="00D345B8"/>
    <w:rsid w:val="00D346BB"/>
    <w:rsid w:val="00D36363"/>
    <w:rsid w:val="00D373A1"/>
    <w:rsid w:val="00D37C0F"/>
    <w:rsid w:val="00D400DE"/>
    <w:rsid w:val="00D411B8"/>
    <w:rsid w:val="00D4317E"/>
    <w:rsid w:val="00D4320F"/>
    <w:rsid w:val="00D45661"/>
    <w:rsid w:val="00D45943"/>
    <w:rsid w:val="00D47D22"/>
    <w:rsid w:val="00D51865"/>
    <w:rsid w:val="00D5196A"/>
    <w:rsid w:val="00D51D0C"/>
    <w:rsid w:val="00D54F61"/>
    <w:rsid w:val="00D73F70"/>
    <w:rsid w:val="00D74140"/>
    <w:rsid w:val="00D8059D"/>
    <w:rsid w:val="00D918EC"/>
    <w:rsid w:val="00D92FDE"/>
    <w:rsid w:val="00D9597F"/>
    <w:rsid w:val="00DA0D31"/>
    <w:rsid w:val="00DA6E56"/>
    <w:rsid w:val="00DA78DD"/>
    <w:rsid w:val="00DB18DC"/>
    <w:rsid w:val="00DB1C65"/>
    <w:rsid w:val="00DB524B"/>
    <w:rsid w:val="00DC24E5"/>
    <w:rsid w:val="00DC40E1"/>
    <w:rsid w:val="00DC6705"/>
    <w:rsid w:val="00DD2DE8"/>
    <w:rsid w:val="00DE38B4"/>
    <w:rsid w:val="00DE5D02"/>
    <w:rsid w:val="00DF2102"/>
    <w:rsid w:val="00E004E8"/>
    <w:rsid w:val="00E005A9"/>
    <w:rsid w:val="00E01006"/>
    <w:rsid w:val="00E02455"/>
    <w:rsid w:val="00E04331"/>
    <w:rsid w:val="00E05BEB"/>
    <w:rsid w:val="00E065BA"/>
    <w:rsid w:val="00E1166E"/>
    <w:rsid w:val="00E13CB5"/>
    <w:rsid w:val="00E20A7F"/>
    <w:rsid w:val="00E214ED"/>
    <w:rsid w:val="00E24DC0"/>
    <w:rsid w:val="00E2519C"/>
    <w:rsid w:val="00E25F2A"/>
    <w:rsid w:val="00E32857"/>
    <w:rsid w:val="00E409E5"/>
    <w:rsid w:val="00E41455"/>
    <w:rsid w:val="00E42AD2"/>
    <w:rsid w:val="00E502B9"/>
    <w:rsid w:val="00E50856"/>
    <w:rsid w:val="00E538CC"/>
    <w:rsid w:val="00E5458A"/>
    <w:rsid w:val="00E54BBD"/>
    <w:rsid w:val="00E54DBA"/>
    <w:rsid w:val="00E54DEE"/>
    <w:rsid w:val="00E56D36"/>
    <w:rsid w:val="00E638FD"/>
    <w:rsid w:val="00E63D7C"/>
    <w:rsid w:val="00E640D5"/>
    <w:rsid w:val="00E6453B"/>
    <w:rsid w:val="00E66E2E"/>
    <w:rsid w:val="00E67691"/>
    <w:rsid w:val="00E7005F"/>
    <w:rsid w:val="00E7286B"/>
    <w:rsid w:val="00E7419B"/>
    <w:rsid w:val="00E7495F"/>
    <w:rsid w:val="00E8060B"/>
    <w:rsid w:val="00E92237"/>
    <w:rsid w:val="00E951EF"/>
    <w:rsid w:val="00E97282"/>
    <w:rsid w:val="00EA3D54"/>
    <w:rsid w:val="00EA56D9"/>
    <w:rsid w:val="00EA5CE3"/>
    <w:rsid w:val="00EA65F6"/>
    <w:rsid w:val="00EB51C1"/>
    <w:rsid w:val="00EB5AE1"/>
    <w:rsid w:val="00EB5E0B"/>
    <w:rsid w:val="00EB7D9B"/>
    <w:rsid w:val="00EC2171"/>
    <w:rsid w:val="00EC4B52"/>
    <w:rsid w:val="00EC6410"/>
    <w:rsid w:val="00ED05A2"/>
    <w:rsid w:val="00ED442D"/>
    <w:rsid w:val="00ED70C2"/>
    <w:rsid w:val="00ED75D4"/>
    <w:rsid w:val="00EE18FF"/>
    <w:rsid w:val="00EE196D"/>
    <w:rsid w:val="00EE3E29"/>
    <w:rsid w:val="00EE43F3"/>
    <w:rsid w:val="00EE489F"/>
    <w:rsid w:val="00EE7B8E"/>
    <w:rsid w:val="00F0059F"/>
    <w:rsid w:val="00F05A14"/>
    <w:rsid w:val="00F0647F"/>
    <w:rsid w:val="00F10CE3"/>
    <w:rsid w:val="00F12006"/>
    <w:rsid w:val="00F13443"/>
    <w:rsid w:val="00F14186"/>
    <w:rsid w:val="00F14F3B"/>
    <w:rsid w:val="00F154AF"/>
    <w:rsid w:val="00F15DC6"/>
    <w:rsid w:val="00F16362"/>
    <w:rsid w:val="00F207C7"/>
    <w:rsid w:val="00F26772"/>
    <w:rsid w:val="00F26779"/>
    <w:rsid w:val="00F318F5"/>
    <w:rsid w:val="00F320C8"/>
    <w:rsid w:val="00F35E65"/>
    <w:rsid w:val="00F36B6D"/>
    <w:rsid w:val="00F40154"/>
    <w:rsid w:val="00F43F34"/>
    <w:rsid w:val="00F43FA3"/>
    <w:rsid w:val="00F5442D"/>
    <w:rsid w:val="00F55648"/>
    <w:rsid w:val="00F573A9"/>
    <w:rsid w:val="00F61832"/>
    <w:rsid w:val="00F64344"/>
    <w:rsid w:val="00F64EC7"/>
    <w:rsid w:val="00F70046"/>
    <w:rsid w:val="00F724BF"/>
    <w:rsid w:val="00F73B55"/>
    <w:rsid w:val="00F748C2"/>
    <w:rsid w:val="00F74958"/>
    <w:rsid w:val="00F76C5C"/>
    <w:rsid w:val="00F77A73"/>
    <w:rsid w:val="00F81EF3"/>
    <w:rsid w:val="00F84496"/>
    <w:rsid w:val="00F85DCB"/>
    <w:rsid w:val="00F869C9"/>
    <w:rsid w:val="00F86F9C"/>
    <w:rsid w:val="00F90D76"/>
    <w:rsid w:val="00F957B7"/>
    <w:rsid w:val="00F95E1C"/>
    <w:rsid w:val="00F9630C"/>
    <w:rsid w:val="00F966BF"/>
    <w:rsid w:val="00FA285E"/>
    <w:rsid w:val="00FB10C6"/>
    <w:rsid w:val="00FB3955"/>
    <w:rsid w:val="00FB51AA"/>
    <w:rsid w:val="00FB7DF1"/>
    <w:rsid w:val="00FC002E"/>
    <w:rsid w:val="00FC3601"/>
    <w:rsid w:val="00FC4C23"/>
    <w:rsid w:val="00FC642E"/>
    <w:rsid w:val="00FE2AE4"/>
    <w:rsid w:val="00FE549D"/>
    <w:rsid w:val="00FE689F"/>
    <w:rsid w:val="00FE7809"/>
    <w:rsid w:val="00FF238D"/>
    <w:rsid w:val="00FF2CC0"/>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BB436"/>
  <w15:docId w15:val="{FE49F9ED-5A3B-409F-8B02-DB29DA04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E6"/>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uiPriority w:val="99"/>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 w:type="paragraph" w:customStyle="1" w:styleId="msonormal0">
    <w:name w:val="msonormal"/>
    <w:basedOn w:val="Normal"/>
    <w:rsid w:val="0033445F"/>
    <w:pPr>
      <w:spacing w:before="100" w:beforeAutospacing="1" w:after="100" w:afterAutospacing="1" w:line="240" w:lineRule="auto"/>
    </w:pPr>
    <w:rPr>
      <w:rFonts w:ascii="Times New Roman" w:hAnsi="Times New Roman" w:cs="Times New Roman"/>
      <w:sz w:val="24"/>
      <w:szCs w:val="24"/>
    </w:rPr>
  </w:style>
  <w:style w:type="paragraph" w:customStyle="1" w:styleId="Pa13">
    <w:name w:val="Pa13"/>
    <w:basedOn w:val="Normal"/>
    <w:next w:val="Normal"/>
    <w:uiPriority w:val="99"/>
    <w:rsid w:val="009C338A"/>
    <w:pPr>
      <w:autoSpaceDE w:val="0"/>
      <w:autoSpaceDN w:val="0"/>
      <w:adjustRightInd w:val="0"/>
      <w:spacing w:after="0" w:line="167" w:lineRule="atLeast"/>
    </w:pPr>
    <w:rPr>
      <w:rFonts w:ascii="Myriad Variable Concept" w:hAnsi="Myriad Variable Concept"/>
      <w:sz w:val="24"/>
      <w:szCs w:val="24"/>
    </w:rPr>
  </w:style>
  <w:style w:type="paragraph" w:customStyle="1" w:styleId="Pa6">
    <w:name w:val="Pa6"/>
    <w:basedOn w:val="Normal"/>
    <w:next w:val="Normal"/>
    <w:uiPriority w:val="99"/>
    <w:rsid w:val="00E7286B"/>
    <w:pPr>
      <w:autoSpaceDE w:val="0"/>
      <w:autoSpaceDN w:val="0"/>
      <w:adjustRightInd w:val="0"/>
      <w:spacing w:after="0" w:line="241" w:lineRule="atLeast"/>
    </w:pPr>
    <w:rPr>
      <w:rFonts w:ascii="Myriad Variable Concept" w:hAnsi="Myriad Variable Concept"/>
      <w:sz w:val="24"/>
      <w:szCs w:val="24"/>
    </w:rPr>
  </w:style>
  <w:style w:type="paragraph" w:customStyle="1" w:styleId="P">
    <w:name w:val="P"/>
    <w:basedOn w:val="Normal"/>
    <w:uiPriority w:val="99"/>
    <w:rsid w:val="002E5820"/>
    <w:pPr>
      <w:autoSpaceDE w:val="0"/>
      <w:autoSpaceDN w:val="0"/>
      <w:adjustRightInd w:val="0"/>
      <w:spacing w:after="240" w:line="288" w:lineRule="auto"/>
      <w:jc w:val="both"/>
      <w:textAlignment w:val="baseline"/>
    </w:pPr>
    <w:rPr>
      <w:rFonts w:ascii="MinionConceptRoman-Regular" w:hAnsi="MinionConceptRoman-Regular" w:cs="MinionConceptRoman-Regular"/>
      <w:color w:val="000000"/>
      <w:sz w:val="24"/>
      <w:szCs w:val="24"/>
      <w:lang w:val="en-GB"/>
    </w:rPr>
  </w:style>
  <w:style w:type="paragraph" w:customStyle="1" w:styleId="H3">
    <w:name w:val="H3"/>
    <w:basedOn w:val="P"/>
    <w:next w:val="P"/>
    <w:uiPriority w:val="99"/>
    <w:rsid w:val="002E5820"/>
    <w:pPr>
      <w:keepNext/>
      <w:suppressAutoHyphens/>
      <w:spacing w:after="113"/>
      <w:jc w:val="left"/>
    </w:pPr>
    <w:rPr>
      <w:rFonts w:ascii="MyriadConceptRoman-Semibold" w:hAnsi="MyriadConceptRoman-Semibold" w:cs="MyriadConceptRoman-Semibold"/>
    </w:rPr>
  </w:style>
  <w:style w:type="paragraph" w:customStyle="1" w:styleId="H2">
    <w:name w:val="H2"/>
    <w:basedOn w:val="P"/>
    <w:next w:val="P"/>
    <w:uiPriority w:val="99"/>
    <w:rsid w:val="002E5820"/>
    <w:pPr>
      <w:keepNext/>
      <w:suppressAutoHyphens/>
      <w:spacing w:after="113"/>
      <w:jc w:val="left"/>
    </w:pPr>
    <w:rPr>
      <w:rFonts w:ascii="MyriadConceptRoman-Semibold" w:hAnsi="MyriadConceptRoman-Semibold" w:cs="MyriadConceptRoman-Semibold"/>
      <w:sz w:val="26"/>
      <w:szCs w:val="26"/>
    </w:rPr>
  </w:style>
  <w:style w:type="character" w:customStyle="1" w:styleId="italic">
    <w:name w:val="italic"/>
    <w:uiPriority w:val="99"/>
    <w:rsid w:val="002E5820"/>
    <w:rPr>
      <w:i/>
      <w:iCs/>
    </w:rPr>
  </w:style>
  <w:style w:type="character" w:styleId="CommentReference">
    <w:name w:val="annotation reference"/>
    <w:basedOn w:val="DefaultParagraphFont"/>
    <w:uiPriority w:val="99"/>
    <w:semiHidden/>
    <w:unhideWhenUsed/>
    <w:rsid w:val="00D24B47"/>
    <w:rPr>
      <w:sz w:val="16"/>
      <w:szCs w:val="16"/>
    </w:rPr>
  </w:style>
  <w:style w:type="paragraph" w:styleId="CommentText">
    <w:name w:val="annotation text"/>
    <w:basedOn w:val="Normal"/>
    <w:link w:val="CommentTextChar"/>
    <w:uiPriority w:val="99"/>
    <w:semiHidden/>
    <w:unhideWhenUsed/>
    <w:rsid w:val="00D24B47"/>
    <w:pPr>
      <w:spacing w:line="240" w:lineRule="auto"/>
    </w:pPr>
    <w:rPr>
      <w:sz w:val="20"/>
      <w:szCs w:val="20"/>
    </w:rPr>
  </w:style>
  <w:style w:type="character" w:customStyle="1" w:styleId="CommentTextChar">
    <w:name w:val="Comment Text Char"/>
    <w:basedOn w:val="DefaultParagraphFont"/>
    <w:link w:val="CommentText"/>
    <w:uiPriority w:val="99"/>
    <w:semiHidden/>
    <w:rsid w:val="00D24B47"/>
    <w:rPr>
      <w:sz w:val="20"/>
      <w:szCs w:val="20"/>
    </w:rPr>
  </w:style>
  <w:style w:type="paragraph" w:styleId="CommentSubject">
    <w:name w:val="annotation subject"/>
    <w:basedOn w:val="CommentText"/>
    <w:next w:val="CommentText"/>
    <w:link w:val="CommentSubjectChar"/>
    <w:uiPriority w:val="99"/>
    <w:semiHidden/>
    <w:unhideWhenUsed/>
    <w:rsid w:val="00D24B47"/>
    <w:rPr>
      <w:b/>
      <w:bCs/>
    </w:rPr>
  </w:style>
  <w:style w:type="character" w:customStyle="1" w:styleId="CommentSubjectChar">
    <w:name w:val="Comment Subject Char"/>
    <w:basedOn w:val="CommentTextChar"/>
    <w:link w:val="CommentSubject"/>
    <w:uiPriority w:val="99"/>
    <w:semiHidden/>
    <w:rsid w:val="00D24B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9885068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file:///I:\Staging\CDI\OpenCDI\2022\69-VPDs%20in%20Aboriginal%20and%20Torres%20Strait%20Islander%20people%202016-2019\MS-Word%20output\figures_and_tables-web-resources\image\figures1.png" TargetMode="External"/><Relationship Id="rId18" Type="http://schemas.openxmlformats.org/officeDocument/2006/relationships/image" Target="file:///I:\Staging\CDI\OpenCDI\2022\69-VPDs%20in%20Aboriginal%20and%20Torres%20Strait%20Islander%20people%202016-2019\MS-Word%20output\figures_and_tables-web-resources\image\figures6.png" TargetMode="External"/><Relationship Id="rId26" Type="http://schemas.openxmlformats.org/officeDocument/2006/relationships/image" Target="file:///I:\Staging\CDI\OpenCDI\2022\69-VPDs%20in%20Aboriginal%20and%20Torres%20Strait%20Islander%20people%202016-2019\MS-Word%20output\figures_and_tables-web-resources\image\figures13.png" TargetMode="External"/><Relationship Id="rId39" Type="http://schemas.openxmlformats.org/officeDocument/2006/relationships/image" Target="file:///I:\Staging\CDI\OpenCDI\2022\69-VPDs%20in%20Aboriginal%20and%20Torres%20Strait%20Islander%20people%202016-2019\MS-Word%20output\figures_and_tables-web-resources\image\figures23.png" TargetMode="External"/><Relationship Id="rId3" Type="http://schemas.openxmlformats.org/officeDocument/2006/relationships/numbering" Target="numbering.xml"/><Relationship Id="rId21" Type="http://schemas.openxmlformats.org/officeDocument/2006/relationships/image" Target="file:///I:\Staging\CDI\OpenCDI\2022\69-VPDs%20in%20Aboriginal%20and%20Torres%20Strait%20Islander%20people%202016-2019\MS-Word%20output\figures_and_tables-web-resources\image\figures8.png" TargetMode="External"/><Relationship Id="rId34" Type="http://schemas.openxmlformats.org/officeDocument/2006/relationships/image" Target="file:///I:\Staging\CDI\OpenCDI\2022\69-VPDs%20in%20Aboriginal%20and%20Torres%20Strait%20Islander%20people%202016-2019\MS-Word%20output\figures_and_tables-web-resources\image\figures18.png" TargetMode="External"/><Relationship Id="rId42" Type="http://schemas.openxmlformats.org/officeDocument/2006/relationships/hyperlink" Target="http://www.health.gov.au/cdi" TargetMode="External"/><Relationship Id="rId47" Type="http://schemas.openxmlformats.org/officeDocument/2006/relationships/hyperlink" Target="http://www.itsanhonour.gov.au/" TargetMode="Externa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file:///I:\Staging\CDI\OpenCDI\2022\69-VPDs%20in%20Aboriginal%20and%20Torres%20Strait%20Islander%20people%202016-2019\MS-Word%20output\figures_and_tables-web-resources\image\figures.png" TargetMode="External"/><Relationship Id="rId17" Type="http://schemas.openxmlformats.org/officeDocument/2006/relationships/image" Target="file:///I:\Staging\CDI\OpenCDI\2022\69-VPDs%20in%20Aboriginal%20and%20Torres%20Strait%20Islander%20people%202016-2019\MS-Word%20output\figures_and_tables-web-resources\image\figures5.png" TargetMode="External"/><Relationship Id="rId25" Type="http://schemas.openxmlformats.org/officeDocument/2006/relationships/image" Target="file:///I:\Staging\CDI\OpenCDI\2022\69-VPDs%20in%20Aboriginal%20and%20Torres%20Strait%20Islander%20people%202016-2019\MS-Word%20output\figures_and_tables-web-resources\image\figures12.png" TargetMode="External"/><Relationship Id="rId33" Type="http://schemas.openxmlformats.org/officeDocument/2006/relationships/image" Target="file:///I:\Staging\CDI\OpenCDI\2022\69-VPDs%20in%20Aboriginal%20and%20Torres%20Strait%20Islander%20people%202016-2019\MS-Word%20output\figures_and_tables-web-resources\image\figures17.png" TargetMode="External"/><Relationship Id="rId38" Type="http://schemas.openxmlformats.org/officeDocument/2006/relationships/image" Target="file:///I:\Staging\CDI\OpenCDI\2022\69-VPDs%20in%20Aboriginal%20and%20Torres%20Strait%20Islander%20people%202016-2019\MS-Word%20output\figures_and_tables-web-resources\image\figures22.png" TargetMode="External"/><Relationship Id="rId46"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image" Target="file:///I:\Staging\CDI\OpenCDI\2022\69-VPDs%20in%20Aboriginal%20and%20Torres%20Strait%20Islander%20people%202016-2019\MS-Word%20output\figures_and_tables-web-resources\image\figures4.png" TargetMode="External"/><Relationship Id="rId20" Type="http://schemas.openxmlformats.org/officeDocument/2006/relationships/image" Target="file:///I:\Staging\CDI\OpenCDI\2022\69-VPDs%20in%20Aboriginal%20and%20Torres%20Strait%20Islander%20people%202016-2019\MS-Word%20output\figures_and_tables-web-resources\image\figures7.png" TargetMode="External"/><Relationship Id="rId29" Type="http://schemas.openxmlformats.org/officeDocument/2006/relationships/image" Target="file:///I:\Staging\CDI\OpenCDI\2022\69-VPDs%20in%20Aboriginal%20and%20Torres%20Strait%20Islander%20people%202016-2019\MS-Word%20output\figures_and_tables-web-resources\image\f-18_update.png" TargetMode="External"/><Relationship Id="rId41" Type="http://schemas.openxmlformats.org/officeDocument/2006/relationships/image" Target="file:///I:\Staging\CDI\OpenCDI\2022\69-VPDs%20in%20Aboriginal%20and%20Torres%20Strait%20Islander%20people%202016-2019\MS-Word%20output\figures_and_tables-web-resources\image\figures25.p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file:///I:\Staging\CDI\OpenCDI\2022\69-VPDs%20in%20Aboriginal%20and%20Torres%20Strait%20Islander%20people%202016-2019\MS-Word%20output\figures_and_tables-web-resources\image\figures11.png" TargetMode="External"/><Relationship Id="rId32" Type="http://schemas.openxmlformats.org/officeDocument/2006/relationships/image" Target="media/image1.png"/><Relationship Id="rId37" Type="http://schemas.openxmlformats.org/officeDocument/2006/relationships/image" Target="file:///I:\Staging\CDI\OpenCDI\2022\69-VPDs%20in%20Aboriginal%20and%20Torres%20Strait%20Islander%20people%202016-2019\MS-Word%20output\figures_and_tables-web-resources\image\figures21.png" TargetMode="External"/><Relationship Id="rId40" Type="http://schemas.openxmlformats.org/officeDocument/2006/relationships/image" Target="file:///I:\Staging\CDI\OpenCDI\2022\69-VPDs%20in%20Aboriginal%20and%20Torres%20Strait%20Islander%20people%202016-2019\MS-Word%20output\figures_and_tables-web-resources\image\figures24.png" TargetMode="External"/><Relationship Id="rId45" Type="http://schemas.openxmlformats.org/officeDocument/2006/relationships/hyperlink" Target="mailto:cdi.editor@health.gov.au" TargetMode="External"/><Relationship Id="rId5" Type="http://schemas.openxmlformats.org/officeDocument/2006/relationships/settings" Target="settings.xml"/><Relationship Id="rId15" Type="http://schemas.openxmlformats.org/officeDocument/2006/relationships/image" Target="file:///I:\Staging\CDI\OpenCDI\2022\69-VPDs%20in%20Aboriginal%20and%20Torres%20Strait%20Islander%20people%202016-2019\MS-Word%20output\figures_and_tables-web-resources\image\figures3.png" TargetMode="External"/><Relationship Id="rId23" Type="http://schemas.openxmlformats.org/officeDocument/2006/relationships/image" Target="file:///I:\Staging\CDI\OpenCDI\2022\69-VPDs%20in%20Aboriginal%20and%20Torres%20Strait%20Islander%20people%202016-2019\MS-Word%20output\figures_and_tables-web-resources\image\figures10.png" TargetMode="External"/><Relationship Id="rId28" Type="http://schemas.openxmlformats.org/officeDocument/2006/relationships/image" Target="file:///I:\Staging\CDI\OpenCDI\2022\69-VPDs%20in%20Aboriginal%20and%20Torres%20Strait%20Islander%20people%202016-2019\MS-Word%20output\figures_and_tables-web-resources\image\figures15.png" TargetMode="External"/><Relationship Id="rId36" Type="http://schemas.openxmlformats.org/officeDocument/2006/relationships/image" Target="file:///I:\Staging\CDI\OpenCDI\2022\69-VPDs%20in%20Aboriginal%20and%20Torres%20Strait%20Islander%20people%202016-2019\MS-Word%20output\figures_and_tables-web-resources\image\figures20.png" TargetMode="External"/><Relationship Id="rId49" Type="http://schemas.openxmlformats.org/officeDocument/2006/relationships/hyperlink" Target="http://www.health.gov.au/cdna" TargetMode="External"/><Relationship Id="rId10" Type="http://schemas.openxmlformats.org/officeDocument/2006/relationships/footer" Target="footer1.xml"/><Relationship Id="rId19" Type="http://schemas.openxmlformats.org/officeDocument/2006/relationships/image" Target="file:///I:\Staging\CDI\OpenCDI\2022\69-VPDs%20in%20Aboriginal%20and%20Torres%20Strait%20Islander%20people%202016-2019\MS-Word%20output\figures_and_tables-web-resources\image\f-8_update.png" TargetMode="External"/><Relationship Id="rId31" Type="http://schemas.openxmlformats.org/officeDocument/2006/relationships/image" Target="file:///I:\Staging\CDI\OpenCDI\2022\69-VPDs%20in%20Aboriginal%20and%20Torres%20Strait%20Islander%20people%202016-2019\MS-Word%20output\figures_and_tables-web-resources\image\figures16.png" TargetMode="External"/><Relationship Id="rId44" Type="http://schemas.openxmlformats.org/officeDocument/2006/relationships/hyperlink" Target="http://health.gov.au/cdi"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file:///I:\Staging\CDI\OpenCDI\2022\69-VPDs%20in%20Aboriginal%20and%20Torres%20Strait%20Islander%20people%202016-2019\MS-Word%20output\figures_and_tables-web-resources\image\figures2.png" TargetMode="External"/><Relationship Id="rId22" Type="http://schemas.openxmlformats.org/officeDocument/2006/relationships/image" Target="file:///I:\Staging\CDI\OpenCDI\2022\69-VPDs%20in%20Aboriginal%20and%20Torres%20Strait%20Islander%20people%202016-2019\MS-Word%20output\figures_and_tables-web-resources\image\figures9.png" TargetMode="External"/><Relationship Id="rId27" Type="http://schemas.openxmlformats.org/officeDocument/2006/relationships/image" Target="file:///I:\Staging\CDI\OpenCDI\2022\69-VPDs%20in%20Aboriginal%20and%20Torres%20Strait%20Islander%20people%202016-2019\MS-Word%20output\figures_and_tables-web-resources\image\figures14.png" TargetMode="External"/><Relationship Id="rId30" Type="http://schemas.openxmlformats.org/officeDocument/2006/relationships/image" Target="file:///I:\Staging\CDI\OpenCDI\2022\69-VPDs%20in%20Aboriginal%20and%20Torres%20Strait%20Islander%20people%202016-2019\MS-Word%20output\figures_and_tables-web-resources\image\f-19_update.png" TargetMode="External"/><Relationship Id="rId35" Type="http://schemas.openxmlformats.org/officeDocument/2006/relationships/image" Target="file:///I:\Staging\CDI\OpenCDI\2022\69-VPDs%20in%20Aboriginal%20and%20Torres%20Strait%20Islander%20people%202016-2019\MS-Word%20output\figures_and_tables-web-resources\image\figures19.png" TargetMode="External"/><Relationship Id="rId43" Type="http://schemas.openxmlformats.org/officeDocument/2006/relationships/hyperlink" Target="mailto:cdi.editor@health.gov.au" TargetMode="External"/><Relationship Id="rId48" Type="http://schemas.openxmlformats.org/officeDocument/2006/relationships/hyperlink" Target="mailto:copyright@health.gov.au" TargetMode="External"/><Relationship Id="rId8" Type="http://schemas.openxmlformats.org/officeDocument/2006/relationships/endnotes" Target="endnotes.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1262</TotalTime>
  <Pages>140</Pages>
  <Words>51106</Words>
  <Characters>294901</Characters>
  <Application>Microsoft Office Word</Application>
  <DocSecurity>0</DocSecurity>
  <Lines>2457</Lines>
  <Paragraphs>690</Paragraphs>
  <ScaleCrop>false</ScaleCrop>
  <HeadingPairs>
    <vt:vector size="2" baseType="variant">
      <vt:variant>
        <vt:lpstr>Title</vt:lpstr>
      </vt:variant>
      <vt:variant>
        <vt:i4>1</vt:i4>
      </vt:variant>
    </vt:vector>
  </HeadingPairs>
  <TitlesOfParts>
    <vt:vector size="1" baseType="lpstr">
      <vt:lpstr>Communicable Diseases Intelligence - Vaccine Preventable Diseases and Vaccination Coverage in Aboriginal and Torres Strait Islander People, Australia, 2016–2019</vt:lpstr>
    </vt:vector>
  </TitlesOfParts>
  <Company>Australian Government, Department of Health</Company>
  <LinksUpToDate>false</LinksUpToDate>
  <CharactersWithSpaces>345317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Vaccine Preventable Diseases and Vaccination Coverage in Aboriginal and Torres Strait Islander People, Australia, 2016–2019</dc:title>
  <dc:subject>This report on vaccine preventable diseases and vaccination coverage in Aboriginal and Torres Strait Islander people in Australia highlights the benefits immunisation programs have had on the health of Aboriginal and Torres Strait Islander people over time, and identifies some continuing challenges. This report brings together routinely collected data on notifications, hospital admissions, deaths and vaccine coverage with a focus on the period January 2016 and December 2019 and analysis of trends from 2010 to 2019.</dc:subject>
  <dc:creator>Joanne Jackson; Nicole Sonneveld; Harunor Rashid; Larissa Karpish; Seaneen Wallace; Lisa Whop; Cyra Patel; Julia Brotherton; Han Wang; Alexandra Hendry; Brynley Hull; Katrina Clark; Stephen Lambert; Aditi Dey; Frank Beard</dc:creator>
  <dc:description>© Commonwealth of Australia CC BY-NC-ND ISSN: 2209-6051 (Online)</dc:description>
  <cp:lastModifiedBy>YOUSEFI, Kasra</cp:lastModifiedBy>
  <cp:revision>9</cp:revision>
  <cp:lastPrinted>2018-05-10T02:19:00Z</cp:lastPrinted>
  <dcterms:created xsi:type="dcterms:W3CDTF">2023-04-20T06:48:00Z</dcterms:created>
  <dcterms:modified xsi:type="dcterms:W3CDTF">2023-06-13T03:17:00Z</dcterms:modified>
  <cp:category>Extended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15/6/2023</vt:lpwstr>
  </property>
  <property fmtid="{D5CDD505-2E9C-101B-9397-08002B2CF9AE}" pid="5" name="DOI">
    <vt:lpwstr>https://doi.org/10.33321/cdi.2023.47.32</vt:lpwstr>
  </property>
</Properties>
</file>