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8DF80" w14:textId="77777777" w:rsidR="0065368C" w:rsidRDefault="000C6F82" w:rsidP="00E511CA">
      <w:pPr>
        <w:pStyle w:val="Title"/>
        <w:rPr>
          <w:sz w:val="48"/>
        </w:rPr>
      </w:pPr>
      <w:r w:rsidRPr="00E04173">
        <w:rPr>
          <w:sz w:val="48"/>
        </w:rPr>
        <w:t>COVID-19, Australia: Epidemiology Report 1</w:t>
      </w:r>
      <w:r w:rsidR="002606BD">
        <w:rPr>
          <w:sz w:val="48"/>
        </w:rPr>
        <w:t>8</w:t>
      </w:r>
      <w:r w:rsidR="0065368C">
        <w:rPr>
          <w:sz w:val="48"/>
        </w:rPr>
        <w:t>:</w:t>
      </w:r>
    </w:p>
    <w:p w14:paraId="62394971" w14:textId="34C303E3" w:rsidR="000C6F82" w:rsidRPr="00E642E4" w:rsidRDefault="000C6F82" w:rsidP="00E642E4">
      <w:pPr>
        <w:pStyle w:val="Subtitle"/>
      </w:pPr>
      <w:r w:rsidRPr="00E642E4">
        <w:t xml:space="preserve">Fortnightly reporting period ending </w:t>
      </w:r>
      <w:r w:rsidR="002606BD" w:rsidRPr="00E642E4">
        <w:t>7 June</w:t>
      </w:r>
      <w:r w:rsidRPr="00E642E4">
        <w:t xml:space="preserve"> 2020</w:t>
      </w:r>
      <w:r w:rsidR="00D54399" w:rsidRPr="00E642E4">
        <w:rPr>
          <w:rStyle w:val="FootnoteReference"/>
        </w:rPr>
        <w:footnoteReference w:id="2"/>
      </w:r>
      <w:r w:rsidRPr="00E642E4">
        <w:t xml:space="preserve"> </w:t>
      </w:r>
    </w:p>
    <w:p w14:paraId="62394972" w14:textId="77777777" w:rsidR="000C6F82" w:rsidRDefault="000C6F82" w:rsidP="00034FE0">
      <w:r>
        <w:t xml:space="preserve">COVID-19 National Incident Room Surveillance Team </w:t>
      </w:r>
    </w:p>
    <w:p w14:paraId="62394973" w14:textId="19479381" w:rsidR="000C6F82" w:rsidRDefault="000C6F82" w:rsidP="00034FE0">
      <w:r w:rsidRPr="00C27DFA">
        <w:rPr>
          <w:rStyle w:val="Emphasis"/>
          <w:b w:val="0"/>
        </w:rPr>
        <w:t xml:space="preserve">Notified cases of COVID-19 and associated deaths reported to the National Notifiable Diseases Surveillance System (NNDSS) to </w:t>
      </w:r>
      <w:r w:rsidR="00271573">
        <w:rPr>
          <w:rStyle w:val="Emphasis"/>
          <w:b w:val="0"/>
        </w:rPr>
        <w:t>7 June</w:t>
      </w:r>
      <w:r w:rsidRPr="00C27DFA">
        <w:rPr>
          <w:rStyle w:val="Emphasis"/>
          <w:b w:val="0"/>
        </w:rPr>
        <w:t xml:space="preserve"> 2020.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Confirmed cases in Australia notified up to 24 May 2020&#10;Notifications 7,135&#10;Deaths 102&#10;"/>
      </w:tblPr>
      <w:tblGrid>
        <w:gridCol w:w="2811"/>
        <w:gridCol w:w="1407"/>
      </w:tblGrid>
      <w:tr w:rsidR="0048340A" w:rsidRPr="00860D7E" w14:paraId="62394975" w14:textId="77777777" w:rsidTr="005041FE">
        <w:trPr>
          <w:cnfStyle w:val="100000000000" w:firstRow="1" w:lastRow="0" w:firstColumn="0" w:lastColumn="0" w:oddVBand="0" w:evenVBand="0" w:oddHBand="0" w:evenHBand="0" w:firstRowFirstColumn="0" w:firstRowLastColumn="0" w:lastRowFirstColumn="0" w:lastRowLastColumn="0"/>
          <w:tblHeader/>
        </w:trPr>
        <w:tc>
          <w:tcPr>
            <w:tcW w:w="0" w:type="auto"/>
            <w:gridSpan w:val="2"/>
            <w:hideMark/>
          </w:tcPr>
          <w:p w14:paraId="62394974" w14:textId="3F5188A1" w:rsidR="000C6F82" w:rsidRPr="00860D7E" w:rsidRDefault="000C6F82" w:rsidP="002E513A">
            <w:pPr>
              <w:pStyle w:val="NormalWeb"/>
              <w:jc w:val="center"/>
              <w:rPr>
                <w:color w:val="FFFFFF" w:themeColor="background1"/>
                <w:sz w:val="18"/>
                <w:szCs w:val="18"/>
              </w:rPr>
            </w:pPr>
            <w:r w:rsidRPr="00860D7E">
              <w:rPr>
                <w:color w:val="FFFFFF" w:themeColor="background1"/>
                <w:sz w:val="18"/>
                <w:szCs w:val="18"/>
              </w:rPr>
              <w:t xml:space="preserve">Confirmed cases in Australia notified up to </w:t>
            </w:r>
            <w:r w:rsidR="002606BD">
              <w:rPr>
                <w:color w:val="FFFFFF" w:themeColor="background1"/>
                <w:sz w:val="18"/>
                <w:szCs w:val="18"/>
              </w:rPr>
              <w:t>7 June</w:t>
            </w:r>
            <w:r w:rsidRPr="00860D7E">
              <w:rPr>
                <w:color w:val="FFFFFF" w:themeColor="background1"/>
                <w:sz w:val="18"/>
                <w:szCs w:val="18"/>
              </w:rPr>
              <w:t xml:space="preserve"> 2020</w:t>
            </w:r>
          </w:p>
        </w:tc>
      </w:tr>
      <w:tr w:rsidR="000C6F82" w:rsidRPr="00860D7E" w14:paraId="62394978" w14:textId="77777777" w:rsidTr="005041FE">
        <w:tc>
          <w:tcPr>
            <w:tcW w:w="0" w:type="auto"/>
            <w:hideMark/>
          </w:tcPr>
          <w:p w14:paraId="62394976" w14:textId="77777777" w:rsidR="000C6F82" w:rsidRPr="00860D7E" w:rsidRDefault="000C6F82" w:rsidP="00860D7E">
            <w:pPr>
              <w:pStyle w:val="NormalWeb"/>
              <w:rPr>
                <w:sz w:val="18"/>
                <w:szCs w:val="18"/>
              </w:rPr>
            </w:pPr>
            <w:r w:rsidRPr="00860D7E">
              <w:rPr>
                <w:sz w:val="18"/>
                <w:szCs w:val="18"/>
              </w:rPr>
              <w:t>Notifications</w:t>
            </w:r>
          </w:p>
        </w:tc>
        <w:tc>
          <w:tcPr>
            <w:tcW w:w="0" w:type="auto"/>
            <w:hideMark/>
          </w:tcPr>
          <w:p w14:paraId="62394977" w14:textId="65005392" w:rsidR="000C6F82" w:rsidRPr="00034FE0" w:rsidRDefault="000C6F82" w:rsidP="002606BD">
            <w:pPr>
              <w:pStyle w:val="NormalWeb"/>
              <w:jc w:val="center"/>
              <w:rPr>
                <w:sz w:val="18"/>
                <w:szCs w:val="18"/>
              </w:rPr>
            </w:pPr>
            <w:r w:rsidRPr="00034FE0">
              <w:rPr>
                <w:sz w:val="18"/>
                <w:szCs w:val="18"/>
              </w:rPr>
              <w:t>7,</w:t>
            </w:r>
            <w:r w:rsidR="00444F27" w:rsidRPr="00034FE0">
              <w:rPr>
                <w:sz w:val="18"/>
                <w:szCs w:val="18"/>
              </w:rPr>
              <w:t>277</w:t>
            </w:r>
          </w:p>
        </w:tc>
      </w:tr>
      <w:tr w:rsidR="000C6F82" w:rsidRPr="00860D7E" w14:paraId="6239497B" w14:textId="77777777" w:rsidTr="005041FE">
        <w:trPr>
          <w:cnfStyle w:val="000000010000" w:firstRow="0" w:lastRow="0" w:firstColumn="0" w:lastColumn="0" w:oddVBand="0" w:evenVBand="0" w:oddHBand="0" w:evenHBand="1" w:firstRowFirstColumn="0" w:firstRowLastColumn="0" w:lastRowFirstColumn="0" w:lastRowLastColumn="0"/>
        </w:trPr>
        <w:tc>
          <w:tcPr>
            <w:tcW w:w="0" w:type="auto"/>
            <w:hideMark/>
          </w:tcPr>
          <w:p w14:paraId="62394979" w14:textId="77777777" w:rsidR="000C6F82" w:rsidRPr="00860D7E" w:rsidRDefault="000C6F82" w:rsidP="00860D7E">
            <w:pPr>
              <w:pStyle w:val="NormalWeb"/>
              <w:rPr>
                <w:sz w:val="18"/>
                <w:szCs w:val="18"/>
              </w:rPr>
            </w:pPr>
            <w:r w:rsidRPr="00860D7E">
              <w:rPr>
                <w:sz w:val="18"/>
                <w:szCs w:val="18"/>
              </w:rPr>
              <w:t>Deaths</w:t>
            </w:r>
          </w:p>
        </w:tc>
        <w:tc>
          <w:tcPr>
            <w:tcW w:w="0" w:type="auto"/>
            <w:hideMark/>
          </w:tcPr>
          <w:p w14:paraId="6239497A" w14:textId="77777777" w:rsidR="000C6F82" w:rsidRPr="00860D7E" w:rsidRDefault="000C6F82" w:rsidP="00860D7E">
            <w:pPr>
              <w:pStyle w:val="NormalWeb"/>
              <w:jc w:val="center"/>
              <w:rPr>
                <w:sz w:val="18"/>
                <w:szCs w:val="18"/>
              </w:rPr>
            </w:pPr>
            <w:r w:rsidRPr="00860D7E">
              <w:rPr>
                <w:sz w:val="18"/>
                <w:szCs w:val="18"/>
              </w:rPr>
              <w:t>102</w:t>
            </w:r>
          </w:p>
        </w:tc>
      </w:tr>
    </w:tbl>
    <w:p w14:paraId="6239497C" w14:textId="77777777" w:rsidR="000C6F82" w:rsidRPr="00873AC7" w:rsidRDefault="000C6F82" w:rsidP="00873AC7">
      <w:pPr>
        <w:pStyle w:val="Heading1"/>
      </w:pPr>
      <w:r w:rsidRPr="00873AC7">
        <w:t xml:space="preserve">Summary </w:t>
      </w:r>
    </w:p>
    <w:p w14:paraId="5410FE49" w14:textId="58325AE6" w:rsidR="00DF56B0" w:rsidRPr="00873AC7" w:rsidRDefault="007B00A5" w:rsidP="00873AC7">
      <w:pPr>
        <w:pStyle w:val="NoSpacing"/>
      </w:pPr>
      <w:r w:rsidRPr="00873AC7">
        <w:t xml:space="preserve">Over the past </w:t>
      </w:r>
      <w:r w:rsidR="00D25C2B" w:rsidRPr="00873AC7">
        <w:t>fortnightly reporting period</w:t>
      </w:r>
      <w:r w:rsidR="000C01F8" w:rsidRPr="00873AC7">
        <w:t>:</w:t>
      </w:r>
      <w:r w:rsidR="00DF56B0" w:rsidRPr="00873AC7">
        <w:t xml:space="preserve"> </w:t>
      </w:r>
    </w:p>
    <w:p w14:paraId="2199AA94" w14:textId="1342B669" w:rsidR="00DF56B0" w:rsidRPr="00D25C2B" w:rsidRDefault="000C01F8" w:rsidP="00873AC7">
      <w:pPr>
        <w:pStyle w:val="ListParagraph"/>
        <w:numPr>
          <w:ilvl w:val="0"/>
          <w:numId w:val="29"/>
        </w:numPr>
      </w:pPr>
      <w:r w:rsidRPr="00D25C2B">
        <w:t>T</w:t>
      </w:r>
      <w:r w:rsidR="00D608F2" w:rsidRPr="00D25C2B">
        <w:t>he number of new cases in all jurisdictions continues to decline, or remain very low</w:t>
      </w:r>
      <w:r w:rsidR="00D35A05">
        <w:t>; and</w:t>
      </w:r>
      <w:r w:rsidR="00D608F2" w:rsidRPr="00D25C2B">
        <w:t xml:space="preserve"> </w:t>
      </w:r>
    </w:p>
    <w:p w14:paraId="29B74DE5" w14:textId="65D457CF" w:rsidR="00DF56B0" w:rsidRPr="00D25C2B" w:rsidRDefault="000C01F8" w:rsidP="00873AC7">
      <w:pPr>
        <w:pStyle w:val="ListParagraph"/>
        <w:numPr>
          <w:ilvl w:val="0"/>
          <w:numId w:val="29"/>
        </w:numPr>
      </w:pPr>
      <w:r w:rsidRPr="00D25C2B">
        <w:t>T</w:t>
      </w:r>
      <w:r w:rsidR="00D608F2" w:rsidRPr="00D25C2B">
        <w:t xml:space="preserve">esting rates continue to be high across all jurisdictions, with the positivity rate remaining very low at less than 0.1%. </w:t>
      </w:r>
    </w:p>
    <w:p w14:paraId="6C0D0157" w14:textId="54D11764" w:rsidR="00F47DCD" w:rsidRDefault="00F47DCD" w:rsidP="00873AC7">
      <w:pPr>
        <w:rPr>
          <w:color w:val="000000" w:themeColor="text1"/>
        </w:rPr>
      </w:pPr>
      <w:r>
        <w:t>The incidence of COVID-19 has markedly reduced since a peak in mid-March. A combination of early case identification, physical distancing, public health measures and a reduction in international travel have been effective in slowing the spread of disease in Australia.</w:t>
      </w:r>
      <w:r>
        <w:rPr>
          <w:color w:val="000000" w:themeColor="text1"/>
        </w:rPr>
        <w:t xml:space="preserve"> </w:t>
      </w:r>
    </w:p>
    <w:p w14:paraId="4992A287" w14:textId="3231D349" w:rsidR="00D608F2" w:rsidRPr="00D35A05" w:rsidRDefault="00D608F2" w:rsidP="00873AC7">
      <w:r w:rsidRPr="00D35A05">
        <w:t xml:space="preserve">Of </w:t>
      </w:r>
      <w:r w:rsidR="00D25C2B" w:rsidRPr="00D35A05">
        <w:t xml:space="preserve">the </w:t>
      </w:r>
      <w:r w:rsidRPr="00AC7FDF">
        <w:t xml:space="preserve">147 </w:t>
      </w:r>
      <w:r w:rsidRPr="00D35A05">
        <w:t xml:space="preserve">cases notified between 25 May and 7 June, </w:t>
      </w:r>
      <w:r w:rsidRPr="00AC7FDF">
        <w:t>63%</w:t>
      </w:r>
      <w:r w:rsidRPr="00D35A05">
        <w:t xml:space="preserve"> acquired their infection overseas. </w:t>
      </w:r>
      <w:r w:rsidR="00D25C2B" w:rsidRPr="00D35A05">
        <w:t xml:space="preserve">The proportion of cases locally acquired has dropped substantially to </w:t>
      </w:r>
      <w:r w:rsidR="00D25C2B" w:rsidRPr="00AC7FDF">
        <w:t>28%</w:t>
      </w:r>
      <w:r w:rsidR="00D25C2B" w:rsidRPr="00D35A05">
        <w:t xml:space="preserve"> of new cases this period compared with </w:t>
      </w:r>
      <w:r w:rsidR="00D25C2B" w:rsidRPr="00AC7FDF">
        <w:t>50%</w:t>
      </w:r>
      <w:r w:rsidR="00D25C2B" w:rsidRPr="00D35A05">
        <w:t xml:space="preserve"> and greater observed since 30 March 2020. </w:t>
      </w:r>
      <w:r w:rsidR="000C01F8" w:rsidRPr="00D35A05">
        <w:t xml:space="preserve">Of </w:t>
      </w:r>
      <w:r w:rsidR="00D25C2B" w:rsidRPr="00D35A05">
        <w:t xml:space="preserve">the </w:t>
      </w:r>
      <w:r w:rsidR="000C01F8" w:rsidRPr="00D35A05">
        <w:t xml:space="preserve">cases considered to be locally-acquired over this period, most were associated with contacts of confirmed cases or were associated with known outbreaks. </w:t>
      </w:r>
    </w:p>
    <w:p w14:paraId="52BABBFB" w14:textId="264C1901" w:rsidR="000C01F8" w:rsidRPr="00D35A05" w:rsidRDefault="00D608F2" w:rsidP="00873AC7">
      <w:r w:rsidRPr="00D35A05">
        <w:t xml:space="preserve">A small proportion of </w:t>
      </w:r>
      <w:r w:rsidR="00D25C2B" w:rsidRPr="00D35A05">
        <w:t xml:space="preserve">overall </w:t>
      </w:r>
      <w:r w:rsidRPr="00D35A05">
        <w:t xml:space="preserve">cases have experienced severe disease, requiring hospitalisation or intensive care with some fatalities. The crude case fatality rate amongst Australian cases is </w:t>
      </w:r>
      <w:r w:rsidRPr="00AC7FDF">
        <w:t xml:space="preserve">1.4%. </w:t>
      </w:r>
      <w:r w:rsidR="000C01F8" w:rsidRPr="00D35A05">
        <w:t xml:space="preserve">People who are older and have one or more comorbidities are more likely to experience severe disease. </w:t>
      </w:r>
    </w:p>
    <w:p w14:paraId="186A6D4E" w14:textId="021C8E20" w:rsidR="000C01F8" w:rsidRPr="00D35A05" w:rsidRDefault="000C01F8" w:rsidP="00873AC7">
      <w:r w:rsidRPr="00D35A05">
        <w:t>The highest rate of COVID-19 continues to be among people aged 65–79 years. Three-quarters of all cases in this age group have been associated with overseas travel, including several outbreaks linked to cruise ships. The lowest rate of disease is in children under 18</w:t>
      </w:r>
      <w:r w:rsidR="002D3EF7">
        <w:t xml:space="preserve"> years</w:t>
      </w:r>
      <w:r w:rsidRPr="00D35A05">
        <w:t>, a pattern reflected in international reports.</w:t>
      </w:r>
    </w:p>
    <w:p w14:paraId="1CE5B653" w14:textId="3B7CD4D6" w:rsidR="000C01F8" w:rsidRPr="00D35A05" w:rsidRDefault="000C01F8" w:rsidP="00873AC7">
      <w:r w:rsidRPr="00D35A05">
        <w:t xml:space="preserve">Internationally, as of 7 June 2020, the largest numbers of both cases and deaths have been reported in the United States. Of the confirmed cases reported globally, the case fatality rate is approximately 5.8%. Countries in South America are seeing rapid growth in case numbers, while the United States is seeing a steady decline in its daily new </w:t>
      </w:r>
      <w:r w:rsidRPr="00D35A05">
        <w:lastRenderedPageBreak/>
        <w:t xml:space="preserve">case numbers. Case numbers in Europe remain relatively steady, with several countries in Eastern Europe experiencing rapid growth. In the South East Asia region, India and Bangladesh are seeing accelerating epidemics, compounded by the recovery from Cyclone Amphan. </w:t>
      </w:r>
      <w:r w:rsidR="002723EF">
        <w:t xml:space="preserve">Reported cases are increasing in Africa, </w:t>
      </w:r>
      <w:r w:rsidRPr="00D35A05">
        <w:t>although the numbers are much smaller. In the Pacific there are few new cases reported daily.</w:t>
      </w:r>
    </w:p>
    <w:p w14:paraId="62394983" w14:textId="49E6FF12" w:rsidR="000C6F82" w:rsidRDefault="000C6F82" w:rsidP="00873AC7">
      <w:r w:rsidRPr="00D35A05">
        <w:t xml:space="preserve">Keywords: SARS-CoV-2; novel coronavirus; 2019-nCoV; coronavirus disease 2019; COVID-19; acute respiratory disease; epidemiology; Australia </w:t>
      </w:r>
    </w:p>
    <w:p w14:paraId="5A8E4202" w14:textId="0209B46F" w:rsidR="008D17B2" w:rsidRDefault="008D17B2" w:rsidP="008C5C7A">
      <w:pPr>
        <w:pStyle w:val="CDIfootnotes"/>
        <w:rPr>
          <w:color w:val="FF0000"/>
        </w:rPr>
      </w:pPr>
      <w:r>
        <w:rPr>
          <w:noProof/>
          <w:color w:val="FF0000"/>
        </w:rPr>
        <w:drawing>
          <wp:inline distT="0" distB="0" distL="0" distR="0" wp14:anchorId="65300BC8" wp14:editId="6C76912A">
            <wp:extent cx="6857342" cy="2472467"/>
            <wp:effectExtent l="0" t="0" r="1270" b="4445"/>
            <wp:docPr id="8" name="Picture 8" descr="Bar chart showing COVID-19 notifications by date of illness onset, for the 7,466 Australian cases. Notifications for the cases shown have onset dates ranging from 13 January 2020 to 7 June 2020. The chart also shows the curve of cumulative cases, which rises most steeply between 15 and 25 March before levelling off to a much more gradual rise from April on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857342" cy="2472467"/>
                    </a:xfrm>
                    <a:prstGeom prst="rect">
                      <a:avLst/>
                    </a:prstGeom>
                    <a:noFill/>
                    <a:ln>
                      <a:noFill/>
                    </a:ln>
                    <a:extLst>
                      <a:ext uri="{53640926-AAD7-44D8-BBD7-CCE9431645EC}">
                        <a14:shadowObscured xmlns:a14="http://schemas.microsoft.com/office/drawing/2010/main"/>
                      </a:ext>
                    </a:extLst>
                  </pic:spPr>
                </pic:pic>
              </a:graphicData>
            </a:graphic>
          </wp:inline>
        </w:drawing>
      </w:r>
    </w:p>
    <w:p w14:paraId="1D76B0FD" w14:textId="77777777" w:rsidR="00C37967" w:rsidRDefault="000C6F82" w:rsidP="00793079">
      <w:pPr>
        <w:pStyle w:val="CDIfootnotes"/>
      </w:pPr>
      <w:r w:rsidRPr="00AC7FDF">
        <w:t>Source: NNDSS</w:t>
      </w:r>
    </w:p>
    <w:p w14:paraId="62394985" w14:textId="241BD2AF" w:rsidR="000C6F82" w:rsidRPr="00AD7BF6" w:rsidRDefault="000C6F82" w:rsidP="00C37967">
      <w:pPr>
        <w:pStyle w:val="Heading1"/>
      </w:pPr>
      <w:r w:rsidRPr="00AD7BF6">
        <w:t xml:space="preserve">Australian cases: descriptive epidemiology </w:t>
      </w:r>
    </w:p>
    <w:p w14:paraId="62394986" w14:textId="6ADF23B0" w:rsidR="000C6F82" w:rsidRPr="00AD7BF6" w:rsidRDefault="000C6F82" w:rsidP="00AD7BF6">
      <w:pPr>
        <w:pStyle w:val="Heading2"/>
      </w:pPr>
      <w:r w:rsidRPr="00AD7BF6">
        <w:t xml:space="preserve">National trends </w:t>
      </w:r>
    </w:p>
    <w:p w14:paraId="298FF211" w14:textId="730D34E5" w:rsidR="00D904C1" w:rsidRPr="00D35A05" w:rsidRDefault="000C6F82" w:rsidP="00AD7BF6">
      <w:r>
        <w:t xml:space="preserve">The incidence of COVID-19 continues to be low with very few cases reported by most jurisdictions, indicative of a steady reduction in transmission (Figure 1). Compared </w:t>
      </w:r>
      <w:r w:rsidR="00942D0F">
        <w:t>with</w:t>
      </w:r>
      <w:r>
        <w:t xml:space="preserve"> the previous fortnight, the number of</w:t>
      </w:r>
      <w:r w:rsidR="00D904C1">
        <w:t xml:space="preserve"> cases notified to </w:t>
      </w:r>
      <w:r w:rsidR="00D904C1" w:rsidRPr="00D35A05">
        <w:t xml:space="preserve">the NNDSS increased slightly from </w:t>
      </w:r>
      <w:r w:rsidR="00D904C1" w:rsidRPr="00AC7FDF">
        <w:t xml:space="preserve">134 </w:t>
      </w:r>
      <w:r w:rsidR="00D904C1" w:rsidRPr="00D35A05">
        <w:t xml:space="preserve">(11 to 24 May) to </w:t>
      </w:r>
      <w:r w:rsidR="00D904C1" w:rsidRPr="00AC7FDF">
        <w:t xml:space="preserve">147 </w:t>
      </w:r>
      <w:r w:rsidR="00D904C1" w:rsidRPr="00D35A05">
        <w:t>(25 May to 7 June).</w:t>
      </w:r>
    </w:p>
    <w:p w14:paraId="6C3305B6" w14:textId="77777777" w:rsidR="00CA163F" w:rsidRDefault="000C01F8" w:rsidP="005F44BF">
      <w:r w:rsidRPr="00FC5692">
        <w:t xml:space="preserve">Since the epidemic began, the highest cumulative rates of COVID-19 per </w:t>
      </w:r>
      <w:r w:rsidR="007E16FA" w:rsidRPr="00FC5692">
        <w:t xml:space="preserve">100,000 </w:t>
      </w:r>
      <w:r w:rsidRPr="00FC5692">
        <w:t>population have been reported from NSW and Tasmania (Table 1). This appears to be driven by the cruise-ship-related outbreaks in NSW and by a large outbreak in hospitals in North West Tasmania.</w:t>
      </w:r>
    </w:p>
    <w:p w14:paraId="4BCA82F3" w14:textId="77777777" w:rsidR="00CA163F" w:rsidRDefault="00CA163F">
      <w:r>
        <w:br w:type="page"/>
      </w:r>
    </w:p>
    <w:p w14:paraId="62394988" w14:textId="7C6F101F" w:rsidR="00574FF7" w:rsidRPr="00444F27" w:rsidRDefault="00574FF7" w:rsidP="00B509B9">
      <w:pPr>
        <w:pStyle w:val="CDIFigures"/>
        <w:rPr>
          <w:color w:val="FF0000"/>
        </w:rPr>
      </w:pPr>
      <w:r>
        <w:lastRenderedPageBreak/>
        <w:t xml:space="preserve">Figure 1: </w:t>
      </w:r>
      <w:r w:rsidRPr="00AC7FDF">
        <w:t>Fortnightly COVID-19 new case notif</w:t>
      </w:r>
      <w:r w:rsidR="008C2D41" w:rsidRPr="00AC7FDF">
        <w:t>ications per 100,000 population,</w:t>
      </w:r>
      <w:r w:rsidRPr="00AC7FDF">
        <w:rPr>
          <w:vertAlign w:val="superscript"/>
        </w:rPr>
        <w:t>a</w:t>
      </w:r>
      <w:r w:rsidR="008C2D41" w:rsidRPr="00AC7FDF">
        <w:t xml:space="preserve"> </w:t>
      </w:r>
      <w:r w:rsidRPr="00AC7FDF">
        <w:t xml:space="preserve">as at </w:t>
      </w:r>
      <w:r w:rsidR="002F24A8" w:rsidRPr="00AC7FDF">
        <w:t>7 June</w:t>
      </w:r>
      <w:r w:rsidRPr="00AC7FDF">
        <w:t xml:space="preserve"> 2020, by jurisdiction</w:t>
      </w:r>
    </w:p>
    <w:p w14:paraId="62394989" w14:textId="3B1D448B" w:rsidR="00574FF7" w:rsidRDefault="008D17B2" w:rsidP="00EB0BB7">
      <w:pPr>
        <w:pStyle w:val="NormalWeb"/>
        <w:spacing w:line="240" w:lineRule="auto"/>
        <w:jc w:val="center"/>
      </w:pPr>
      <w:r>
        <w:rPr>
          <w:noProof/>
        </w:rPr>
        <w:drawing>
          <wp:inline distT="0" distB="0" distL="0" distR="0" wp14:anchorId="5ACA709F" wp14:editId="42FADBF8">
            <wp:extent cx="6048888" cy="3938335"/>
            <wp:effectExtent l="0" t="0" r="9525" b="5080"/>
            <wp:docPr id="13" name="Picture 13" descr="Fortnightly COVID-19 new case notifications per 100,000 population as at 7 June 2020 by jurisdiction&#10;Line graph showing fortnightly COVID-19 notifications per 100,000 population by jurisdiction, from 6 January 2020 to 7 June 2020. Fortnightly notifications in all jurisdictions except Tasmania peaked during the fortnight 16 to 29 March; peak notifications for Tasmania occurred during the fortnight of 30 March to 12 Apr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048888" cy="3938335"/>
                    </a:xfrm>
                    <a:prstGeom prst="rect">
                      <a:avLst/>
                    </a:prstGeom>
                    <a:noFill/>
                  </pic:spPr>
                </pic:pic>
              </a:graphicData>
            </a:graphic>
          </wp:inline>
        </w:drawing>
      </w:r>
    </w:p>
    <w:p w14:paraId="06817565" w14:textId="77777777" w:rsidR="00CA163F" w:rsidRDefault="00574FF7" w:rsidP="00CA163F">
      <w:pPr>
        <w:pStyle w:val="CDIfootnotes"/>
        <w:ind w:left="284" w:hanging="284"/>
      </w:pPr>
      <w:r>
        <w:t>a</w:t>
      </w:r>
      <w:r>
        <w:tab/>
        <w:t>Source: NNDSS.</w:t>
      </w:r>
    </w:p>
    <w:p w14:paraId="6239498D" w14:textId="33C77933" w:rsidR="000C6F82" w:rsidRPr="00AC7FDF" w:rsidRDefault="000C6F82" w:rsidP="00CA163F">
      <w:pPr>
        <w:pStyle w:val="CDIFigures"/>
      </w:pPr>
      <w:r w:rsidRPr="00AC7FDF">
        <w:t>Table 1: Fortnightly notifications and cumulative total cases of COVID-19,</w:t>
      </w:r>
      <w:r w:rsidRPr="00AC7FDF">
        <w:rPr>
          <w:vertAlign w:val="superscript"/>
        </w:rPr>
        <w:t>a</w:t>
      </w:r>
      <w:r w:rsidRPr="00AC7FDF">
        <w:t xml:space="preserve"> Australia, by jurisdiction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Fortnightly notifications and cumulative total cases of COVID-19, Australia, by jurisdiction&#10;Table 1 shows fortnightly COVID-19 notifications per 100,000 population by jurisdiction, for the two most recent reporting fortnights. The rate of COVID-19 notifications is declining or static in most jurisdictions, and declining overall across Australia.&#10;"/>
      </w:tblPr>
      <w:tblGrid>
        <w:gridCol w:w="967"/>
        <w:gridCol w:w="2289"/>
        <w:gridCol w:w="2290"/>
        <w:gridCol w:w="2289"/>
        <w:gridCol w:w="2605"/>
      </w:tblGrid>
      <w:tr w:rsidR="0048340A" w:rsidRPr="00860D7E" w14:paraId="62394991" w14:textId="77777777" w:rsidTr="003A686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6239498E" w14:textId="77777777" w:rsidR="000C6F82" w:rsidRPr="00860D7E" w:rsidRDefault="000C6F82" w:rsidP="00490187">
            <w:pPr>
              <w:pStyle w:val="NormalWeb"/>
              <w:rPr>
                <w:color w:val="FFFFFF" w:themeColor="background1"/>
                <w:sz w:val="18"/>
                <w:szCs w:val="18"/>
              </w:rPr>
            </w:pPr>
            <w:r w:rsidRPr="00860D7E">
              <w:rPr>
                <w:color w:val="FFFFFF" w:themeColor="background1"/>
                <w:sz w:val="18"/>
                <w:szCs w:val="18"/>
              </w:rPr>
              <w:t>Jurisdiction</w:t>
            </w:r>
          </w:p>
        </w:tc>
        <w:tc>
          <w:tcPr>
            <w:tcW w:w="4579" w:type="dxa"/>
            <w:gridSpan w:val="2"/>
            <w:tcBorders>
              <w:left w:val="single" w:sz="2" w:space="0" w:color="FFFFFF" w:themeColor="background1"/>
              <w:bottom w:val="single" w:sz="2" w:space="0" w:color="FFFFFF" w:themeColor="background1"/>
              <w:right w:val="single" w:sz="2" w:space="0" w:color="FFFFFF" w:themeColor="background1"/>
            </w:tcBorders>
            <w:hideMark/>
          </w:tcPr>
          <w:p w14:paraId="6239498F" w14:textId="67568A4E" w:rsidR="000C6F82" w:rsidRPr="00860D7E" w:rsidRDefault="000C6F82" w:rsidP="00771481">
            <w:pPr>
              <w:pStyle w:val="NormalWeb"/>
              <w:jc w:val="center"/>
              <w:rPr>
                <w:color w:val="FFFFFF" w:themeColor="background1"/>
                <w:sz w:val="18"/>
                <w:szCs w:val="18"/>
              </w:rPr>
            </w:pPr>
            <w:r w:rsidRPr="00860D7E">
              <w:rPr>
                <w:color w:val="FFFFFF" w:themeColor="background1"/>
                <w:sz w:val="18"/>
                <w:szCs w:val="18"/>
              </w:rPr>
              <w:t>New cases</w:t>
            </w:r>
            <w:r w:rsidR="00771481" w:rsidRPr="00771481">
              <w:rPr>
                <w:color w:val="FFFFFF" w:themeColor="background1"/>
                <w:sz w:val="18"/>
                <w:szCs w:val="18"/>
                <w:vertAlign w:val="superscript"/>
              </w:rPr>
              <w:t>b</w:t>
            </w:r>
          </w:p>
        </w:tc>
        <w:tc>
          <w:tcPr>
            <w:tcW w:w="4894" w:type="dxa"/>
            <w:gridSpan w:val="2"/>
            <w:tcBorders>
              <w:left w:val="single" w:sz="2" w:space="0" w:color="FFFFFF" w:themeColor="background1"/>
              <w:bottom w:val="single" w:sz="2" w:space="0" w:color="FFFFFF" w:themeColor="background1"/>
            </w:tcBorders>
            <w:hideMark/>
          </w:tcPr>
          <w:p w14:paraId="62394990"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Total cases</w:t>
            </w:r>
          </w:p>
        </w:tc>
      </w:tr>
      <w:tr w:rsidR="0048340A" w:rsidRPr="00860D7E" w14:paraId="62394997" w14:textId="77777777" w:rsidTr="003A686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62394992" w14:textId="77777777" w:rsidR="000C6F82" w:rsidRPr="00860D7E" w:rsidRDefault="000C6F82" w:rsidP="00490187">
            <w:pPr>
              <w:rPr>
                <w:color w:val="FFFFFF" w:themeColor="background1"/>
                <w:sz w:val="18"/>
                <w:szCs w:val="18"/>
              </w:rPr>
            </w:pPr>
          </w:p>
        </w:tc>
        <w:tc>
          <w:tcPr>
            <w:tcW w:w="2289" w:type="dxa"/>
            <w:tcBorders>
              <w:top w:val="single" w:sz="2" w:space="0" w:color="FFFFFF" w:themeColor="background1"/>
              <w:left w:val="single" w:sz="2" w:space="0" w:color="FFFFFF" w:themeColor="background1"/>
              <w:right w:val="single" w:sz="2" w:space="0" w:color="FFFFFF" w:themeColor="background1"/>
            </w:tcBorders>
            <w:hideMark/>
          </w:tcPr>
          <w:p w14:paraId="62394993" w14:textId="582FBBDE" w:rsidR="000C6F82" w:rsidRPr="00860D7E" w:rsidRDefault="00C95EDC" w:rsidP="00860D7E">
            <w:pPr>
              <w:pStyle w:val="NormalWeb"/>
              <w:jc w:val="center"/>
              <w:rPr>
                <w:color w:val="FFFFFF" w:themeColor="background1"/>
                <w:sz w:val="18"/>
                <w:szCs w:val="18"/>
              </w:rPr>
            </w:pPr>
            <w:r>
              <w:rPr>
                <w:color w:val="FFFFFF" w:themeColor="background1"/>
                <w:sz w:val="18"/>
                <w:szCs w:val="18"/>
              </w:rPr>
              <w:t xml:space="preserve">11 </w:t>
            </w:r>
            <w:r w:rsidRPr="00860D7E">
              <w:rPr>
                <w:color w:val="FFFFFF" w:themeColor="background1"/>
                <w:sz w:val="18"/>
                <w:szCs w:val="18"/>
              </w:rPr>
              <w:t>–</w:t>
            </w:r>
            <w:r>
              <w:rPr>
                <w:color w:val="FFFFFF" w:themeColor="background1"/>
                <w:sz w:val="18"/>
                <w:szCs w:val="18"/>
              </w:rPr>
              <w:t xml:space="preserve"> </w:t>
            </w:r>
            <w:r w:rsidRPr="00860D7E">
              <w:rPr>
                <w:color w:val="FFFFFF" w:themeColor="background1"/>
                <w:sz w:val="18"/>
                <w:szCs w:val="18"/>
              </w:rPr>
              <w:t>24 May</w:t>
            </w:r>
          </w:p>
        </w:tc>
        <w:tc>
          <w:tcPr>
            <w:tcW w:w="2290" w:type="dxa"/>
            <w:tcBorders>
              <w:top w:val="single" w:sz="2" w:space="0" w:color="FFFFFF" w:themeColor="background1"/>
              <w:left w:val="single" w:sz="2" w:space="0" w:color="FFFFFF" w:themeColor="background1"/>
              <w:right w:val="single" w:sz="2" w:space="0" w:color="FFFFFF" w:themeColor="background1"/>
            </w:tcBorders>
            <w:hideMark/>
          </w:tcPr>
          <w:p w14:paraId="62394994" w14:textId="569208D7" w:rsidR="000C6F82" w:rsidRPr="00860D7E" w:rsidRDefault="00C95EDC" w:rsidP="00860D7E">
            <w:pPr>
              <w:pStyle w:val="NormalWeb"/>
              <w:jc w:val="center"/>
              <w:rPr>
                <w:color w:val="FFFFFF" w:themeColor="background1"/>
                <w:sz w:val="18"/>
                <w:szCs w:val="18"/>
              </w:rPr>
            </w:pPr>
            <w:r>
              <w:rPr>
                <w:color w:val="FFFFFF" w:themeColor="background1"/>
                <w:sz w:val="18"/>
                <w:szCs w:val="18"/>
              </w:rPr>
              <w:t xml:space="preserve">25 May </w:t>
            </w:r>
            <w:r w:rsidRPr="00860D7E">
              <w:rPr>
                <w:color w:val="FFFFFF" w:themeColor="background1"/>
                <w:sz w:val="18"/>
                <w:szCs w:val="18"/>
              </w:rPr>
              <w:t>–</w:t>
            </w:r>
            <w:r>
              <w:rPr>
                <w:color w:val="FFFFFF" w:themeColor="background1"/>
                <w:sz w:val="18"/>
                <w:szCs w:val="18"/>
              </w:rPr>
              <w:t xml:space="preserve"> 7 June</w:t>
            </w:r>
          </w:p>
        </w:tc>
        <w:tc>
          <w:tcPr>
            <w:tcW w:w="2289" w:type="dxa"/>
            <w:tcBorders>
              <w:top w:val="single" w:sz="2" w:space="0" w:color="FFFFFF" w:themeColor="background1"/>
              <w:left w:val="single" w:sz="2" w:space="0" w:color="FFFFFF" w:themeColor="background1"/>
              <w:right w:val="single" w:sz="2" w:space="0" w:color="FFFFFF" w:themeColor="background1"/>
            </w:tcBorders>
            <w:hideMark/>
          </w:tcPr>
          <w:p w14:paraId="62394995"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Number of cases</w:t>
            </w:r>
          </w:p>
        </w:tc>
        <w:tc>
          <w:tcPr>
            <w:tcW w:w="2605" w:type="dxa"/>
            <w:tcBorders>
              <w:top w:val="single" w:sz="2" w:space="0" w:color="FFFFFF" w:themeColor="background1"/>
              <w:left w:val="single" w:sz="2" w:space="0" w:color="FFFFFF" w:themeColor="background1"/>
            </w:tcBorders>
            <w:hideMark/>
          </w:tcPr>
          <w:p w14:paraId="62394996"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Rates per 100,000 population</w:t>
            </w:r>
          </w:p>
        </w:tc>
      </w:tr>
      <w:tr w:rsidR="007341FE" w:rsidRPr="00D35A05" w14:paraId="6239499D" w14:textId="77777777" w:rsidTr="00EC00CF">
        <w:tc>
          <w:tcPr>
            <w:tcW w:w="0" w:type="auto"/>
            <w:hideMark/>
          </w:tcPr>
          <w:p w14:paraId="62394998" w14:textId="77777777" w:rsidR="007341FE" w:rsidRPr="00D35A05" w:rsidRDefault="007341FE" w:rsidP="007341FE">
            <w:pPr>
              <w:pStyle w:val="NormalWeb"/>
              <w:rPr>
                <w:sz w:val="18"/>
                <w:szCs w:val="18"/>
              </w:rPr>
            </w:pPr>
            <w:r w:rsidRPr="00D35A05">
              <w:rPr>
                <w:sz w:val="16"/>
                <w:szCs w:val="18"/>
              </w:rPr>
              <w:t>NSW</w:t>
            </w:r>
          </w:p>
        </w:tc>
        <w:tc>
          <w:tcPr>
            <w:tcW w:w="2289" w:type="dxa"/>
            <w:hideMark/>
          </w:tcPr>
          <w:p w14:paraId="62394999" w14:textId="392A2569" w:rsidR="007341FE" w:rsidRPr="007341FE" w:rsidRDefault="007341FE" w:rsidP="007341FE">
            <w:pPr>
              <w:pStyle w:val="NormalWeb"/>
              <w:jc w:val="center"/>
              <w:rPr>
                <w:sz w:val="18"/>
                <w:szCs w:val="18"/>
              </w:rPr>
            </w:pPr>
            <w:r w:rsidRPr="007341FE">
              <w:rPr>
                <w:sz w:val="18"/>
                <w:szCs w:val="18"/>
              </w:rPr>
              <w:t>31</w:t>
            </w:r>
          </w:p>
        </w:tc>
        <w:tc>
          <w:tcPr>
            <w:tcW w:w="2290" w:type="dxa"/>
            <w:hideMark/>
          </w:tcPr>
          <w:p w14:paraId="6239499A" w14:textId="1D66EEC2" w:rsidR="007341FE" w:rsidRPr="00D35A05" w:rsidRDefault="007341FE" w:rsidP="007341FE">
            <w:pPr>
              <w:pStyle w:val="NormalWeb"/>
              <w:jc w:val="center"/>
              <w:rPr>
                <w:sz w:val="18"/>
                <w:szCs w:val="18"/>
              </w:rPr>
            </w:pPr>
            <w:r w:rsidRPr="00D35A05">
              <w:rPr>
                <w:sz w:val="18"/>
              </w:rPr>
              <w:t>26</w:t>
            </w:r>
          </w:p>
        </w:tc>
        <w:tc>
          <w:tcPr>
            <w:tcW w:w="2289" w:type="dxa"/>
            <w:hideMark/>
          </w:tcPr>
          <w:p w14:paraId="6239499B" w14:textId="17583624" w:rsidR="007341FE" w:rsidRPr="00D35A05" w:rsidRDefault="007341FE" w:rsidP="007341FE">
            <w:pPr>
              <w:pStyle w:val="NormalWeb"/>
              <w:jc w:val="center"/>
              <w:rPr>
                <w:sz w:val="18"/>
                <w:szCs w:val="18"/>
              </w:rPr>
            </w:pPr>
            <w:r w:rsidRPr="00D35A05">
              <w:rPr>
                <w:sz w:val="18"/>
              </w:rPr>
              <w:t>3,</w:t>
            </w:r>
            <w:r>
              <w:rPr>
                <w:sz w:val="18"/>
              </w:rPr>
              <w:t>119</w:t>
            </w:r>
          </w:p>
        </w:tc>
        <w:tc>
          <w:tcPr>
            <w:tcW w:w="2605" w:type="dxa"/>
            <w:hideMark/>
          </w:tcPr>
          <w:p w14:paraId="6239499C" w14:textId="09CE6470" w:rsidR="007341FE" w:rsidRPr="00D35A05" w:rsidRDefault="007341FE" w:rsidP="007341FE">
            <w:pPr>
              <w:pStyle w:val="NormalWeb"/>
              <w:jc w:val="center"/>
              <w:rPr>
                <w:sz w:val="18"/>
                <w:szCs w:val="18"/>
              </w:rPr>
            </w:pPr>
            <w:r>
              <w:rPr>
                <w:sz w:val="18"/>
              </w:rPr>
              <w:t>38.6</w:t>
            </w:r>
          </w:p>
        </w:tc>
      </w:tr>
      <w:tr w:rsidR="007341FE" w:rsidRPr="00D35A05" w14:paraId="623949A3" w14:textId="77777777" w:rsidTr="00EC00CF">
        <w:trPr>
          <w:cnfStyle w:val="000000010000" w:firstRow="0" w:lastRow="0" w:firstColumn="0" w:lastColumn="0" w:oddVBand="0" w:evenVBand="0" w:oddHBand="0" w:evenHBand="1" w:firstRowFirstColumn="0" w:firstRowLastColumn="0" w:lastRowFirstColumn="0" w:lastRowLastColumn="0"/>
        </w:trPr>
        <w:tc>
          <w:tcPr>
            <w:tcW w:w="0" w:type="auto"/>
            <w:hideMark/>
          </w:tcPr>
          <w:p w14:paraId="6239499E" w14:textId="77777777" w:rsidR="007341FE" w:rsidRPr="00D35A05" w:rsidRDefault="007341FE" w:rsidP="007341FE">
            <w:pPr>
              <w:pStyle w:val="NormalWeb"/>
              <w:rPr>
                <w:sz w:val="18"/>
                <w:szCs w:val="18"/>
              </w:rPr>
            </w:pPr>
            <w:r w:rsidRPr="00D35A05">
              <w:rPr>
                <w:sz w:val="18"/>
                <w:szCs w:val="18"/>
              </w:rPr>
              <w:t>Vic</w:t>
            </w:r>
          </w:p>
        </w:tc>
        <w:tc>
          <w:tcPr>
            <w:tcW w:w="2289" w:type="dxa"/>
            <w:hideMark/>
          </w:tcPr>
          <w:p w14:paraId="6239499F" w14:textId="4CE145CE" w:rsidR="007341FE" w:rsidRPr="007341FE" w:rsidRDefault="007341FE" w:rsidP="007341FE">
            <w:pPr>
              <w:pStyle w:val="NormalWeb"/>
              <w:jc w:val="center"/>
              <w:rPr>
                <w:sz w:val="18"/>
                <w:szCs w:val="18"/>
              </w:rPr>
            </w:pPr>
            <w:r w:rsidRPr="007341FE">
              <w:rPr>
                <w:sz w:val="18"/>
                <w:szCs w:val="18"/>
              </w:rPr>
              <w:t>87</w:t>
            </w:r>
          </w:p>
        </w:tc>
        <w:tc>
          <w:tcPr>
            <w:tcW w:w="2290" w:type="dxa"/>
            <w:hideMark/>
          </w:tcPr>
          <w:p w14:paraId="623949A0" w14:textId="52A9EB3C" w:rsidR="007341FE" w:rsidRPr="00D35A05" w:rsidRDefault="007341FE" w:rsidP="007341FE">
            <w:pPr>
              <w:pStyle w:val="NormalWeb"/>
              <w:jc w:val="center"/>
              <w:rPr>
                <w:sz w:val="18"/>
                <w:szCs w:val="18"/>
              </w:rPr>
            </w:pPr>
            <w:r w:rsidRPr="00D35A05">
              <w:rPr>
                <w:sz w:val="18"/>
              </w:rPr>
              <w:t>74</w:t>
            </w:r>
          </w:p>
        </w:tc>
        <w:tc>
          <w:tcPr>
            <w:tcW w:w="2289" w:type="dxa"/>
            <w:hideMark/>
          </w:tcPr>
          <w:p w14:paraId="623949A1" w14:textId="50260388" w:rsidR="007341FE" w:rsidRPr="00D35A05" w:rsidRDefault="007341FE" w:rsidP="007341FE">
            <w:pPr>
              <w:pStyle w:val="NormalWeb"/>
              <w:jc w:val="center"/>
              <w:rPr>
                <w:sz w:val="18"/>
                <w:szCs w:val="18"/>
              </w:rPr>
            </w:pPr>
            <w:r w:rsidRPr="00D35A05">
              <w:rPr>
                <w:sz w:val="18"/>
              </w:rPr>
              <w:t>1,693</w:t>
            </w:r>
          </w:p>
        </w:tc>
        <w:tc>
          <w:tcPr>
            <w:tcW w:w="2605" w:type="dxa"/>
            <w:hideMark/>
          </w:tcPr>
          <w:p w14:paraId="623949A2" w14:textId="1D16DE41" w:rsidR="007341FE" w:rsidRPr="00D35A05" w:rsidRDefault="007341FE" w:rsidP="007341FE">
            <w:pPr>
              <w:pStyle w:val="NormalWeb"/>
              <w:jc w:val="center"/>
              <w:rPr>
                <w:sz w:val="18"/>
                <w:szCs w:val="18"/>
              </w:rPr>
            </w:pPr>
            <w:r w:rsidRPr="00D35A05">
              <w:rPr>
                <w:sz w:val="18"/>
              </w:rPr>
              <w:t>25.7</w:t>
            </w:r>
          </w:p>
        </w:tc>
      </w:tr>
      <w:tr w:rsidR="007341FE" w:rsidRPr="00D35A05" w14:paraId="623949A9" w14:textId="77777777" w:rsidTr="00EC00CF">
        <w:tc>
          <w:tcPr>
            <w:tcW w:w="0" w:type="auto"/>
            <w:hideMark/>
          </w:tcPr>
          <w:p w14:paraId="623949A4" w14:textId="77777777" w:rsidR="007341FE" w:rsidRPr="00D35A05" w:rsidRDefault="007341FE" w:rsidP="007341FE">
            <w:pPr>
              <w:pStyle w:val="NormalWeb"/>
              <w:rPr>
                <w:sz w:val="18"/>
                <w:szCs w:val="18"/>
              </w:rPr>
            </w:pPr>
            <w:r w:rsidRPr="00D35A05">
              <w:rPr>
                <w:sz w:val="18"/>
                <w:szCs w:val="18"/>
              </w:rPr>
              <w:t>Qld</w:t>
            </w:r>
          </w:p>
        </w:tc>
        <w:tc>
          <w:tcPr>
            <w:tcW w:w="2289" w:type="dxa"/>
            <w:hideMark/>
          </w:tcPr>
          <w:p w14:paraId="623949A5" w14:textId="1FF1FA78" w:rsidR="007341FE" w:rsidRPr="007341FE" w:rsidRDefault="007341FE" w:rsidP="007341FE">
            <w:pPr>
              <w:pStyle w:val="NormalWeb"/>
              <w:jc w:val="center"/>
              <w:rPr>
                <w:sz w:val="18"/>
                <w:szCs w:val="18"/>
              </w:rPr>
            </w:pPr>
            <w:r w:rsidRPr="007341FE">
              <w:rPr>
                <w:sz w:val="18"/>
                <w:szCs w:val="18"/>
              </w:rPr>
              <w:t>10</w:t>
            </w:r>
          </w:p>
        </w:tc>
        <w:tc>
          <w:tcPr>
            <w:tcW w:w="2290" w:type="dxa"/>
            <w:hideMark/>
          </w:tcPr>
          <w:p w14:paraId="623949A6" w14:textId="5E8DC0E5" w:rsidR="007341FE" w:rsidRPr="00D35A05" w:rsidRDefault="007341FE" w:rsidP="007341FE">
            <w:pPr>
              <w:pStyle w:val="NormalWeb"/>
              <w:jc w:val="center"/>
              <w:rPr>
                <w:sz w:val="18"/>
                <w:szCs w:val="18"/>
              </w:rPr>
            </w:pPr>
            <w:r w:rsidRPr="00D35A05">
              <w:rPr>
                <w:sz w:val="18"/>
              </w:rPr>
              <w:t>3</w:t>
            </w:r>
          </w:p>
        </w:tc>
        <w:tc>
          <w:tcPr>
            <w:tcW w:w="2289" w:type="dxa"/>
            <w:hideMark/>
          </w:tcPr>
          <w:p w14:paraId="623949A7" w14:textId="3384620E" w:rsidR="007341FE" w:rsidRPr="00D35A05" w:rsidRDefault="007341FE" w:rsidP="007341FE">
            <w:pPr>
              <w:pStyle w:val="NormalWeb"/>
              <w:jc w:val="center"/>
              <w:rPr>
                <w:sz w:val="18"/>
                <w:szCs w:val="18"/>
              </w:rPr>
            </w:pPr>
            <w:r w:rsidRPr="00D35A05">
              <w:rPr>
                <w:sz w:val="18"/>
              </w:rPr>
              <w:t>1,061</w:t>
            </w:r>
          </w:p>
        </w:tc>
        <w:tc>
          <w:tcPr>
            <w:tcW w:w="2605" w:type="dxa"/>
            <w:hideMark/>
          </w:tcPr>
          <w:p w14:paraId="623949A8" w14:textId="77777777" w:rsidR="007341FE" w:rsidRPr="00D35A05" w:rsidRDefault="007341FE" w:rsidP="007341FE">
            <w:pPr>
              <w:pStyle w:val="NormalWeb"/>
              <w:jc w:val="center"/>
              <w:rPr>
                <w:sz w:val="18"/>
                <w:szCs w:val="18"/>
              </w:rPr>
            </w:pPr>
            <w:r w:rsidRPr="00D35A05">
              <w:rPr>
                <w:sz w:val="18"/>
              </w:rPr>
              <w:t>20.8</w:t>
            </w:r>
          </w:p>
        </w:tc>
      </w:tr>
      <w:tr w:rsidR="007341FE" w:rsidRPr="00D35A05" w14:paraId="623949AF" w14:textId="77777777" w:rsidTr="00EC00CF">
        <w:trPr>
          <w:cnfStyle w:val="000000010000" w:firstRow="0" w:lastRow="0" w:firstColumn="0" w:lastColumn="0" w:oddVBand="0" w:evenVBand="0" w:oddHBand="0" w:evenHBand="1" w:firstRowFirstColumn="0" w:firstRowLastColumn="0" w:lastRowFirstColumn="0" w:lastRowLastColumn="0"/>
        </w:trPr>
        <w:tc>
          <w:tcPr>
            <w:tcW w:w="0" w:type="auto"/>
            <w:hideMark/>
          </w:tcPr>
          <w:p w14:paraId="623949AA" w14:textId="77777777" w:rsidR="007341FE" w:rsidRPr="00D35A05" w:rsidRDefault="007341FE" w:rsidP="007341FE">
            <w:pPr>
              <w:pStyle w:val="NormalWeb"/>
              <w:rPr>
                <w:sz w:val="18"/>
                <w:szCs w:val="18"/>
              </w:rPr>
            </w:pPr>
            <w:r w:rsidRPr="00D35A05">
              <w:rPr>
                <w:sz w:val="18"/>
                <w:szCs w:val="18"/>
              </w:rPr>
              <w:t>WA</w:t>
            </w:r>
          </w:p>
        </w:tc>
        <w:tc>
          <w:tcPr>
            <w:tcW w:w="2289" w:type="dxa"/>
            <w:hideMark/>
          </w:tcPr>
          <w:p w14:paraId="623949AB" w14:textId="4670422C" w:rsidR="007341FE" w:rsidRPr="007341FE" w:rsidRDefault="007341FE" w:rsidP="007341FE">
            <w:pPr>
              <w:pStyle w:val="NormalWeb"/>
              <w:jc w:val="center"/>
              <w:rPr>
                <w:sz w:val="18"/>
                <w:szCs w:val="18"/>
              </w:rPr>
            </w:pPr>
            <w:r w:rsidRPr="007341FE">
              <w:rPr>
                <w:sz w:val="18"/>
                <w:szCs w:val="18"/>
              </w:rPr>
              <w:t>5</w:t>
            </w:r>
          </w:p>
        </w:tc>
        <w:tc>
          <w:tcPr>
            <w:tcW w:w="2290" w:type="dxa"/>
            <w:hideMark/>
          </w:tcPr>
          <w:p w14:paraId="623949AC" w14:textId="2172EE80" w:rsidR="007341FE" w:rsidRPr="00D35A05" w:rsidRDefault="007341FE" w:rsidP="007341FE">
            <w:pPr>
              <w:pStyle w:val="NormalWeb"/>
              <w:jc w:val="center"/>
              <w:rPr>
                <w:sz w:val="18"/>
                <w:szCs w:val="18"/>
              </w:rPr>
            </w:pPr>
            <w:r w:rsidRPr="00D35A05">
              <w:rPr>
                <w:sz w:val="18"/>
              </w:rPr>
              <w:t>42</w:t>
            </w:r>
          </w:p>
        </w:tc>
        <w:tc>
          <w:tcPr>
            <w:tcW w:w="2289" w:type="dxa"/>
            <w:hideMark/>
          </w:tcPr>
          <w:p w14:paraId="623949AD" w14:textId="539A785D" w:rsidR="007341FE" w:rsidRPr="00D35A05" w:rsidRDefault="007341FE" w:rsidP="007341FE">
            <w:pPr>
              <w:pStyle w:val="NormalWeb"/>
              <w:jc w:val="center"/>
              <w:rPr>
                <w:sz w:val="18"/>
                <w:szCs w:val="18"/>
              </w:rPr>
            </w:pPr>
            <w:r w:rsidRPr="00D35A05">
              <w:rPr>
                <w:sz w:val="18"/>
              </w:rPr>
              <w:t>599</w:t>
            </w:r>
          </w:p>
        </w:tc>
        <w:tc>
          <w:tcPr>
            <w:tcW w:w="2605" w:type="dxa"/>
            <w:hideMark/>
          </w:tcPr>
          <w:p w14:paraId="623949AE" w14:textId="79C0B593" w:rsidR="007341FE" w:rsidRPr="00D35A05" w:rsidRDefault="007341FE" w:rsidP="007341FE">
            <w:pPr>
              <w:pStyle w:val="NormalWeb"/>
              <w:jc w:val="center"/>
              <w:rPr>
                <w:sz w:val="18"/>
                <w:szCs w:val="18"/>
              </w:rPr>
            </w:pPr>
            <w:r w:rsidRPr="00D35A05">
              <w:rPr>
                <w:sz w:val="18"/>
              </w:rPr>
              <w:t>22.8</w:t>
            </w:r>
          </w:p>
        </w:tc>
      </w:tr>
      <w:tr w:rsidR="007341FE" w:rsidRPr="00D35A05" w14:paraId="623949B5" w14:textId="77777777" w:rsidTr="00EC00CF">
        <w:tc>
          <w:tcPr>
            <w:tcW w:w="0" w:type="auto"/>
            <w:hideMark/>
          </w:tcPr>
          <w:p w14:paraId="623949B0" w14:textId="77777777" w:rsidR="007341FE" w:rsidRPr="00D35A05" w:rsidRDefault="007341FE" w:rsidP="007341FE">
            <w:pPr>
              <w:pStyle w:val="NormalWeb"/>
              <w:rPr>
                <w:sz w:val="18"/>
                <w:szCs w:val="18"/>
              </w:rPr>
            </w:pPr>
            <w:r w:rsidRPr="00D35A05">
              <w:rPr>
                <w:sz w:val="18"/>
                <w:szCs w:val="18"/>
              </w:rPr>
              <w:t>SA</w:t>
            </w:r>
          </w:p>
        </w:tc>
        <w:tc>
          <w:tcPr>
            <w:tcW w:w="2289" w:type="dxa"/>
            <w:hideMark/>
          </w:tcPr>
          <w:p w14:paraId="623949B1" w14:textId="4211019E" w:rsidR="007341FE" w:rsidRPr="007341FE" w:rsidRDefault="007341FE" w:rsidP="007341FE">
            <w:pPr>
              <w:pStyle w:val="NormalWeb"/>
              <w:jc w:val="center"/>
              <w:rPr>
                <w:sz w:val="18"/>
                <w:szCs w:val="18"/>
              </w:rPr>
            </w:pPr>
            <w:r w:rsidRPr="007341FE">
              <w:rPr>
                <w:sz w:val="18"/>
                <w:szCs w:val="18"/>
              </w:rPr>
              <w:t>0</w:t>
            </w:r>
          </w:p>
        </w:tc>
        <w:tc>
          <w:tcPr>
            <w:tcW w:w="2290" w:type="dxa"/>
            <w:hideMark/>
          </w:tcPr>
          <w:p w14:paraId="623949B2" w14:textId="62E303AD" w:rsidR="007341FE" w:rsidRPr="00D35A05" w:rsidRDefault="007341FE" w:rsidP="007341FE">
            <w:pPr>
              <w:pStyle w:val="NormalWeb"/>
              <w:jc w:val="center"/>
              <w:rPr>
                <w:sz w:val="18"/>
                <w:szCs w:val="18"/>
              </w:rPr>
            </w:pPr>
            <w:r w:rsidRPr="00D35A05">
              <w:rPr>
                <w:sz w:val="18"/>
              </w:rPr>
              <w:t>1</w:t>
            </w:r>
          </w:p>
        </w:tc>
        <w:tc>
          <w:tcPr>
            <w:tcW w:w="2289" w:type="dxa"/>
            <w:hideMark/>
          </w:tcPr>
          <w:p w14:paraId="623949B3" w14:textId="258A5DCE" w:rsidR="007341FE" w:rsidRPr="00D35A05" w:rsidRDefault="007341FE" w:rsidP="007341FE">
            <w:pPr>
              <w:pStyle w:val="NormalWeb"/>
              <w:jc w:val="center"/>
              <w:rPr>
                <w:sz w:val="18"/>
                <w:szCs w:val="18"/>
              </w:rPr>
            </w:pPr>
            <w:r w:rsidRPr="00D35A05">
              <w:rPr>
                <w:sz w:val="18"/>
              </w:rPr>
              <w:t>440</w:t>
            </w:r>
          </w:p>
        </w:tc>
        <w:tc>
          <w:tcPr>
            <w:tcW w:w="2605" w:type="dxa"/>
            <w:hideMark/>
          </w:tcPr>
          <w:p w14:paraId="623949B4" w14:textId="77777777" w:rsidR="007341FE" w:rsidRPr="00D35A05" w:rsidRDefault="007341FE" w:rsidP="007341FE">
            <w:pPr>
              <w:pStyle w:val="NormalWeb"/>
              <w:jc w:val="center"/>
              <w:rPr>
                <w:sz w:val="18"/>
                <w:szCs w:val="18"/>
              </w:rPr>
            </w:pPr>
            <w:r w:rsidRPr="00D35A05">
              <w:rPr>
                <w:sz w:val="18"/>
              </w:rPr>
              <w:t>25.1</w:t>
            </w:r>
          </w:p>
        </w:tc>
      </w:tr>
      <w:tr w:rsidR="007341FE" w:rsidRPr="00D35A05" w14:paraId="623949BB" w14:textId="77777777" w:rsidTr="00EC00CF">
        <w:trPr>
          <w:cnfStyle w:val="000000010000" w:firstRow="0" w:lastRow="0" w:firstColumn="0" w:lastColumn="0" w:oddVBand="0" w:evenVBand="0" w:oddHBand="0" w:evenHBand="1" w:firstRowFirstColumn="0" w:firstRowLastColumn="0" w:lastRowFirstColumn="0" w:lastRowLastColumn="0"/>
        </w:trPr>
        <w:tc>
          <w:tcPr>
            <w:tcW w:w="0" w:type="auto"/>
            <w:hideMark/>
          </w:tcPr>
          <w:p w14:paraId="623949B6" w14:textId="77777777" w:rsidR="007341FE" w:rsidRPr="00D35A05" w:rsidRDefault="007341FE" w:rsidP="007341FE">
            <w:pPr>
              <w:pStyle w:val="NormalWeb"/>
              <w:rPr>
                <w:sz w:val="18"/>
                <w:szCs w:val="18"/>
              </w:rPr>
            </w:pPr>
            <w:r w:rsidRPr="00D35A05">
              <w:rPr>
                <w:sz w:val="18"/>
                <w:szCs w:val="18"/>
              </w:rPr>
              <w:t>Tas</w:t>
            </w:r>
          </w:p>
        </w:tc>
        <w:tc>
          <w:tcPr>
            <w:tcW w:w="2289" w:type="dxa"/>
            <w:hideMark/>
          </w:tcPr>
          <w:p w14:paraId="623949B7" w14:textId="0D316438" w:rsidR="007341FE" w:rsidRPr="007341FE" w:rsidRDefault="007341FE" w:rsidP="007341FE">
            <w:pPr>
              <w:pStyle w:val="NormalWeb"/>
              <w:jc w:val="center"/>
              <w:rPr>
                <w:sz w:val="18"/>
                <w:szCs w:val="18"/>
              </w:rPr>
            </w:pPr>
            <w:r w:rsidRPr="007341FE">
              <w:rPr>
                <w:sz w:val="18"/>
                <w:szCs w:val="18"/>
              </w:rPr>
              <w:t>1</w:t>
            </w:r>
          </w:p>
        </w:tc>
        <w:tc>
          <w:tcPr>
            <w:tcW w:w="2290" w:type="dxa"/>
            <w:hideMark/>
          </w:tcPr>
          <w:p w14:paraId="623949B8" w14:textId="3751555D" w:rsidR="007341FE" w:rsidRPr="00D35A05" w:rsidRDefault="007341FE" w:rsidP="007341FE">
            <w:pPr>
              <w:pStyle w:val="NormalWeb"/>
              <w:jc w:val="center"/>
              <w:rPr>
                <w:sz w:val="18"/>
                <w:szCs w:val="18"/>
              </w:rPr>
            </w:pPr>
            <w:r w:rsidRPr="00D35A05">
              <w:rPr>
                <w:sz w:val="18"/>
              </w:rPr>
              <w:t>0</w:t>
            </w:r>
          </w:p>
        </w:tc>
        <w:tc>
          <w:tcPr>
            <w:tcW w:w="2289" w:type="dxa"/>
            <w:hideMark/>
          </w:tcPr>
          <w:p w14:paraId="623949B9" w14:textId="77777777" w:rsidR="007341FE" w:rsidRPr="00D35A05" w:rsidRDefault="007341FE" w:rsidP="007341FE">
            <w:pPr>
              <w:pStyle w:val="NormalWeb"/>
              <w:jc w:val="center"/>
              <w:rPr>
                <w:sz w:val="18"/>
                <w:szCs w:val="18"/>
              </w:rPr>
            </w:pPr>
            <w:r w:rsidRPr="00D35A05">
              <w:rPr>
                <w:sz w:val="18"/>
              </w:rPr>
              <w:t>228</w:t>
            </w:r>
          </w:p>
        </w:tc>
        <w:tc>
          <w:tcPr>
            <w:tcW w:w="2605" w:type="dxa"/>
            <w:hideMark/>
          </w:tcPr>
          <w:p w14:paraId="623949BA" w14:textId="77777777" w:rsidR="007341FE" w:rsidRPr="00D35A05" w:rsidRDefault="007341FE" w:rsidP="007341FE">
            <w:pPr>
              <w:pStyle w:val="NormalWeb"/>
              <w:jc w:val="center"/>
              <w:rPr>
                <w:sz w:val="18"/>
                <w:szCs w:val="18"/>
              </w:rPr>
            </w:pPr>
            <w:r w:rsidRPr="00D35A05">
              <w:rPr>
                <w:sz w:val="18"/>
              </w:rPr>
              <w:t>42.7</w:t>
            </w:r>
          </w:p>
        </w:tc>
      </w:tr>
      <w:tr w:rsidR="007341FE" w:rsidRPr="00D35A05" w14:paraId="623949C1" w14:textId="77777777" w:rsidTr="00EC00CF">
        <w:tc>
          <w:tcPr>
            <w:tcW w:w="0" w:type="auto"/>
            <w:hideMark/>
          </w:tcPr>
          <w:p w14:paraId="623949BC" w14:textId="77777777" w:rsidR="007341FE" w:rsidRPr="00D35A05" w:rsidRDefault="007341FE" w:rsidP="007341FE">
            <w:pPr>
              <w:pStyle w:val="NormalWeb"/>
              <w:rPr>
                <w:sz w:val="18"/>
                <w:szCs w:val="18"/>
              </w:rPr>
            </w:pPr>
            <w:r w:rsidRPr="00D35A05">
              <w:rPr>
                <w:sz w:val="18"/>
                <w:szCs w:val="18"/>
              </w:rPr>
              <w:t>NT</w:t>
            </w:r>
          </w:p>
        </w:tc>
        <w:tc>
          <w:tcPr>
            <w:tcW w:w="2289" w:type="dxa"/>
            <w:hideMark/>
          </w:tcPr>
          <w:p w14:paraId="623949BD" w14:textId="014B6F6E" w:rsidR="007341FE" w:rsidRPr="007341FE" w:rsidRDefault="007341FE" w:rsidP="007341FE">
            <w:pPr>
              <w:pStyle w:val="NormalWeb"/>
              <w:jc w:val="center"/>
              <w:rPr>
                <w:sz w:val="18"/>
                <w:szCs w:val="18"/>
              </w:rPr>
            </w:pPr>
            <w:r w:rsidRPr="007341FE">
              <w:rPr>
                <w:sz w:val="18"/>
                <w:szCs w:val="18"/>
              </w:rPr>
              <w:t>0</w:t>
            </w:r>
          </w:p>
        </w:tc>
        <w:tc>
          <w:tcPr>
            <w:tcW w:w="2290" w:type="dxa"/>
            <w:hideMark/>
          </w:tcPr>
          <w:p w14:paraId="623949BE" w14:textId="539D4A6F" w:rsidR="007341FE" w:rsidRPr="00D35A05" w:rsidRDefault="007341FE" w:rsidP="007341FE">
            <w:pPr>
              <w:pStyle w:val="NormalWeb"/>
              <w:jc w:val="center"/>
              <w:rPr>
                <w:sz w:val="18"/>
                <w:szCs w:val="18"/>
              </w:rPr>
            </w:pPr>
            <w:r w:rsidRPr="00D35A05">
              <w:rPr>
                <w:sz w:val="18"/>
              </w:rPr>
              <w:t>0</w:t>
            </w:r>
          </w:p>
        </w:tc>
        <w:tc>
          <w:tcPr>
            <w:tcW w:w="2289" w:type="dxa"/>
            <w:hideMark/>
          </w:tcPr>
          <w:p w14:paraId="623949BF" w14:textId="77777777" w:rsidR="007341FE" w:rsidRPr="00D35A05" w:rsidRDefault="007341FE" w:rsidP="007341FE">
            <w:pPr>
              <w:pStyle w:val="NormalWeb"/>
              <w:jc w:val="center"/>
              <w:rPr>
                <w:sz w:val="18"/>
                <w:szCs w:val="18"/>
              </w:rPr>
            </w:pPr>
            <w:r w:rsidRPr="00D35A05">
              <w:rPr>
                <w:sz w:val="18"/>
              </w:rPr>
              <w:t>29</w:t>
            </w:r>
          </w:p>
        </w:tc>
        <w:tc>
          <w:tcPr>
            <w:tcW w:w="2605" w:type="dxa"/>
            <w:hideMark/>
          </w:tcPr>
          <w:p w14:paraId="623949C0" w14:textId="77777777" w:rsidR="007341FE" w:rsidRPr="00D35A05" w:rsidRDefault="007341FE" w:rsidP="007341FE">
            <w:pPr>
              <w:pStyle w:val="NormalWeb"/>
              <w:jc w:val="center"/>
              <w:rPr>
                <w:sz w:val="18"/>
                <w:szCs w:val="18"/>
              </w:rPr>
            </w:pPr>
            <w:r w:rsidRPr="00D35A05">
              <w:rPr>
                <w:sz w:val="18"/>
              </w:rPr>
              <w:t>11.8</w:t>
            </w:r>
          </w:p>
        </w:tc>
      </w:tr>
      <w:tr w:rsidR="007341FE" w:rsidRPr="00D35A05" w14:paraId="623949C7" w14:textId="77777777" w:rsidTr="00EC00CF">
        <w:trPr>
          <w:cnfStyle w:val="000000010000" w:firstRow="0" w:lastRow="0" w:firstColumn="0" w:lastColumn="0" w:oddVBand="0" w:evenVBand="0" w:oddHBand="0" w:evenHBand="1" w:firstRowFirstColumn="0" w:firstRowLastColumn="0" w:lastRowFirstColumn="0" w:lastRowLastColumn="0"/>
        </w:trPr>
        <w:tc>
          <w:tcPr>
            <w:tcW w:w="0" w:type="auto"/>
            <w:hideMark/>
          </w:tcPr>
          <w:p w14:paraId="623949C2" w14:textId="77777777" w:rsidR="007341FE" w:rsidRPr="00D35A05" w:rsidRDefault="007341FE" w:rsidP="007341FE">
            <w:pPr>
              <w:pStyle w:val="NormalWeb"/>
              <w:rPr>
                <w:sz w:val="18"/>
                <w:szCs w:val="18"/>
              </w:rPr>
            </w:pPr>
            <w:r w:rsidRPr="00D35A05">
              <w:rPr>
                <w:sz w:val="18"/>
                <w:szCs w:val="18"/>
              </w:rPr>
              <w:t>ACT</w:t>
            </w:r>
          </w:p>
        </w:tc>
        <w:tc>
          <w:tcPr>
            <w:tcW w:w="2289" w:type="dxa"/>
            <w:hideMark/>
          </w:tcPr>
          <w:p w14:paraId="623949C3" w14:textId="51EFBC90" w:rsidR="007341FE" w:rsidRPr="007341FE" w:rsidRDefault="007341FE" w:rsidP="007341FE">
            <w:pPr>
              <w:pStyle w:val="NormalWeb"/>
              <w:jc w:val="center"/>
              <w:rPr>
                <w:sz w:val="18"/>
                <w:szCs w:val="18"/>
              </w:rPr>
            </w:pPr>
            <w:r w:rsidRPr="007341FE">
              <w:rPr>
                <w:sz w:val="18"/>
                <w:szCs w:val="18"/>
              </w:rPr>
              <w:t>0</w:t>
            </w:r>
          </w:p>
        </w:tc>
        <w:tc>
          <w:tcPr>
            <w:tcW w:w="2290" w:type="dxa"/>
            <w:hideMark/>
          </w:tcPr>
          <w:p w14:paraId="623949C4" w14:textId="5271B5FF" w:rsidR="007341FE" w:rsidRPr="00D35A05" w:rsidRDefault="007341FE" w:rsidP="007341FE">
            <w:pPr>
              <w:pStyle w:val="NormalWeb"/>
              <w:jc w:val="center"/>
              <w:rPr>
                <w:sz w:val="18"/>
                <w:szCs w:val="18"/>
              </w:rPr>
            </w:pPr>
            <w:r w:rsidRPr="00D35A05">
              <w:rPr>
                <w:sz w:val="18"/>
              </w:rPr>
              <w:t>1</w:t>
            </w:r>
          </w:p>
        </w:tc>
        <w:tc>
          <w:tcPr>
            <w:tcW w:w="2289" w:type="dxa"/>
            <w:hideMark/>
          </w:tcPr>
          <w:p w14:paraId="623949C5" w14:textId="54F4F9FE" w:rsidR="007341FE" w:rsidRPr="00D35A05" w:rsidRDefault="007341FE" w:rsidP="007341FE">
            <w:pPr>
              <w:pStyle w:val="NormalWeb"/>
              <w:jc w:val="center"/>
              <w:rPr>
                <w:sz w:val="18"/>
                <w:szCs w:val="18"/>
              </w:rPr>
            </w:pPr>
            <w:r w:rsidRPr="00D35A05">
              <w:rPr>
                <w:sz w:val="18"/>
              </w:rPr>
              <w:t>108</w:t>
            </w:r>
          </w:p>
        </w:tc>
        <w:tc>
          <w:tcPr>
            <w:tcW w:w="2605" w:type="dxa"/>
            <w:hideMark/>
          </w:tcPr>
          <w:p w14:paraId="623949C6" w14:textId="20C23C45" w:rsidR="007341FE" w:rsidRPr="00D35A05" w:rsidRDefault="007341FE" w:rsidP="007341FE">
            <w:pPr>
              <w:pStyle w:val="NormalWeb"/>
              <w:jc w:val="center"/>
              <w:rPr>
                <w:sz w:val="18"/>
                <w:szCs w:val="18"/>
              </w:rPr>
            </w:pPr>
            <w:r w:rsidRPr="00D35A05">
              <w:rPr>
                <w:sz w:val="18"/>
              </w:rPr>
              <w:t>25.3</w:t>
            </w:r>
          </w:p>
        </w:tc>
      </w:tr>
      <w:tr w:rsidR="007341FE" w:rsidRPr="00D35A05" w14:paraId="623949CD" w14:textId="77777777" w:rsidTr="00EF02DD">
        <w:tc>
          <w:tcPr>
            <w:tcW w:w="0" w:type="auto"/>
            <w:shd w:val="clear" w:color="auto" w:fill="FDE9D9" w:themeFill="accent6" w:themeFillTint="33"/>
            <w:hideMark/>
          </w:tcPr>
          <w:p w14:paraId="623949C8" w14:textId="77777777" w:rsidR="007341FE" w:rsidRPr="00D35A05" w:rsidRDefault="007341FE" w:rsidP="007341FE">
            <w:pPr>
              <w:pStyle w:val="NormalWeb"/>
              <w:rPr>
                <w:b/>
                <w:sz w:val="18"/>
                <w:szCs w:val="18"/>
              </w:rPr>
            </w:pPr>
            <w:r w:rsidRPr="00D35A05">
              <w:rPr>
                <w:b/>
                <w:sz w:val="18"/>
                <w:szCs w:val="18"/>
              </w:rPr>
              <w:t>Australia</w:t>
            </w:r>
          </w:p>
        </w:tc>
        <w:tc>
          <w:tcPr>
            <w:tcW w:w="2289" w:type="dxa"/>
            <w:shd w:val="clear" w:color="auto" w:fill="FDE9D9" w:themeFill="accent6" w:themeFillTint="33"/>
            <w:hideMark/>
          </w:tcPr>
          <w:p w14:paraId="623949C9" w14:textId="2CEEB950" w:rsidR="007341FE" w:rsidRPr="007341FE" w:rsidRDefault="007341FE" w:rsidP="007341FE">
            <w:pPr>
              <w:pStyle w:val="NormalWeb"/>
              <w:jc w:val="center"/>
              <w:rPr>
                <w:b/>
                <w:sz w:val="18"/>
                <w:szCs w:val="18"/>
              </w:rPr>
            </w:pPr>
            <w:r w:rsidRPr="007341FE">
              <w:rPr>
                <w:sz w:val="18"/>
                <w:szCs w:val="18"/>
              </w:rPr>
              <w:t>134</w:t>
            </w:r>
          </w:p>
        </w:tc>
        <w:tc>
          <w:tcPr>
            <w:tcW w:w="2290" w:type="dxa"/>
            <w:shd w:val="clear" w:color="auto" w:fill="FDE9D9" w:themeFill="accent6" w:themeFillTint="33"/>
            <w:hideMark/>
          </w:tcPr>
          <w:p w14:paraId="623949CA" w14:textId="4B5E36B2" w:rsidR="007341FE" w:rsidRPr="00D35A05" w:rsidRDefault="007341FE" w:rsidP="007341FE">
            <w:pPr>
              <w:pStyle w:val="NormalWeb"/>
              <w:jc w:val="center"/>
              <w:rPr>
                <w:b/>
                <w:sz w:val="18"/>
                <w:szCs w:val="18"/>
              </w:rPr>
            </w:pPr>
            <w:r w:rsidRPr="00D35A05">
              <w:rPr>
                <w:sz w:val="18"/>
              </w:rPr>
              <w:t>147</w:t>
            </w:r>
          </w:p>
        </w:tc>
        <w:tc>
          <w:tcPr>
            <w:tcW w:w="2289" w:type="dxa"/>
            <w:shd w:val="clear" w:color="auto" w:fill="FDE9D9" w:themeFill="accent6" w:themeFillTint="33"/>
            <w:hideMark/>
          </w:tcPr>
          <w:p w14:paraId="623949CB" w14:textId="16FA5491" w:rsidR="007341FE" w:rsidRPr="00D35A05" w:rsidRDefault="007341FE" w:rsidP="007341FE">
            <w:pPr>
              <w:pStyle w:val="NormalWeb"/>
              <w:jc w:val="center"/>
              <w:rPr>
                <w:b/>
                <w:sz w:val="18"/>
                <w:szCs w:val="18"/>
              </w:rPr>
            </w:pPr>
            <w:r w:rsidRPr="00D35A05">
              <w:rPr>
                <w:b/>
                <w:sz w:val="18"/>
              </w:rPr>
              <w:t>7,</w:t>
            </w:r>
            <w:r>
              <w:rPr>
                <w:b/>
                <w:sz w:val="18"/>
              </w:rPr>
              <w:t>277</w:t>
            </w:r>
          </w:p>
        </w:tc>
        <w:tc>
          <w:tcPr>
            <w:tcW w:w="2605" w:type="dxa"/>
            <w:shd w:val="clear" w:color="auto" w:fill="FDE9D9" w:themeFill="accent6" w:themeFillTint="33"/>
            <w:hideMark/>
          </w:tcPr>
          <w:p w14:paraId="623949CC" w14:textId="7D4FFD4F" w:rsidR="007341FE" w:rsidRPr="00D35A05" w:rsidRDefault="007341FE" w:rsidP="007341FE">
            <w:pPr>
              <w:pStyle w:val="NormalWeb"/>
              <w:jc w:val="center"/>
              <w:rPr>
                <w:b/>
                <w:sz w:val="18"/>
                <w:szCs w:val="18"/>
              </w:rPr>
            </w:pPr>
            <w:r>
              <w:rPr>
                <w:b/>
                <w:sz w:val="18"/>
              </w:rPr>
              <w:t>28.7</w:t>
            </w:r>
          </w:p>
        </w:tc>
      </w:tr>
    </w:tbl>
    <w:p w14:paraId="622FCA6E" w14:textId="39B77471" w:rsidR="00BF1EAD" w:rsidRDefault="000C6F82" w:rsidP="008044EE">
      <w:pPr>
        <w:pStyle w:val="CDIfootnotes"/>
        <w:spacing w:before="0" w:beforeAutospacing="0" w:after="0" w:afterAutospacing="0"/>
        <w:ind w:left="284" w:hanging="284"/>
      </w:pPr>
      <w:r>
        <w:t>a</w:t>
      </w:r>
      <w:r>
        <w:tab/>
        <w:t>Source: NNDSS.</w:t>
      </w:r>
      <w:r w:rsidR="008C5C7A">
        <w:t xml:space="preserve">  </w:t>
      </w:r>
    </w:p>
    <w:p w14:paraId="4DFAF3EF" w14:textId="6684F26F" w:rsidR="00BF1EAD" w:rsidRDefault="00D35A05" w:rsidP="008044EE">
      <w:pPr>
        <w:pStyle w:val="CDIfootnotes"/>
        <w:spacing w:before="0" w:beforeAutospacing="0" w:after="0" w:afterAutospacing="0"/>
        <w:ind w:left="284" w:hanging="284"/>
      </w:pPr>
      <w:r>
        <w:t>b</w:t>
      </w:r>
      <w:r w:rsidR="00BF1EAD">
        <w:tab/>
        <w:t>New cases notified to NNDSS within each fortnightly period.</w:t>
      </w:r>
    </w:p>
    <w:p w14:paraId="2D38F0E8" w14:textId="4330AAF7" w:rsidR="008C5C7A" w:rsidRPr="00FC5692" w:rsidRDefault="008C5C7A" w:rsidP="008C5C7A">
      <w:pPr>
        <w:pStyle w:val="Heading2"/>
      </w:pPr>
      <w:r w:rsidRPr="00FC5692">
        <w:t>Testing</w:t>
      </w:r>
    </w:p>
    <w:p w14:paraId="086F3518" w14:textId="0652BA7D" w:rsidR="000C6F82" w:rsidRDefault="000C6F82" w:rsidP="002422FB">
      <w:r w:rsidRPr="00D35A05">
        <w:t xml:space="preserve">The Series of National Guidelines recommendation </w:t>
      </w:r>
      <w:r w:rsidR="00FA5C41" w:rsidRPr="00D35A05">
        <w:t>for</w:t>
      </w:r>
      <w:r w:rsidRPr="00D35A05">
        <w:t xml:space="preserve"> testing criteria has been modified </w:t>
      </w:r>
      <w:r w:rsidR="0013368B" w:rsidRPr="00D35A05">
        <w:t>in the past month</w:t>
      </w:r>
      <w:r w:rsidRPr="00D35A05">
        <w:t>.</w:t>
      </w:r>
      <w:r w:rsidRPr="00D35A05">
        <w:rPr>
          <w:vertAlign w:val="superscript"/>
        </w:rPr>
        <w:t>1</w:t>
      </w:r>
      <w:r w:rsidRPr="00D35A05">
        <w:t xml:space="preserve"> The </w:t>
      </w:r>
      <w:r w:rsidRPr="00FC5692">
        <w:t xml:space="preserve">modifications were mainly </w:t>
      </w:r>
      <w:r w:rsidR="000F3103" w:rsidRPr="00FC5692">
        <w:t>to the</w:t>
      </w:r>
      <w:r w:rsidRPr="00FC5692">
        <w:t xml:space="preserve"> clinical criteria </w:t>
      </w:r>
      <w:r w:rsidR="000F3103" w:rsidRPr="00FC5692">
        <w:t>for</w:t>
      </w:r>
      <w:r w:rsidRPr="00FC5692">
        <w:t xml:space="preserve"> testing, which now include </w:t>
      </w:r>
      <w:r w:rsidR="006636BF" w:rsidRPr="00FC5692">
        <w:t xml:space="preserve">the </w:t>
      </w:r>
      <w:r w:rsidRPr="00FC5692">
        <w:t>p</w:t>
      </w:r>
      <w:r w:rsidR="000F3103" w:rsidRPr="00FC5692">
        <w:t xml:space="preserve">resence of fatigue as well as a decrease in the </w:t>
      </w:r>
      <w:r w:rsidRPr="00FC5692">
        <w:t>fever threshold from 38</w:t>
      </w:r>
      <w:r w:rsidRPr="00FC5692">
        <w:rPr>
          <w:vertAlign w:val="superscript"/>
        </w:rPr>
        <w:t>o</w:t>
      </w:r>
      <w:r w:rsidRPr="00FC5692">
        <w:t>C to 37.5</w:t>
      </w:r>
      <w:r w:rsidRPr="00FC5692">
        <w:rPr>
          <w:vertAlign w:val="superscript"/>
        </w:rPr>
        <w:t>o</w:t>
      </w:r>
      <w:r w:rsidRPr="00FC5692">
        <w:t xml:space="preserve">C. In addition, jurisdictions may also test asymptomatic international or interstate travellers. </w:t>
      </w:r>
    </w:p>
    <w:p w14:paraId="45986966" w14:textId="77777777" w:rsidR="00BD6E54" w:rsidRDefault="000C6F82" w:rsidP="00FC50C3">
      <w:r>
        <w:lastRenderedPageBreak/>
        <w:t>At the conclusion of the reporting period</w:t>
      </w:r>
      <w:r w:rsidR="008A7FCD">
        <w:t>,</w:t>
      </w:r>
      <w:r>
        <w:t xml:space="preserve"> a total of </w:t>
      </w:r>
      <w:r w:rsidRPr="001A4E40">
        <w:t>1,</w:t>
      </w:r>
      <w:r w:rsidR="001A4E40" w:rsidRPr="001A4E40">
        <w:t>617,462</w:t>
      </w:r>
      <w:r>
        <w:t xml:space="preserve"> tests </w:t>
      </w:r>
      <w:r w:rsidR="000631B3">
        <w:t>had</w:t>
      </w:r>
      <w:r>
        <w:t xml:space="preserve"> been conducted in Australia. </w:t>
      </w:r>
      <w:r w:rsidR="00FA5C41">
        <w:t xml:space="preserve">High rates of testing continued </w:t>
      </w:r>
      <w:r w:rsidR="0043213D" w:rsidRPr="0043213D">
        <w:t>across the country with the</w:t>
      </w:r>
      <w:r w:rsidRPr="0043213D">
        <w:t xml:space="preserve"> </w:t>
      </w:r>
      <w:r w:rsidR="00055EBF">
        <w:t xml:space="preserve">cumulative </w:t>
      </w:r>
      <w:r w:rsidRPr="0043213D">
        <w:t xml:space="preserve">proportion of positive tests </w:t>
      </w:r>
      <w:r w:rsidR="0043213D" w:rsidRPr="0043213D">
        <w:t>remaining low at less than 1% in each jurisdiction</w:t>
      </w:r>
      <w:r w:rsidRPr="0043213D">
        <w:t xml:space="preserve"> </w:t>
      </w:r>
      <w:r>
        <w:t>(Table 2).</w:t>
      </w:r>
      <w:r w:rsidR="007879A2">
        <w:t xml:space="preserve"> </w:t>
      </w:r>
      <w:r w:rsidR="007879A2" w:rsidRPr="00DB3B04">
        <w:t>Between 25 May and 7 June</w:t>
      </w:r>
      <w:r w:rsidR="008C5C7A">
        <w:t>,</w:t>
      </w:r>
      <w:r w:rsidR="007879A2" w:rsidRPr="00DB3B04">
        <w:t xml:space="preserve"> 392,667 tests were conducted</w:t>
      </w:r>
      <w:r w:rsidR="00FA5C41">
        <w:t xml:space="preserve"> nationally</w:t>
      </w:r>
      <w:r w:rsidR="007879A2" w:rsidRPr="00DB3B04">
        <w:t xml:space="preserve">, with a positivity rate of </w:t>
      </w:r>
      <w:r w:rsidR="00DB3B04" w:rsidRPr="00DB3B04">
        <w:t>less than 0.1%</w:t>
      </w:r>
      <w:r w:rsidR="007879A2" w:rsidRPr="00DB3B04">
        <w:t xml:space="preserve">. </w:t>
      </w:r>
      <w:r>
        <w:t>The low positivity rate is a good indic</w:t>
      </w:r>
      <w:r w:rsidR="00FA5C41">
        <w:t>ation of widespread testing in the</w:t>
      </w:r>
      <w:r>
        <w:t xml:space="preserve"> community and supports the low le</w:t>
      </w:r>
      <w:r w:rsidR="008C5C7A">
        <w:t>vels of disease being observed</w:t>
      </w:r>
      <w:r w:rsidR="008A7FCD">
        <w:t>.</w:t>
      </w:r>
    </w:p>
    <w:p w14:paraId="623949D7" w14:textId="3AEA324C" w:rsidR="000C6F82" w:rsidRPr="008C5C7A" w:rsidRDefault="000C6F82" w:rsidP="00BD6E54">
      <w:pPr>
        <w:pStyle w:val="CDIFigures"/>
      </w:pPr>
      <w:r>
        <w:t xml:space="preserve">Table 2: Diagnostic tests performed as at </w:t>
      </w:r>
      <w:r w:rsidR="0008370B">
        <w:t>7 June</w:t>
      </w:r>
      <w:r>
        <w:t xml:space="preserve"> 2020, Australia, by jurisdiction</w:t>
      </w:r>
      <w:r w:rsidR="001A4E40" w:rsidRPr="001A4E40">
        <w:rPr>
          <w:vertAlign w:val="superscript"/>
        </w:rPr>
        <w:t>a</w:t>
      </w:r>
    </w:p>
    <w:tbl>
      <w:tblPr>
        <w:tblW w:w="10526" w:type="dxa"/>
        <w:tblInd w:w="-30" w:type="dxa"/>
        <w:tblLayout w:type="fixed"/>
        <w:tblLook w:val="0000" w:firstRow="0" w:lastRow="0" w:firstColumn="0" w:lastColumn="0" w:noHBand="0" w:noVBand="0"/>
        <w:tblDescription w:val="Table 2: Diagnostic tests performed as at 7 June 2020, Australia, by jurisdiction&#10;Table 2 shows the cumulative number of diagnostic tests performed (and the percentage of such tests positive) within each jurisdiction by the end of this reporting fortnight, as well as at the end of the previous reporting fortnight. Nationwide, for this reporting period there have been 1,617,462 tests performed, with a positivity rate of 0.45% and a cumulative testing rate of 6,377 tests per 100,000 population"/>
      </w:tblPr>
      <w:tblGrid>
        <w:gridCol w:w="1145"/>
        <w:gridCol w:w="1145"/>
        <w:gridCol w:w="1144"/>
        <w:gridCol w:w="1145"/>
        <w:gridCol w:w="1145"/>
        <w:gridCol w:w="1934"/>
        <w:gridCol w:w="934"/>
        <w:gridCol w:w="1934"/>
      </w:tblGrid>
      <w:tr w:rsidR="001A4E40" w14:paraId="2E5C1528" w14:textId="77777777" w:rsidTr="001A4E40">
        <w:trPr>
          <w:trHeight w:val="463"/>
        </w:trPr>
        <w:tc>
          <w:tcPr>
            <w:tcW w:w="1145" w:type="dxa"/>
            <w:tcBorders>
              <w:top w:val="nil"/>
              <w:left w:val="nil"/>
              <w:bottom w:val="nil"/>
              <w:right w:val="nil"/>
            </w:tcBorders>
            <w:shd w:val="solid" w:color="333333" w:fill="auto"/>
          </w:tcPr>
          <w:p w14:paraId="405FE41F" w14:textId="77777777" w:rsidR="001A4E40" w:rsidRDefault="001A4E40">
            <w:pPr>
              <w:autoSpaceDE w:val="0"/>
              <w:autoSpaceDN w:val="0"/>
              <w:adjustRightInd w:val="0"/>
              <w:spacing w:after="0" w:line="240" w:lineRule="auto"/>
              <w:rPr>
                <w:rFonts w:ascii="Calibri" w:hAnsi="Calibri" w:cs="Calibri"/>
                <w:b/>
                <w:bCs/>
                <w:color w:val="FFFFFF"/>
                <w:sz w:val="18"/>
                <w:szCs w:val="18"/>
              </w:rPr>
            </w:pPr>
            <w:r>
              <w:rPr>
                <w:rFonts w:ascii="Calibri" w:hAnsi="Calibri" w:cs="Calibri"/>
                <w:b/>
                <w:bCs/>
                <w:color w:val="FFFFFF"/>
                <w:sz w:val="18"/>
                <w:szCs w:val="18"/>
              </w:rPr>
              <w:t>Jurisdiction</w:t>
            </w:r>
          </w:p>
        </w:tc>
        <w:tc>
          <w:tcPr>
            <w:tcW w:w="1145" w:type="dxa"/>
            <w:gridSpan w:val="2"/>
            <w:tcBorders>
              <w:top w:val="nil"/>
              <w:left w:val="nil"/>
              <w:bottom w:val="nil"/>
              <w:right w:val="nil"/>
            </w:tcBorders>
            <w:shd w:val="solid" w:color="333333" w:fill="auto"/>
          </w:tcPr>
          <w:p w14:paraId="39BF5952" w14:textId="40B0AA4F" w:rsidR="001A4E40" w:rsidRDefault="001A4E40" w:rsidP="001F74F6">
            <w:pPr>
              <w:autoSpaceDE w:val="0"/>
              <w:autoSpaceDN w:val="0"/>
              <w:adjustRightInd w:val="0"/>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 xml:space="preserve">Tests performed </w:t>
            </w:r>
            <w:r>
              <w:rPr>
                <w:rFonts w:ascii="Calibri" w:hAnsi="Calibri" w:cs="Calibri"/>
                <w:b/>
                <w:bCs/>
                <w:color w:val="FFFFFF"/>
                <w:sz w:val="18"/>
                <w:szCs w:val="18"/>
              </w:rPr>
              <w:br/>
              <w:t>11 – 24 May</w:t>
            </w:r>
          </w:p>
        </w:tc>
        <w:tc>
          <w:tcPr>
            <w:tcW w:w="1145" w:type="dxa"/>
            <w:gridSpan w:val="2"/>
            <w:tcBorders>
              <w:top w:val="nil"/>
              <w:left w:val="nil"/>
              <w:bottom w:val="nil"/>
              <w:right w:val="nil"/>
            </w:tcBorders>
            <w:shd w:val="solid" w:color="333333" w:fill="auto"/>
          </w:tcPr>
          <w:p w14:paraId="30A15337" w14:textId="22E0B97D" w:rsidR="001A4E40" w:rsidRDefault="001A4E40">
            <w:pPr>
              <w:autoSpaceDE w:val="0"/>
              <w:autoSpaceDN w:val="0"/>
              <w:adjustRightInd w:val="0"/>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 xml:space="preserve">Tests performed </w:t>
            </w:r>
            <w:r>
              <w:rPr>
                <w:rFonts w:ascii="Calibri" w:hAnsi="Calibri" w:cs="Calibri"/>
                <w:b/>
                <w:bCs/>
                <w:color w:val="FFFFFF"/>
                <w:sz w:val="18"/>
                <w:szCs w:val="18"/>
              </w:rPr>
              <w:br/>
              <w:t>25 May – 7 June</w:t>
            </w:r>
          </w:p>
        </w:tc>
        <w:tc>
          <w:tcPr>
            <w:tcW w:w="1934" w:type="dxa"/>
            <w:gridSpan w:val="3"/>
            <w:tcBorders>
              <w:top w:val="nil"/>
              <w:left w:val="nil"/>
              <w:bottom w:val="nil"/>
              <w:right w:val="nil"/>
            </w:tcBorders>
            <w:shd w:val="solid" w:color="333333" w:fill="auto"/>
          </w:tcPr>
          <w:p w14:paraId="465C708D" w14:textId="77777777" w:rsidR="001A4E40" w:rsidRDefault="001A4E40">
            <w:pPr>
              <w:autoSpaceDE w:val="0"/>
              <w:autoSpaceDN w:val="0"/>
              <w:adjustRightInd w:val="0"/>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Cumulative tests performed to 7 June</w:t>
            </w:r>
          </w:p>
        </w:tc>
      </w:tr>
      <w:tr w:rsidR="001A4E40" w14:paraId="1219C42F" w14:textId="77777777" w:rsidTr="001A4E40">
        <w:trPr>
          <w:trHeight w:val="246"/>
        </w:trPr>
        <w:tc>
          <w:tcPr>
            <w:tcW w:w="1145" w:type="dxa"/>
            <w:tcBorders>
              <w:top w:val="nil"/>
              <w:left w:val="nil"/>
              <w:bottom w:val="nil"/>
              <w:right w:val="nil"/>
            </w:tcBorders>
            <w:shd w:val="solid" w:color="333333" w:fill="auto"/>
          </w:tcPr>
          <w:p w14:paraId="1DA47900" w14:textId="77777777" w:rsidR="001A4E40" w:rsidRDefault="001A4E40">
            <w:pPr>
              <w:autoSpaceDE w:val="0"/>
              <w:autoSpaceDN w:val="0"/>
              <w:adjustRightInd w:val="0"/>
              <w:spacing w:after="0" w:line="240" w:lineRule="auto"/>
              <w:jc w:val="right"/>
              <w:rPr>
                <w:rFonts w:ascii="Calibri" w:hAnsi="Calibri" w:cs="Calibri"/>
                <w:b/>
                <w:bCs/>
                <w:color w:val="FFFFFF"/>
                <w:sz w:val="18"/>
                <w:szCs w:val="18"/>
              </w:rPr>
            </w:pPr>
          </w:p>
        </w:tc>
        <w:tc>
          <w:tcPr>
            <w:tcW w:w="1145" w:type="dxa"/>
            <w:tcBorders>
              <w:top w:val="nil"/>
              <w:left w:val="nil"/>
              <w:bottom w:val="nil"/>
              <w:right w:val="nil"/>
            </w:tcBorders>
            <w:shd w:val="solid" w:color="333333" w:fill="auto"/>
            <w:vAlign w:val="bottom"/>
          </w:tcPr>
          <w:p w14:paraId="49C2A3D4" w14:textId="77777777" w:rsidR="001A4E40" w:rsidRDefault="001A4E40" w:rsidP="001A4E40">
            <w:pPr>
              <w:autoSpaceDE w:val="0"/>
              <w:autoSpaceDN w:val="0"/>
              <w:adjustRightInd w:val="0"/>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n</w:t>
            </w:r>
          </w:p>
        </w:tc>
        <w:tc>
          <w:tcPr>
            <w:tcW w:w="1144" w:type="dxa"/>
            <w:tcBorders>
              <w:top w:val="nil"/>
              <w:left w:val="nil"/>
              <w:bottom w:val="nil"/>
              <w:right w:val="nil"/>
            </w:tcBorders>
            <w:shd w:val="solid" w:color="333333" w:fill="auto"/>
            <w:vAlign w:val="bottom"/>
          </w:tcPr>
          <w:p w14:paraId="4B13EA03" w14:textId="77777777" w:rsidR="001A4E40" w:rsidRDefault="001A4E40" w:rsidP="001A4E40">
            <w:pPr>
              <w:autoSpaceDE w:val="0"/>
              <w:autoSpaceDN w:val="0"/>
              <w:adjustRightInd w:val="0"/>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positivity (%)</w:t>
            </w:r>
          </w:p>
        </w:tc>
        <w:tc>
          <w:tcPr>
            <w:tcW w:w="1145" w:type="dxa"/>
            <w:tcBorders>
              <w:top w:val="nil"/>
              <w:left w:val="nil"/>
              <w:bottom w:val="nil"/>
              <w:right w:val="nil"/>
            </w:tcBorders>
            <w:shd w:val="solid" w:color="333333" w:fill="auto"/>
            <w:vAlign w:val="bottom"/>
          </w:tcPr>
          <w:p w14:paraId="56054171" w14:textId="77777777" w:rsidR="001A4E40" w:rsidRDefault="001A4E40" w:rsidP="001A4E40">
            <w:pPr>
              <w:autoSpaceDE w:val="0"/>
              <w:autoSpaceDN w:val="0"/>
              <w:adjustRightInd w:val="0"/>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n</w:t>
            </w:r>
          </w:p>
        </w:tc>
        <w:tc>
          <w:tcPr>
            <w:tcW w:w="1145" w:type="dxa"/>
            <w:tcBorders>
              <w:top w:val="nil"/>
              <w:left w:val="nil"/>
              <w:bottom w:val="nil"/>
              <w:right w:val="nil"/>
            </w:tcBorders>
            <w:shd w:val="solid" w:color="333333" w:fill="auto"/>
            <w:vAlign w:val="bottom"/>
          </w:tcPr>
          <w:p w14:paraId="22AC696A" w14:textId="77777777" w:rsidR="001A4E40" w:rsidRDefault="001A4E40" w:rsidP="001A4E40">
            <w:pPr>
              <w:autoSpaceDE w:val="0"/>
              <w:autoSpaceDN w:val="0"/>
              <w:adjustRightInd w:val="0"/>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positivity (%)</w:t>
            </w:r>
          </w:p>
        </w:tc>
        <w:tc>
          <w:tcPr>
            <w:tcW w:w="1934" w:type="dxa"/>
            <w:tcBorders>
              <w:top w:val="nil"/>
              <w:left w:val="nil"/>
              <w:bottom w:val="nil"/>
              <w:right w:val="nil"/>
            </w:tcBorders>
            <w:shd w:val="solid" w:color="333333" w:fill="auto"/>
            <w:vAlign w:val="bottom"/>
          </w:tcPr>
          <w:p w14:paraId="4B54C76C" w14:textId="77777777" w:rsidR="001A4E40" w:rsidRDefault="001A4E40" w:rsidP="001A4E40">
            <w:pPr>
              <w:autoSpaceDE w:val="0"/>
              <w:autoSpaceDN w:val="0"/>
              <w:adjustRightInd w:val="0"/>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n</w:t>
            </w:r>
          </w:p>
        </w:tc>
        <w:tc>
          <w:tcPr>
            <w:tcW w:w="934" w:type="dxa"/>
            <w:tcBorders>
              <w:top w:val="nil"/>
              <w:left w:val="nil"/>
              <w:bottom w:val="nil"/>
              <w:right w:val="nil"/>
            </w:tcBorders>
            <w:shd w:val="solid" w:color="333333" w:fill="auto"/>
            <w:vAlign w:val="bottom"/>
          </w:tcPr>
          <w:p w14:paraId="0E7351C1" w14:textId="77777777" w:rsidR="001A4E40" w:rsidRDefault="001A4E40" w:rsidP="001A4E40">
            <w:pPr>
              <w:autoSpaceDE w:val="0"/>
              <w:autoSpaceDN w:val="0"/>
              <w:adjustRightInd w:val="0"/>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positivity (%)</w:t>
            </w:r>
          </w:p>
        </w:tc>
        <w:tc>
          <w:tcPr>
            <w:tcW w:w="1934" w:type="dxa"/>
            <w:tcBorders>
              <w:top w:val="nil"/>
              <w:left w:val="nil"/>
              <w:bottom w:val="nil"/>
              <w:right w:val="nil"/>
            </w:tcBorders>
            <w:shd w:val="solid" w:color="333333" w:fill="auto"/>
            <w:vAlign w:val="bottom"/>
          </w:tcPr>
          <w:p w14:paraId="79141295" w14:textId="7FE1913D" w:rsidR="001A4E40" w:rsidRDefault="001A4E40" w:rsidP="001A4E40">
            <w:pPr>
              <w:autoSpaceDE w:val="0"/>
              <w:autoSpaceDN w:val="0"/>
              <w:adjustRightInd w:val="0"/>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 xml:space="preserve">per 100,000 population </w:t>
            </w:r>
            <w:r w:rsidRPr="001A4E40">
              <w:rPr>
                <w:rFonts w:ascii="Calibri" w:hAnsi="Calibri" w:cs="Calibri"/>
                <w:b/>
                <w:bCs/>
                <w:color w:val="FFFFFF"/>
                <w:sz w:val="18"/>
                <w:szCs w:val="18"/>
                <w:vertAlign w:val="superscript"/>
              </w:rPr>
              <w:t>b</w:t>
            </w:r>
          </w:p>
        </w:tc>
      </w:tr>
      <w:tr w:rsidR="00D35A05" w:rsidRPr="00D35A05" w14:paraId="34FC39EA" w14:textId="77777777" w:rsidTr="001A4E40">
        <w:trPr>
          <w:trHeight w:val="290"/>
        </w:trPr>
        <w:tc>
          <w:tcPr>
            <w:tcW w:w="1145" w:type="dxa"/>
            <w:tcBorders>
              <w:top w:val="nil"/>
              <w:left w:val="nil"/>
              <w:bottom w:val="nil"/>
              <w:right w:val="nil"/>
            </w:tcBorders>
          </w:tcPr>
          <w:p w14:paraId="018801D7" w14:textId="77777777" w:rsidR="001A4E40" w:rsidRPr="00D35A05" w:rsidRDefault="001A4E40">
            <w:pPr>
              <w:autoSpaceDE w:val="0"/>
              <w:autoSpaceDN w:val="0"/>
              <w:adjustRightInd w:val="0"/>
              <w:spacing w:after="0" w:line="240" w:lineRule="auto"/>
              <w:rPr>
                <w:rFonts w:ascii="Calibri" w:hAnsi="Calibri" w:cs="Calibri"/>
                <w:sz w:val="18"/>
                <w:szCs w:val="18"/>
              </w:rPr>
            </w:pPr>
            <w:r w:rsidRPr="00D35A05">
              <w:rPr>
                <w:rFonts w:ascii="Calibri" w:hAnsi="Calibri" w:cs="Calibri"/>
                <w:sz w:val="18"/>
                <w:szCs w:val="18"/>
              </w:rPr>
              <w:t>NSW</w:t>
            </w:r>
          </w:p>
        </w:tc>
        <w:tc>
          <w:tcPr>
            <w:tcW w:w="1145" w:type="dxa"/>
            <w:tcBorders>
              <w:top w:val="nil"/>
              <w:left w:val="nil"/>
              <w:bottom w:val="nil"/>
              <w:right w:val="nil"/>
            </w:tcBorders>
          </w:tcPr>
          <w:p w14:paraId="59BB4283" w14:textId="40350DB1"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113</w:t>
            </w:r>
            <w:r w:rsidR="0043213D" w:rsidRPr="00D35A05">
              <w:rPr>
                <w:rFonts w:ascii="Calibri" w:hAnsi="Calibri" w:cs="Calibri"/>
                <w:sz w:val="18"/>
                <w:szCs w:val="18"/>
              </w:rPr>
              <w:t>,</w:t>
            </w:r>
            <w:r w:rsidRPr="00D35A05">
              <w:rPr>
                <w:rFonts w:ascii="Calibri" w:hAnsi="Calibri" w:cs="Calibri"/>
                <w:sz w:val="18"/>
                <w:szCs w:val="18"/>
              </w:rPr>
              <w:t>963</w:t>
            </w:r>
          </w:p>
        </w:tc>
        <w:tc>
          <w:tcPr>
            <w:tcW w:w="1144" w:type="dxa"/>
            <w:tcBorders>
              <w:top w:val="nil"/>
              <w:left w:val="nil"/>
              <w:bottom w:val="nil"/>
              <w:right w:val="nil"/>
            </w:tcBorders>
          </w:tcPr>
          <w:p w14:paraId="7FF37846"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0.03</w:t>
            </w:r>
          </w:p>
        </w:tc>
        <w:tc>
          <w:tcPr>
            <w:tcW w:w="1145" w:type="dxa"/>
            <w:tcBorders>
              <w:top w:val="nil"/>
              <w:left w:val="nil"/>
              <w:bottom w:val="nil"/>
              <w:right w:val="nil"/>
            </w:tcBorders>
          </w:tcPr>
          <w:p w14:paraId="3A5A152F" w14:textId="78BE5029"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146</w:t>
            </w:r>
            <w:r w:rsidR="0043213D" w:rsidRPr="00D35A05">
              <w:rPr>
                <w:rFonts w:ascii="Calibri" w:hAnsi="Calibri" w:cs="Calibri"/>
                <w:sz w:val="18"/>
                <w:szCs w:val="18"/>
              </w:rPr>
              <w:t>,</w:t>
            </w:r>
            <w:r w:rsidRPr="00D35A05">
              <w:rPr>
                <w:rFonts w:ascii="Calibri" w:hAnsi="Calibri" w:cs="Calibri"/>
                <w:sz w:val="18"/>
                <w:szCs w:val="18"/>
              </w:rPr>
              <w:t>736</w:t>
            </w:r>
          </w:p>
        </w:tc>
        <w:tc>
          <w:tcPr>
            <w:tcW w:w="1145" w:type="dxa"/>
            <w:tcBorders>
              <w:top w:val="nil"/>
              <w:left w:val="nil"/>
              <w:bottom w:val="nil"/>
              <w:right w:val="nil"/>
            </w:tcBorders>
          </w:tcPr>
          <w:p w14:paraId="2CEB7A60"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0.02</w:t>
            </w:r>
          </w:p>
        </w:tc>
        <w:tc>
          <w:tcPr>
            <w:tcW w:w="1934" w:type="dxa"/>
            <w:tcBorders>
              <w:top w:val="nil"/>
              <w:left w:val="nil"/>
              <w:bottom w:val="nil"/>
              <w:right w:val="nil"/>
            </w:tcBorders>
          </w:tcPr>
          <w:p w14:paraId="60C28798"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565,163</w:t>
            </w:r>
          </w:p>
        </w:tc>
        <w:tc>
          <w:tcPr>
            <w:tcW w:w="934" w:type="dxa"/>
            <w:tcBorders>
              <w:top w:val="nil"/>
              <w:left w:val="nil"/>
              <w:bottom w:val="nil"/>
              <w:right w:val="nil"/>
            </w:tcBorders>
          </w:tcPr>
          <w:p w14:paraId="21D8C071"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0.55</w:t>
            </w:r>
          </w:p>
        </w:tc>
        <w:tc>
          <w:tcPr>
            <w:tcW w:w="1934" w:type="dxa"/>
            <w:tcBorders>
              <w:top w:val="nil"/>
              <w:left w:val="nil"/>
              <w:bottom w:val="nil"/>
              <w:right w:val="nil"/>
            </w:tcBorders>
          </w:tcPr>
          <w:p w14:paraId="135B69F3"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6,986</w:t>
            </w:r>
          </w:p>
        </w:tc>
      </w:tr>
      <w:tr w:rsidR="00D35A05" w:rsidRPr="00D35A05" w14:paraId="4D15A1FF" w14:textId="77777777" w:rsidTr="001A4E40">
        <w:trPr>
          <w:trHeight w:val="290"/>
        </w:trPr>
        <w:tc>
          <w:tcPr>
            <w:tcW w:w="1145" w:type="dxa"/>
            <w:tcBorders>
              <w:top w:val="nil"/>
              <w:left w:val="nil"/>
              <w:bottom w:val="nil"/>
              <w:right w:val="nil"/>
            </w:tcBorders>
            <w:shd w:val="solid" w:color="C0C0C0" w:fill="auto"/>
          </w:tcPr>
          <w:p w14:paraId="4B46870C" w14:textId="77777777" w:rsidR="001A4E40" w:rsidRPr="00D35A05" w:rsidRDefault="001A4E40">
            <w:pPr>
              <w:autoSpaceDE w:val="0"/>
              <w:autoSpaceDN w:val="0"/>
              <w:adjustRightInd w:val="0"/>
              <w:spacing w:after="0" w:line="240" w:lineRule="auto"/>
              <w:rPr>
                <w:rFonts w:ascii="Calibri" w:hAnsi="Calibri" w:cs="Calibri"/>
                <w:sz w:val="18"/>
                <w:szCs w:val="18"/>
              </w:rPr>
            </w:pPr>
            <w:r w:rsidRPr="00D35A05">
              <w:rPr>
                <w:rFonts w:ascii="Calibri" w:hAnsi="Calibri" w:cs="Calibri"/>
                <w:sz w:val="18"/>
                <w:szCs w:val="18"/>
              </w:rPr>
              <w:t>Vic</w:t>
            </w:r>
          </w:p>
        </w:tc>
        <w:tc>
          <w:tcPr>
            <w:tcW w:w="1145" w:type="dxa"/>
            <w:tcBorders>
              <w:top w:val="nil"/>
              <w:left w:val="nil"/>
              <w:bottom w:val="nil"/>
              <w:right w:val="nil"/>
            </w:tcBorders>
            <w:shd w:val="solid" w:color="C0C0C0" w:fill="auto"/>
          </w:tcPr>
          <w:p w14:paraId="6BB7A44F" w14:textId="64556D93"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193</w:t>
            </w:r>
            <w:r w:rsidR="0043213D" w:rsidRPr="00D35A05">
              <w:rPr>
                <w:rFonts w:ascii="Calibri" w:hAnsi="Calibri" w:cs="Calibri"/>
                <w:sz w:val="18"/>
                <w:szCs w:val="18"/>
              </w:rPr>
              <w:t>,</w:t>
            </w:r>
            <w:r w:rsidRPr="00D35A05">
              <w:rPr>
                <w:rFonts w:ascii="Calibri" w:hAnsi="Calibri" w:cs="Calibri"/>
                <w:sz w:val="18"/>
                <w:szCs w:val="18"/>
              </w:rPr>
              <w:t>357</w:t>
            </w:r>
          </w:p>
        </w:tc>
        <w:tc>
          <w:tcPr>
            <w:tcW w:w="1144" w:type="dxa"/>
            <w:tcBorders>
              <w:top w:val="nil"/>
              <w:left w:val="nil"/>
              <w:bottom w:val="nil"/>
              <w:right w:val="nil"/>
            </w:tcBorders>
            <w:shd w:val="solid" w:color="C0C0C0" w:fill="auto"/>
          </w:tcPr>
          <w:p w14:paraId="7F275971"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0.06</w:t>
            </w:r>
          </w:p>
        </w:tc>
        <w:tc>
          <w:tcPr>
            <w:tcW w:w="1145" w:type="dxa"/>
            <w:tcBorders>
              <w:top w:val="nil"/>
              <w:left w:val="nil"/>
              <w:bottom w:val="nil"/>
              <w:right w:val="nil"/>
            </w:tcBorders>
            <w:shd w:val="solid" w:color="C0C0C0" w:fill="auto"/>
          </w:tcPr>
          <w:p w14:paraId="239F2FE0" w14:textId="48B7897A"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119</w:t>
            </w:r>
            <w:r w:rsidR="0043213D" w:rsidRPr="00D35A05">
              <w:rPr>
                <w:rFonts w:ascii="Calibri" w:hAnsi="Calibri" w:cs="Calibri"/>
                <w:sz w:val="18"/>
                <w:szCs w:val="18"/>
              </w:rPr>
              <w:t>,</w:t>
            </w:r>
            <w:r w:rsidRPr="00D35A05">
              <w:rPr>
                <w:rFonts w:ascii="Calibri" w:hAnsi="Calibri" w:cs="Calibri"/>
                <w:sz w:val="18"/>
                <w:szCs w:val="18"/>
              </w:rPr>
              <w:t>710</w:t>
            </w:r>
          </w:p>
        </w:tc>
        <w:tc>
          <w:tcPr>
            <w:tcW w:w="1145" w:type="dxa"/>
            <w:tcBorders>
              <w:top w:val="nil"/>
              <w:left w:val="nil"/>
              <w:bottom w:val="nil"/>
              <w:right w:val="nil"/>
            </w:tcBorders>
            <w:shd w:val="solid" w:color="C0C0C0" w:fill="auto"/>
          </w:tcPr>
          <w:p w14:paraId="2CFC668A"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0.07</w:t>
            </w:r>
          </w:p>
        </w:tc>
        <w:tc>
          <w:tcPr>
            <w:tcW w:w="1934" w:type="dxa"/>
            <w:tcBorders>
              <w:top w:val="nil"/>
              <w:left w:val="nil"/>
              <w:bottom w:val="nil"/>
              <w:right w:val="nil"/>
            </w:tcBorders>
            <w:shd w:val="solid" w:color="C0C0C0" w:fill="auto"/>
          </w:tcPr>
          <w:p w14:paraId="69F67E84"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539,956</w:t>
            </w:r>
          </w:p>
        </w:tc>
        <w:tc>
          <w:tcPr>
            <w:tcW w:w="934" w:type="dxa"/>
            <w:tcBorders>
              <w:top w:val="nil"/>
              <w:left w:val="nil"/>
              <w:bottom w:val="nil"/>
              <w:right w:val="nil"/>
            </w:tcBorders>
            <w:shd w:val="solid" w:color="C0C0C0" w:fill="auto"/>
          </w:tcPr>
          <w:p w14:paraId="30608B9C"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0.31</w:t>
            </w:r>
          </w:p>
        </w:tc>
        <w:tc>
          <w:tcPr>
            <w:tcW w:w="1934" w:type="dxa"/>
            <w:tcBorders>
              <w:top w:val="nil"/>
              <w:left w:val="nil"/>
              <w:bottom w:val="nil"/>
              <w:right w:val="nil"/>
            </w:tcBorders>
            <w:shd w:val="solid" w:color="C0C0C0" w:fill="auto"/>
          </w:tcPr>
          <w:p w14:paraId="02D8AA9B"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8,186</w:t>
            </w:r>
          </w:p>
        </w:tc>
      </w:tr>
      <w:tr w:rsidR="00D35A05" w:rsidRPr="00D35A05" w14:paraId="189539F1" w14:textId="77777777" w:rsidTr="001A4E40">
        <w:trPr>
          <w:trHeight w:val="290"/>
        </w:trPr>
        <w:tc>
          <w:tcPr>
            <w:tcW w:w="1145" w:type="dxa"/>
            <w:tcBorders>
              <w:top w:val="nil"/>
              <w:left w:val="nil"/>
              <w:bottom w:val="nil"/>
              <w:right w:val="nil"/>
            </w:tcBorders>
          </w:tcPr>
          <w:p w14:paraId="51F49B7D" w14:textId="77777777" w:rsidR="001A4E40" w:rsidRPr="00D35A05" w:rsidRDefault="001A4E40">
            <w:pPr>
              <w:autoSpaceDE w:val="0"/>
              <w:autoSpaceDN w:val="0"/>
              <w:adjustRightInd w:val="0"/>
              <w:spacing w:after="0" w:line="240" w:lineRule="auto"/>
              <w:rPr>
                <w:rFonts w:ascii="Calibri" w:hAnsi="Calibri" w:cs="Calibri"/>
                <w:sz w:val="18"/>
                <w:szCs w:val="18"/>
              </w:rPr>
            </w:pPr>
            <w:r w:rsidRPr="00D35A05">
              <w:rPr>
                <w:rFonts w:ascii="Calibri" w:hAnsi="Calibri" w:cs="Calibri"/>
                <w:sz w:val="18"/>
                <w:szCs w:val="18"/>
              </w:rPr>
              <w:t>Qld</w:t>
            </w:r>
          </w:p>
        </w:tc>
        <w:tc>
          <w:tcPr>
            <w:tcW w:w="1145" w:type="dxa"/>
            <w:tcBorders>
              <w:top w:val="nil"/>
              <w:left w:val="nil"/>
              <w:bottom w:val="nil"/>
              <w:right w:val="nil"/>
            </w:tcBorders>
          </w:tcPr>
          <w:p w14:paraId="2FFDF1D0" w14:textId="5A27F5EF"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38</w:t>
            </w:r>
            <w:r w:rsidR="0043213D" w:rsidRPr="00D35A05">
              <w:rPr>
                <w:rFonts w:ascii="Calibri" w:hAnsi="Calibri" w:cs="Calibri"/>
                <w:sz w:val="18"/>
                <w:szCs w:val="18"/>
              </w:rPr>
              <w:t>,</w:t>
            </w:r>
            <w:r w:rsidRPr="00D35A05">
              <w:rPr>
                <w:rFonts w:ascii="Calibri" w:hAnsi="Calibri" w:cs="Calibri"/>
                <w:sz w:val="18"/>
                <w:szCs w:val="18"/>
              </w:rPr>
              <w:t>058</w:t>
            </w:r>
          </w:p>
        </w:tc>
        <w:tc>
          <w:tcPr>
            <w:tcW w:w="1144" w:type="dxa"/>
            <w:tcBorders>
              <w:top w:val="nil"/>
              <w:left w:val="nil"/>
              <w:bottom w:val="nil"/>
              <w:right w:val="nil"/>
            </w:tcBorders>
          </w:tcPr>
          <w:p w14:paraId="3C328584"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0.02</w:t>
            </w:r>
          </w:p>
        </w:tc>
        <w:tc>
          <w:tcPr>
            <w:tcW w:w="1145" w:type="dxa"/>
            <w:tcBorders>
              <w:top w:val="nil"/>
              <w:left w:val="nil"/>
              <w:bottom w:val="nil"/>
              <w:right w:val="nil"/>
            </w:tcBorders>
          </w:tcPr>
          <w:p w14:paraId="7938E155" w14:textId="1749B36D"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45</w:t>
            </w:r>
            <w:r w:rsidR="0043213D" w:rsidRPr="00D35A05">
              <w:rPr>
                <w:rFonts w:ascii="Calibri" w:hAnsi="Calibri" w:cs="Calibri"/>
                <w:sz w:val="18"/>
                <w:szCs w:val="18"/>
              </w:rPr>
              <w:t>,</w:t>
            </w:r>
            <w:r w:rsidRPr="00D35A05">
              <w:rPr>
                <w:rFonts w:ascii="Calibri" w:hAnsi="Calibri" w:cs="Calibri"/>
                <w:sz w:val="18"/>
                <w:szCs w:val="18"/>
              </w:rPr>
              <w:t>558</w:t>
            </w:r>
          </w:p>
        </w:tc>
        <w:tc>
          <w:tcPr>
            <w:tcW w:w="1145" w:type="dxa"/>
            <w:tcBorders>
              <w:top w:val="nil"/>
              <w:left w:val="nil"/>
              <w:bottom w:val="nil"/>
              <w:right w:val="nil"/>
            </w:tcBorders>
          </w:tcPr>
          <w:p w14:paraId="1629658E"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0.01</w:t>
            </w:r>
          </w:p>
        </w:tc>
        <w:tc>
          <w:tcPr>
            <w:tcW w:w="1934" w:type="dxa"/>
            <w:tcBorders>
              <w:top w:val="nil"/>
              <w:left w:val="nil"/>
              <w:bottom w:val="nil"/>
              <w:right w:val="nil"/>
            </w:tcBorders>
          </w:tcPr>
          <w:p w14:paraId="4D29ACCF"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219,422</w:t>
            </w:r>
          </w:p>
        </w:tc>
        <w:tc>
          <w:tcPr>
            <w:tcW w:w="934" w:type="dxa"/>
            <w:tcBorders>
              <w:top w:val="nil"/>
              <w:left w:val="nil"/>
              <w:bottom w:val="nil"/>
              <w:right w:val="nil"/>
            </w:tcBorders>
          </w:tcPr>
          <w:p w14:paraId="52D77231"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0.48</w:t>
            </w:r>
          </w:p>
        </w:tc>
        <w:tc>
          <w:tcPr>
            <w:tcW w:w="1934" w:type="dxa"/>
            <w:tcBorders>
              <w:top w:val="nil"/>
              <w:left w:val="nil"/>
              <w:bottom w:val="nil"/>
              <w:right w:val="nil"/>
            </w:tcBorders>
          </w:tcPr>
          <w:p w14:paraId="2E449858"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4,307</w:t>
            </w:r>
          </w:p>
        </w:tc>
      </w:tr>
      <w:tr w:rsidR="00D35A05" w:rsidRPr="00D35A05" w14:paraId="5F108C55" w14:textId="77777777" w:rsidTr="001A4E40">
        <w:trPr>
          <w:trHeight w:val="290"/>
        </w:trPr>
        <w:tc>
          <w:tcPr>
            <w:tcW w:w="1145" w:type="dxa"/>
            <w:tcBorders>
              <w:top w:val="nil"/>
              <w:left w:val="nil"/>
              <w:bottom w:val="nil"/>
              <w:right w:val="nil"/>
            </w:tcBorders>
            <w:shd w:val="solid" w:color="C0C0C0" w:fill="auto"/>
          </w:tcPr>
          <w:p w14:paraId="2FDCA174" w14:textId="77777777" w:rsidR="001A4E40" w:rsidRPr="00D35A05" w:rsidRDefault="001A4E40">
            <w:pPr>
              <w:autoSpaceDE w:val="0"/>
              <w:autoSpaceDN w:val="0"/>
              <w:adjustRightInd w:val="0"/>
              <w:spacing w:after="0" w:line="240" w:lineRule="auto"/>
              <w:rPr>
                <w:rFonts w:ascii="Calibri" w:hAnsi="Calibri" w:cs="Calibri"/>
                <w:sz w:val="18"/>
                <w:szCs w:val="18"/>
              </w:rPr>
            </w:pPr>
            <w:r w:rsidRPr="00D35A05">
              <w:rPr>
                <w:rFonts w:ascii="Calibri" w:hAnsi="Calibri" w:cs="Calibri"/>
                <w:sz w:val="18"/>
                <w:szCs w:val="18"/>
              </w:rPr>
              <w:t>WA</w:t>
            </w:r>
          </w:p>
        </w:tc>
        <w:tc>
          <w:tcPr>
            <w:tcW w:w="1145" w:type="dxa"/>
            <w:tcBorders>
              <w:top w:val="nil"/>
              <w:left w:val="nil"/>
              <w:bottom w:val="nil"/>
              <w:right w:val="nil"/>
            </w:tcBorders>
            <w:shd w:val="solid" w:color="C0C0C0" w:fill="auto"/>
          </w:tcPr>
          <w:p w14:paraId="3E2A9CE2" w14:textId="064F8AF6"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20</w:t>
            </w:r>
            <w:r w:rsidR="0043213D" w:rsidRPr="00D35A05">
              <w:rPr>
                <w:rFonts w:ascii="Calibri" w:hAnsi="Calibri" w:cs="Calibri"/>
                <w:sz w:val="18"/>
                <w:szCs w:val="18"/>
              </w:rPr>
              <w:t>,</w:t>
            </w:r>
            <w:r w:rsidRPr="00D35A05">
              <w:rPr>
                <w:rFonts w:ascii="Calibri" w:hAnsi="Calibri" w:cs="Calibri"/>
                <w:sz w:val="18"/>
                <w:szCs w:val="18"/>
              </w:rPr>
              <w:t>886</w:t>
            </w:r>
          </w:p>
        </w:tc>
        <w:tc>
          <w:tcPr>
            <w:tcW w:w="1144" w:type="dxa"/>
            <w:tcBorders>
              <w:top w:val="nil"/>
              <w:left w:val="nil"/>
              <w:bottom w:val="nil"/>
              <w:right w:val="nil"/>
            </w:tcBorders>
            <w:shd w:val="solid" w:color="C0C0C0" w:fill="auto"/>
          </w:tcPr>
          <w:p w14:paraId="03D1575B"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0.04</w:t>
            </w:r>
          </w:p>
        </w:tc>
        <w:tc>
          <w:tcPr>
            <w:tcW w:w="1145" w:type="dxa"/>
            <w:tcBorders>
              <w:top w:val="nil"/>
              <w:left w:val="nil"/>
              <w:bottom w:val="nil"/>
              <w:right w:val="nil"/>
            </w:tcBorders>
            <w:shd w:val="solid" w:color="C0C0C0" w:fill="auto"/>
          </w:tcPr>
          <w:p w14:paraId="1110FBF4" w14:textId="0C7F7DC9"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38</w:t>
            </w:r>
            <w:r w:rsidR="0043213D" w:rsidRPr="00D35A05">
              <w:rPr>
                <w:rFonts w:ascii="Calibri" w:hAnsi="Calibri" w:cs="Calibri"/>
                <w:sz w:val="18"/>
                <w:szCs w:val="18"/>
              </w:rPr>
              <w:t>,</w:t>
            </w:r>
            <w:r w:rsidRPr="00D35A05">
              <w:rPr>
                <w:rFonts w:ascii="Calibri" w:hAnsi="Calibri" w:cs="Calibri"/>
                <w:sz w:val="18"/>
                <w:szCs w:val="18"/>
              </w:rPr>
              <w:t>863</w:t>
            </w:r>
          </w:p>
        </w:tc>
        <w:tc>
          <w:tcPr>
            <w:tcW w:w="1145" w:type="dxa"/>
            <w:tcBorders>
              <w:top w:val="nil"/>
              <w:left w:val="nil"/>
              <w:bottom w:val="nil"/>
              <w:right w:val="nil"/>
            </w:tcBorders>
            <w:shd w:val="solid" w:color="C0C0C0" w:fill="auto"/>
          </w:tcPr>
          <w:p w14:paraId="539E7477"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0.11</w:t>
            </w:r>
          </w:p>
        </w:tc>
        <w:tc>
          <w:tcPr>
            <w:tcW w:w="1934" w:type="dxa"/>
            <w:tcBorders>
              <w:top w:val="nil"/>
              <w:left w:val="nil"/>
              <w:bottom w:val="nil"/>
              <w:right w:val="nil"/>
            </w:tcBorders>
            <w:shd w:val="solid" w:color="C0C0C0" w:fill="auto"/>
          </w:tcPr>
          <w:p w14:paraId="00E6D53F"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115,507</w:t>
            </w:r>
          </w:p>
        </w:tc>
        <w:tc>
          <w:tcPr>
            <w:tcW w:w="934" w:type="dxa"/>
            <w:tcBorders>
              <w:top w:val="nil"/>
              <w:left w:val="nil"/>
              <w:bottom w:val="nil"/>
              <w:right w:val="nil"/>
            </w:tcBorders>
            <w:shd w:val="solid" w:color="C0C0C0" w:fill="auto"/>
          </w:tcPr>
          <w:p w14:paraId="328F8776"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0.52</w:t>
            </w:r>
          </w:p>
        </w:tc>
        <w:tc>
          <w:tcPr>
            <w:tcW w:w="1934" w:type="dxa"/>
            <w:tcBorders>
              <w:top w:val="nil"/>
              <w:left w:val="nil"/>
              <w:bottom w:val="nil"/>
              <w:right w:val="nil"/>
            </w:tcBorders>
            <w:shd w:val="solid" w:color="C0C0C0" w:fill="auto"/>
          </w:tcPr>
          <w:p w14:paraId="474C8ED6"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4,406</w:t>
            </w:r>
          </w:p>
        </w:tc>
      </w:tr>
      <w:tr w:rsidR="00D35A05" w:rsidRPr="00D35A05" w14:paraId="286F0D98" w14:textId="77777777" w:rsidTr="001A4E40">
        <w:trPr>
          <w:trHeight w:val="290"/>
        </w:trPr>
        <w:tc>
          <w:tcPr>
            <w:tcW w:w="1145" w:type="dxa"/>
            <w:tcBorders>
              <w:top w:val="nil"/>
              <w:left w:val="nil"/>
              <w:bottom w:val="nil"/>
              <w:right w:val="nil"/>
            </w:tcBorders>
          </w:tcPr>
          <w:p w14:paraId="18E48048" w14:textId="77777777" w:rsidR="001A4E40" w:rsidRPr="00D35A05" w:rsidRDefault="001A4E40">
            <w:pPr>
              <w:autoSpaceDE w:val="0"/>
              <w:autoSpaceDN w:val="0"/>
              <w:adjustRightInd w:val="0"/>
              <w:spacing w:after="0" w:line="240" w:lineRule="auto"/>
              <w:rPr>
                <w:rFonts w:ascii="Calibri" w:hAnsi="Calibri" w:cs="Calibri"/>
                <w:sz w:val="18"/>
                <w:szCs w:val="18"/>
              </w:rPr>
            </w:pPr>
            <w:r w:rsidRPr="00D35A05">
              <w:rPr>
                <w:rFonts w:ascii="Calibri" w:hAnsi="Calibri" w:cs="Calibri"/>
                <w:sz w:val="18"/>
                <w:szCs w:val="18"/>
              </w:rPr>
              <w:t>SA</w:t>
            </w:r>
          </w:p>
        </w:tc>
        <w:tc>
          <w:tcPr>
            <w:tcW w:w="1145" w:type="dxa"/>
            <w:tcBorders>
              <w:top w:val="nil"/>
              <w:left w:val="nil"/>
              <w:bottom w:val="nil"/>
              <w:right w:val="nil"/>
            </w:tcBorders>
          </w:tcPr>
          <w:p w14:paraId="111A171C" w14:textId="0496C8F2"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19</w:t>
            </w:r>
            <w:r w:rsidR="0043213D" w:rsidRPr="00D35A05">
              <w:rPr>
                <w:rFonts w:ascii="Calibri" w:hAnsi="Calibri" w:cs="Calibri"/>
                <w:sz w:val="18"/>
                <w:szCs w:val="18"/>
              </w:rPr>
              <w:t>,</w:t>
            </w:r>
            <w:r w:rsidRPr="00D35A05">
              <w:rPr>
                <w:rFonts w:ascii="Calibri" w:hAnsi="Calibri" w:cs="Calibri"/>
                <w:sz w:val="18"/>
                <w:szCs w:val="18"/>
              </w:rPr>
              <w:t>268</w:t>
            </w:r>
          </w:p>
        </w:tc>
        <w:tc>
          <w:tcPr>
            <w:tcW w:w="1144" w:type="dxa"/>
            <w:tcBorders>
              <w:top w:val="nil"/>
              <w:left w:val="nil"/>
              <w:bottom w:val="nil"/>
              <w:right w:val="nil"/>
            </w:tcBorders>
          </w:tcPr>
          <w:p w14:paraId="30F5558E" w14:textId="7FBD8B5B" w:rsidR="001A4E40" w:rsidRPr="00D35A05" w:rsidRDefault="00360970" w:rsidP="001A4E40">
            <w:pPr>
              <w:autoSpaceDE w:val="0"/>
              <w:autoSpaceDN w:val="0"/>
              <w:adjustRightInd w:val="0"/>
              <w:spacing w:after="0" w:line="240" w:lineRule="auto"/>
              <w:jc w:val="center"/>
              <w:rPr>
                <w:rFonts w:ascii="Calibri" w:hAnsi="Calibri" w:cs="Calibri"/>
                <w:sz w:val="18"/>
                <w:szCs w:val="18"/>
              </w:rPr>
            </w:pPr>
            <w:r>
              <w:rPr>
                <w:rFonts w:ascii="Calibri" w:hAnsi="Calibri" w:cs="Calibri"/>
                <w:sz w:val="18"/>
                <w:szCs w:val="18"/>
              </w:rPr>
              <w:t>0.00</w:t>
            </w:r>
          </w:p>
        </w:tc>
        <w:tc>
          <w:tcPr>
            <w:tcW w:w="1145" w:type="dxa"/>
            <w:tcBorders>
              <w:top w:val="nil"/>
              <w:left w:val="nil"/>
              <w:bottom w:val="nil"/>
              <w:right w:val="nil"/>
            </w:tcBorders>
          </w:tcPr>
          <w:p w14:paraId="4EDFEDE5" w14:textId="5614872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26</w:t>
            </w:r>
            <w:r w:rsidR="0043213D" w:rsidRPr="00D35A05">
              <w:rPr>
                <w:rFonts w:ascii="Calibri" w:hAnsi="Calibri" w:cs="Calibri"/>
                <w:sz w:val="18"/>
                <w:szCs w:val="18"/>
              </w:rPr>
              <w:t>,</w:t>
            </w:r>
            <w:r w:rsidRPr="00D35A05">
              <w:rPr>
                <w:rFonts w:ascii="Calibri" w:hAnsi="Calibri" w:cs="Calibri"/>
                <w:sz w:val="18"/>
                <w:szCs w:val="18"/>
              </w:rPr>
              <w:t>303</w:t>
            </w:r>
          </w:p>
        </w:tc>
        <w:tc>
          <w:tcPr>
            <w:tcW w:w="1145" w:type="dxa"/>
            <w:tcBorders>
              <w:top w:val="nil"/>
              <w:left w:val="nil"/>
              <w:bottom w:val="nil"/>
              <w:right w:val="nil"/>
            </w:tcBorders>
          </w:tcPr>
          <w:p w14:paraId="7FB644B4"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0.00</w:t>
            </w:r>
          </w:p>
        </w:tc>
        <w:tc>
          <w:tcPr>
            <w:tcW w:w="1934" w:type="dxa"/>
            <w:tcBorders>
              <w:top w:val="nil"/>
              <w:left w:val="nil"/>
              <w:bottom w:val="nil"/>
              <w:right w:val="nil"/>
            </w:tcBorders>
          </w:tcPr>
          <w:p w14:paraId="0E76976B"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114,749</w:t>
            </w:r>
          </w:p>
        </w:tc>
        <w:tc>
          <w:tcPr>
            <w:tcW w:w="934" w:type="dxa"/>
            <w:tcBorders>
              <w:top w:val="nil"/>
              <w:left w:val="nil"/>
              <w:bottom w:val="nil"/>
              <w:right w:val="nil"/>
            </w:tcBorders>
          </w:tcPr>
          <w:p w14:paraId="769B983E"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0.38</w:t>
            </w:r>
          </w:p>
        </w:tc>
        <w:tc>
          <w:tcPr>
            <w:tcW w:w="1934" w:type="dxa"/>
            <w:tcBorders>
              <w:top w:val="nil"/>
              <w:left w:val="nil"/>
              <w:bottom w:val="nil"/>
              <w:right w:val="nil"/>
            </w:tcBorders>
          </w:tcPr>
          <w:p w14:paraId="4A2C8174"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6,550</w:t>
            </w:r>
          </w:p>
        </w:tc>
      </w:tr>
      <w:tr w:rsidR="00D35A05" w:rsidRPr="00D35A05" w14:paraId="4ABA26F9" w14:textId="77777777" w:rsidTr="001A4E40">
        <w:trPr>
          <w:trHeight w:val="290"/>
        </w:trPr>
        <w:tc>
          <w:tcPr>
            <w:tcW w:w="1145" w:type="dxa"/>
            <w:tcBorders>
              <w:top w:val="nil"/>
              <w:left w:val="nil"/>
              <w:bottom w:val="nil"/>
              <w:right w:val="nil"/>
            </w:tcBorders>
            <w:shd w:val="solid" w:color="C0C0C0" w:fill="auto"/>
          </w:tcPr>
          <w:p w14:paraId="47693A83" w14:textId="77777777" w:rsidR="001A4E40" w:rsidRPr="00D35A05" w:rsidRDefault="001A4E40">
            <w:pPr>
              <w:autoSpaceDE w:val="0"/>
              <w:autoSpaceDN w:val="0"/>
              <w:adjustRightInd w:val="0"/>
              <w:spacing w:after="0" w:line="240" w:lineRule="auto"/>
              <w:rPr>
                <w:rFonts w:ascii="Calibri" w:hAnsi="Calibri" w:cs="Calibri"/>
                <w:sz w:val="18"/>
                <w:szCs w:val="18"/>
              </w:rPr>
            </w:pPr>
            <w:r w:rsidRPr="00D35A05">
              <w:rPr>
                <w:rFonts w:ascii="Calibri" w:hAnsi="Calibri" w:cs="Calibri"/>
                <w:sz w:val="18"/>
                <w:szCs w:val="18"/>
              </w:rPr>
              <w:t>Tas</w:t>
            </w:r>
          </w:p>
        </w:tc>
        <w:tc>
          <w:tcPr>
            <w:tcW w:w="1145" w:type="dxa"/>
            <w:tcBorders>
              <w:top w:val="nil"/>
              <w:left w:val="nil"/>
              <w:bottom w:val="nil"/>
              <w:right w:val="nil"/>
            </w:tcBorders>
            <w:shd w:val="solid" w:color="C0C0C0" w:fill="auto"/>
          </w:tcPr>
          <w:p w14:paraId="2AF69992" w14:textId="3B7B08B4"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5</w:t>
            </w:r>
            <w:r w:rsidR="0043213D" w:rsidRPr="00D35A05">
              <w:rPr>
                <w:rFonts w:ascii="Calibri" w:hAnsi="Calibri" w:cs="Calibri"/>
                <w:sz w:val="18"/>
                <w:szCs w:val="18"/>
              </w:rPr>
              <w:t>,</w:t>
            </w:r>
            <w:r w:rsidRPr="00D35A05">
              <w:rPr>
                <w:rFonts w:ascii="Calibri" w:hAnsi="Calibri" w:cs="Calibri"/>
                <w:sz w:val="18"/>
                <w:szCs w:val="18"/>
              </w:rPr>
              <w:t>646</w:t>
            </w:r>
          </w:p>
        </w:tc>
        <w:tc>
          <w:tcPr>
            <w:tcW w:w="1144" w:type="dxa"/>
            <w:tcBorders>
              <w:top w:val="nil"/>
              <w:left w:val="nil"/>
              <w:bottom w:val="nil"/>
              <w:right w:val="nil"/>
            </w:tcBorders>
            <w:shd w:val="solid" w:color="C0C0C0" w:fill="auto"/>
          </w:tcPr>
          <w:p w14:paraId="516E31AE"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0.02</w:t>
            </w:r>
          </w:p>
        </w:tc>
        <w:tc>
          <w:tcPr>
            <w:tcW w:w="1145" w:type="dxa"/>
            <w:tcBorders>
              <w:top w:val="nil"/>
              <w:left w:val="nil"/>
              <w:bottom w:val="nil"/>
              <w:right w:val="nil"/>
            </w:tcBorders>
            <w:shd w:val="solid" w:color="C0C0C0" w:fill="auto"/>
          </w:tcPr>
          <w:p w14:paraId="0B74D088" w14:textId="00797A42"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8</w:t>
            </w:r>
            <w:r w:rsidR="0043213D" w:rsidRPr="00D35A05">
              <w:rPr>
                <w:rFonts w:ascii="Calibri" w:hAnsi="Calibri" w:cs="Calibri"/>
                <w:sz w:val="18"/>
                <w:szCs w:val="18"/>
              </w:rPr>
              <w:t>,</w:t>
            </w:r>
            <w:r w:rsidRPr="00D35A05">
              <w:rPr>
                <w:rFonts w:ascii="Calibri" w:hAnsi="Calibri" w:cs="Calibri"/>
                <w:sz w:val="18"/>
                <w:szCs w:val="18"/>
              </w:rPr>
              <w:t>533</w:t>
            </w:r>
          </w:p>
        </w:tc>
        <w:tc>
          <w:tcPr>
            <w:tcW w:w="1145" w:type="dxa"/>
            <w:tcBorders>
              <w:top w:val="nil"/>
              <w:left w:val="nil"/>
              <w:bottom w:val="nil"/>
              <w:right w:val="nil"/>
            </w:tcBorders>
            <w:shd w:val="solid" w:color="C0C0C0" w:fill="auto"/>
          </w:tcPr>
          <w:p w14:paraId="1B70AF99" w14:textId="26B460EB" w:rsidR="001A4E40" w:rsidRPr="00D35A05" w:rsidRDefault="00360970" w:rsidP="001A4E40">
            <w:pPr>
              <w:autoSpaceDE w:val="0"/>
              <w:autoSpaceDN w:val="0"/>
              <w:adjustRightInd w:val="0"/>
              <w:spacing w:after="0" w:line="240" w:lineRule="auto"/>
              <w:jc w:val="center"/>
              <w:rPr>
                <w:rFonts w:ascii="Calibri" w:hAnsi="Calibri" w:cs="Calibri"/>
                <w:sz w:val="18"/>
                <w:szCs w:val="18"/>
              </w:rPr>
            </w:pPr>
            <w:r>
              <w:rPr>
                <w:rFonts w:ascii="Calibri" w:hAnsi="Calibri" w:cs="Calibri"/>
                <w:sz w:val="18"/>
                <w:szCs w:val="18"/>
              </w:rPr>
              <w:t>0.00</w:t>
            </w:r>
          </w:p>
        </w:tc>
        <w:tc>
          <w:tcPr>
            <w:tcW w:w="1934" w:type="dxa"/>
            <w:tcBorders>
              <w:top w:val="nil"/>
              <w:left w:val="nil"/>
              <w:bottom w:val="nil"/>
              <w:right w:val="nil"/>
            </w:tcBorders>
            <w:shd w:val="solid" w:color="C0C0C0" w:fill="auto"/>
          </w:tcPr>
          <w:p w14:paraId="4D0D5148"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32,724</w:t>
            </w:r>
          </w:p>
        </w:tc>
        <w:tc>
          <w:tcPr>
            <w:tcW w:w="934" w:type="dxa"/>
            <w:tcBorders>
              <w:top w:val="nil"/>
              <w:left w:val="nil"/>
              <w:bottom w:val="nil"/>
              <w:right w:val="nil"/>
            </w:tcBorders>
            <w:shd w:val="solid" w:color="C0C0C0" w:fill="auto"/>
          </w:tcPr>
          <w:p w14:paraId="12F402B0"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0.70</w:t>
            </w:r>
          </w:p>
        </w:tc>
        <w:tc>
          <w:tcPr>
            <w:tcW w:w="1934" w:type="dxa"/>
            <w:tcBorders>
              <w:top w:val="nil"/>
              <w:left w:val="nil"/>
              <w:bottom w:val="nil"/>
              <w:right w:val="nil"/>
            </w:tcBorders>
            <w:shd w:val="solid" w:color="C0C0C0" w:fill="auto"/>
          </w:tcPr>
          <w:p w14:paraId="3617D103"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6,123</w:t>
            </w:r>
          </w:p>
        </w:tc>
      </w:tr>
      <w:tr w:rsidR="00D35A05" w:rsidRPr="00D35A05" w14:paraId="48348859" w14:textId="77777777" w:rsidTr="001A4E40">
        <w:trPr>
          <w:trHeight w:val="290"/>
        </w:trPr>
        <w:tc>
          <w:tcPr>
            <w:tcW w:w="1145" w:type="dxa"/>
            <w:tcBorders>
              <w:top w:val="nil"/>
              <w:left w:val="nil"/>
              <w:bottom w:val="nil"/>
              <w:right w:val="nil"/>
            </w:tcBorders>
          </w:tcPr>
          <w:p w14:paraId="6275F1DA" w14:textId="77777777" w:rsidR="001A4E40" w:rsidRPr="00D35A05" w:rsidRDefault="001A4E40">
            <w:pPr>
              <w:autoSpaceDE w:val="0"/>
              <w:autoSpaceDN w:val="0"/>
              <w:adjustRightInd w:val="0"/>
              <w:spacing w:after="0" w:line="240" w:lineRule="auto"/>
              <w:rPr>
                <w:rFonts w:ascii="Calibri" w:hAnsi="Calibri" w:cs="Calibri"/>
                <w:sz w:val="18"/>
                <w:szCs w:val="18"/>
              </w:rPr>
            </w:pPr>
            <w:r w:rsidRPr="00D35A05">
              <w:rPr>
                <w:rFonts w:ascii="Calibri" w:hAnsi="Calibri" w:cs="Calibri"/>
                <w:sz w:val="18"/>
                <w:szCs w:val="18"/>
              </w:rPr>
              <w:t>NT</w:t>
            </w:r>
          </w:p>
        </w:tc>
        <w:tc>
          <w:tcPr>
            <w:tcW w:w="1145" w:type="dxa"/>
            <w:tcBorders>
              <w:top w:val="nil"/>
              <w:left w:val="nil"/>
              <w:bottom w:val="nil"/>
              <w:right w:val="nil"/>
            </w:tcBorders>
          </w:tcPr>
          <w:p w14:paraId="61CC1867" w14:textId="2AE88763"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1</w:t>
            </w:r>
            <w:r w:rsidR="0043213D" w:rsidRPr="00D35A05">
              <w:rPr>
                <w:rFonts w:ascii="Calibri" w:hAnsi="Calibri" w:cs="Calibri"/>
                <w:sz w:val="18"/>
                <w:szCs w:val="18"/>
              </w:rPr>
              <w:t>,</w:t>
            </w:r>
            <w:r w:rsidRPr="00D35A05">
              <w:rPr>
                <w:rFonts w:ascii="Calibri" w:hAnsi="Calibri" w:cs="Calibri"/>
                <w:sz w:val="18"/>
                <w:szCs w:val="18"/>
              </w:rPr>
              <w:t>722</w:t>
            </w:r>
          </w:p>
        </w:tc>
        <w:tc>
          <w:tcPr>
            <w:tcW w:w="1144" w:type="dxa"/>
            <w:tcBorders>
              <w:top w:val="nil"/>
              <w:left w:val="nil"/>
              <w:bottom w:val="nil"/>
              <w:right w:val="nil"/>
            </w:tcBorders>
          </w:tcPr>
          <w:p w14:paraId="6DD109F2" w14:textId="33343D38" w:rsidR="001A4E40" w:rsidRPr="00D35A05" w:rsidRDefault="00360970" w:rsidP="001A4E40">
            <w:pPr>
              <w:autoSpaceDE w:val="0"/>
              <w:autoSpaceDN w:val="0"/>
              <w:adjustRightInd w:val="0"/>
              <w:spacing w:after="0" w:line="240" w:lineRule="auto"/>
              <w:jc w:val="center"/>
              <w:rPr>
                <w:rFonts w:ascii="Calibri" w:hAnsi="Calibri" w:cs="Calibri"/>
                <w:sz w:val="18"/>
                <w:szCs w:val="18"/>
              </w:rPr>
            </w:pPr>
            <w:r>
              <w:rPr>
                <w:rFonts w:ascii="Calibri" w:hAnsi="Calibri" w:cs="Calibri"/>
                <w:sz w:val="18"/>
                <w:szCs w:val="18"/>
              </w:rPr>
              <w:t>0.00</w:t>
            </w:r>
          </w:p>
        </w:tc>
        <w:tc>
          <w:tcPr>
            <w:tcW w:w="1145" w:type="dxa"/>
            <w:tcBorders>
              <w:top w:val="nil"/>
              <w:left w:val="nil"/>
              <w:bottom w:val="nil"/>
              <w:right w:val="nil"/>
            </w:tcBorders>
          </w:tcPr>
          <w:p w14:paraId="077783A7" w14:textId="3D261449"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2</w:t>
            </w:r>
            <w:r w:rsidR="0043213D" w:rsidRPr="00D35A05">
              <w:rPr>
                <w:rFonts w:ascii="Calibri" w:hAnsi="Calibri" w:cs="Calibri"/>
                <w:sz w:val="18"/>
                <w:szCs w:val="18"/>
              </w:rPr>
              <w:t>,</w:t>
            </w:r>
            <w:r w:rsidRPr="00D35A05">
              <w:rPr>
                <w:rFonts w:ascii="Calibri" w:hAnsi="Calibri" w:cs="Calibri"/>
                <w:sz w:val="18"/>
                <w:szCs w:val="18"/>
              </w:rPr>
              <w:t>237</w:t>
            </w:r>
          </w:p>
        </w:tc>
        <w:tc>
          <w:tcPr>
            <w:tcW w:w="1145" w:type="dxa"/>
            <w:tcBorders>
              <w:top w:val="nil"/>
              <w:left w:val="nil"/>
              <w:bottom w:val="nil"/>
              <w:right w:val="nil"/>
            </w:tcBorders>
          </w:tcPr>
          <w:p w14:paraId="0F023F2A" w14:textId="268DD3FC" w:rsidR="001A4E40" w:rsidRPr="00D35A05" w:rsidRDefault="00360970" w:rsidP="001A4E40">
            <w:pPr>
              <w:autoSpaceDE w:val="0"/>
              <w:autoSpaceDN w:val="0"/>
              <w:adjustRightInd w:val="0"/>
              <w:spacing w:after="0" w:line="240" w:lineRule="auto"/>
              <w:jc w:val="center"/>
              <w:rPr>
                <w:rFonts w:ascii="Calibri" w:hAnsi="Calibri" w:cs="Calibri"/>
                <w:sz w:val="18"/>
                <w:szCs w:val="18"/>
              </w:rPr>
            </w:pPr>
            <w:r>
              <w:rPr>
                <w:rFonts w:ascii="Calibri" w:hAnsi="Calibri" w:cs="Calibri"/>
                <w:sz w:val="18"/>
                <w:szCs w:val="18"/>
              </w:rPr>
              <w:t>0.00</w:t>
            </w:r>
          </w:p>
        </w:tc>
        <w:tc>
          <w:tcPr>
            <w:tcW w:w="1934" w:type="dxa"/>
            <w:tcBorders>
              <w:top w:val="nil"/>
              <w:left w:val="nil"/>
              <w:bottom w:val="nil"/>
              <w:right w:val="nil"/>
            </w:tcBorders>
          </w:tcPr>
          <w:p w14:paraId="643DE926"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9,454</w:t>
            </w:r>
          </w:p>
        </w:tc>
        <w:tc>
          <w:tcPr>
            <w:tcW w:w="934" w:type="dxa"/>
            <w:tcBorders>
              <w:top w:val="nil"/>
              <w:left w:val="nil"/>
              <w:bottom w:val="nil"/>
              <w:right w:val="nil"/>
            </w:tcBorders>
          </w:tcPr>
          <w:p w14:paraId="36264E2B"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0.31</w:t>
            </w:r>
          </w:p>
        </w:tc>
        <w:tc>
          <w:tcPr>
            <w:tcW w:w="1934" w:type="dxa"/>
            <w:tcBorders>
              <w:top w:val="nil"/>
              <w:left w:val="nil"/>
              <w:bottom w:val="nil"/>
              <w:right w:val="nil"/>
            </w:tcBorders>
          </w:tcPr>
          <w:p w14:paraId="769188A8"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3,844</w:t>
            </w:r>
          </w:p>
        </w:tc>
      </w:tr>
      <w:tr w:rsidR="00D35A05" w:rsidRPr="00D35A05" w14:paraId="5BAA5700" w14:textId="77777777" w:rsidTr="001A4E40">
        <w:trPr>
          <w:trHeight w:val="290"/>
        </w:trPr>
        <w:tc>
          <w:tcPr>
            <w:tcW w:w="1145" w:type="dxa"/>
            <w:tcBorders>
              <w:top w:val="nil"/>
              <w:left w:val="nil"/>
              <w:bottom w:val="nil"/>
              <w:right w:val="nil"/>
            </w:tcBorders>
            <w:shd w:val="solid" w:color="C0C0C0" w:fill="auto"/>
          </w:tcPr>
          <w:p w14:paraId="225F86CA" w14:textId="77777777" w:rsidR="001A4E40" w:rsidRPr="00D35A05" w:rsidRDefault="001A4E40">
            <w:pPr>
              <w:autoSpaceDE w:val="0"/>
              <w:autoSpaceDN w:val="0"/>
              <w:adjustRightInd w:val="0"/>
              <w:spacing w:after="0" w:line="240" w:lineRule="auto"/>
              <w:rPr>
                <w:rFonts w:ascii="Calibri" w:hAnsi="Calibri" w:cs="Calibri"/>
                <w:sz w:val="18"/>
                <w:szCs w:val="18"/>
              </w:rPr>
            </w:pPr>
            <w:r w:rsidRPr="00D35A05">
              <w:rPr>
                <w:rFonts w:ascii="Calibri" w:hAnsi="Calibri" w:cs="Calibri"/>
                <w:sz w:val="18"/>
                <w:szCs w:val="18"/>
              </w:rPr>
              <w:t>ACT</w:t>
            </w:r>
          </w:p>
        </w:tc>
        <w:tc>
          <w:tcPr>
            <w:tcW w:w="1145" w:type="dxa"/>
            <w:tcBorders>
              <w:top w:val="nil"/>
              <w:left w:val="nil"/>
              <w:bottom w:val="nil"/>
              <w:right w:val="nil"/>
            </w:tcBorders>
            <w:shd w:val="solid" w:color="C0C0C0" w:fill="auto"/>
          </w:tcPr>
          <w:p w14:paraId="45C2BFA9" w14:textId="520E40F8"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4</w:t>
            </w:r>
            <w:r w:rsidR="0043213D" w:rsidRPr="00D35A05">
              <w:rPr>
                <w:rFonts w:ascii="Calibri" w:hAnsi="Calibri" w:cs="Calibri"/>
                <w:sz w:val="18"/>
                <w:szCs w:val="18"/>
              </w:rPr>
              <w:t>,</w:t>
            </w:r>
            <w:r w:rsidRPr="00D35A05">
              <w:rPr>
                <w:rFonts w:ascii="Calibri" w:hAnsi="Calibri" w:cs="Calibri"/>
                <w:sz w:val="18"/>
                <w:szCs w:val="18"/>
              </w:rPr>
              <w:t>023</w:t>
            </w:r>
          </w:p>
        </w:tc>
        <w:tc>
          <w:tcPr>
            <w:tcW w:w="1144" w:type="dxa"/>
            <w:tcBorders>
              <w:top w:val="nil"/>
              <w:left w:val="nil"/>
              <w:bottom w:val="nil"/>
              <w:right w:val="nil"/>
            </w:tcBorders>
            <w:shd w:val="solid" w:color="C0C0C0" w:fill="auto"/>
          </w:tcPr>
          <w:p w14:paraId="5B3F8CC9" w14:textId="009DBDEB" w:rsidR="001A4E40" w:rsidRPr="00D35A05" w:rsidRDefault="00360970" w:rsidP="001A4E40">
            <w:pPr>
              <w:autoSpaceDE w:val="0"/>
              <w:autoSpaceDN w:val="0"/>
              <w:adjustRightInd w:val="0"/>
              <w:spacing w:after="0" w:line="240" w:lineRule="auto"/>
              <w:jc w:val="center"/>
              <w:rPr>
                <w:rFonts w:ascii="Calibri" w:hAnsi="Calibri" w:cs="Calibri"/>
                <w:sz w:val="18"/>
                <w:szCs w:val="18"/>
              </w:rPr>
            </w:pPr>
            <w:r>
              <w:rPr>
                <w:rFonts w:ascii="Calibri" w:hAnsi="Calibri" w:cs="Calibri"/>
                <w:sz w:val="18"/>
                <w:szCs w:val="18"/>
              </w:rPr>
              <w:t>0.00</w:t>
            </w:r>
          </w:p>
        </w:tc>
        <w:tc>
          <w:tcPr>
            <w:tcW w:w="1145" w:type="dxa"/>
            <w:tcBorders>
              <w:top w:val="nil"/>
              <w:left w:val="nil"/>
              <w:bottom w:val="nil"/>
              <w:right w:val="nil"/>
            </w:tcBorders>
            <w:shd w:val="solid" w:color="C0C0C0" w:fill="auto"/>
          </w:tcPr>
          <w:p w14:paraId="3008E56B" w14:textId="469D9DF1"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4</w:t>
            </w:r>
            <w:r w:rsidR="0043213D" w:rsidRPr="00D35A05">
              <w:rPr>
                <w:rFonts w:ascii="Calibri" w:hAnsi="Calibri" w:cs="Calibri"/>
                <w:sz w:val="18"/>
                <w:szCs w:val="18"/>
              </w:rPr>
              <w:t>,</w:t>
            </w:r>
            <w:r w:rsidRPr="00D35A05">
              <w:rPr>
                <w:rFonts w:ascii="Calibri" w:hAnsi="Calibri" w:cs="Calibri"/>
                <w:sz w:val="18"/>
                <w:szCs w:val="18"/>
              </w:rPr>
              <w:t>727</w:t>
            </w:r>
          </w:p>
        </w:tc>
        <w:tc>
          <w:tcPr>
            <w:tcW w:w="1145" w:type="dxa"/>
            <w:tcBorders>
              <w:top w:val="nil"/>
              <w:left w:val="nil"/>
              <w:bottom w:val="nil"/>
              <w:right w:val="nil"/>
            </w:tcBorders>
            <w:shd w:val="solid" w:color="C0C0C0" w:fill="auto"/>
          </w:tcPr>
          <w:p w14:paraId="60561103"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0.02</w:t>
            </w:r>
          </w:p>
        </w:tc>
        <w:tc>
          <w:tcPr>
            <w:tcW w:w="1934" w:type="dxa"/>
            <w:tcBorders>
              <w:top w:val="nil"/>
              <w:left w:val="nil"/>
              <w:bottom w:val="nil"/>
              <w:right w:val="nil"/>
            </w:tcBorders>
            <w:shd w:val="solid" w:color="C0C0C0" w:fill="auto"/>
          </w:tcPr>
          <w:p w14:paraId="60D78371"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20,487</w:t>
            </w:r>
          </w:p>
        </w:tc>
        <w:tc>
          <w:tcPr>
            <w:tcW w:w="934" w:type="dxa"/>
            <w:tcBorders>
              <w:top w:val="nil"/>
              <w:left w:val="nil"/>
              <w:bottom w:val="nil"/>
              <w:right w:val="nil"/>
            </w:tcBorders>
            <w:shd w:val="solid" w:color="C0C0C0" w:fill="auto"/>
          </w:tcPr>
          <w:p w14:paraId="46DA80B5"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0.53</w:t>
            </w:r>
          </w:p>
        </w:tc>
        <w:tc>
          <w:tcPr>
            <w:tcW w:w="1934" w:type="dxa"/>
            <w:tcBorders>
              <w:top w:val="nil"/>
              <w:left w:val="nil"/>
              <w:bottom w:val="nil"/>
              <w:right w:val="nil"/>
            </w:tcBorders>
            <w:shd w:val="solid" w:color="C0C0C0" w:fill="auto"/>
          </w:tcPr>
          <w:p w14:paraId="478886DB" w14:textId="77777777" w:rsidR="001A4E40" w:rsidRPr="00D35A05" w:rsidRDefault="001A4E40" w:rsidP="001A4E40">
            <w:pPr>
              <w:autoSpaceDE w:val="0"/>
              <w:autoSpaceDN w:val="0"/>
              <w:adjustRightInd w:val="0"/>
              <w:spacing w:after="0" w:line="240" w:lineRule="auto"/>
              <w:jc w:val="center"/>
              <w:rPr>
                <w:rFonts w:ascii="Calibri" w:hAnsi="Calibri" w:cs="Calibri"/>
                <w:sz w:val="18"/>
                <w:szCs w:val="18"/>
              </w:rPr>
            </w:pPr>
            <w:r w:rsidRPr="00D35A05">
              <w:rPr>
                <w:rFonts w:ascii="Calibri" w:hAnsi="Calibri" w:cs="Calibri"/>
                <w:sz w:val="18"/>
                <w:szCs w:val="18"/>
              </w:rPr>
              <w:t>4,801</w:t>
            </w:r>
          </w:p>
        </w:tc>
      </w:tr>
      <w:tr w:rsidR="00D35A05" w:rsidRPr="00D35A05" w14:paraId="220F6629" w14:textId="77777777" w:rsidTr="00927A8F">
        <w:trPr>
          <w:trHeight w:val="290"/>
        </w:trPr>
        <w:tc>
          <w:tcPr>
            <w:tcW w:w="1145" w:type="dxa"/>
            <w:tcBorders>
              <w:top w:val="nil"/>
              <w:left w:val="nil"/>
              <w:bottom w:val="nil"/>
              <w:right w:val="nil"/>
            </w:tcBorders>
            <w:shd w:val="clear" w:color="auto" w:fill="FDE9D9" w:themeFill="accent6" w:themeFillTint="33"/>
          </w:tcPr>
          <w:p w14:paraId="30D873DE" w14:textId="77777777" w:rsidR="001A4E40" w:rsidRPr="00D35A05" w:rsidRDefault="001A4E40">
            <w:pPr>
              <w:autoSpaceDE w:val="0"/>
              <w:autoSpaceDN w:val="0"/>
              <w:adjustRightInd w:val="0"/>
              <w:spacing w:after="0" w:line="240" w:lineRule="auto"/>
              <w:rPr>
                <w:rFonts w:ascii="Calibri" w:hAnsi="Calibri" w:cs="Calibri"/>
                <w:b/>
                <w:bCs/>
                <w:sz w:val="18"/>
                <w:szCs w:val="18"/>
              </w:rPr>
            </w:pPr>
            <w:r w:rsidRPr="00D35A05">
              <w:rPr>
                <w:rFonts w:ascii="Calibri" w:hAnsi="Calibri" w:cs="Calibri"/>
                <w:b/>
                <w:bCs/>
                <w:sz w:val="18"/>
                <w:szCs w:val="18"/>
              </w:rPr>
              <w:t>Australia</w:t>
            </w:r>
          </w:p>
        </w:tc>
        <w:tc>
          <w:tcPr>
            <w:tcW w:w="1145" w:type="dxa"/>
            <w:tcBorders>
              <w:top w:val="nil"/>
              <w:left w:val="nil"/>
              <w:bottom w:val="nil"/>
              <w:right w:val="nil"/>
            </w:tcBorders>
            <w:shd w:val="clear" w:color="auto" w:fill="FDE9D9" w:themeFill="accent6" w:themeFillTint="33"/>
          </w:tcPr>
          <w:p w14:paraId="7AE1CF75" w14:textId="3C35F246" w:rsidR="001A4E40" w:rsidRPr="00D35A05" w:rsidRDefault="001A4E40" w:rsidP="001A4E40">
            <w:pPr>
              <w:autoSpaceDE w:val="0"/>
              <w:autoSpaceDN w:val="0"/>
              <w:adjustRightInd w:val="0"/>
              <w:spacing w:after="0" w:line="240" w:lineRule="auto"/>
              <w:jc w:val="center"/>
              <w:rPr>
                <w:rFonts w:ascii="Calibri" w:hAnsi="Calibri" w:cs="Calibri"/>
                <w:b/>
                <w:bCs/>
                <w:sz w:val="18"/>
                <w:szCs w:val="18"/>
              </w:rPr>
            </w:pPr>
            <w:r w:rsidRPr="00D35A05">
              <w:rPr>
                <w:rFonts w:ascii="Calibri" w:hAnsi="Calibri" w:cs="Calibri"/>
                <w:b/>
                <w:bCs/>
                <w:sz w:val="18"/>
                <w:szCs w:val="18"/>
              </w:rPr>
              <w:t>396</w:t>
            </w:r>
            <w:r w:rsidR="0043213D" w:rsidRPr="00D35A05">
              <w:rPr>
                <w:rFonts w:ascii="Calibri" w:hAnsi="Calibri" w:cs="Calibri"/>
                <w:b/>
                <w:bCs/>
                <w:sz w:val="18"/>
                <w:szCs w:val="18"/>
              </w:rPr>
              <w:t>,</w:t>
            </w:r>
            <w:r w:rsidRPr="00D35A05">
              <w:rPr>
                <w:rFonts w:ascii="Calibri" w:hAnsi="Calibri" w:cs="Calibri"/>
                <w:b/>
                <w:bCs/>
                <w:sz w:val="18"/>
                <w:szCs w:val="18"/>
              </w:rPr>
              <w:t>923</w:t>
            </w:r>
          </w:p>
        </w:tc>
        <w:tc>
          <w:tcPr>
            <w:tcW w:w="1144" w:type="dxa"/>
            <w:tcBorders>
              <w:top w:val="nil"/>
              <w:left w:val="nil"/>
              <w:bottom w:val="nil"/>
              <w:right w:val="nil"/>
            </w:tcBorders>
            <w:shd w:val="clear" w:color="auto" w:fill="FDE9D9" w:themeFill="accent6" w:themeFillTint="33"/>
          </w:tcPr>
          <w:p w14:paraId="43E0A41B" w14:textId="77777777" w:rsidR="001A4E40" w:rsidRPr="00D35A05" w:rsidRDefault="001A4E40" w:rsidP="001A4E40">
            <w:pPr>
              <w:autoSpaceDE w:val="0"/>
              <w:autoSpaceDN w:val="0"/>
              <w:adjustRightInd w:val="0"/>
              <w:spacing w:after="0" w:line="240" w:lineRule="auto"/>
              <w:jc w:val="center"/>
              <w:rPr>
                <w:rFonts w:ascii="Calibri" w:hAnsi="Calibri" w:cs="Calibri"/>
                <w:b/>
                <w:bCs/>
                <w:sz w:val="18"/>
                <w:szCs w:val="18"/>
              </w:rPr>
            </w:pPr>
            <w:r w:rsidRPr="00D35A05">
              <w:rPr>
                <w:rFonts w:ascii="Calibri" w:hAnsi="Calibri" w:cs="Calibri"/>
                <w:b/>
                <w:bCs/>
                <w:sz w:val="18"/>
                <w:szCs w:val="18"/>
              </w:rPr>
              <w:t>0.04</w:t>
            </w:r>
          </w:p>
        </w:tc>
        <w:tc>
          <w:tcPr>
            <w:tcW w:w="1145" w:type="dxa"/>
            <w:tcBorders>
              <w:top w:val="nil"/>
              <w:left w:val="nil"/>
              <w:bottom w:val="nil"/>
              <w:right w:val="nil"/>
            </w:tcBorders>
            <w:shd w:val="clear" w:color="auto" w:fill="FDE9D9" w:themeFill="accent6" w:themeFillTint="33"/>
          </w:tcPr>
          <w:p w14:paraId="1C04692A" w14:textId="35932B8D" w:rsidR="001A4E40" w:rsidRPr="00D35A05" w:rsidRDefault="001A4E40" w:rsidP="001A4E40">
            <w:pPr>
              <w:autoSpaceDE w:val="0"/>
              <w:autoSpaceDN w:val="0"/>
              <w:adjustRightInd w:val="0"/>
              <w:spacing w:after="0" w:line="240" w:lineRule="auto"/>
              <w:jc w:val="center"/>
              <w:rPr>
                <w:rFonts w:ascii="Calibri" w:hAnsi="Calibri" w:cs="Calibri"/>
                <w:b/>
                <w:bCs/>
                <w:sz w:val="18"/>
                <w:szCs w:val="18"/>
              </w:rPr>
            </w:pPr>
            <w:r w:rsidRPr="00D35A05">
              <w:rPr>
                <w:rFonts w:ascii="Calibri" w:hAnsi="Calibri" w:cs="Calibri"/>
                <w:b/>
                <w:bCs/>
                <w:sz w:val="18"/>
                <w:szCs w:val="18"/>
              </w:rPr>
              <w:t>392</w:t>
            </w:r>
            <w:r w:rsidR="0043213D" w:rsidRPr="00D35A05">
              <w:rPr>
                <w:rFonts w:ascii="Calibri" w:hAnsi="Calibri" w:cs="Calibri"/>
                <w:b/>
                <w:bCs/>
                <w:sz w:val="18"/>
                <w:szCs w:val="18"/>
              </w:rPr>
              <w:t>,</w:t>
            </w:r>
            <w:r w:rsidRPr="00D35A05">
              <w:rPr>
                <w:rFonts w:ascii="Calibri" w:hAnsi="Calibri" w:cs="Calibri"/>
                <w:b/>
                <w:bCs/>
                <w:sz w:val="18"/>
                <w:szCs w:val="18"/>
              </w:rPr>
              <w:t>667</w:t>
            </w:r>
          </w:p>
        </w:tc>
        <w:tc>
          <w:tcPr>
            <w:tcW w:w="1145" w:type="dxa"/>
            <w:tcBorders>
              <w:top w:val="nil"/>
              <w:left w:val="nil"/>
              <w:bottom w:val="nil"/>
              <w:right w:val="nil"/>
            </w:tcBorders>
            <w:shd w:val="clear" w:color="auto" w:fill="FDE9D9" w:themeFill="accent6" w:themeFillTint="33"/>
          </w:tcPr>
          <w:p w14:paraId="7043436D" w14:textId="77777777" w:rsidR="001A4E40" w:rsidRPr="00D35A05" w:rsidRDefault="001A4E40" w:rsidP="001A4E40">
            <w:pPr>
              <w:autoSpaceDE w:val="0"/>
              <w:autoSpaceDN w:val="0"/>
              <w:adjustRightInd w:val="0"/>
              <w:spacing w:after="0" w:line="240" w:lineRule="auto"/>
              <w:jc w:val="center"/>
              <w:rPr>
                <w:rFonts w:ascii="Calibri" w:hAnsi="Calibri" w:cs="Calibri"/>
                <w:b/>
                <w:bCs/>
                <w:sz w:val="18"/>
                <w:szCs w:val="18"/>
              </w:rPr>
            </w:pPr>
            <w:r w:rsidRPr="00D35A05">
              <w:rPr>
                <w:rFonts w:ascii="Calibri" w:hAnsi="Calibri" w:cs="Calibri"/>
                <w:b/>
                <w:bCs/>
                <w:sz w:val="18"/>
                <w:szCs w:val="18"/>
              </w:rPr>
              <w:t>0.04</w:t>
            </w:r>
          </w:p>
        </w:tc>
        <w:tc>
          <w:tcPr>
            <w:tcW w:w="1934" w:type="dxa"/>
            <w:tcBorders>
              <w:top w:val="nil"/>
              <w:left w:val="nil"/>
              <w:bottom w:val="nil"/>
              <w:right w:val="nil"/>
            </w:tcBorders>
            <w:shd w:val="clear" w:color="auto" w:fill="FDE9D9" w:themeFill="accent6" w:themeFillTint="33"/>
          </w:tcPr>
          <w:p w14:paraId="5F7E9E43" w14:textId="77777777" w:rsidR="001A4E40" w:rsidRPr="00D35A05" w:rsidRDefault="001A4E40" w:rsidP="001A4E40">
            <w:pPr>
              <w:autoSpaceDE w:val="0"/>
              <w:autoSpaceDN w:val="0"/>
              <w:adjustRightInd w:val="0"/>
              <w:spacing w:after="0" w:line="240" w:lineRule="auto"/>
              <w:jc w:val="center"/>
              <w:rPr>
                <w:rFonts w:ascii="Calibri" w:hAnsi="Calibri" w:cs="Calibri"/>
                <w:b/>
                <w:bCs/>
                <w:sz w:val="18"/>
                <w:szCs w:val="18"/>
              </w:rPr>
            </w:pPr>
            <w:r w:rsidRPr="00D35A05">
              <w:rPr>
                <w:rFonts w:ascii="Calibri" w:hAnsi="Calibri" w:cs="Calibri"/>
                <w:b/>
                <w:bCs/>
                <w:sz w:val="18"/>
                <w:szCs w:val="18"/>
              </w:rPr>
              <w:t>1,617,462</w:t>
            </w:r>
          </w:p>
        </w:tc>
        <w:tc>
          <w:tcPr>
            <w:tcW w:w="934" w:type="dxa"/>
            <w:tcBorders>
              <w:top w:val="nil"/>
              <w:left w:val="nil"/>
              <w:bottom w:val="nil"/>
              <w:right w:val="nil"/>
            </w:tcBorders>
            <w:shd w:val="clear" w:color="auto" w:fill="FDE9D9" w:themeFill="accent6" w:themeFillTint="33"/>
          </w:tcPr>
          <w:p w14:paraId="178A5F50" w14:textId="77777777" w:rsidR="001A4E40" w:rsidRPr="00D35A05" w:rsidRDefault="001A4E40" w:rsidP="001A4E40">
            <w:pPr>
              <w:autoSpaceDE w:val="0"/>
              <w:autoSpaceDN w:val="0"/>
              <w:adjustRightInd w:val="0"/>
              <w:spacing w:after="0" w:line="240" w:lineRule="auto"/>
              <w:jc w:val="center"/>
              <w:rPr>
                <w:rFonts w:ascii="Calibri" w:hAnsi="Calibri" w:cs="Calibri"/>
                <w:b/>
                <w:bCs/>
                <w:sz w:val="18"/>
                <w:szCs w:val="18"/>
              </w:rPr>
            </w:pPr>
            <w:r w:rsidRPr="00D35A05">
              <w:rPr>
                <w:rFonts w:ascii="Calibri" w:hAnsi="Calibri" w:cs="Calibri"/>
                <w:b/>
                <w:bCs/>
                <w:sz w:val="18"/>
                <w:szCs w:val="18"/>
              </w:rPr>
              <w:t>0.45</w:t>
            </w:r>
          </w:p>
        </w:tc>
        <w:tc>
          <w:tcPr>
            <w:tcW w:w="1934" w:type="dxa"/>
            <w:tcBorders>
              <w:top w:val="nil"/>
              <w:left w:val="nil"/>
              <w:bottom w:val="nil"/>
              <w:right w:val="nil"/>
            </w:tcBorders>
            <w:shd w:val="clear" w:color="auto" w:fill="FDE9D9" w:themeFill="accent6" w:themeFillTint="33"/>
          </w:tcPr>
          <w:p w14:paraId="327733EA" w14:textId="77777777" w:rsidR="001A4E40" w:rsidRPr="00D35A05" w:rsidRDefault="001A4E40" w:rsidP="001A4E40">
            <w:pPr>
              <w:autoSpaceDE w:val="0"/>
              <w:autoSpaceDN w:val="0"/>
              <w:adjustRightInd w:val="0"/>
              <w:spacing w:after="0" w:line="240" w:lineRule="auto"/>
              <w:jc w:val="center"/>
              <w:rPr>
                <w:rFonts w:ascii="Calibri" w:hAnsi="Calibri" w:cs="Calibri"/>
                <w:b/>
                <w:bCs/>
                <w:sz w:val="18"/>
                <w:szCs w:val="18"/>
              </w:rPr>
            </w:pPr>
            <w:r w:rsidRPr="00D35A05">
              <w:rPr>
                <w:rFonts w:ascii="Calibri" w:hAnsi="Calibri" w:cs="Calibri"/>
                <w:b/>
                <w:bCs/>
                <w:sz w:val="18"/>
                <w:szCs w:val="18"/>
              </w:rPr>
              <w:t>6,377</w:t>
            </w:r>
          </w:p>
        </w:tc>
      </w:tr>
    </w:tbl>
    <w:p w14:paraId="4E2B7C3A" w14:textId="77777777" w:rsidR="001A4E40" w:rsidRPr="0008370B" w:rsidRDefault="000C6F82" w:rsidP="008044EE">
      <w:pPr>
        <w:pStyle w:val="CDIfootnotes"/>
        <w:spacing w:before="0" w:beforeAutospacing="0" w:after="0" w:afterAutospacing="0"/>
        <w:ind w:left="284" w:hanging="284"/>
      </w:pPr>
      <w:r w:rsidRPr="0008370B">
        <w:t>a</w:t>
      </w:r>
      <w:r w:rsidRPr="0008370B">
        <w:tab/>
      </w:r>
      <w:r w:rsidR="001A4E40" w:rsidRPr="0008370B">
        <w:t>Data in this table are based on reports of notification by states and territories.</w:t>
      </w:r>
    </w:p>
    <w:p w14:paraId="442E30F1" w14:textId="14E325C5" w:rsidR="001A4E40" w:rsidRPr="0008370B" w:rsidRDefault="000C6F82" w:rsidP="008044EE">
      <w:pPr>
        <w:pStyle w:val="CDIfootnotes"/>
        <w:spacing w:before="0" w:beforeAutospacing="0" w:after="0" w:afterAutospacing="0"/>
        <w:ind w:left="284" w:hanging="284"/>
      </w:pPr>
      <w:r w:rsidRPr="0008370B">
        <w:t>b</w:t>
      </w:r>
      <w:r w:rsidRPr="0008370B">
        <w:tab/>
      </w:r>
      <w:r w:rsidR="001A4E40" w:rsidRPr="0008370B">
        <w:t xml:space="preserve">Population data based on Australian Bureau </w:t>
      </w:r>
      <w:r w:rsidR="007341FE">
        <w:t xml:space="preserve">of </w:t>
      </w:r>
      <w:r w:rsidR="001A4E40" w:rsidRPr="0008370B">
        <w:t>Statistics (ABS) Estimated Resident Population (ERP) as at 30 June 2019.</w:t>
      </w:r>
    </w:p>
    <w:p w14:paraId="21782523" w14:textId="007D563D" w:rsidR="006076BD" w:rsidRPr="000B2127" w:rsidRDefault="006076BD" w:rsidP="006076BD">
      <w:pPr>
        <w:pStyle w:val="Heading2"/>
      </w:pPr>
      <w:r w:rsidRPr="000B2127">
        <w:t xml:space="preserve">Comparison with international data </w:t>
      </w:r>
    </w:p>
    <w:p w14:paraId="09BE9530" w14:textId="7F1718CE" w:rsidR="00295729" w:rsidRDefault="00295729" w:rsidP="002422FB">
      <w:r w:rsidRPr="00EB278E">
        <w:t>When comparing Australia’s epidemic scale and trajectory it is most similar to New Zealand</w:t>
      </w:r>
      <w:r>
        <w:t xml:space="preserve">, </w:t>
      </w:r>
      <w:r w:rsidRPr="00EB278E">
        <w:t>Republ</w:t>
      </w:r>
      <w:r w:rsidR="006F686E">
        <w:t xml:space="preserve">ic of Korea, Malaysia, Thailand, </w:t>
      </w:r>
      <w:r w:rsidRPr="00EB278E">
        <w:t>Austria</w:t>
      </w:r>
      <w:r w:rsidR="006F686E">
        <w:t xml:space="preserve"> and Norway</w:t>
      </w:r>
      <w:r w:rsidRPr="00EB278E">
        <w:t>, wh</w:t>
      </w:r>
      <w:r w:rsidR="00C07EBD">
        <w:t>ich</w:t>
      </w:r>
      <w:r w:rsidRPr="00EB278E">
        <w:t xml:space="preserve"> also experienced a phase of exponential growth, followed by a flattening with few new cases now reported each day. </w:t>
      </w:r>
      <w:r>
        <w:t>Currently, the majority of</w:t>
      </w:r>
      <w:r w:rsidRPr="00EB278E">
        <w:t xml:space="preserve"> these countries are</w:t>
      </w:r>
      <w:r>
        <w:t xml:space="preserve"> now</w:t>
      </w:r>
      <w:r w:rsidRPr="00EB278E">
        <w:t xml:space="preserve"> reporting</w:t>
      </w:r>
      <w:r>
        <w:t xml:space="preserve"> </w:t>
      </w:r>
      <w:r w:rsidRPr="00EB278E">
        <w:t xml:space="preserve">small </w:t>
      </w:r>
      <w:r>
        <w:t>outbreaks</w:t>
      </w:r>
      <w:r w:rsidRPr="00EB278E">
        <w:t xml:space="preserve"> after implementing a phased reopening, and a distinct second wave of the epidemic has not been experienced.  </w:t>
      </w:r>
    </w:p>
    <w:p w14:paraId="62394A05" w14:textId="4E55A339" w:rsidR="000C6F82" w:rsidRPr="002422FB" w:rsidRDefault="000C6F82" w:rsidP="002422FB">
      <w:pPr>
        <w:pStyle w:val="Heading2"/>
      </w:pPr>
      <w:r w:rsidRPr="002422FB">
        <w:t xml:space="preserve">Source of </w:t>
      </w:r>
      <w:r w:rsidR="00B92273" w:rsidRPr="002422FB">
        <w:t xml:space="preserve">acquisition </w:t>
      </w:r>
    </w:p>
    <w:p w14:paraId="4E1D63C3" w14:textId="55FA2BD1" w:rsidR="008C5C7A" w:rsidRPr="008C5C7A" w:rsidRDefault="008C5C7A" w:rsidP="002422FB">
      <w:pPr>
        <w:rPr>
          <w:rStyle w:val="SubtleReference"/>
          <w:smallCaps w:val="0"/>
        </w:rPr>
      </w:pPr>
      <w:r w:rsidRPr="008C5C7A">
        <w:rPr>
          <w:rStyle w:val="SubtleReference"/>
          <w:smallCaps w:val="0"/>
        </w:rPr>
        <w:t>For the period 25 May</w:t>
      </w:r>
      <w:r w:rsidR="001F74F6">
        <w:rPr>
          <w:rStyle w:val="SubtleReference"/>
          <w:smallCaps w:val="0"/>
        </w:rPr>
        <w:t xml:space="preserve"> </w:t>
      </w:r>
      <w:r w:rsidRPr="008C5C7A">
        <w:rPr>
          <w:rStyle w:val="SubtleReference"/>
          <w:smallCaps w:val="0"/>
        </w:rPr>
        <w:t>–</w:t>
      </w:r>
      <w:r w:rsidR="001F74F6">
        <w:rPr>
          <w:rStyle w:val="SubtleReference"/>
          <w:smallCaps w:val="0"/>
        </w:rPr>
        <w:t xml:space="preserve"> </w:t>
      </w:r>
      <w:r w:rsidRPr="008C5C7A">
        <w:rPr>
          <w:rStyle w:val="SubtleReference"/>
          <w:smallCaps w:val="0"/>
        </w:rPr>
        <w:t xml:space="preserve">7 June, 63% of cases acquired their infection overseas, which is higher than </w:t>
      </w:r>
      <w:r w:rsidR="002458C1">
        <w:rPr>
          <w:rStyle w:val="SubtleReference"/>
          <w:smallCaps w:val="0"/>
        </w:rPr>
        <w:t xml:space="preserve">in </w:t>
      </w:r>
      <w:r w:rsidRPr="008C5C7A">
        <w:rPr>
          <w:rStyle w:val="SubtleReference"/>
          <w:smallCaps w:val="0"/>
        </w:rPr>
        <w:t xml:space="preserve">the previous fortnight (11 – 24 May [46%]). Most overseas-acquired cases in the last four weeks have been from Southern and Central Asia, followed by North Africa and the Middle East. </w:t>
      </w:r>
    </w:p>
    <w:p w14:paraId="396428F5" w14:textId="096D7DC5" w:rsidR="008C5C7A" w:rsidRPr="008C5C7A" w:rsidRDefault="008C5C7A" w:rsidP="002422FB">
      <w:r w:rsidRPr="008C5C7A">
        <w:rPr>
          <w:rStyle w:val="SubtleReference"/>
          <w:smallCaps w:val="0"/>
        </w:rPr>
        <w:t>For the period 25 May</w:t>
      </w:r>
      <w:r w:rsidR="001F74F6">
        <w:rPr>
          <w:rStyle w:val="SubtleReference"/>
          <w:smallCaps w:val="0"/>
        </w:rPr>
        <w:t xml:space="preserve"> </w:t>
      </w:r>
      <w:r w:rsidRPr="008C5C7A">
        <w:rPr>
          <w:rStyle w:val="SubtleReference"/>
          <w:smallCaps w:val="0"/>
        </w:rPr>
        <w:t>–</w:t>
      </w:r>
      <w:r w:rsidR="001F74F6">
        <w:rPr>
          <w:rStyle w:val="SubtleReference"/>
          <w:smallCaps w:val="0"/>
        </w:rPr>
        <w:t xml:space="preserve"> </w:t>
      </w:r>
      <w:r w:rsidRPr="008C5C7A">
        <w:rPr>
          <w:rStyle w:val="SubtleReference"/>
          <w:smallCaps w:val="0"/>
        </w:rPr>
        <w:t xml:space="preserve">7 June, 27% of cases were locally acquired, which is lower than </w:t>
      </w:r>
      <w:r w:rsidR="002458C1">
        <w:rPr>
          <w:rStyle w:val="SubtleReference"/>
          <w:smallCaps w:val="0"/>
        </w:rPr>
        <w:t xml:space="preserve">in </w:t>
      </w:r>
      <w:r w:rsidRPr="008C5C7A">
        <w:rPr>
          <w:rStyle w:val="SubtleReference"/>
          <w:smallCaps w:val="0"/>
        </w:rPr>
        <w:t xml:space="preserve">the previous fortnight (11 – 24 May [50%]). The proportion of cases acquired locally continues to decline after peaking at 50% or more from 30 March through to 24 May 2020.  </w:t>
      </w:r>
    </w:p>
    <w:p w14:paraId="11E4ED85" w14:textId="72A44E48" w:rsidR="00EE5608" w:rsidRPr="00D35A05" w:rsidRDefault="000C6F82" w:rsidP="002422FB">
      <w:r w:rsidRPr="00D35A05">
        <w:t xml:space="preserve">Of the total </w:t>
      </w:r>
      <w:r w:rsidRPr="00AC7FDF">
        <w:t>7,</w:t>
      </w:r>
      <w:r w:rsidR="00AC7FDF" w:rsidRPr="00AC7FDF">
        <w:t>277</w:t>
      </w:r>
      <w:r w:rsidRPr="00AC7FDF">
        <w:t xml:space="preserve"> </w:t>
      </w:r>
      <w:r w:rsidRPr="00D35A05">
        <w:t xml:space="preserve">cases, approximately two-thirds </w:t>
      </w:r>
      <w:r w:rsidR="00E67BE2" w:rsidRPr="00AC7FDF">
        <w:t xml:space="preserve">(62%) </w:t>
      </w:r>
      <w:r w:rsidRPr="00D35A05">
        <w:t>are considered to have acquired their infection overseas (</w:t>
      </w:r>
      <w:r w:rsidR="002E266D" w:rsidRPr="00D35A05">
        <w:t>Figure 2</w:t>
      </w:r>
      <w:r w:rsidR="00E67BE2" w:rsidRPr="00D35A05">
        <w:t>)</w:t>
      </w:r>
      <w:r w:rsidRPr="00D35A05">
        <w:t xml:space="preserve">. Cruise-ship-related travel and travel history to the European region </w:t>
      </w:r>
      <w:r w:rsidR="002458C1">
        <w:t xml:space="preserve">have </w:t>
      </w:r>
      <w:r w:rsidRPr="00D35A05">
        <w:t>accounted for the majority of overseas-acquired infections</w:t>
      </w:r>
      <w:r w:rsidR="002458C1">
        <w:t xml:space="preserve"> overall</w:t>
      </w:r>
      <w:r w:rsidRPr="00D35A05">
        <w:t xml:space="preserve">. </w:t>
      </w:r>
    </w:p>
    <w:p w14:paraId="026741E5" w14:textId="77777777" w:rsidR="002422FB" w:rsidRDefault="00EE5608" w:rsidP="002422FB">
      <w:r w:rsidRPr="00D35A05">
        <w:t>Over a quarter of cases (28%) are considered to be locally-acquired and linked to a confirmed case. Many locally</w:t>
      </w:r>
      <w:r w:rsidR="002458C1">
        <w:t>-</w:t>
      </w:r>
      <w:r w:rsidRPr="00D35A05">
        <w:t xml:space="preserve">acquired cases are associated with large interconnected clusters, with a small proportion (10%) unable to be linked to contact with a confirmed case. At the time of this report, approximately 1% of cases are under investigation, or are missing data on </w:t>
      </w:r>
      <w:r w:rsidR="005D442A" w:rsidRPr="00D35A05">
        <w:t xml:space="preserve">source </w:t>
      </w:r>
      <w:r w:rsidR="008C5C7A" w:rsidRPr="00D35A05">
        <w:t>of acquisition</w:t>
      </w:r>
      <w:r w:rsidR="002458C1">
        <w:t>.</w:t>
      </w:r>
    </w:p>
    <w:p w14:paraId="6CD191AA" w14:textId="0A191390" w:rsidR="000C6F82" w:rsidRPr="00AC7FDF" w:rsidRDefault="000C6F82" w:rsidP="002422FB">
      <w:pPr>
        <w:pStyle w:val="CDIFigures"/>
      </w:pPr>
      <w:r w:rsidRPr="00AC7FDF">
        <w:t xml:space="preserve">Figure </w:t>
      </w:r>
      <w:r w:rsidR="002E266D" w:rsidRPr="00AC7FDF">
        <w:t>2</w:t>
      </w:r>
      <w:r w:rsidRPr="00AC7FDF">
        <w:t>: Number of new case notifications in Australia, by source of acquisition</w:t>
      </w:r>
      <w:r w:rsidRPr="00AC7FDF">
        <w:rPr>
          <w:vertAlign w:val="superscript"/>
        </w:rPr>
        <w:t>a</w:t>
      </w:r>
    </w:p>
    <w:p w14:paraId="28C07B03" w14:textId="14344C8E" w:rsidR="008D17B2" w:rsidRPr="008D17B2" w:rsidRDefault="002422FB" w:rsidP="000B2127">
      <w:pPr>
        <w:pStyle w:val="CDIFigures"/>
        <w:rPr>
          <w:color w:val="FF0000"/>
        </w:rPr>
      </w:pPr>
      <w:r>
        <w:rPr>
          <w:noProof/>
        </w:rPr>
        <w:lastRenderedPageBreak/>
        <w:drawing>
          <wp:inline distT="0" distB="0" distL="0" distR="0" wp14:anchorId="356997D0" wp14:editId="3FC7BBA5">
            <wp:extent cx="6481312" cy="3405600"/>
            <wp:effectExtent l="0" t="0" r="0" b="4445"/>
            <wp:docPr id="14" name="Picture 14" descr="Bar chart of new case notifications in Australia by date of illness onset and source of acquisition. It is apparent that a majority of cases during the outbreak to date have been overseas-acquired, especially during the outbreak’s peak in mid-to-late Marc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494321" cy="3412436"/>
                    </a:xfrm>
                    <a:prstGeom prst="rect">
                      <a:avLst/>
                    </a:prstGeom>
                    <a:noFill/>
                    <a:ln>
                      <a:noFill/>
                    </a:ln>
                    <a:extLst>
                      <a:ext uri="{53640926-AAD7-44D8-BBD7-CCE9431645EC}">
                        <a14:shadowObscured xmlns:a14="http://schemas.microsoft.com/office/drawing/2010/main"/>
                      </a:ext>
                    </a:extLst>
                  </pic:spPr>
                </pic:pic>
              </a:graphicData>
            </a:graphic>
          </wp:inline>
        </w:drawing>
      </w:r>
    </w:p>
    <w:p w14:paraId="62394A0C" w14:textId="37F2D473" w:rsidR="000C6F82" w:rsidRPr="002422FB" w:rsidRDefault="000C6F82" w:rsidP="002422FB">
      <w:pPr>
        <w:pStyle w:val="CDIfootnotes"/>
      </w:pPr>
      <w:r w:rsidRPr="002422FB">
        <w:t>a</w:t>
      </w:r>
      <w:r w:rsidRPr="002422FB">
        <w:tab/>
        <w:t xml:space="preserve">Source: NNDSS. ‘Locally-acquired’ comprises all cases without an </w:t>
      </w:r>
      <w:r w:rsidR="008C5C7A" w:rsidRPr="002422FB">
        <w:t>overseas place of acquisition</w:t>
      </w:r>
      <w:r w:rsidR="008C5C7A">
        <w:t>.</w:t>
      </w:r>
      <w:r w:rsidRPr="002422FB">
        <w:t xml:space="preserve"> </w:t>
      </w:r>
    </w:p>
    <w:p w14:paraId="0073FD4A" w14:textId="3B036C9B" w:rsidR="007341FE" w:rsidRPr="00AD7BF6" w:rsidRDefault="007341FE" w:rsidP="007341FE">
      <w:pPr>
        <w:pStyle w:val="Heading1"/>
      </w:pPr>
      <w:r>
        <w:t>Demographics of cases</w:t>
      </w:r>
      <w:r w:rsidRPr="00AD7BF6">
        <w:t xml:space="preserve"> </w:t>
      </w:r>
    </w:p>
    <w:p w14:paraId="62394A0D" w14:textId="7C91D98C" w:rsidR="000C6F82" w:rsidRPr="00D35A05" w:rsidRDefault="000C6F82" w:rsidP="000B2127">
      <w:r w:rsidRPr="00D35A05">
        <w:t>The highest rate of disease is among those in the 65–79 years age group</w:t>
      </w:r>
      <w:r w:rsidR="002458C1">
        <w:t>,</w:t>
      </w:r>
      <w:r w:rsidRPr="00D35A05">
        <w:t xml:space="preserve"> with </w:t>
      </w:r>
      <w:r w:rsidRPr="00AC7FDF">
        <w:t>42.</w:t>
      </w:r>
      <w:r w:rsidR="00D042EE" w:rsidRPr="00AC7FDF">
        <w:t>7</w:t>
      </w:r>
      <w:r w:rsidRPr="00D35A05">
        <w:t xml:space="preserve"> cases per 100,000 population (see Appendix B, Figure B.1). The higher rate of cases in this age group is largely driven by outbreaks on cruise ships and by overseas travel, with </w:t>
      </w:r>
      <w:r w:rsidRPr="00AC7FDF">
        <w:t xml:space="preserve">75% </w:t>
      </w:r>
      <w:r w:rsidRPr="00D35A05">
        <w:t xml:space="preserve">of cases </w:t>
      </w:r>
      <w:r w:rsidR="002458C1">
        <w:t xml:space="preserve">in this age group </w:t>
      </w:r>
      <w:r w:rsidRPr="00D35A05">
        <w:t>acquiring their infection outside Australia (</w:t>
      </w:r>
      <w:r w:rsidRPr="00AC7FDF">
        <w:t xml:space="preserve">44% </w:t>
      </w:r>
      <w:r w:rsidRPr="00D35A05">
        <w:t xml:space="preserve">at sea, </w:t>
      </w:r>
      <w:r w:rsidRPr="00AC7FDF">
        <w:t xml:space="preserve">31% </w:t>
      </w:r>
      <w:r w:rsidRPr="00D35A05">
        <w:t xml:space="preserve">in other countries). </w:t>
      </w:r>
    </w:p>
    <w:p w14:paraId="62394A0E" w14:textId="49DF6F45" w:rsidR="000C6F82" w:rsidRPr="00D35A05" w:rsidRDefault="000C6F82" w:rsidP="000B2127">
      <w:r w:rsidRPr="00D35A05">
        <w:t>Notifications are similar by gender among those aged under 65 years</w:t>
      </w:r>
      <w:r w:rsidR="002458C1">
        <w:t>;</w:t>
      </w:r>
      <w:r w:rsidRPr="00D35A05">
        <w:t xml:space="preserve"> however</w:t>
      </w:r>
      <w:r w:rsidR="002458C1">
        <w:t>,</w:t>
      </w:r>
      <w:r w:rsidRPr="00D35A05">
        <w:t xml:space="preserve"> among those aged 65 years and over</w:t>
      </w:r>
      <w:r w:rsidR="002458C1">
        <w:t>,</w:t>
      </w:r>
      <w:r w:rsidRPr="00D35A05">
        <w:t xml:space="preserve"> there is a higher rate of cases for males than for females (Table B.1). </w:t>
      </w:r>
    </w:p>
    <w:p w14:paraId="61F042F2" w14:textId="77777777" w:rsidR="002422FB" w:rsidRDefault="000C6F82" w:rsidP="002422FB">
      <w:pPr>
        <w:rPr>
          <w:vertAlign w:val="superscript"/>
        </w:rPr>
      </w:pPr>
      <w:r w:rsidRPr="00D35A05">
        <w:t xml:space="preserve">The lowest rate of disease is among children and young adults, with </w:t>
      </w:r>
      <w:r w:rsidR="00E67C56" w:rsidRPr="00AC7FDF">
        <w:t>4.0</w:t>
      </w:r>
      <w:r w:rsidRPr="00AC7FDF">
        <w:t xml:space="preserve"> </w:t>
      </w:r>
      <w:r w:rsidRPr="00D35A05">
        <w:t xml:space="preserve">cases per 100,000 population aged 5–17 and </w:t>
      </w:r>
      <w:r w:rsidR="00E67C56" w:rsidRPr="00AC7FDF">
        <w:t>4.5</w:t>
      </w:r>
      <w:r w:rsidRPr="00AC7FDF">
        <w:t xml:space="preserve"> </w:t>
      </w:r>
      <w:r w:rsidRPr="00D35A05">
        <w:t>cases per 100,000 aged under 5 years. This is consistent with international reports from China and the United States of America, which indicate a low rate of infection among children. A similar pattern has been observed with other coronaviruses such as SARS and MERS</w:t>
      </w:r>
      <w:r w:rsidR="002458C1">
        <w:t>,</w:t>
      </w:r>
      <w:r w:rsidRPr="00D35A05">
        <w:t xml:space="preserve"> with low rates of infection in children.</w:t>
      </w:r>
    </w:p>
    <w:p w14:paraId="01FAA414" w14:textId="77777777" w:rsidR="00824150" w:rsidRDefault="00824150">
      <w:pPr>
        <w:rPr>
          <w:rFonts w:asciiTheme="majorHAnsi" w:eastAsia="Times New Roman" w:hAnsiTheme="majorHAnsi" w:cstheme="majorBidi"/>
          <w:b/>
          <w:bCs/>
          <w:sz w:val="26"/>
          <w:szCs w:val="26"/>
        </w:rPr>
      </w:pPr>
      <w:r>
        <w:rPr>
          <w:rFonts w:eastAsia="Times New Roman"/>
        </w:rPr>
        <w:br w:type="page"/>
      </w:r>
    </w:p>
    <w:p w14:paraId="62394A10" w14:textId="04065514" w:rsidR="000C6F82" w:rsidRDefault="000C6F82" w:rsidP="002422FB">
      <w:pPr>
        <w:pStyle w:val="Heading2"/>
        <w:rPr>
          <w:rFonts w:eastAsia="Times New Roman"/>
        </w:rPr>
      </w:pPr>
      <w:r>
        <w:rPr>
          <w:rFonts w:eastAsia="Times New Roman"/>
        </w:rPr>
        <w:lastRenderedPageBreak/>
        <w:t xml:space="preserve">Severity </w:t>
      </w:r>
    </w:p>
    <w:p w14:paraId="34D88D35" w14:textId="77777777" w:rsidR="00A5009E" w:rsidRDefault="000C6F82" w:rsidP="000370F8">
      <w:r w:rsidRPr="0074315F">
        <w:t>Higher disease severity, as indicated by hospitalisation, admission to ICU, and death, has been associated with increased age and comorbidities.</w:t>
      </w:r>
      <w:r w:rsidR="001F74F6">
        <w:rPr>
          <w:vertAlign w:val="superscript"/>
        </w:rPr>
        <w:t>4</w:t>
      </w:r>
      <w:r w:rsidR="001F74F6" w:rsidRPr="0074315F">
        <w:t xml:space="preserve"> </w:t>
      </w:r>
      <w:r w:rsidRPr="0074315F">
        <w:t xml:space="preserve">The median age of cases who have been hospitalised (61 years, interquartile range (IQR): </w:t>
      </w:r>
      <w:r w:rsidR="004E2940" w:rsidRPr="0074315F">
        <w:t>43</w:t>
      </w:r>
      <w:r w:rsidRPr="0074315F">
        <w:t>–72 years), admitted to ICU (64 years, IQR: 53–</w:t>
      </w:r>
      <w:r w:rsidR="004E2940" w:rsidRPr="0074315F">
        <w:t>72</w:t>
      </w:r>
      <w:r w:rsidRPr="0074315F">
        <w:t xml:space="preserve">) and died (80 years, IQR: 74–86) is higher than for cases overall (47 years, IQR: 29–62). Of total cases notified in Australia, </w:t>
      </w:r>
      <w:r w:rsidR="004E2940" w:rsidRPr="0074315F">
        <w:t xml:space="preserve">1,110 </w:t>
      </w:r>
      <w:r w:rsidRPr="0074315F">
        <w:t>(</w:t>
      </w:r>
      <w:r w:rsidR="004E2940" w:rsidRPr="0074315F">
        <w:t>15</w:t>
      </w:r>
      <w:r w:rsidRPr="0074315F">
        <w:t xml:space="preserve">%) were admitted to hospital, </w:t>
      </w:r>
      <w:r w:rsidRPr="00D35A05">
        <w:t xml:space="preserve">compared with 16% of cases reported as requiring hospitalisation in </w:t>
      </w:r>
      <w:r w:rsidR="001F74F6" w:rsidRPr="00D35A05">
        <w:t>Canada</w:t>
      </w:r>
      <w:r w:rsidR="001F74F6">
        <w:rPr>
          <w:vertAlign w:val="superscript"/>
        </w:rPr>
        <w:t>5</w:t>
      </w:r>
      <w:r w:rsidR="001F74F6" w:rsidRPr="00D35A05">
        <w:t xml:space="preserve"> </w:t>
      </w:r>
      <w:r w:rsidRPr="00D35A05">
        <w:t xml:space="preserve">and </w:t>
      </w:r>
      <w:r w:rsidR="006C5A94" w:rsidRPr="00D35A05">
        <w:t>32</w:t>
      </w:r>
      <w:r w:rsidRPr="00D35A05">
        <w:t>% of cases in the EU/EEA.</w:t>
      </w:r>
      <w:r w:rsidR="001F74F6">
        <w:rPr>
          <w:vertAlign w:val="superscript"/>
        </w:rPr>
        <w:t>6</w:t>
      </w:r>
      <w:r w:rsidR="001F74F6" w:rsidRPr="00D35A05">
        <w:t xml:space="preserve"> </w:t>
      </w:r>
      <w:r w:rsidRPr="00D35A05">
        <w:t>It is noted that the higher proportion reported by EU/EEA is affected by each country’s testing strategies, with some European countries now only testing hospitalised individuals for COVID-19.</w:t>
      </w:r>
      <w:r w:rsidR="001F74F6">
        <w:rPr>
          <w:vertAlign w:val="superscript"/>
        </w:rPr>
        <w:t>6</w:t>
      </w:r>
      <w:r w:rsidR="001F74F6" w:rsidRPr="00D35A05">
        <w:t xml:space="preserve"> </w:t>
      </w:r>
      <w:r w:rsidRPr="00D35A05">
        <w:t>The crude case fatality rate (CFR) and the proportion of cases requiring hospitalisation in Australia both remain substantially lower than the corresponding values reported from many other comparable high-income countries.</w:t>
      </w:r>
    </w:p>
    <w:p w14:paraId="22C532B4" w14:textId="07A00CCB" w:rsidR="00A5009E" w:rsidRPr="00D35A05" w:rsidRDefault="00A5009E" w:rsidP="000370F8">
      <w:r w:rsidRPr="00D35A05">
        <w:t>Of the hospitalised COVID-19 cases, 18% (n = 205) were admitted to ICU, with 55 cases requiring ventilation. Fewer than 2% of hospitalised cases were aged under 18 years. Canada has reported similar proportions, with 22% of those hospitalised being admitted to ICU and fewer than 3% of hospitalised cases aged under 20.</w:t>
      </w:r>
      <w:r w:rsidR="00331BB7">
        <w:rPr>
          <w:vertAlign w:val="superscript"/>
        </w:rPr>
        <w:t>7</w:t>
      </w:r>
      <w:r w:rsidRPr="00D35A05">
        <w:t xml:space="preserve"> </w:t>
      </w:r>
    </w:p>
    <w:p w14:paraId="248BEE1E" w14:textId="46F35A09" w:rsidR="00A5009E" w:rsidRPr="00D35A05" w:rsidRDefault="00A5009E" w:rsidP="000370F8">
      <w:r w:rsidRPr="00D35A05">
        <w:t>Within the European region, the overall severe hospitalisation rate (cases admitted to ICU and/or requiring respiratory support) from all hospitalised cases was approximately 11% across 14 countries; however large variation was seen between these countries.</w:t>
      </w:r>
      <w:r w:rsidR="00734A2B">
        <w:rPr>
          <w:vertAlign w:val="superscript"/>
        </w:rPr>
        <w:t>8</w:t>
      </w:r>
      <w:r w:rsidRPr="00D35A05">
        <w:t xml:space="preserve"> The European region also reported a decrease in both the hospitalisation and severe hospitalisation rate </w:t>
      </w:r>
      <w:r>
        <w:t>with increasing</w:t>
      </w:r>
      <w:r w:rsidRPr="00D35A05">
        <w:t xml:space="preserve"> age beyond 70 years, which is not seen in the Australian data. </w:t>
      </w:r>
    </w:p>
    <w:p w14:paraId="35F0DE22" w14:textId="4D8E128A" w:rsidR="00497D6C" w:rsidRDefault="000C6F82" w:rsidP="000370F8">
      <w:r w:rsidRPr="00D35A05">
        <w:t>Among Australian cases, the CFR for males aged 65–79 years is slightly elevated compared with females of the same age (Table 3). However, this is reversed in the population aged 80 years and over. Overall fatality rates by age group are similar to those observed in China and Italy as of 17 March 2020,</w:t>
      </w:r>
      <w:r w:rsidR="00734A2B">
        <w:rPr>
          <w:vertAlign w:val="superscript"/>
        </w:rPr>
        <w:t>9,10</w:t>
      </w:r>
      <w:r w:rsidRPr="00D35A05">
        <w:t xml:space="preserve"> but lower than </w:t>
      </w:r>
      <w:r w:rsidR="002458C1">
        <w:t>those</w:t>
      </w:r>
      <w:r w:rsidR="002458C1" w:rsidRPr="00D35A05">
        <w:t xml:space="preserve"> </w:t>
      </w:r>
      <w:r w:rsidRPr="00D35A05">
        <w:t>observed for the European region when aggregated.</w:t>
      </w:r>
      <w:r w:rsidR="00734A2B">
        <w:rPr>
          <w:vertAlign w:val="superscript"/>
        </w:rPr>
        <w:t>8</w:t>
      </w:r>
      <w:r w:rsidR="001F74F6" w:rsidRPr="00D35A05">
        <w:t xml:space="preserve"> </w:t>
      </w:r>
      <w:r w:rsidRPr="002E513A">
        <w:t>The CFR for males aged 80 years and over in the ICU is high at 75.0% (6 deaths from 8 cases in ICU).</w:t>
      </w:r>
      <w:r w:rsidRPr="00D35A05">
        <w:t xml:space="preserve"> By comparison, the CFR for Canadian males meeting the same criteria was 46.3% (19 deaths from 41 cases in ICU), based on data up until 13 May 2020 (30,500 cases).</w:t>
      </w:r>
      <w:r w:rsidR="00734A2B">
        <w:rPr>
          <w:vertAlign w:val="superscript"/>
        </w:rPr>
        <w:t>7</w:t>
      </w:r>
      <w:r w:rsidR="001F74F6" w:rsidRPr="00D35A05">
        <w:t xml:space="preserve"> </w:t>
      </w:r>
      <w:r w:rsidRPr="00D35A05">
        <w:t>Australian results are based on small number</w:t>
      </w:r>
      <w:r w:rsidR="0008370B" w:rsidRPr="00D35A05">
        <w:t>s</w:t>
      </w:r>
      <w:r w:rsidRPr="00D35A05">
        <w:t xml:space="preserve"> of cases </w:t>
      </w:r>
      <w:r w:rsidR="003172D5" w:rsidRPr="00D35A05">
        <w:t xml:space="preserve">and therefore </w:t>
      </w:r>
      <w:r w:rsidRPr="00D35A05">
        <w:t xml:space="preserve">may not be directly comparable to results </w:t>
      </w:r>
      <w:r w:rsidR="003172D5" w:rsidRPr="00D35A05">
        <w:t>from</w:t>
      </w:r>
      <w:r w:rsidR="00497D6C" w:rsidRPr="00D35A05">
        <w:t xml:space="preserve"> other countries.</w:t>
      </w:r>
    </w:p>
    <w:p w14:paraId="62394A13" w14:textId="0FDCE717" w:rsidR="000C6F82" w:rsidRDefault="000C6F82" w:rsidP="000B2127">
      <w:pPr>
        <w:pStyle w:val="CDIFigures"/>
      </w:pPr>
      <w:r>
        <w:t xml:space="preserve">Table 3: Number and Case Fatality Rate (CFR) </w:t>
      </w:r>
      <w:r w:rsidR="003172D5">
        <w:t>for</w:t>
      </w:r>
      <w:r>
        <w:t xml:space="preserve"> all cases, hospitalised cases and cases admitted to ICU,</w:t>
      </w:r>
      <w:r w:rsidRPr="00F37904">
        <w:rPr>
          <w:vertAlign w:val="superscript"/>
        </w:rPr>
        <w:t>a</w:t>
      </w:r>
      <w:r>
        <w:t xml:space="preserve"> by age </w:t>
      </w:r>
      <w:r w:rsidR="003172D5">
        <w:t xml:space="preserve">group </w:t>
      </w:r>
      <w:r>
        <w:t>and gender, Australia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Number and Case Fatality Rate (CFR) for all cases, hospitalised cases and cases admitted to ICU by age group and gender, Australia &#10;Table 3 analyses the number and case fatality rate of all cases, hospitalised cases and cases admitted to ICU by age and gender.&#10;"/>
      </w:tblPr>
      <w:tblGrid>
        <w:gridCol w:w="1169"/>
        <w:gridCol w:w="1032"/>
        <w:gridCol w:w="1033"/>
        <w:gridCol w:w="1033"/>
        <w:gridCol w:w="1033"/>
        <w:gridCol w:w="1032"/>
        <w:gridCol w:w="1033"/>
        <w:gridCol w:w="1033"/>
        <w:gridCol w:w="1033"/>
        <w:gridCol w:w="1033"/>
      </w:tblGrid>
      <w:tr w:rsidR="0048340A" w:rsidRPr="00860D7E" w14:paraId="62394A18" w14:textId="77777777" w:rsidTr="00F37904">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62394A14" w14:textId="77777777" w:rsidR="000C6F82" w:rsidRPr="00860D7E" w:rsidRDefault="000C6F82" w:rsidP="00B217C7">
            <w:pPr>
              <w:rPr>
                <w:color w:val="FFFFFF" w:themeColor="background1"/>
                <w:sz w:val="18"/>
                <w:szCs w:val="18"/>
              </w:rPr>
            </w:pPr>
          </w:p>
        </w:tc>
        <w:tc>
          <w:tcPr>
            <w:tcW w:w="3098" w:type="dxa"/>
            <w:gridSpan w:val="3"/>
            <w:tcBorders>
              <w:left w:val="single" w:sz="2" w:space="0" w:color="FFFFFF" w:themeColor="background1"/>
              <w:bottom w:val="single" w:sz="2" w:space="0" w:color="FFFFFF" w:themeColor="background1"/>
              <w:right w:val="single" w:sz="2" w:space="0" w:color="FFFFFF" w:themeColor="background1"/>
            </w:tcBorders>
            <w:hideMark/>
          </w:tcPr>
          <w:p w14:paraId="62394A15"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All cases</w:t>
            </w:r>
          </w:p>
        </w:tc>
        <w:tc>
          <w:tcPr>
            <w:tcW w:w="3098" w:type="dxa"/>
            <w:gridSpan w:val="3"/>
            <w:tcBorders>
              <w:left w:val="single" w:sz="2" w:space="0" w:color="FFFFFF" w:themeColor="background1"/>
              <w:bottom w:val="single" w:sz="2" w:space="0" w:color="FFFFFF" w:themeColor="background1"/>
              <w:right w:val="single" w:sz="2" w:space="0" w:color="FFFFFF" w:themeColor="background1"/>
            </w:tcBorders>
            <w:hideMark/>
          </w:tcPr>
          <w:p w14:paraId="62394A16"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Hospitalisation</w:t>
            </w:r>
          </w:p>
        </w:tc>
        <w:tc>
          <w:tcPr>
            <w:tcW w:w="3099" w:type="dxa"/>
            <w:gridSpan w:val="3"/>
            <w:tcBorders>
              <w:left w:val="single" w:sz="2" w:space="0" w:color="FFFFFF" w:themeColor="background1"/>
              <w:bottom w:val="single" w:sz="2" w:space="0" w:color="FFFFFF" w:themeColor="background1"/>
            </w:tcBorders>
            <w:hideMark/>
          </w:tcPr>
          <w:p w14:paraId="62394A17"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ICU</w:t>
            </w:r>
          </w:p>
        </w:tc>
      </w:tr>
      <w:tr w:rsidR="0048340A" w:rsidRPr="00860D7E" w14:paraId="62394A23" w14:textId="77777777" w:rsidTr="00F3790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62394A19" w14:textId="77777777" w:rsidR="000C6F82" w:rsidRPr="00860D7E" w:rsidRDefault="000C6F82" w:rsidP="00B217C7">
            <w:pPr>
              <w:rPr>
                <w:color w:val="FFFFFF" w:themeColor="background1"/>
                <w:sz w:val="18"/>
                <w:szCs w:val="18"/>
              </w:rPr>
            </w:pPr>
          </w:p>
        </w:tc>
        <w:tc>
          <w:tcPr>
            <w:tcW w:w="1032" w:type="dxa"/>
            <w:tcBorders>
              <w:top w:val="single" w:sz="2" w:space="0" w:color="FFFFFF" w:themeColor="background1"/>
              <w:left w:val="single" w:sz="2" w:space="0" w:color="FFFFFF" w:themeColor="background1"/>
              <w:right w:val="single" w:sz="2" w:space="0" w:color="FFFFFF" w:themeColor="background1"/>
            </w:tcBorders>
            <w:hideMark/>
          </w:tcPr>
          <w:p w14:paraId="62394A1A"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Male</w:t>
            </w:r>
          </w:p>
        </w:tc>
        <w:tc>
          <w:tcPr>
            <w:tcW w:w="1033" w:type="dxa"/>
            <w:tcBorders>
              <w:top w:val="single" w:sz="2" w:space="0" w:color="FFFFFF" w:themeColor="background1"/>
              <w:left w:val="single" w:sz="2" w:space="0" w:color="FFFFFF" w:themeColor="background1"/>
              <w:right w:val="single" w:sz="2" w:space="0" w:color="FFFFFF" w:themeColor="background1"/>
            </w:tcBorders>
            <w:hideMark/>
          </w:tcPr>
          <w:p w14:paraId="62394A1B"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Female</w:t>
            </w:r>
          </w:p>
        </w:tc>
        <w:tc>
          <w:tcPr>
            <w:tcW w:w="1033" w:type="dxa"/>
            <w:tcBorders>
              <w:top w:val="single" w:sz="2" w:space="0" w:color="FFFFFF" w:themeColor="background1"/>
              <w:left w:val="single" w:sz="2" w:space="0" w:color="FFFFFF" w:themeColor="background1"/>
              <w:right w:val="single" w:sz="2" w:space="0" w:color="FFFFFF" w:themeColor="background1"/>
            </w:tcBorders>
            <w:hideMark/>
          </w:tcPr>
          <w:p w14:paraId="62394A1C"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Persons</w:t>
            </w:r>
          </w:p>
        </w:tc>
        <w:tc>
          <w:tcPr>
            <w:tcW w:w="1033" w:type="dxa"/>
            <w:tcBorders>
              <w:top w:val="single" w:sz="2" w:space="0" w:color="FFFFFF" w:themeColor="background1"/>
              <w:left w:val="single" w:sz="2" w:space="0" w:color="FFFFFF" w:themeColor="background1"/>
              <w:right w:val="single" w:sz="2" w:space="0" w:color="FFFFFF" w:themeColor="background1"/>
            </w:tcBorders>
            <w:hideMark/>
          </w:tcPr>
          <w:p w14:paraId="62394A1D"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Male</w:t>
            </w:r>
          </w:p>
        </w:tc>
        <w:tc>
          <w:tcPr>
            <w:tcW w:w="1032" w:type="dxa"/>
            <w:tcBorders>
              <w:top w:val="single" w:sz="2" w:space="0" w:color="FFFFFF" w:themeColor="background1"/>
              <w:left w:val="single" w:sz="2" w:space="0" w:color="FFFFFF" w:themeColor="background1"/>
              <w:right w:val="single" w:sz="2" w:space="0" w:color="FFFFFF" w:themeColor="background1"/>
            </w:tcBorders>
            <w:hideMark/>
          </w:tcPr>
          <w:p w14:paraId="62394A1E"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Female</w:t>
            </w:r>
          </w:p>
        </w:tc>
        <w:tc>
          <w:tcPr>
            <w:tcW w:w="1033" w:type="dxa"/>
            <w:tcBorders>
              <w:top w:val="single" w:sz="2" w:space="0" w:color="FFFFFF" w:themeColor="background1"/>
              <w:left w:val="single" w:sz="2" w:space="0" w:color="FFFFFF" w:themeColor="background1"/>
              <w:right w:val="single" w:sz="2" w:space="0" w:color="FFFFFF" w:themeColor="background1"/>
            </w:tcBorders>
            <w:hideMark/>
          </w:tcPr>
          <w:p w14:paraId="62394A1F"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Persons</w:t>
            </w:r>
          </w:p>
        </w:tc>
        <w:tc>
          <w:tcPr>
            <w:tcW w:w="1033" w:type="dxa"/>
            <w:tcBorders>
              <w:top w:val="single" w:sz="2" w:space="0" w:color="FFFFFF" w:themeColor="background1"/>
              <w:left w:val="single" w:sz="2" w:space="0" w:color="FFFFFF" w:themeColor="background1"/>
              <w:right w:val="single" w:sz="2" w:space="0" w:color="FFFFFF" w:themeColor="background1"/>
            </w:tcBorders>
            <w:hideMark/>
          </w:tcPr>
          <w:p w14:paraId="62394A20"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Male</w:t>
            </w:r>
          </w:p>
        </w:tc>
        <w:tc>
          <w:tcPr>
            <w:tcW w:w="1033" w:type="dxa"/>
            <w:tcBorders>
              <w:top w:val="single" w:sz="2" w:space="0" w:color="FFFFFF" w:themeColor="background1"/>
              <w:left w:val="single" w:sz="2" w:space="0" w:color="FFFFFF" w:themeColor="background1"/>
              <w:right w:val="single" w:sz="2" w:space="0" w:color="FFFFFF" w:themeColor="background1"/>
            </w:tcBorders>
            <w:hideMark/>
          </w:tcPr>
          <w:p w14:paraId="62394A21"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Female</w:t>
            </w:r>
          </w:p>
        </w:tc>
        <w:tc>
          <w:tcPr>
            <w:tcW w:w="1033" w:type="dxa"/>
            <w:tcBorders>
              <w:top w:val="single" w:sz="2" w:space="0" w:color="FFFFFF" w:themeColor="background1"/>
              <w:left w:val="single" w:sz="2" w:space="0" w:color="FFFFFF" w:themeColor="background1"/>
            </w:tcBorders>
            <w:hideMark/>
          </w:tcPr>
          <w:p w14:paraId="62394A22"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Persons</w:t>
            </w:r>
          </w:p>
        </w:tc>
      </w:tr>
      <w:tr w:rsidR="00D35A05" w:rsidRPr="00D35A05" w14:paraId="62394A26" w14:textId="77777777" w:rsidTr="00C3599C">
        <w:tc>
          <w:tcPr>
            <w:tcW w:w="0" w:type="auto"/>
            <w:hideMark/>
          </w:tcPr>
          <w:p w14:paraId="62394A24" w14:textId="77777777" w:rsidR="000C6F82" w:rsidRPr="00D35A05" w:rsidRDefault="000C6F82" w:rsidP="00B217C7">
            <w:pPr>
              <w:rPr>
                <w:b/>
                <w:sz w:val="18"/>
                <w:szCs w:val="18"/>
              </w:rPr>
            </w:pPr>
          </w:p>
        </w:tc>
        <w:tc>
          <w:tcPr>
            <w:tcW w:w="9295" w:type="dxa"/>
            <w:gridSpan w:val="9"/>
            <w:hideMark/>
          </w:tcPr>
          <w:p w14:paraId="62394A25" w14:textId="77777777" w:rsidR="000C6F82" w:rsidRPr="00D35A05" w:rsidRDefault="000C6F82" w:rsidP="00860D7E">
            <w:pPr>
              <w:pStyle w:val="NormalWeb"/>
              <w:jc w:val="center"/>
              <w:rPr>
                <w:b/>
                <w:sz w:val="18"/>
                <w:szCs w:val="18"/>
              </w:rPr>
            </w:pPr>
            <w:r w:rsidRPr="00D35A05">
              <w:rPr>
                <w:b/>
                <w:sz w:val="18"/>
                <w:szCs w:val="18"/>
              </w:rPr>
              <w:t>Number</w:t>
            </w:r>
          </w:p>
        </w:tc>
      </w:tr>
      <w:tr w:rsidR="00D35A05" w:rsidRPr="00D35A05" w14:paraId="62394A31" w14:textId="77777777" w:rsidTr="00CE25BF">
        <w:trPr>
          <w:cnfStyle w:val="000000010000" w:firstRow="0" w:lastRow="0" w:firstColumn="0" w:lastColumn="0" w:oddVBand="0" w:evenVBand="0" w:oddHBand="0" w:evenHBand="1" w:firstRowFirstColumn="0" w:firstRowLastColumn="0" w:lastRowFirstColumn="0" w:lastRowLastColumn="0"/>
        </w:trPr>
        <w:tc>
          <w:tcPr>
            <w:tcW w:w="0" w:type="auto"/>
            <w:hideMark/>
          </w:tcPr>
          <w:p w14:paraId="62394A27" w14:textId="77777777" w:rsidR="000C6F82" w:rsidRPr="00D35A05" w:rsidRDefault="000C6F82" w:rsidP="00B217C7">
            <w:pPr>
              <w:pStyle w:val="NormalWeb"/>
              <w:rPr>
                <w:sz w:val="18"/>
                <w:szCs w:val="18"/>
              </w:rPr>
            </w:pPr>
            <w:r w:rsidRPr="00D35A05">
              <w:rPr>
                <w:sz w:val="18"/>
                <w:szCs w:val="18"/>
              </w:rPr>
              <w:t>Total</w:t>
            </w:r>
          </w:p>
        </w:tc>
        <w:tc>
          <w:tcPr>
            <w:tcW w:w="1032" w:type="dxa"/>
            <w:hideMark/>
          </w:tcPr>
          <w:p w14:paraId="62394A28" w14:textId="3FC26C19" w:rsidR="000C6F82" w:rsidRPr="00D35A05" w:rsidRDefault="000C6F82" w:rsidP="00860D7E">
            <w:pPr>
              <w:pStyle w:val="NormalWeb"/>
              <w:jc w:val="center"/>
              <w:rPr>
                <w:sz w:val="18"/>
                <w:szCs w:val="18"/>
              </w:rPr>
            </w:pPr>
            <w:r w:rsidRPr="00D35A05">
              <w:rPr>
                <w:sz w:val="18"/>
              </w:rPr>
              <w:t>3,</w:t>
            </w:r>
            <w:r w:rsidR="00D042EE" w:rsidRPr="00D042EE">
              <w:rPr>
                <w:sz w:val="18"/>
              </w:rPr>
              <w:t>696</w:t>
            </w:r>
          </w:p>
        </w:tc>
        <w:tc>
          <w:tcPr>
            <w:tcW w:w="1033" w:type="dxa"/>
            <w:hideMark/>
          </w:tcPr>
          <w:p w14:paraId="62394A29" w14:textId="47EC6BA2" w:rsidR="000C6F82" w:rsidRPr="00D35A05" w:rsidRDefault="000C6F82" w:rsidP="00860D7E">
            <w:pPr>
              <w:pStyle w:val="NormalWeb"/>
              <w:jc w:val="center"/>
              <w:rPr>
                <w:sz w:val="18"/>
                <w:szCs w:val="18"/>
              </w:rPr>
            </w:pPr>
            <w:r w:rsidRPr="00D35A05">
              <w:rPr>
                <w:sz w:val="18"/>
              </w:rPr>
              <w:t>3,</w:t>
            </w:r>
            <w:r w:rsidR="00D042EE" w:rsidRPr="00D042EE">
              <w:rPr>
                <w:sz w:val="18"/>
              </w:rPr>
              <w:t>581</w:t>
            </w:r>
          </w:p>
        </w:tc>
        <w:tc>
          <w:tcPr>
            <w:tcW w:w="1033" w:type="dxa"/>
            <w:hideMark/>
          </w:tcPr>
          <w:p w14:paraId="62394A2A" w14:textId="1477A0F0" w:rsidR="000C6F82" w:rsidRPr="00D35A05" w:rsidRDefault="000C6F82" w:rsidP="00860D7E">
            <w:pPr>
              <w:pStyle w:val="NormalWeb"/>
              <w:jc w:val="center"/>
              <w:rPr>
                <w:sz w:val="18"/>
                <w:szCs w:val="18"/>
              </w:rPr>
            </w:pPr>
            <w:r w:rsidRPr="00D35A05">
              <w:rPr>
                <w:sz w:val="18"/>
              </w:rPr>
              <w:t>7,</w:t>
            </w:r>
            <w:r w:rsidR="00D042EE" w:rsidRPr="00D042EE">
              <w:rPr>
                <w:sz w:val="18"/>
              </w:rPr>
              <w:t>277</w:t>
            </w:r>
          </w:p>
        </w:tc>
        <w:tc>
          <w:tcPr>
            <w:tcW w:w="1033" w:type="dxa"/>
            <w:hideMark/>
          </w:tcPr>
          <w:p w14:paraId="62394A2B" w14:textId="0E04A89D" w:rsidR="000C6F82" w:rsidRPr="00D35A05" w:rsidRDefault="000601BA" w:rsidP="00860D7E">
            <w:pPr>
              <w:pStyle w:val="NormalWeb"/>
              <w:jc w:val="center"/>
              <w:rPr>
                <w:sz w:val="18"/>
                <w:szCs w:val="18"/>
              </w:rPr>
            </w:pPr>
            <w:r w:rsidRPr="00D35A05">
              <w:rPr>
                <w:sz w:val="18"/>
              </w:rPr>
              <w:t>596</w:t>
            </w:r>
          </w:p>
        </w:tc>
        <w:tc>
          <w:tcPr>
            <w:tcW w:w="1032" w:type="dxa"/>
            <w:hideMark/>
          </w:tcPr>
          <w:p w14:paraId="62394A2C" w14:textId="24FF45F3" w:rsidR="000C6F82" w:rsidRPr="00D35A05" w:rsidRDefault="000601BA" w:rsidP="00860D7E">
            <w:pPr>
              <w:pStyle w:val="NormalWeb"/>
              <w:jc w:val="center"/>
              <w:rPr>
                <w:sz w:val="18"/>
                <w:szCs w:val="18"/>
              </w:rPr>
            </w:pPr>
            <w:r w:rsidRPr="00D35A05">
              <w:rPr>
                <w:sz w:val="18"/>
              </w:rPr>
              <w:t>514</w:t>
            </w:r>
          </w:p>
        </w:tc>
        <w:tc>
          <w:tcPr>
            <w:tcW w:w="1033" w:type="dxa"/>
            <w:hideMark/>
          </w:tcPr>
          <w:p w14:paraId="62394A2D" w14:textId="44949D09" w:rsidR="000C6F82" w:rsidRPr="00D35A05" w:rsidRDefault="000601BA" w:rsidP="00860D7E">
            <w:pPr>
              <w:pStyle w:val="NormalWeb"/>
              <w:jc w:val="center"/>
              <w:rPr>
                <w:sz w:val="18"/>
                <w:szCs w:val="18"/>
              </w:rPr>
            </w:pPr>
            <w:r w:rsidRPr="00D35A05">
              <w:rPr>
                <w:sz w:val="18"/>
              </w:rPr>
              <w:t>1,110</w:t>
            </w:r>
          </w:p>
        </w:tc>
        <w:tc>
          <w:tcPr>
            <w:tcW w:w="1033" w:type="dxa"/>
            <w:hideMark/>
          </w:tcPr>
          <w:p w14:paraId="62394A2E" w14:textId="094C2FD8" w:rsidR="000C6F82" w:rsidRPr="00D35A05" w:rsidRDefault="000601BA" w:rsidP="00860D7E">
            <w:pPr>
              <w:pStyle w:val="NormalWeb"/>
              <w:jc w:val="center"/>
              <w:rPr>
                <w:sz w:val="18"/>
                <w:szCs w:val="18"/>
              </w:rPr>
            </w:pPr>
            <w:r w:rsidRPr="00D35A05">
              <w:rPr>
                <w:sz w:val="18"/>
              </w:rPr>
              <w:t>130</w:t>
            </w:r>
          </w:p>
        </w:tc>
        <w:tc>
          <w:tcPr>
            <w:tcW w:w="1033" w:type="dxa"/>
            <w:hideMark/>
          </w:tcPr>
          <w:p w14:paraId="62394A2F" w14:textId="47C267C6" w:rsidR="000C6F82" w:rsidRPr="00D35A05" w:rsidRDefault="000601BA" w:rsidP="00860D7E">
            <w:pPr>
              <w:pStyle w:val="NormalWeb"/>
              <w:jc w:val="center"/>
              <w:rPr>
                <w:sz w:val="18"/>
                <w:szCs w:val="18"/>
              </w:rPr>
            </w:pPr>
            <w:r w:rsidRPr="00D35A05">
              <w:rPr>
                <w:sz w:val="18"/>
              </w:rPr>
              <w:t>75</w:t>
            </w:r>
          </w:p>
        </w:tc>
        <w:tc>
          <w:tcPr>
            <w:tcW w:w="1033" w:type="dxa"/>
            <w:hideMark/>
          </w:tcPr>
          <w:p w14:paraId="62394A30" w14:textId="02D1672B" w:rsidR="000C6F82" w:rsidRPr="00D35A05" w:rsidRDefault="000601BA" w:rsidP="00860D7E">
            <w:pPr>
              <w:pStyle w:val="NormalWeb"/>
              <w:jc w:val="center"/>
              <w:rPr>
                <w:sz w:val="18"/>
                <w:szCs w:val="18"/>
              </w:rPr>
            </w:pPr>
            <w:r w:rsidRPr="00D35A05">
              <w:rPr>
                <w:sz w:val="18"/>
              </w:rPr>
              <w:t>205</w:t>
            </w:r>
          </w:p>
        </w:tc>
      </w:tr>
      <w:tr w:rsidR="00D35A05" w:rsidRPr="00D35A05" w14:paraId="62394A34" w14:textId="77777777" w:rsidTr="00C3599C">
        <w:tc>
          <w:tcPr>
            <w:tcW w:w="0" w:type="auto"/>
            <w:hideMark/>
          </w:tcPr>
          <w:p w14:paraId="62394A32" w14:textId="77777777" w:rsidR="000C6F82" w:rsidRPr="00D35A05" w:rsidRDefault="000C6F82" w:rsidP="00B217C7">
            <w:pPr>
              <w:rPr>
                <w:b/>
                <w:sz w:val="18"/>
                <w:szCs w:val="18"/>
              </w:rPr>
            </w:pPr>
          </w:p>
        </w:tc>
        <w:tc>
          <w:tcPr>
            <w:tcW w:w="9295" w:type="dxa"/>
            <w:gridSpan w:val="9"/>
            <w:hideMark/>
          </w:tcPr>
          <w:p w14:paraId="62394A33" w14:textId="77777777" w:rsidR="000C6F82" w:rsidRPr="00D35A05" w:rsidRDefault="000C6F82" w:rsidP="00860D7E">
            <w:pPr>
              <w:pStyle w:val="NormalWeb"/>
              <w:jc w:val="center"/>
              <w:rPr>
                <w:b/>
                <w:sz w:val="18"/>
                <w:szCs w:val="18"/>
              </w:rPr>
            </w:pPr>
            <w:r w:rsidRPr="00D35A05">
              <w:rPr>
                <w:b/>
                <w:sz w:val="18"/>
                <w:szCs w:val="18"/>
              </w:rPr>
              <w:t>Case Fatality Rate (%)</w:t>
            </w:r>
          </w:p>
        </w:tc>
      </w:tr>
      <w:tr w:rsidR="00D35A05" w:rsidRPr="00D35A05" w14:paraId="62394A3F" w14:textId="77777777" w:rsidTr="00CE25BF">
        <w:trPr>
          <w:cnfStyle w:val="000000010000" w:firstRow="0" w:lastRow="0" w:firstColumn="0" w:lastColumn="0" w:oddVBand="0" w:evenVBand="0" w:oddHBand="0" w:evenHBand="1" w:firstRowFirstColumn="0" w:firstRowLastColumn="0" w:lastRowFirstColumn="0" w:lastRowLastColumn="0"/>
        </w:trPr>
        <w:tc>
          <w:tcPr>
            <w:tcW w:w="0" w:type="auto"/>
            <w:hideMark/>
          </w:tcPr>
          <w:p w14:paraId="62394A35" w14:textId="77777777" w:rsidR="000C6F82" w:rsidRPr="00D35A05" w:rsidRDefault="000C6F82" w:rsidP="00B217C7">
            <w:pPr>
              <w:pStyle w:val="NormalWeb"/>
              <w:rPr>
                <w:sz w:val="18"/>
                <w:szCs w:val="18"/>
              </w:rPr>
            </w:pPr>
            <w:r w:rsidRPr="00D35A05">
              <w:rPr>
                <w:sz w:val="18"/>
                <w:szCs w:val="18"/>
              </w:rPr>
              <w:t>Under 50</w:t>
            </w:r>
          </w:p>
        </w:tc>
        <w:tc>
          <w:tcPr>
            <w:tcW w:w="1032" w:type="dxa"/>
            <w:hideMark/>
          </w:tcPr>
          <w:p w14:paraId="62394A36" w14:textId="6EEA64B6" w:rsidR="000C6F82" w:rsidRPr="00D35A05" w:rsidRDefault="000C6F82" w:rsidP="00860D7E">
            <w:pPr>
              <w:pStyle w:val="NormalWeb"/>
              <w:jc w:val="center"/>
              <w:rPr>
                <w:sz w:val="18"/>
                <w:szCs w:val="20"/>
              </w:rPr>
            </w:pPr>
            <w:r w:rsidRPr="00D35A05">
              <w:rPr>
                <w:sz w:val="18"/>
                <w:szCs w:val="20"/>
              </w:rPr>
              <w:t>0.</w:t>
            </w:r>
            <w:r w:rsidR="000601BA" w:rsidRPr="00D35A05">
              <w:rPr>
                <w:sz w:val="18"/>
                <w:szCs w:val="20"/>
              </w:rPr>
              <w:t>05</w:t>
            </w:r>
          </w:p>
        </w:tc>
        <w:tc>
          <w:tcPr>
            <w:tcW w:w="1033" w:type="dxa"/>
            <w:hideMark/>
          </w:tcPr>
          <w:p w14:paraId="62394A37" w14:textId="7956FC39" w:rsidR="000C6F82" w:rsidRPr="00D35A05" w:rsidRDefault="00D042EE" w:rsidP="00860D7E">
            <w:pPr>
              <w:pStyle w:val="NormalWeb"/>
              <w:jc w:val="center"/>
              <w:rPr>
                <w:sz w:val="18"/>
                <w:szCs w:val="20"/>
              </w:rPr>
            </w:pPr>
            <w:r w:rsidRPr="00D042EE">
              <w:rPr>
                <w:sz w:val="18"/>
              </w:rPr>
              <w:t>0</w:t>
            </w:r>
          </w:p>
        </w:tc>
        <w:tc>
          <w:tcPr>
            <w:tcW w:w="1033" w:type="dxa"/>
            <w:hideMark/>
          </w:tcPr>
          <w:p w14:paraId="62394A38" w14:textId="261BB74A" w:rsidR="000C6F82" w:rsidRPr="00D35A05" w:rsidRDefault="000C6F82" w:rsidP="00860D7E">
            <w:pPr>
              <w:pStyle w:val="NormalWeb"/>
              <w:jc w:val="center"/>
              <w:rPr>
                <w:sz w:val="18"/>
                <w:szCs w:val="20"/>
              </w:rPr>
            </w:pPr>
            <w:r w:rsidRPr="00D35A05">
              <w:rPr>
                <w:sz w:val="18"/>
                <w:szCs w:val="20"/>
              </w:rPr>
              <w:t>0.</w:t>
            </w:r>
            <w:r w:rsidR="00D042EE" w:rsidRPr="00D042EE">
              <w:rPr>
                <w:sz w:val="18"/>
              </w:rPr>
              <w:t>03</w:t>
            </w:r>
          </w:p>
        </w:tc>
        <w:tc>
          <w:tcPr>
            <w:tcW w:w="1033" w:type="dxa"/>
            <w:hideMark/>
          </w:tcPr>
          <w:p w14:paraId="62394A39" w14:textId="77777777" w:rsidR="000C6F82" w:rsidRPr="00D35A05" w:rsidRDefault="000C6F82" w:rsidP="00860D7E">
            <w:pPr>
              <w:pStyle w:val="NormalWeb"/>
              <w:jc w:val="center"/>
              <w:rPr>
                <w:sz w:val="18"/>
                <w:szCs w:val="20"/>
              </w:rPr>
            </w:pPr>
            <w:r w:rsidRPr="00D35A05">
              <w:rPr>
                <w:sz w:val="18"/>
                <w:szCs w:val="20"/>
              </w:rPr>
              <w:t>0.6</w:t>
            </w:r>
          </w:p>
        </w:tc>
        <w:tc>
          <w:tcPr>
            <w:tcW w:w="1032" w:type="dxa"/>
            <w:hideMark/>
          </w:tcPr>
          <w:p w14:paraId="62394A3A" w14:textId="182463D7" w:rsidR="000C6F82" w:rsidRPr="00D35A05" w:rsidRDefault="00D042EE" w:rsidP="00860D7E">
            <w:pPr>
              <w:pStyle w:val="NormalWeb"/>
              <w:jc w:val="center"/>
              <w:rPr>
                <w:sz w:val="18"/>
                <w:szCs w:val="20"/>
              </w:rPr>
            </w:pPr>
            <w:r w:rsidRPr="00D042EE">
              <w:rPr>
                <w:sz w:val="18"/>
              </w:rPr>
              <w:t>0</w:t>
            </w:r>
          </w:p>
        </w:tc>
        <w:tc>
          <w:tcPr>
            <w:tcW w:w="1033" w:type="dxa"/>
            <w:hideMark/>
          </w:tcPr>
          <w:p w14:paraId="62394A3B" w14:textId="77777777" w:rsidR="000C6F82" w:rsidRPr="00D35A05" w:rsidRDefault="000C6F82" w:rsidP="00860D7E">
            <w:pPr>
              <w:pStyle w:val="NormalWeb"/>
              <w:jc w:val="center"/>
              <w:rPr>
                <w:sz w:val="18"/>
                <w:szCs w:val="20"/>
              </w:rPr>
            </w:pPr>
            <w:r w:rsidRPr="00D35A05">
              <w:rPr>
                <w:sz w:val="18"/>
                <w:szCs w:val="20"/>
              </w:rPr>
              <w:t>0.3</w:t>
            </w:r>
          </w:p>
        </w:tc>
        <w:tc>
          <w:tcPr>
            <w:tcW w:w="1033" w:type="dxa"/>
            <w:hideMark/>
          </w:tcPr>
          <w:p w14:paraId="62394A3C" w14:textId="24B9EDA8" w:rsidR="000C6F82" w:rsidRPr="00D35A05" w:rsidRDefault="00D042EE" w:rsidP="00860D7E">
            <w:pPr>
              <w:pStyle w:val="NormalWeb"/>
              <w:jc w:val="center"/>
              <w:rPr>
                <w:sz w:val="18"/>
                <w:szCs w:val="20"/>
              </w:rPr>
            </w:pPr>
            <w:r w:rsidRPr="00D042EE">
              <w:rPr>
                <w:sz w:val="18"/>
              </w:rPr>
              <w:t>0</w:t>
            </w:r>
          </w:p>
        </w:tc>
        <w:tc>
          <w:tcPr>
            <w:tcW w:w="1033" w:type="dxa"/>
            <w:hideMark/>
          </w:tcPr>
          <w:p w14:paraId="62394A3D" w14:textId="0513B686" w:rsidR="000C6F82" w:rsidRPr="00D35A05" w:rsidRDefault="00D042EE" w:rsidP="00860D7E">
            <w:pPr>
              <w:pStyle w:val="NormalWeb"/>
              <w:jc w:val="center"/>
              <w:rPr>
                <w:sz w:val="18"/>
                <w:szCs w:val="20"/>
              </w:rPr>
            </w:pPr>
            <w:r w:rsidRPr="00D042EE">
              <w:rPr>
                <w:sz w:val="18"/>
              </w:rPr>
              <w:t>0</w:t>
            </w:r>
          </w:p>
        </w:tc>
        <w:tc>
          <w:tcPr>
            <w:tcW w:w="1033" w:type="dxa"/>
            <w:hideMark/>
          </w:tcPr>
          <w:p w14:paraId="62394A3E" w14:textId="24D73CFC" w:rsidR="000C6F82" w:rsidRPr="00D35A05" w:rsidRDefault="00D042EE" w:rsidP="00860D7E">
            <w:pPr>
              <w:pStyle w:val="NormalWeb"/>
              <w:jc w:val="center"/>
              <w:rPr>
                <w:sz w:val="18"/>
                <w:szCs w:val="20"/>
              </w:rPr>
            </w:pPr>
            <w:r w:rsidRPr="00D042EE">
              <w:rPr>
                <w:sz w:val="18"/>
              </w:rPr>
              <w:t>0</w:t>
            </w:r>
          </w:p>
        </w:tc>
      </w:tr>
      <w:tr w:rsidR="00D35A05" w:rsidRPr="00D35A05" w14:paraId="62394A4A" w14:textId="77777777" w:rsidTr="00CE25BF">
        <w:tc>
          <w:tcPr>
            <w:tcW w:w="0" w:type="auto"/>
            <w:hideMark/>
          </w:tcPr>
          <w:p w14:paraId="62394A40" w14:textId="77777777" w:rsidR="000C6F82" w:rsidRPr="00D35A05" w:rsidRDefault="000C6F82" w:rsidP="00B217C7">
            <w:pPr>
              <w:pStyle w:val="NormalWeb"/>
              <w:rPr>
                <w:sz w:val="18"/>
                <w:szCs w:val="18"/>
              </w:rPr>
            </w:pPr>
            <w:r w:rsidRPr="00D35A05">
              <w:rPr>
                <w:sz w:val="18"/>
                <w:szCs w:val="18"/>
              </w:rPr>
              <w:t>50–64</w:t>
            </w:r>
          </w:p>
        </w:tc>
        <w:tc>
          <w:tcPr>
            <w:tcW w:w="1032" w:type="dxa"/>
            <w:hideMark/>
          </w:tcPr>
          <w:p w14:paraId="62394A41" w14:textId="77777777" w:rsidR="000C6F82" w:rsidRPr="00D35A05" w:rsidRDefault="000C6F82" w:rsidP="00860D7E">
            <w:pPr>
              <w:pStyle w:val="NormalWeb"/>
              <w:jc w:val="center"/>
              <w:rPr>
                <w:sz w:val="18"/>
                <w:szCs w:val="20"/>
              </w:rPr>
            </w:pPr>
            <w:r w:rsidRPr="00D35A05">
              <w:rPr>
                <w:sz w:val="18"/>
                <w:szCs w:val="20"/>
              </w:rPr>
              <w:t>0.5</w:t>
            </w:r>
          </w:p>
        </w:tc>
        <w:tc>
          <w:tcPr>
            <w:tcW w:w="1033" w:type="dxa"/>
            <w:hideMark/>
          </w:tcPr>
          <w:p w14:paraId="62394A42" w14:textId="77777777" w:rsidR="000C6F82" w:rsidRPr="00D35A05" w:rsidRDefault="000C6F82" w:rsidP="00860D7E">
            <w:pPr>
              <w:pStyle w:val="NormalWeb"/>
              <w:jc w:val="center"/>
              <w:rPr>
                <w:sz w:val="18"/>
                <w:szCs w:val="20"/>
              </w:rPr>
            </w:pPr>
            <w:r w:rsidRPr="00D35A05">
              <w:rPr>
                <w:sz w:val="18"/>
                <w:szCs w:val="20"/>
              </w:rPr>
              <w:t>0.3</w:t>
            </w:r>
          </w:p>
        </w:tc>
        <w:tc>
          <w:tcPr>
            <w:tcW w:w="1033" w:type="dxa"/>
            <w:hideMark/>
          </w:tcPr>
          <w:p w14:paraId="62394A43" w14:textId="77777777" w:rsidR="000C6F82" w:rsidRPr="00D35A05" w:rsidRDefault="000C6F82" w:rsidP="00860D7E">
            <w:pPr>
              <w:pStyle w:val="NormalWeb"/>
              <w:jc w:val="center"/>
              <w:rPr>
                <w:sz w:val="18"/>
                <w:szCs w:val="20"/>
              </w:rPr>
            </w:pPr>
            <w:r w:rsidRPr="00D35A05">
              <w:rPr>
                <w:sz w:val="18"/>
                <w:szCs w:val="20"/>
              </w:rPr>
              <w:t>0.4</w:t>
            </w:r>
          </w:p>
        </w:tc>
        <w:tc>
          <w:tcPr>
            <w:tcW w:w="1033" w:type="dxa"/>
            <w:hideMark/>
          </w:tcPr>
          <w:p w14:paraId="62394A44" w14:textId="41933F3C" w:rsidR="000C6F82" w:rsidRPr="00D35A05" w:rsidRDefault="000601BA" w:rsidP="00860D7E">
            <w:pPr>
              <w:pStyle w:val="NormalWeb"/>
              <w:jc w:val="center"/>
              <w:rPr>
                <w:sz w:val="18"/>
                <w:szCs w:val="20"/>
              </w:rPr>
            </w:pPr>
            <w:r w:rsidRPr="00D35A05">
              <w:rPr>
                <w:sz w:val="18"/>
                <w:szCs w:val="20"/>
              </w:rPr>
              <w:t>2.7</w:t>
            </w:r>
          </w:p>
        </w:tc>
        <w:tc>
          <w:tcPr>
            <w:tcW w:w="1032" w:type="dxa"/>
            <w:hideMark/>
          </w:tcPr>
          <w:p w14:paraId="62394A45" w14:textId="60213349" w:rsidR="000C6F82" w:rsidRPr="00D35A05" w:rsidRDefault="000C6F82" w:rsidP="00860D7E">
            <w:pPr>
              <w:pStyle w:val="NormalWeb"/>
              <w:jc w:val="center"/>
              <w:rPr>
                <w:sz w:val="18"/>
                <w:szCs w:val="20"/>
              </w:rPr>
            </w:pPr>
            <w:r w:rsidRPr="00D35A05">
              <w:rPr>
                <w:sz w:val="18"/>
                <w:szCs w:val="20"/>
              </w:rPr>
              <w:t>1.</w:t>
            </w:r>
            <w:r w:rsidR="000601BA" w:rsidRPr="00D35A05">
              <w:rPr>
                <w:sz w:val="18"/>
                <w:szCs w:val="20"/>
              </w:rPr>
              <w:t>9</w:t>
            </w:r>
          </w:p>
        </w:tc>
        <w:tc>
          <w:tcPr>
            <w:tcW w:w="1033" w:type="dxa"/>
            <w:hideMark/>
          </w:tcPr>
          <w:p w14:paraId="62394A46" w14:textId="07AEE2DA" w:rsidR="000C6F82" w:rsidRPr="00D35A05" w:rsidRDefault="000C6F82" w:rsidP="00860D7E">
            <w:pPr>
              <w:pStyle w:val="NormalWeb"/>
              <w:jc w:val="center"/>
              <w:rPr>
                <w:sz w:val="18"/>
                <w:szCs w:val="20"/>
              </w:rPr>
            </w:pPr>
            <w:r w:rsidRPr="00D35A05">
              <w:rPr>
                <w:sz w:val="18"/>
                <w:szCs w:val="20"/>
              </w:rPr>
              <w:t>2.</w:t>
            </w:r>
            <w:r w:rsidR="000601BA" w:rsidRPr="00D35A05">
              <w:rPr>
                <w:sz w:val="18"/>
                <w:szCs w:val="20"/>
              </w:rPr>
              <w:t>3</w:t>
            </w:r>
          </w:p>
        </w:tc>
        <w:tc>
          <w:tcPr>
            <w:tcW w:w="1033" w:type="dxa"/>
            <w:hideMark/>
          </w:tcPr>
          <w:p w14:paraId="62394A47" w14:textId="77777777" w:rsidR="000C6F82" w:rsidRPr="00D35A05" w:rsidRDefault="000C6F82" w:rsidP="00860D7E">
            <w:pPr>
              <w:pStyle w:val="NormalWeb"/>
              <w:jc w:val="center"/>
              <w:rPr>
                <w:sz w:val="18"/>
                <w:szCs w:val="20"/>
              </w:rPr>
            </w:pPr>
            <w:r w:rsidRPr="00D35A05">
              <w:rPr>
                <w:sz w:val="18"/>
                <w:szCs w:val="20"/>
              </w:rPr>
              <w:t>11.4</w:t>
            </w:r>
          </w:p>
        </w:tc>
        <w:tc>
          <w:tcPr>
            <w:tcW w:w="1033" w:type="dxa"/>
            <w:hideMark/>
          </w:tcPr>
          <w:p w14:paraId="62394A48" w14:textId="7BDDC043" w:rsidR="000C6F82" w:rsidRPr="00D35A05" w:rsidRDefault="00D042EE" w:rsidP="00860D7E">
            <w:pPr>
              <w:pStyle w:val="NormalWeb"/>
              <w:jc w:val="center"/>
              <w:rPr>
                <w:sz w:val="18"/>
                <w:szCs w:val="20"/>
              </w:rPr>
            </w:pPr>
            <w:r w:rsidRPr="00D042EE">
              <w:rPr>
                <w:sz w:val="18"/>
              </w:rPr>
              <w:t>0.0</w:t>
            </w:r>
          </w:p>
        </w:tc>
        <w:tc>
          <w:tcPr>
            <w:tcW w:w="1033" w:type="dxa"/>
            <w:hideMark/>
          </w:tcPr>
          <w:p w14:paraId="62394A49" w14:textId="77777777" w:rsidR="000C6F82" w:rsidRPr="00D35A05" w:rsidRDefault="000C6F82" w:rsidP="00860D7E">
            <w:pPr>
              <w:pStyle w:val="NormalWeb"/>
              <w:jc w:val="center"/>
              <w:rPr>
                <w:sz w:val="18"/>
                <w:szCs w:val="20"/>
              </w:rPr>
            </w:pPr>
            <w:r w:rsidRPr="00D35A05">
              <w:rPr>
                <w:sz w:val="18"/>
                <w:szCs w:val="20"/>
              </w:rPr>
              <w:t>6.8</w:t>
            </w:r>
          </w:p>
        </w:tc>
      </w:tr>
      <w:tr w:rsidR="00D35A05" w:rsidRPr="00D35A05" w14:paraId="62394A55" w14:textId="77777777" w:rsidTr="00CE25BF">
        <w:trPr>
          <w:cnfStyle w:val="000000010000" w:firstRow="0" w:lastRow="0" w:firstColumn="0" w:lastColumn="0" w:oddVBand="0" w:evenVBand="0" w:oddHBand="0" w:evenHBand="1" w:firstRowFirstColumn="0" w:firstRowLastColumn="0" w:lastRowFirstColumn="0" w:lastRowLastColumn="0"/>
        </w:trPr>
        <w:tc>
          <w:tcPr>
            <w:tcW w:w="0" w:type="auto"/>
            <w:hideMark/>
          </w:tcPr>
          <w:p w14:paraId="62394A4B" w14:textId="77777777" w:rsidR="000C6F82" w:rsidRPr="00D35A05" w:rsidRDefault="000C6F82" w:rsidP="00B217C7">
            <w:pPr>
              <w:pStyle w:val="NormalWeb"/>
              <w:rPr>
                <w:sz w:val="18"/>
                <w:szCs w:val="18"/>
              </w:rPr>
            </w:pPr>
            <w:r w:rsidRPr="00D35A05">
              <w:rPr>
                <w:sz w:val="18"/>
                <w:szCs w:val="18"/>
              </w:rPr>
              <w:t>65–79</w:t>
            </w:r>
          </w:p>
        </w:tc>
        <w:tc>
          <w:tcPr>
            <w:tcW w:w="1032" w:type="dxa"/>
            <w:hideMark/>
          </w:tcPr>
          <w:p w14:paraId="62394A4C" w14:textId="77777777" w:rsidR="000C6F82" w:rsidRPr="00D35A05" w:rsidRDefault="000C6F82" w:rsidP="00860D7E">
            <w:pPr>
              <w:pStyle w:val="NormalWeb"/>
              <w:jc w:val="center"/>
              <w:rPr>
                <w:sz w:val="18"/>
                <w:szCs w:val="20"/>
              </w:rPr>
            </w:pPr>
            <w:r w:rsidRPr="00D35A05">
              <w:rPr>
                <w:sz w:val="18"/>
                <w:szCs w:val="20"/>
              </w:rPr>
              <w:t>3.6</w:t>
            </w:r>
          </w:p>
        </w:tc>
        <w:tc>
          <w:tcPr>
            <w:tcW w:w="1033" w:type="dxa"/>
            <w:hideMark/>
          </w:tcPr>
          <w:p w14:paraId="62394A4D" w14:textId="77777777" w:rsidR="000C6F82" w:rsidRPr="00D35A05" w:rsidRDefault="000C6F82" w:rsidP="00860D7E">
            <w:pPr>
              <w:pStyle w:val="NormalWeb"/>
              <w:jc w:val="center"/>
              <w:rPr>
                <w:sz w:val="18"/>
                <w:szCs w:val="20"/>
              </w:rPr>
            </w:pPr>
            <w:r w:rsidRPr="00D35A05">
              <w:rPr>
                <w:sz w:val="18"/>
                <w:szCs w:val="20"/>
              </w:rPr>
              <w:t>2.6</w:t>
            </w:r>
          </w:p>
        </w:tc>
        <w:tc>
          <w:tcPr>
            <w:tcW w:w="1033" w:type="dxa"/>
            <w:hideMark/>
          </w:tcPr>
          <w:p w14:paraId="62394A4E" w14:textId="77777777" w:rsidR="000C6F82" w:rsidRPr="00D35A05" w:rsidRDefault="000C6F82" w:rsidP="00860D7E">
            <w:pPr>
              <w:pStyle w:val="NormalWeb"/>
              <w:jc w:val="center"/>
              <w:rPr>
                <w:sz w:val="18"/>
                <w:szCs w:val="20"/>
              </w:rPr>
            </w:pPr>
            <w:r w:rsidRPr="00D35A05">
              <w:rPr>
                <w:sz w:val="18"/>
                <w:szCs w:val="20"/>
              </w:rPr>
              <w:t>3.1</w:t>
            </w:r>
          </w:p>
        </w:tc>
        <w:tc>
          <w:tcPr>
            <w:tcW w:w="1033" w:type="dxa"/>
            <w:hideMark/>
          </w:tcPr>
          <w:p w14:paraId="62394A4F" w14:textId="69452165" w:rsidR="000C6F82" w:rsidRPr="00D35A05" w:rsidRDefault="000601BA" w:rsidP="00860D7E">
            <w:pPr>
              <w:pStyle w:val="NormalWeb"/>
              <w:jc w:val="center"/>
              <w:rPr>
                <w:sz w:val="18"/>
                <w:szCs w:val="20"/>
              </w:rPr>
            </w:pPr>
            <w:r w:rsidRPr="00D35A05">
              <w:rPr>
                <w:sz w:val="18"/>
                <w:szCs w:val="20"/>
              </w:rPr>
              <w:t>10.4</w:t>
            </w:r>
          </w:p>
        </w:tc>
        <w:tc>
          <w:tcPr>
            <w:tcW w:w="1032" w:type="dxa"/>
            <w:hideMark/>
          </w:tcPr>
          <w:p w14:paraId="62394A50" w14:textId="6E45E652" w:rsidR="000C6F82" w:rsidRPr="00D35A05" w:rsidRDefault="000C6F82" w:rsidP="00860D7E">
            <w:pPr>
              <w:pStyle w:val="NormalWeb"/>
              <w:jc w:val="center"/>
              <w:rPr>
                <w:sz w:val="18"/>
                <w:szCs w:val="20"/>
              </w:rPr>
            </w:pPr>
            <w:r w:rsidRPr="00D35A05">
              <w:rPr>
                <w:sz w:val="18"/>
                <w:szCs w:val="20"/>
              </w:rPr>
              <w:t>9.</w:t>
            </w:r>
            <w:r w:rsidR="000601BA" w:rsidRPr="00D35A05">
              <w:rPr>
                <w:sz w:val="18"/>
                <w:szCs w:val="20"/>
              </w:rPr>
              <w:t>3</w:t>
            </w:r>
          </w:p>
        </w:tc>
        <w:tc>
          <w:tcPr>
            <w:tcW w:w="1033" w:type="dxa"/>
            <w:hideMark/>
          </w:tcPr>
          <w:p w14:paraId="62394A51" w14:textId="7DA02053" w:rsidR="000C6F82" w:rsidRPr="00D35A05" w:rsidRDefault="000601BA" w:rsidP="00860D7E">
            <w:pPr>
              <w:pStyle w:val="NormalWeb"/>
              <w:jc w:val="center"/>
              <w:rPr>
                <w:sz w:val="18"/>
                <w:szCs w:val="20"/>
              </w:rPr>
            </w:pPr>
            <w:r w:rsidRPr="00D35A05">
              <w:rPr>
                <w:sz w:val="18"/>
                <w:szCs w:val="20"/>
              </w:rPr>
              <w:t>9.9</w:t>
            </w:r>
          </w:p>
        </w:tc>
        <w:tc>
          <w:tcPr>
            <w:tcW w:w="1033" w:type="dxa"/>
            <w:hideMark/>
          </w:tcPr>
          <w:p w14:paraId="62394A52" w14:textId="77777777" w:rsidR="000C6F82" w:rsidRPr="00D35A05" w:rsidRDefault="000C6F82" w:rsidP="00860D7E">
            <w:pPr>
              <w:pStyle w:val="NormalWeb"/>
              <w:jc w:val="center"/>
              <w:rPr>
                <w:sz w:val="18"/>
                <w:szCs w:val="20"/>
              </w:rPr>
            </w:pPr>
            <w:r w:rsidRPr="00D35A05">
              <w:rPr>
                <w:sz w:val="18"/>
                <w:szCs w:val="20"/>
              </w:rPr>
              <w:t>17.5</w:t>
            </w:r>
          </w:p>
        </w:tc>
        <w:tc>
          <w:tcPr>
            <w:tcW w:w="1033" w:type="dxa"/>
            <w:hideMark/>
          </w:tcPr>
          <w:p w14:paraId="62394A53" w14:textId="77777777" w:rsidR="000C6F82" w:rsidRPr="00D35A05" w:rsidRDefault="000C6F82" w:rsidP="00860D7E">
            <w:pPr>
              <w:pStyle w:val="NormalWeb"/>
              <w:jc w:val="center"/>
              <w:rPr>
                <w:sz w:val="18"/>
                <w:szCs w:val="20"/>
              </w:rPr>
            </w:pPr>
            <w:r w:rsidRPr="00D35A05">
              <w:rPr>
                <w:sz w:val="18"/>
                <w:szCs w:val="20"/>
              </w:rPr>
              <w:t>13.8</w:t>
            </w:r>
          </w:p>
        </w:tc>
        <w:tc>
          <w:tcPr>
            <w:tcW w:w="1033" w:type="dxa"/>
            <w:hideMark/>
          </w:tcPr>
          <w:p w14:paraId="62394A54" w14:textId="77777777" w:rsidR="000C6F82" w:rsidRPr="00D35A05" w:rsidRDefault="000C6F82" w:rsidP="00860D7E">
            <w:pPr>
              <w:pStyle w:val="NormalWeb"/>
              <w:jc w:val="center"/>
              <w:rPr>
                <w:sz w:val="18"/>
                <w:szCs w:val="20"/>
              </w:rPr>
            </w:pPr>
            <w:r w:rsidRPr="00D35A05">
              <w:rPr>
                <w:sz w:val="18"/>
                <w:szCs w:val="20"/>
              </w:rPr>
              <w:t>16.3</w:t>
            </w:r>
          </w:p>
        </w:tc>
      </w:tr>
      <w:tr w:rsidR="00D35A05" w:rsidRPr="00D35A05" w14:paraId="62394A60" w14:textId="77777777" w:rsidTr="00CE25BF">
        <w:tc>
          <w:tcPr>
            <w:tcW w:w="0" w:type="auto"/>
            <w:hideMark/>
          </w:tcPr>
          <w:p w14:paraId="62394A56" w14:textId="77777777" w:rsidR="000C6F82" w:rsidRPr="00D35A05" w:rsidRDefault="000C6F82" w:rsidP="00B217C7">
            <w:pPr>
              <w:pStyle w:val="NormalWeb"/>
              <w:rPr>
                <w:sz w:val="18"/>
                <w:szCs w:val="18"/>
              </w:rPr>
            </w:pPr>
            <w:r w:rsidRPr="00D35A05">
              <w:rPr>
                <w:sz w:val="18"/>
                <w:szCs w:val="18"/>
              </w:rPr>
              <w:t>80 and over</w:t>
            </w:r>
          </w:p>
        </w:tc>
        <w:tc>
          <w:tcPr>
            <w:tcW w:w="1032" w:type="dxa"/>
            <w:hideMark/>
          </w:tcPr>
          <w:p w14:paraId="62394A57" w14:textId="6BBD0D5E" w:rsidR="000C6F82" w:rsidRPr="00D35A05" w:rsidRDefault="000C6F82" w:rsidP="00860D7E">
            <w:pPr>
              <w:pStyle w:val="NormalWeb"/>
              <w:jc w:val="center"/>
              <w:rPr>
                <w:sz w:val="18"/>
                <w:szCs w:val="20"/>
              </w:rPr>
            </w:pPr>
            <w:r w:rsidRPr="00D35A05">
              <w:rPr>
                <w:sz w:val="18"/>
                <w:szCs w:val="20"/>
              </w:rPr>
              <w:t>21.</w:t>
            </w:r>
            <w:r w:rsidR="000601BA" w:rsidRPr="00D35A05">
              <w:rPr>
                <w:sz w:val="18"/>
                <w:szCs w:val="20"/>
              </w:rPr>
              <w:t>9</w:t>
            </w:r>
          </w:p>
        </w:tc>
        <w:tc>
          <w:tcPr>
            <w:tcW w:w="1033" w:type="dxa"/>
            <w:hideMark/>
          </w:tcPr>
          <w:p w14:paraId="62394A58" w14:textId="5377814F" w:rsidR="000C6F82" w:rsidRPr="00D35A05" w:rsidRDefault="000C6F82" w:rsidP="00860D7E">
            <w:pPr>
              <w:pStyle w:val="NormalWeb"/>
              <w:jc w:val="center"/>
              <w:rPr>
                <w:sz w:val="18"/>
                <w:szCs w:val="20"/>
              </w:rPr>
            </w:pPr>
            <w:r w:rsidRPr="00D35A05">
              <w:rPr>
                <w:sz w:val="18"/>
                <w:szCs w:val="20"/>
              </w:rPr>
              <w:t>24.</w:t>
            </w:r>
            <w:r w:rsidR="000601BA" w:rsidRPr="00D35A05">
              <w:rPr>
                <w:sz w:val="18"/>
                <w:szCs w:val="20"/>
              </w:rPr>
              <w:t>1</w:t>
            </w:r>
          </w:p>
        </w:tc>
        <w:tc>
          <w:tcPr>
            <w:tcW w:w="1033" w:type="dxa"/>
            <w:hideMark/>
          </w:tcPr>
          <w:p w14:paraId="62394A59" w14:textId="224A3647" w:rsidR="000C6F82" w:rsidRPr="00D35A05" w:rsidRDefault="000601BA" w:rsidP="00860D7E">
            <w:pPr>
              <w:pStyle w:val="NormalWeb"/>
              <w:jc w:val="center"/>
              <w:rPr>
                <w:sz w:val="18"/>
                <w:szCs w:val="20"/>
              </w:rPr>
            </w:pPr>
            <w:r w:rsidRPr="00D35A05">
              <w:rPr>
                <w:sz w:val="18"/>
                <w:szCs w:val="20"/>
              </w:rPr>
              <w:t>23.0</w:t>
            </w:r>
          </w:p>
        </w:tc>
        <w:tc>
          <w:tcPr>
            <w:tcW w:w="1033" w:type="dxa"/>
            <w:hideMark/>
          </w:tcPr>
          <w:p w14:paraId="62394A5A" w14:textId="6B61756F" w:rsidR="000C6F82" w:rsidRPr="00D35A05" w:rsidRDefault="000601BA" w:rsidP="00860D7E">
            <w:pPr>
              <w:pStyle w:val="NormalWeb"/>
              <w:jc w:val="center"/>
              <w:rPr>
                <w:sz w:val="18"/>
                <w:szCs w:val="20"/>
              </w:rPr>
            </w:pPr>
            <w:r w:rsidRPr="00D35A05">
              <w:rPr>
                <w:sz w:val="18"/>
                <w:szCs w:val="20"/>
              </w:rPr>
              <w:t>32.3</w:t>
            </w:r>
          </w:p>
        </w:tc>
        <w:tc>
          <w:tcPr>
            <w:tcW w:w="1032" w:type="dxa"/>
            <w:hideMark/>
          </w:tcPr>
          <w:p w14:paraId="62394A5B" w14:textId="63CC1DEE" w:rsidR="000C6F82" w:rsidRPr="00D35A05" w:rsidRDefault="000601BA" w:rsidP="00860D7E">
            <w:pPr>
              <w:pStyle w:val="NormalWeb"/>
              <w:jc w:val="center"/>
              <w:rPr>
                <w:sz w:val="18"/>
                <w:szCs w:val="20"/>
              </w:rPr>
            </w:pPr>
            <w:r w:rsidRPr="00D35A05">
              <w:rPr>
                <w:sz w:val="18"/>
                <w:szCs w:val="20"/>
              </w:rPr>
              <w:t>38</w:t>
            </w:r>
            <w:r w:rsidR="000C6F82" w:rsidRPr="00D35A05">
              <w:rPr>
                <w:sz w:val="18"/>
                <w:szCs w:val="20"/>
              </w:rPr>
              <w:t>.0</w:t>
            </w:r>
          </w:p>
        </w:tc>
        <w:tc>
          <w:tcPr>
            <w:tcW w:w="1033" w:type="dxa"/>
            <w:hideMark/>
          </w:tcPr>
          <w:p w14:paraId="62394A5C" w14:textId="62578DF9" w:rsidR="000C6F82" w:rsidRPr="00D35A05" w:rsidRDefault="000C6F82" w:rsidP="00860D7E">
            <w:pPr>
              <w:pStyle w:val="NormalWeb"/>
              <w:jc w:val="center"/>
              <w:rPr>
                <w:sz w:val="18"/>
                <w:szCs w:val="20"/>
              </w:rPr>
            </w:pPr>
            <w:r w:rsidRPr="00D35A05">
              <w:rPr>
                <w:sz w:val="18"/>
                <w:szCs w:val="20"/>
              </w:rPr>
              <w:t>34.</w:t>
            </w:r>
            <w:r w:rsidR="000601BA" w:rsidRPr="00D35A05">
              <w:rPr>
                <w:sz w:val="18"/>
                <w:szCs w:val="20"/>
              </w:rPr>
              <w:t>8</w:t>
            </w:r>
          </w:p>
        </w:tc>
        <w:tc>
          <w:tcPr>
            <w:tcW w:w="1033" w:type="dxa"/>
            <w:hideMark/>
          </w:tcPr>
          <w:p w14:paraId="62394A5D" w14:textId="77777777" w:rsidR="000C6F82" w:rsidRPr="00D35A05" w:rsidRDefault="000C6F82" w:rsidP="00860D7E">
            <w:pPr>
              <w:pStyle w:val="NormalWeb"/>
              <w:jc w:val="center"/>
              <w:rPr>
                <w:sz w:val="18"/>
                <w:szCs w:val="20"/>
              </w:rPr>
            </w:pPr>
            <w:r w:rsidRPr="00D35A05">
              <w:rPr>
                <w:sz w:val="18"/>
                <w:szCs w:val="20"/>
              </w:rPr>
              <w:t>75.0</w:t>
            </w:r>
          </w:p>
        </w:tc>
        <w:tc>
          <w:tcPr>
            <w:tcW w:w="1033" w:type="dxa"/>
            <w:hideMark/>
          </w:tcPr>
          <w:p w14:paraId="62394A5E" w14:textId="77777777" w:rsidR="000C6F82" w:rsidRPr="00D35A05" w:rsidRDefault="000C6F82" w:rsidP="00860D7E">
            <w:pPr>
              <w:pStyle w:val="NormalWeb"/>
              <w:jc w:val="center"/>
              <w:rPr>
                <w:sz w:val="18"/>
                <w:szCs w:val="20"/>
              </w:rPr>
            </w:pPr>
            <w:r w:rsidRPr="00D35A05">
              <w:rPr>
                <w:sz w:val="18"/>
                <w:szCs w:val="20"/>
              </w:rPr>
              <w:t>33.3</w:t>
            </w:r>
          </w:p>
        </w:tc>
        <w:tc>
          <w:tcPr>
            <w:tcW w:w="1033" w:type="dxa"/>
            <w:hideMark/>
          </w:tcPr>
          <w:p w14:paraId="62394A5F" w14:textId="77777777" w:rsidR="000C6F82" w:rsidRPr="00D35A05" w:rsidRDefault="000C6F82" w:rsidP="00860D7E">
            <w:pPr>
              <w:pStyle w:val="NormalWeb"/>
              <w:jc w:val="center"/>
              <w:rPr>
                <w:sz w:val="18"/>
                <w:szCs w:val="20"/>
              </w:rPr>
            </w:pPr>
            <w:r w:rsidRPr="00D35A05">
              <w:rPr>
                <w:sz w:val="18"/>
                <w:szCs w:val="20"/>
              </w:rPr>
              <w:t>57.1</w:t>
            </w:r>
          </w:p>
        </w:tc>
      </w:tr>
      <w:tr w:rsidR="00D35A05" w:rsidRPr="00D35A05" w14:paraId="62394A6B" w14:textId="77777777" w:rsidTr="00CE25BF">
        <w:trPr>
          <w:cnfStyle w:val="000000010000" w:firstRow="0" w:lastRow="0" w:firstColumn="0" w:lastColumn="0" w:oddVBand="0" w:evenVBand="0" w:oddHBand="0" w:evenHBand="1" w:firstRowFirstColumn="0" w:firstRowLastColumn="0" w:lastRowFirstColumn="0" w:lastRowLastColumn="0"/>
        </w:trPr>
        <w:tc>
          <w:tcPr>
            <w:tcW w:w="0" w:type="auto"/>
            <w:hideMark/>
          </w:tcPr>
          <w:p w14:paraId="62394A61" w14:textId="77777777" w:rsidR="000C6F82" w:rsidRPr="00D35A05" w:rsidRDefault="000C6F82" w:rsidP="00B217C7">
            <w:pPr>
              <w:pStyle w:val="NormalWeb"/>
              <w:rPr>
                <w:b/>
                <w:sz w:val="18"/>
                <w:szCs w:val="18"/>
              </w:rPr>
            </w:pPr>
            <w:r w:rsidRPr="00D35A05">
              <w:rPr>
                <w:b/>
                <w:sz w:val="18"/>
                <w:szCs w:val="18"/>
              </w:rPr>
              <w:t>All age groups</w:t>
            </w:r>
          </w:p>
        </w:tc>
        <w:tc>
          <w:tcPr>
            <w:tcW w:w="1032" w:type="dxa"/>
            <w:hideMark/>
          </w:tcPr>
          <w:p w14:paraId="62394A62" w14:textId="5A238383" w:rsidR="000C6F82" w:rsidRPr="00D35A05" w:rsidRDefault="000C6F82" w:rsidP="00860D7E">
            <w:pPr>
              <w:pStyle w:val="NormalWeb"/>
              <w:jc w:val="center"/>
              <w:rPr>
                <w:b/>
                <w:sz w:val="18"/>
                <w:szCs w:val="18"/>
              </w:rPr>
            </w:pPr>
            <w:r w:rsidRPr="00D042EE">
              <w:rPr>
                <w:sz w:val="18"/>
              </w:rPr>
              <w:t>1.</w:t>
            </w:r>
            <w:r w:rsidR="00D042EE" w:rsidRPr="00D042EE">
              <w:rPr>
                <w:sz w:val="18"/>
              </w:rPr>
              <w:t>6</w:t>
            </w:r>
          </w:p>
        </w:tc>
        <w:tc>
          <w:tcPr>
            <w:tcW w:w="1033" w:type="dxa"/>
            <w:hideMark/>
          </w:tcPr>
          <w:p w14:paraId="62394A63" w14:textId="77777777" w:rsidR="000C6F82" w:rsidRPr="00D35A05" w:rsidRDefault="000C6F82" w:rsidP="00860D7E">
            <w:pPr>
              <w:pStyle w:val="NormalWeb"/>
              <w:jc w:val="center"/>
              <w:rPr>
                <w:b/>
                <w:sz w:val="18"/>
                <w:szCs w:val="18"/>
              </w:rPr>
            </w:pPr>
            <w:r w:rsidRPr="00D042EE">
              <w:rPr>
                <w:sz w:val="18"/>
              </w:rPr>
              <w:t>1.3</w:t>
            </w:r>
          </w:p>
        </w:tc>
        <w:tc>
          <w:tcPr>
            <w:tcW w:w="1033" w:type="dxa"/>
            <w:hideMark/>
          </w:tcPr>
          <w:p w14:paraId="62394A64" w14:textId="77777777" w:rsidR="000C6F82" w:rsidRPr="00D35A05" w:rsidRDefault="000C6F82" w:rsidP="00860D7E">
            <w:pPr>
              <w:pStyle w:val="NormalWeb"/>
              <w:jc w:val="center"/>
              <w:rPr>
                <w:b/>
                <w:sz w:val="18"/>
                <w:szCs w:val="18"/>
              </w:rPr>
            </w:pPr>
            <w:r w:rsidRPr="00D042EE">
              <w:rPr>
                <w:sz w:val="18"/>
              </w:rPr>
              <w:t>1.4</w:t>
            </w:r>
          </w:p>
        </w:tc>
        <w:tc>
          <w:tcPr>
            <w:tcW w:w="1033" w:type="dxa"/>
            <w:hideMark/>
          </w:tcPr>
          <w:p w14:paraId="62394A65" w14:textId="4B57C3DD" w:rsidR="000C6F82" w:rsidRPr="00D35A05" w:rsidRDefault="000601BA" w:rsidP="00860D7E">
            <w:pPr>
              <w:pStyle w:val="NormalWeb"/>
              <w:jc w:val="center"/>
              <w:rPr>
                <w:b/>
                <w:sz w:val="18"/>
                <w:szCs w:val="18"/>
              </w:rPr>
            </w:pPr>
            <w:r w:rsidRPr="00D042EE">
              <w:rPr>
                <w:sz w:val="18"/>
              </w:rPr>
              <w:t>7.9</w:t>
            </w:r>
          </w:p>
        </w:tc>
        <w:tc>
          <w:tcPr>
            <w:tcW w:w="1032" w:type="dxa"/>
            <w:hideMark/>
          </w:tcPr>
          <w:p w14:paraId="62394A66" w14:textId="3C6B5C32" w:rsidR="000C6F82" w:rsidRPr="00D35A05" w:rsidRDefault="000C6F82" w:rsidP="00860D7E">
            <w:pPr>
              <w:pStyle w:val="NormalWeb"/>
              <w:jc w:val="center"/>
              <w:rPr>
                <w:b/>
                <w:sz w:val="18"/>
                <w:szCs w:val="18"/>
              </w:rPr>
            </w:pPr>
            <w:r w:rsidRPr="00D042EE">
              <w:rPr>
                <w:sz w:val="18"/>
              </w:rPr>
              <w:t>6.</w:t>
            </w:r>
            <w:r w:rsidR="000601BA" w:rsidRPr="00D042EE">
              <w:rPr>
                <w:sz w:val="18"/>
              </w:rPr>
              <w:t>8</w:t>
            </w:r>
          </w:p>
        </w:tc>
        <w:tc>
          <w:tcPr>
            <w:tcW w:w="1033" w:type="dxa"/>
            <w:hideMark/>
          </w:tcPr>
          <w:p w14:paraId="62394A67" w14:textId="4CFA8009" w:rsidR="000C6F82" w:rsidRPr="00D35A05" w:rsidRDefault="000C6F82" w:rsidP="00860D7E">
            <w:pPr>
              <w:pStyle w:val="NormalWeb"/>
              <w:jc w:val="center"/>
              <w:rPr>
                <w:b/>
                <w:sz w:val="18"/>
                <w:szCs w:val="18"/>
              </w:rPr>
            </w:pPr>
            <w:r w:rsidRPr="00D042EE">
              <w:rPr>
                <w:sz w:val="18"/>
              </w:rPr>
              <w:t>7.</w:t>
            </w:r>
            <w:r w:rsidR="000601BA" w:rsidRPr="00D042EE">
              <w:rPr>
                <w:sz w:val="18"/>
              </w:rPr>
              <w:t>4</w:t>
            </w:r>
          </w:p>
        </w:tc>
        <w:tc>
          <w:tcPr>
            <w:tcW w:w="1033" w:type="dxa"/>
            <w:hideMark/>
          </w:tcPr>
          <w:p w14:paraId="62394A68" w14:textId="6B3C5360" w:rsidR="000C6F82" w:rsidRPr="00D35A05" w:rsidRDefault="000C6F82" w:rsidP="00860D7E">
            <w:pPr>
              <w:pStyle w:val="NormalWeb"/>
              <w:jc w:val="center"/>
              <w:rPr>
                <w:b/>
                <w:sz w:val="18"/>
                <w:szCs w:val="18"/>
              </w:rPr>
            </w:pPr>
            <w:r w:rsidRPr="00D042EE">
              <w:rPr>
                <w:sz w:val="18"/>
              </w:rPr>
              <w:t>15.</w:t>
            </w:r>
            <w:r w:rsidR="000601BA" w:rsidRPr="00D042EE">
              <w:rPr>
                <w:sz w:val="18"/>
              </w:rPr>
              <w:t>4</w:t>
            </w:r>
          </w:p>
        </w:tc>
        <w:tc>
          <w:tcPr>
            <w:tcW w:w="1033" w:type="dxa"/>
            <w:hideMark/>
          </w:tcPr>
          <w:p w14:paraId="62394A69" w14:textId="2DCBEDD7" w:rsidR="000C6F82" w:rsidRPr="00D35A05" w:rsidRDefault="000C6F82" w:rsidP="00860D7E">
            <w:pPr>
              <w:pStyle w:val="NormalWeb"/>
              <w:jc w:val="center"/>
              <w:rPr>
                <w:b/>
                <w:sz w:val="18"/>
                <w:szCs w:val="18"/>
              </w:rPr>
            </w:pPr>
            <w:r w:rsidRPr="00D042EE">
              <w:rPr>
                <w:sz w:val="18"/>
              </w:rPr>
              <w:t>8.</w:t>
            </w:r>
            <w:r w:rsidR="000601BA" w:rsidRPr="00D042EE">
              <w:rPr>
                <w:sz w:val="18"/>
              </w:rPr>
              <w:t>0</w:t>
            </w:r>
          </w:p>
        </w:tc>
        <w:tc>
          <w:tcPr>
            <w:tcW w:w="1033" w:type="dxa"/>
            <w:hideMark/>
          </w:tcPr>
          <w:p w14:paraId="62394A6A" w14:textId="00717FFF" w:rsidR="000C6F82" w:rsidRPr="00D35A05" w:rsidRDefault="000C6F82" w:rsidP="00860D7E">
            <w:pPr>
              <w:pStyle w:val="NormalWeb"/>
              <w:jc w:val="center"/>
              <w:rPr>
                <w:b/>
                <w:sz w:val="18"/>
                <w:szCs w:val="18"/>
              </w:rPr>
            </w:pPr>
            <w:r w:rsidRPr="00D042EE">
              <w:rPr>
                <w:sz w:val="18"/>
              </w:rPr>
              <w:t>12.</w:t>
            </w:r>
            <w:r w:rsidR="000601BA" w:rsidRPr="00D042EE">
              <w:rPr>
                <w:sz w:val="18"/>
              </w:rPr>
              <w:t>7</w:t>
            </w:r>
          </w:p>
        </w:tc>
      </w:tr>
    </w:tbl>
    <w:p w14:paraId="2F4C39A6" w14:textId="77777777" w:rsidR="00D450F8" w:rsidRDefault="000C6F82" w:rsidP="00D450F8">
      <w:pPr>
        <w:pStyle w:val="CDIfootnotes"/>
        <w:ind w:left="284" w:hanging="284"/>
      </w:pPr>
      <w:r>
        <w:t>a</w:t>
      </w:r>
      <w:r>
        <w:tab/>
        <w:t>Source: NNDSS.</w:t>
      </w:r>
    </w:p>
    <w:p w14:paraId="3E5B5B75" w14:textId="77777777" w:rsidR="00824150" w:rsidRDefault="00824150">
      <w:pPr>
        <w:rPr>
          <w:rFonts w:asciiTheme="majorHAnsi" w:eastAsiaTheme="majorEastAsia" w:hAnsiTheme="majorHAnsi" w:cstheme="majorBidi"/>
          <w:b/>
          <w:bCs/>
          <w:sz w:val="26"/>
          <w:szCs w:val="26"/>
        </w:rPr>
      </w:pPr>
      <w:r>
        <w:br w:type="page"/>
      </w:r>
    </w:p>
    <w:p w14:paraId="62394A6E" w14:textId="2D94BE75" w:rsidR="000C6F82" w:rsidRPr="00D35A05" w:rsidRDefault="000C6F82" w:rsidP="00D450F8">
      <w:pPr>
        <w:pStyle w:val="Heading2"/>
      </w:pPr>
      <w:r w:rsidRPr="00D35A05">
        <w:lastRenderedPageBreak/>
        <w:t xml:space="preserve">Comorbidities </w:t>
      </w:r>
    </w:p>
    <w:p w14:paraId="4FC3E2EF" w14:textId="11DAA9FC" w:rsidR="00037FDD" w:rsidRPr="00D35A05" w:rsidRDefault="00037FDD" w:rsidP="00037FDD">
      <w:pPr>
        <w:rPr>
          <w:i/>
        </w:rPr>
      </w:pPr>
      <w:r w:rsidRPr="00D450F8">
        <w:rPr>
          <w:i/>
        </w:rPr>
        <w:t xml:space="preserve">As at 24 May 2020 (not updated </w:t>
      </w:r>
      <w:r w:rsidR="008044EE" w:rsidRPr="00D450F8">
        <w:rPr>
          <w:i/>
        </w:rPr>
        <w:t xml:space="preserve">for </w:t>
      </w:r>
      <w:r w:rsidRPr="00D450F8">
        <w:rPr>
          <w:i/>
        </w:rPr>
        <w:t>this reporting period)</w:t>
      </w:r>
    </w:p>
    <w:p w14:paraId="62394A6F" w14:textId="77777777" w:rsidR="000C6F82" w:rsidRPr="00D35A05" w:rsidRDefault="000C6F82" w:rsidP="000B2127">
      <w:r w:rsidRPr="00D35A05">
        <w:t xml:space="preserve">Of all cases, 29% reported one or more comorbid conditions. The proportion of COVID-19 cases who reported one or more comorbid conditions increased with disease severity. Having one or more comorbid conditions was found to be significantly associated with increased odds of hospitalisation and death among COVID-19 cases aged 50 and over. </w:t>
      </w:r>
    </w:p>
    <w:p w14:paraId="0E613A8D" w14:textId="77777777" w:rsidR="00CC71A9" w:rsidRDefault="000C6F82" w:rsidP="00D450F8">
      <w:r w:rsidRPr="00D35A05">
        <w:t>Cardiac disease, diabetes and chronic respiratory conditions are the most common comorbid conditions among COVID-19 cases (Table 4). Asthma is the most commonly reported comorbidity across all cases, but shows little correlation with increasing disease severity.</w:t>
      </w:r>
    </w:p>
    <w:p w14:paraId="62394A72" w14:textId="2FB6AEEB" w:rsidR="000C6F82" w:rsidRDefault="000C6F82" w:rsidP="00CC71A9">
      <w:pPr>
        <w:pStyle w:val="CDIFigures"/>
      </w:pPr>
      <w:r>
        <w:t>Table 4: COVID-19 comorbidities for all cases, hospitalised cases, cases admitted to ICU and deaths (number of cases, proportion of cases),</w:t>
      </w:r>
      <w:r w:rsidRPr="0017191A">
        <w:rPr>
          <w:vertAlign w:val="superscript"/>
        </w:rPr>
        <w:t>a</w:t>
      </w:r>
      <w:r>
        <w:t xml:space="preserve"> Australia</w:t>
      </w:r>
    </w:p>
    <w:tbl>
      <w:tblPr>
        <w:tblStyle w:val="CDI-StandardTable"/>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57" w:type="dxa"/>
          <w:left w:w="57" w:type="dxa"/>
          <w:bottom w:w="57" w:type="dxa"/>
          <w:right w:w="57" w:type="dxa"/>
        </w:tblCellMar>
        <w:tblLook w:val="04A0" w:firstRow="1" w:lastRow="0" w:firstColumn="1" w:lastColumn="0" w:noHBand="0" w:noVBand="1"/>
        <w:tblDescription w:val="Table 4: COVID-19 comorbidities for all cases, hospitalised cases, cases admitted to ICU and deaths (number of cases, proportion of cases), Australia &#10;Table 4 ranks the prevalence of reported comorbidities among all cases, hospitalised cases, cases admitted to ICU and deaths. While the most widely-reported comorbidity among all cases is asthma, closely followed by cardiac disease (excluding hypertension) and diabetes, and while the latter two comorbidities are the most widely-reported comorbidities among hospitalised cases, those admitted to the ICU, and non-survivors, asthma is seen to be progressively less heavily represented among cases as COVID-19 disease severity intensifies.&#10;"/>
      </w:tblPr>
      <w:tblGrid>
        <w:gridCol w:w="488"/>
        <w:gridCol w:w="2493"/>
        <w:gridCol w:w="2493"/>
        <w:gridCol w:w="2493"/>
        <w:gridCol w:w="2493"/>
      </w:tblGrid>
      <w:tr w:rsidR="0048340A" w:rsidRPr="00860D7E" w14:paraId="62394A7C" w14:textId="77777777" w:rsidTr="00712417">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62394A73" w14:textId="77777777" w:rsidR="000C6F82" w:rsidRPr="00860D7E" w:rsidRDefault="000C6F82" w:rsidP="00860D7E">
            <w:pPr>
              <w:pStyle w:val="NormalWeb"/>
              <w:jc w:val="center"/>
              <w:rPr>
                <w:color w:val="FFFFFF" w:themeColor="background1"/>
                <w:sz w:val="18"/>
                <w:szCs w:val="18"/>
              </w:rPr>
            </w:pPr>
            <w:r w:rsidRPr="00860D7E">
              <w:rPr>
                <w:color w:val="FFFFFF" w:themeColor="background1"/>
                <w:sz w:val="18"/>
                <w:szCs w:val="18"/>
              </w:rPr>
              <w:t>Rank</w:t>
            </w:r>
          </w:p>
        </w:tc>
        <w:tc>
          <w:tcPr>
            <w:tcW w:w="0" w:type="auto"/>
            <w:hideMark/>
          </w:tcPr>
          <w:p w14:paraId="62394A75" w14:textId="029CB6A3" w:rsidR="000C6F82" w:rsidRPr="00860D7E" w:rsidRDefault="000C6F82" w:rsidP="00416DDF">
            <w:pPr>
              <w:pStyle w:val="NormalWeb"/>
              <w:jc w:val="center"/>
              <w:rPr>
                <w:color w:val="FFFFFF" w:themeColor="background1"/>
                <w:sz w:val="18"/>
                <w:szCs w:val="18"/>
              </w:rPr>
            </w:pPr>
            <w:r w:rsidRPr="00860D7E">
              <w:rPr>
                <w:color w:val="FFFFFF" w:themeColor="background1"/>
                <w:sz w:val="18"/>
                <w:szCs w:val="18"/>
              </w:rPr>
              <w:t>All cases</w:t>
            </w:r>
            <w:r w:rsidR="00416DDF">
              <w:rPr>
                <w:color w:val="FFFFFF" w:themeColor="background1"/>
                <w:sz w:val="18"/>
                <w:szCs w:val="18"/>
              </w:rPr>
              <w:br/>
            </w:r>
            <w:r w:rsidRPr="00860D7E">
              <w:rPr>
                <w:color w:val="FFFFFF" w:themeColor="background1"/>
                <w:sz w:val="18"/>
                <w:szCs w:val="18"/>
              </w:rPr>
              <w:t>(n=5,354)</w:t>
            </w:r>
          </w:p>
        </w:tc>
        <w:tc>
          <w:tcPr>
            <w:tcW w:w="0" w:type="auto"/>
            <w:hideMark/>
          </w:tcPr>
          <w:p w14:paraId="62394A77" w14:textId="66C4AA7E" w:rsidR="000C6F82" w:rsidRPr="00860D7E" w:rsidRDefault="000C6F82" w:rsidP="00416DDF">
            <w:pPr>
              <w:pStyle w:val="NormalWeb"/>
              <w:jc w:val="center"/>
              <w:rPr>
                <w:color w:val="FFFFFF" w:themeColor="background1"/>
                <w:sz w:val="18"/>
                <w:szCs w:val="18"/>
              </w:rPr>
            </w:pPr>
            <w:r w:rsidRPr="00860D7E">
              <w:rPr>
                <w:color w:val="FFFFFF" w:themeColor="background1"/>
                <w:sz w:val="18"/>
                <w:szCs w:val="18"/>
              </w:rPr>
              <w:t>Hospitalised cases</w:t>
            </w:r>
            <w:r w:rsidR="00416DDF">
              <w:rPr>
                <w:color w:val="FFFFFF" w:themeColor="background1"/>
                <w:sz w:val="18"/>
                <w:szCs w:val="18"/>
              </w:rPr>
              <w:br/>
            </w:r>
            <w:r w:rsidRPr="00860D7E">
              <w:rPr>
                <w:color w:val="FFFFFF" w:themeColor="background1"/>
                <w:sz w:val="18"/>
                <w:szCs w:val="18"/>
              </w:rPr>
              <w:t>(n=682)</w:t>
            </w:r>
          </w:p>
        </w:tc>
        <w:tc>
          <w:tcPr>
            <w:tcW w:w="0" w:type="auto"/>
            <w:hideMark/>
          </w:tcPr>
          <w:p w14:paraId="62394A79" w14:textId="331FC83D" w:rsidR="000C6F82" w:rsidRPr="00860D7E" w:rsidRDefault="000C6F82" w:rsidP="00416DDF">
            <w:pPr>
              <w:pStyle w:val="NormalWeb"/>
              <w:jc w:val="center"/>
              <w:rPr>
                <w:color w:val="FFFFFF" w:themeColor="background1"/>
                <w:sz w:val="18"/>
                <w:szCs w:val="18"/>
              </w:rPr>
            </w:pPr>
            <w:r w:rsidRPr="00860D7E">
              <w:rPr>
                <w:color w:val="FFFFFF" w:themeColor="background1"/>
                <w:sz w:val="18"/>
                <w:szCs w:val="18"/>
              </w:rPr>
              <w:t>ICU cases</w:t>
            </w:r>
            <w:r w:rsidR="00416DDF">
              <w:rPr>
                <w:color w:val="FFFFFF" w:themeColor="background1"/>
                <w:sz w:val="18"/>
                <w:szCs w:val="18"/>
              </w:rPr>
              <w:br/>
            </w:r>
            <w:r w:rsidRPr="00860D7E">
              <w:rPr>
                <w:color w:val="FFFFFF" w:themeColor="background1"/>
                <w:sz w:val="18"/>
                <w:szCs w:val="18"/>
              </w:rPr>
              <w:t>(n=162)</w:t>
            </w:r>
          </w:p>
        </w:tc>
        <w:tc>
          <w:tcPr>
            <w:tcW w:w="0" w:type="auto"/>
            <w:hideMark/>
          </w:tcPr>
          <w:p w14:paraId="62394A7B" w14:textId="04CBA8B6" w:rsidR="000C6F82" w:rsidRPr="00860D7E" w:rsidRDefault="000C6F82" w:rsidP="00416DDF">
            <w:pPr>
              <w:pStyle w:val="NormalWeb"/>
              <w:jc w:val="center"/>
              <w:rPr>
                <w:color w:val="FFFFFF" w:themeColor="background1"/>
                <w:sz w:val="18"/>
                <w:szCs w:val="18"/>
              </w:rPr>
            </w:pPr>
            <w:r w:rsidRPr="00860D7E">
              <w:rPr>
                <w:color w:val="FFFFFF" w:themeColor="background1"/>
                <w:sz w:val="18"/>
                <w:szCs w:val="18"/>
              </w:rPr>
              <w:t>Deaths</w:t>
            </w:r>
            <w:r w:rsidR="00416DDF">
              <w:rPr>
                <w:color w:val="FFFFFF" w:themeColor="background1"/>
                <w:sz w:val="18"/>
                <w:szCs w:val="18"/>
              </w:rPr>
              <w:br/>
            </w:r>
            <w:r w:rsidRPr="00860D7E">
              <w:rPr>
                <w:color w:val="FFFFFF" w:themeColor="background1"/>
                <w:sz w:val="18"/>
                <w:szCs w:val="18"/>
              </w:rPr>
              <w:t>(n=80)</w:t>
            </w:r>
          </w:p>
        </w:tc>
      </w:tr>
      <w:tr w:rsidR="000C6F82" w:rsidRPr="00860D7E" w14:paraId="62394A7F" w14:textId="77777777" w:rsidTr="00712417">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62394A7D" w14:textId="77777777" w:rsidR="000C6F82" w:rsidRPr="00860D7E" w:rsidRDefault="000C6F82" w:rsidP="00860D7E">
            <w:pPr>
              <w:jc w:val="center"/>
              <w:rPr>
                <w:sz w:val="18"/>
                <w:szCs w:val="18"/>
              </w:rPr>
            </w:pPr>
          </w:p>
        </w:tc>
        <w:tc>
          <w:tcPr>
            <w:tcW w:w="0" w:type="auto"/>
            <w:gridSpan w:val="4"/>
            <w:hideMark/>
          </w:tcPr>
          <w:p w14:paraId="62394A7E" w14:textId="77777777" w:rsidR="000C6F82" w:rsidRPr="00693793" w:rsidRDefault="000C6F82" w:rsidP="00860D7E">
            <w:pPr>
              <w:pStyle w:val="NormalWeb"/>
              <w:jc w:val="center"/>
              <w:rPr>
                <w:color w:val="FFFFFF" w:themeColor="background1"/>
                <w:sz w:val="18"/>
                <w:szCs w:val="18"/>
              </w:rPr>
            </w:pPr>
            <w:r w:rsidRPr="00693793">
              <w:rPr>
                <w:color w:val="FFFFFF" w:themeColor="background1"/>
                <w:sz w:val="18"/>
                <w:szCs w:val="18"/>
              </w:rPr>
              <w:t>Common comorbidities</w:t>
            </w:r>
          </w:p>
        </w:tc>
      </w:tr>
      <w:tr w:rsidR="000C6F82" w:rsidRPr="00860D7E" w14:paraId="62394A88" w14:textId="77777777" w:rsidTr="00712417">
        <w:tc>
          <w:tcPr>
            <w:tcW w:w="0" w:type="auto"/>
            <w:shd w:val="clear" w:color="auto" w:fill="auto"/>
            <w:hideMark/>
          </w:tcPr>
          <w:p w14:paraId="62394A80" w14:textId="77777777" w:rsidR="000C6F82" w:rsidRPr="00860D7E" w:rsidRDefault="000C6F82" w:rsidP="00AA3E97">
            <w:pPr>
              <w:pStyle w:val="NormalWeb"/>
              <w:jc w:val="center"/>
              <w:rPr>
                <w:sz w:val="18"/>
                <w:szCs w:val="18"/>
              </w:rPr>
            </w:pPr>
            <w:r w:rsidRPr="00860D7E">
              <w:rPr>
                <w:sz w:val="18"/>
                <w:szCs w:val="18"/>
              </w:rPr>
              <w:t>1</w:t>
            </w:r>
          </w:p>
        </w:tc>
        <w:tc>
          <w:tcPr>
            <w:tcW w:w="0" w:type="auto"/>
            <w:shd w:val="clear" w:color="auto" w:fill="auto"/>
            <w:hideMark/>
          </w:tcPr>
          <w:p w14:paraId="62394A81" w14:textId="77777777" w:rsidR="000C6F82" w:rsidRPr="00860D7E" w:rsidRDefault="000C6F82" w:rsidP="00AA3E97">
            <w:pPr>
              <w:pStyle w:val="NormalWeb"/>
              <w:jc w:val="center"/>
              <w:rPr>
                <w:sz w:val="18"/>
                <w:szCs w:val="18"/>
              </w:rPr>
            </w:pPr>
            <w:r w:rsidRPr="00860D7E">
              <w:rPr>
                <w:sz w:val="18"/>
                <w:szCs w:val="18"/>
              </w:rPr>
              <w:t>Asthma</w:t>
            </w:r>
            <w:r w:rsidRPr="00860D7E">
              <w:rPr>
                <w:sz w:val="18"/>
                <w:szCs w:val="18"/>
              </w:rPr>
              <w:br/>
              <w:t>(451, 8%)</w:t>
            </w:r>
          </w:p>
        </w:tc>
        <w:tc>
          <w:tcPr>
            <w:tcW w:w="0" w:type="auto"/>
            <w:shd w:val="clear" w:color="auto" w:fill="auto"/>
            <w:hideMark/>
          </w:tcPr>
          <w:p w14:paraId="62394A83" w14:textId="69664201" w:rsidR="000C6F82" w:rsidRPr="00860D7E" w:rsidRDefault="000C6F82" w:rsidP="00AA3E97">
            <w:pPr>
              <w:pStyle w:val="NormalWeb"/>
              <w:jc w:val="center"/>
              <w:rPr>
                <w:sz w:val="18"/>
                <w:szCs w:val="18"/>
              </w:rPr>
            </w:pPr>
            <w:r w:rsidRPr="00860D7E">
              <w:rPr>
                <w:sz w:val="18"/>
                <w:szCs w:val="18"/>
              </w:rPr>
              <w:t>Cardiac disease</w:t>
            </w:r>
            <w:r w:rsidRPr="00B24C64">
              <w:rPr>
                <w:sz w:val="18"/>
                <w:szCs w:val="18"/>
                <w:vertAlign w:val="superscript"/>
              </w:rPr>
              <w:t>b</w:t>
            </w:r>
            <w:r w:rsidR="00456093">
              <w:rPr>
                <w:sz w:val="18"/>
                <w:szCs w:val="18"/>
                <w:vertAlign w:val="superscript"/>
              </w:rPr>
              <w:br/>
            </w:r>
            <w:r w:rsidRPr="00860D7E">
              <w:rPr>
                <w:sz w:val="18"/>
                <w:szCs w:val="18"/>
              </w:rPr>
              <w:t>(128, 19%)</w:t>
            </w:r>
          </w:p>
        </w:tc>
        <w:tc>
          <w:tcPr>
            <w:tcW w:w="0" w:type="auto"/>
            <w:shd w:val="clear" w:color="auto" w:fill="auto"/>
            <w:hideMark/>
          </w:tcPr>
          <w:p w14:paraId="62394A85" w14:textId="1A5623D3" w:rsidR="000C6F82" w:rsidRPr="00860D7E" w:rsidRDefault="000C6F82" w:rsidP="00416DDF">
            <w:pPr>
              <w:pStyle w:val="NormalWeb"/>
              <w:jc w:val="center"/>
              <w:rPr>
                <w:sz w:val="18"/>
                <w:szCs w:val="18"/>
              </w:rPr>
            </w:pPr>
            <w:r w:rsidRPr="00860D7E">
              <w:rPr>
                <w:sz w:val="18"/>
                <w:szCs w:val="18"/>
              </w:rPr>
              <w:t>Diabetes</w:t>
            </w:r>
            <w:r w:rsidR="00416DDF">
              <w:rPr>
                <w:sz w:val="18"/>
                <w:szCs w:val="18"/>
              </w:rPr>
              <w:br/>
            </w:r>
            <w:r w:rsidRPr="00860D7E">
              <w:rPr>
                <w:sz w:val="18"/>
                <w:szCs w:val="18"/>
              </w:rPr>
              <w:t>(39, 24%)</w:t>
            </w:r>
          </w:p>
        </w:tc>
        <w:tc>
          <w:tcPr>
            <w:tcW w:w="0" w:type="auto"/>
            <w:shd w:val="clear" w:color="auto" w:fill="auto"/>
            <w:hideMark/>
          </w:tcPr>
          <w:p w14:paraId="62394A87" w14:textId="7B3E1FF2" w:rsidR="000C6F82" w:rsidRPr="00860D7E" w:rsidRDefault="000C6F82" w:rsidP="00416DDF">
            <w:pPr>
              <w:pStyle w:val="NormalWeb"/>
              <w:jc w:val="center"/>
              <w:rPr>
                <w:sz w:val="18"/>
                <w:szCs w:val="18"/>
              </w:rPr>
            </w:pPr>
            <w:r w:rsidRPr="00860D7E">
              <w:rPr>
                <w:sz w:val="18"/>
                <w:szCs w:val="18"/>
              </w:rPr>
              <w:t>Cardiac disease</w:t>
            </w:r>
            <w:r w:rsidRPr="00B24C64">
              <w:rPr>
                <w:sz w:val="18"/>
                <w:szCs w:val="18"/>
                <w:vertAlign w:val="superscript"/>
              </w:rPr>
              <w:t>b</w:t>
            </w:r>
            <w:r w:rsidR="00416DDF">
              <w:rPr>
                <w:sz w:val="18"/>
                <w:szCs w:val="18"/>
                <w:vertAlign w:val="superscript"/>
              </w:rPr>
              <w:br/>
            </w:r>
            <w:r w:rsidRPr="00860D7E">
              <w:rPr>
                <w:sz w:val="18"/>
                <w:szCs w:val="18"/>
              </w:rPr>
              <w:t>(28, 35%)</w:t>
            </w:r>
          </w:p>
        </w:tc>
      </w:tr>
      <w:tr w:rsidR="000C6F82" w:rsidRPr="00860D7E" w14:paraId="62394A92" w14:textId="77777777" w:rsidTr="00712417">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62394A89" w14:textId="77777777" w:rsidR="000C6F82" w:rsidRPr="00860D7E" w:rsidRDefault="000C6F82" w:rsidP="00AA3E97">
            <w:pPr>
              <w:pStyle w:val="NormalWeb"/>
              <w:jc w:val="center"/>
              <w:rPr>
                <w:sz w:val="18"/>
                <w:szCs w:val="18"/>
              </w:rPr>
            </w:pPr>
            <w:r w:rsidRPr="00860D7E">
              <w:rPr>
                <w:sz w:val="18"/>
                <w:szCs w:val="18"/>
              </w:rPr>
              <w:t>2</w:t>
            </w:r>
          </w:p>
        </w:tc>
        <w:tc>
          <w:tcPr>
            <w:tcW w:w="0" w:type="auto"/>
            <w:shd w:val="clear" w:color="auto" w:fill="auto"/>
            <w:hideMark/>
          </w:tcPr>
          <w:p w14:paraId="62394A8B" w14:textId="02C86C37" w:rsidR="000C6F82" w:rsidRPr="00860D7E" w:rsidRDefault="000C6F82" w:rsidP="00416DDF">
            <w:pPr>
              <w:pStyle w:val="NormalWeb"/>
              <w:jc w:val="center"/>
              <w:rPr>
                <w:sz w:val="18"/>
                <w:szCs w:val="18"/>
              </w:rPr>
            </w:pPr>
            <w:r w:rsidRPr="00860D7E">
              <w:rPr>
                <w:sz w:val="18"/>
                <w:szCs w:val="18"/>
              </w:rPr>
              <w:t>Cardiac disease</w:t>
            </w:r>
            <w:r w:rsidRPr="00B24C64">
              <w:rPr>
                <w:sz w:val="18"/>
                <w:szCs w:val="18"/>
                <w:vertAlign w:val="superscript"/>
              </w:rPr>
              <w:t>b</w:t>
            </w:r>
            <w:r w:rsidR="00416DDF">
              <w:rPr>
                <w:sz w:val="18"/>
                <w:szCs w:val="18"/>
                <w:vertAlign w:val="superscript"/>
              </w:rPr>
              <w:br/>
            </w:r>
            <w:r w:rsidRPr="00860D7E">
              <w:rPr>
                <w:sz w:val="18"/>
                <w:szCs w:val="18"/>
              </w:rPr>
              <w:t>(435, 8%)</w:t>
            </w:r>
          </w:p>
        </w:tc>
        <w:tc>
          <w:tcPr>
            <w:tcW w:w="0" w:type="auto"/>
            <w:shd w:val="clear" w:color="auto" w:fill="auto"/>
            <w:hideMark/>
          </w:tcPr>
          <w:p w14:paraId="62394A8D" w14:textId="2C272887" w:rsidR="000C6F82" w:rsidRPr="00860D7E" w:rsidRDefault="000C6F82" w:rsidP="00AA3E97">
            <w:pPr>
              <w:pStyle w:val="NormalWeb"/>
              <w:jc w:val="center"/>
              <w:rPr>
                <w:sz w:val="18"/>
                <w:szCs w:val="18"/>
              </w:rPr>
            </w:pPr>
            <w:r w:rsidRPr="00860D7E">
              <w:rPr>
                <w:sz w:val="18"/>
                <w:szCs w:val="18"/>
              </w:rPr>
              <w:t>Diabetes</w:t>
            </w:r>
            <w:r w:rsidR="00456093">
              <w:rPr>
                <w:sz w:val="18"/>
                <w:szCs w:val="18"/>
              </w:rPr>
              <w:br/>
            </w:r>
            <w:r w:rsidRPr="00860D7E">
              <w:rPr>
                <w:sz w:val="18"/>
                <w:szCs w:val="18"/>
              </w:rPr>
              <w:t>(119, 17%)</w:t>
            </w:r>
          </w:p>
        </w:tc>
        <w:tc>
          <w:tcPr>
            <w:tcW w:w="0" w:type="auto"/>
            <w:shd w:val="clear" w:color="auto" w:fill="auto"/>
            <w:hideMark/>
          </w:tcPr>
          <w:p w14:paraId="62394A8F" w14:textId="6434EE4F" w:rsidR="000C6F82" w:rsidRPr="00860D7E" w:rsidRDefault="000C6F82" w:rsidP="00AA3E97">
            <w:pPr>
              <w:pStyle w:val="NormalWeb"/>
              <w:jc w:val="center"/>
              <w:rPr>
                <w:sz w:val="18"/>
                <w:szCs w:val="18"/>
              </w:rPr>
            </w:pPr>
            <w:r w:rsidRPr="00860D7E">
              <w:rPr>
                <w:sz w:val="18"/>
                <w:szCs w:val="18"/>
              </w:rPr>
              <w:t>Cardiac disease</w:t>
            </w:r>
            <w:r w:rsidRPr="00B24C64">
              <w:rPr>
                <w:sz w:val="18"/>
                <w:szCs w:val="18"/>
                <w:vertAlign w:val="superscript"/>
              </w:rPr>
              <w:t>b</w:t>
            </w:r>
            <w:r w:rsidR="00456093">
              <w:rPr>
                <w:sz w:val="18"/>
                <w:szCs w:val="18"/>
                <w:vertAlign w:val="superscript"/>
              </w:rPr>
              <w:br/>
            </w:r>
            <w:r w:rsidRPr="00860D7E">
              <w:rPr>
                <w:sz w:val="18"/>
                <w:szCs w:val="18"/>
              </w:rPr>
              <w:t>(32, 20%)</w:t>
            </w:r>
          </w:p>
        </w:tc>
        <w:tc>
          <w:tcPr>
            <w:tcW w:w="0" w:type="auto"/>
            <w:shd w:val="clear" w:color="auto" w:fill="auto"/>
            <w:hideMark/>
          </w:tcPr>
          <w:p w14:paraId="62394A91" w14:textId="3C7F671D" w:rsidR="000C6F82" w:rsidRPr="00860D7E" w:rsidRDefault="000C6F82" w:rsidP="00416DDF">
            <w:pPr>
              <w:pStyle w:val="NormalWeb"/>
              <w:jc w:val="center"/>
              <w:rPr>
                <w:sz w:val="18"/>
                <w:szCs w:val="18"/>
              </w:rPr>
            </w:pPr>
            <w:r w:rsidRPr="00860D7E">
              <w:rPr>
                <w:sz w:val="18"/>
                <w:szCs w:val="18"/>
              </w:rPr>
              <w:t>Diabetes</w:t>
            </w:r>
            <w:r w:rsidR="00416DDF">
              <w:rPr>
                <w:sz w:val="18"/>
                <w:szCs w:val="18"/>
              </w:rPr>
              <w:br/>
            </w:r>
            <w:r w:rsidRPr="00860D7E">
              <w:rPr>
                <w:sz w:val="18"/>
                <w:szCs w:val="18"/>
              </w:rPr>
              <w:t>(21, 26%)</w:t>
            </w:r>
          </w:p>
        </w:tc>
      </w:tr>
      <w:tr w:rsidR="000C6F82" w:rsidRPr="00860D7E" w14:paraId="62394A9C" w14:textId="77777777" w:rsidTr="00712417">
        <w:tc>
          <w:tcPr>
            <w:tcW w:w="0" w:type="auto"/>
            <w:shd w:val="clear" w:color="auto" w:fill="auto"/>
            <w:hideMark/>
          </w:tcPr>
          <w:p w14:paraId="62394A93" w14:textId="77777777" w:rsidR="000C6F82" w:rsidRPr="00860D7E" w:rsidRDefault="000C6F82" w:rsidP="00AA3E97">
            <w:pPr>
              <w:pStyle w:val="NormalWeb"/>
              <w:jc w:val="center"/>
              <w:rPr>
                <w:sz w:val="18"/>
                <w:szCs w:val="18"/>
              </w:rPr>
            </w:pPr>
            <w:r w:rsidRPr="00860D7E">
              <w:rPr>
                <w:sz w:val="18"/>
                <w:szCs w:val="18"/>
              </w:rPr>
              <w:t>3</w:t>
            </w:r>
          </w:p>
        </w:tc>
        <w:tc>
          <w:tcPr>
            <w:tcW w:w="0" w:type="auto"/>
            <w:shd w:val="clear" w:color="auto" w:fill="auto"/>
            <w:hideMark/>
          </w:tcPr>
          <w:p w14:paraId="62394A95" w14:textId="423F024D" w:rsidR="000C6F82" w:rsidRPr="00860D7E" w:rsidRDefault="000C6F82" w:rsidP="00416DDF">
            <w:pPr>
              <w:pStyle w:val="NormalWeb"/>
              <w:jc w:val="center"/>
              <w:rPr>
                <w:sz w:val="18"/>
                <w:szCs w:val="18"/>
              </w:rPr>
            </w:pPr>
            <w:r w:rsidRPr="00860D7E">
              <w:rPr>
                <w:sz w:val="18"/>
                <w:szCs w:val="18"/>
              </w:rPr>
              <w:t>Diabetes</w:t>
            </w:r>
            <w:r w:rsidR="00416DDF">
              <w:rPr>
                <w:sz w:val="18"/>
                <w:szCs w:val="18"/>
              </w:rPr>
              <w:br/>
            </w:r>
            <w:r w:rsidRPr="00860D7E">
              <w:rPr>
                <w:sz w:val="18"/>
                <w:szCs w:val="18"/>
              </w:rPr>
              <w:t>(381, 7%)</w:t>
            </w:r>
          </w:p>
        </w:tc>
        <w:tc>
          <w:tcPr>
            <w:tcW w:w="0" w:type="auto"/>
            <w:shd w:val="clear" w:color="auto" w:fill="auto"/>
            <w:hideMark/>
          </w:tcPr>
          <w:p w14:paraId="62394A97" w14:textId="565D2F2F" w:rsidR="000C6F82" w:rsidRPr="00860D7E" w:rsidRDefault="000C6F82" w:rsidP="00416DDF">
            <w:pPr>
              <w:pStyle w:val="NormalWeb"/>
              <w:jc w:val="center"/>
              <w:rPr>
                <w:sz w:val="18"/>
                <w:szCs w:val="18"/>
              </w:rPr>
            </w:pPr>
            <w:r w:rsidRPr="00860D7E">
              <w:rPr>
                <w:sz w:val="18"/>
                <w:szCs w:val="18"/>
              </w:rPr>
              <w:t>Chronic respiratory condition</w:t>
            </w:r>
            <w:r w:rsidRPr="00B24C64">
              <w:rPr>
                <w:sz w:val="18"/>
                <w:szCs w:val="18"/>
                <w:vertAlign w:val="superscript"/>
              </w:rPr>
              <w:t>c</w:t>
            </w:r>
            <w:r w:rsidR="00416DDF">
              <w:rPr>
                <w:sz w:val="18"/>
                <w:szCs w:val="18"/>
                <w:vertAlign w:val="superscript"/>
              </w:rPr>
              <w:br/>
            </w:r>
            <w:r w:rsidRPr="00860D7E">
              <w:rPr>
                <w:sz w:val="18"/>
                <w:szCs w:val="18"/>
              </w:rPr>
              <w:t>(84, 12%)</w:t>
            </w:r>
          </w:p>
        </w:tc>
        <w:tc>
          <w:tcPr>
            <w:tcW w:w="0" w:type="auto"/>
            <w:shd w:val="clear" w:color="auto" w:fill="auto"/>
            <w:hideMark/>
          </w:tcPr>
          <w:p w14:paraId="62394A99" w14:textId="552B523D" w:rsidR="000C6F82" w:rsidRPr="00860D7E" w:rsidRDefault="000C6F82" w:rsidP="00416DDF">
            <w:pPr>
              <w:pStyle w:val="NormalWeb"/>
              <w:jc w:val="center"/>
              <w:rPr>
                <w:sz w:val="18"/>
                <w:szCs w:val="18"/>
              </w:rPr>
            </w:pPr>
            <w:r w:rsidRPr="00860D7E">
              <w:rPr>
                <w:sz w:val="18"/>
                <w:szCs w:val="18"/>
              </w:rPr>
              <w:t>Obesity</w:t>
            </w:r>
            <w:r w:rsidR="00416DDF">
              <w:rPr>
                <w:sz w:val="18"/>
                <w:szCs w:val="18"/>
              </w:rPr>
              <w:br/>
            </w:r>
            <w:r w:rsidRPr="00860D7E">
              <w:rPr>
                <w:sz w:val="18"/>
                <w:szCs w:val="18"/>
              </w:rPr>
              <w:t>(19, 12%)</w:t>
            </w:r>
          </w:p>
        </w:tc>
        <w:tc>
          <w:tcPr>
            <w:tcW w:w="0" w:type="auto"/>
            <w:shd w:val="clear" w:color="auto" w:fill="auto"/>
            <w:hideMark/>
          </w:tcPr>
          <w:p w14:paraId="62394A9B" w14:textId="4A7F4EFB" w:rsidR="000C6F82" w:rsidRPr="00860D7E" w:rsidRDefault="000C6F82" w:rsidP="00416DDF">
            <w:pPr>
              <w:pStyle w:val="NormalWeb"/>
              <w:jc w:val="center"/>
              <w:rPr>
                <w:sz w:val="18"/>
                <w:szCs w:val="18"/>
              </w:rPr>
            </w:pPr>
            <w:r w:rsidRPr="00860D7E">
              <w:rPr>
                <w:sz w:val="18"/>
                <w:szCs w:val="18"/>
              </w:rPr>
              <w:t>Chronic respiratory condition</w:t>
            </w:r>
            <w:r w:rsidRPr="00B24C64">
              <w:rPr>
                <w:sz w:val="18"/>
                <w:szCs w:val="18"/>
                <w:vertAlign w:val="superscript"/>
              </w:rPr>
              <w:t>c</w:t>
            </w:r>
            <w:r w:rsidR="00416DDF">
              <w:rPr>
                <w:sz w:val="18"/>
                <w:szCs w:val="18"/>
                <w:vertAlign w:val="superscript"/>
              </w:rPr>
              <w:br/>
            </w:r>
            <w:r w:rsidRPr="00860D7E">
              <w:rPr>
                <w:sz w:val="18"/>
                <w:szCs w:val="18"/>
              </w:rPr>
              <w:t>(17, 21%)</w:t>
            </w:r>
          </w:p>
        </w:tc>
      </w:tr>
      <w:tr w:rsidR="000C6F82" w:rsidRPr="00860D7E" w14:paraId="62394AA6" w14:textId="77777777" w:rsidTr="00712417">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62394A9D" w14:textId="77777777" w:rsidR="000C6F82" w:rsidRPr="00860D7E" w:rsidRDefault="000C6F82" w:rsidP="00AA3E97">
            <w:pPr>
              <w:pStyle w:val="NormalWeb"/>
              <w:jc w:val="center"/>
              <w:rPr>
                <w:sz w:val="18"/>
                <w:szCs w:val="18"/>
              </w:rPr>
            </w:pPr>
            <w:r w:rsidRPr="00860D7E">
              <w:rPr>
                <w:sz w:val="18"/>
                <w:szCs w:val="18"/>
              </w:rPr>
              <w:t>4</w:t>
            </w:r>
          </w:p>
        </w:tc>
        <w:tc>
          <w:tcPr>
            <w:tcW w:w="0" w:type="auto"/>
            <w:shd w:val="clear" w:color="auto" w:fill="auto"/>
            <w:hideMark/>
          </w:tcPr>
          <w:p w14:paraId="62394A9F" w14:textId="18F72DBF" w:rsidR="000C6F82" w:rsidRPr="00860D7E" w:rsidRDefault="000C6F82" w:rsidP="00416DDF">
            <w:pPr>
              <w:pStyle w:val="NormalWeb"/>
              <w:jc w:val="center"/>
              <w:rPr>
                <w:sz w:val="18"/>
                <w:szCs w:val="18"/>
              </w:rPr>
            </w:pPr>
            <w:r w:rsidRPr="00860D7E">
              <w:rPr>
                <w:sz w:val="18"/>
                <w:szCs w:val="18"/>
              </w:rPr>
              <w:t>Obesity</w:t>
            </w:r>
            <w:r w:rsidR="00416DDF">
              <w:rPr>
                <w:sz w:val="18"/>
                <w:szCs w:val="18"/>
              </w:rPr>
              <w:br/>
            </w:r>
            <w:r w:rsidRPr="00860D7E">
              <w:rPr>
                <w:sz w:val="18"/>
                <w:szCs w:val="18"/>
              </w:rPr>
              <w:t>(202, 4%)</w:t>
            </w:r>
          </w:p>
        </w:tc>
        <w:tc>
          <w:tcPr>
            <w:tcW w:w="0" w:type="auto"/>
            <w:shd w:val="clear" w:color="auto" w:fill="auto"/>
            <w:hideMark/>
          </w:tcPr>
          <w:p w14:paraId="62394AA1" w14:textId="12D8E142" w:rsidR="000C6F82" w:rsidRPr="00860D7E" w:rsidRDefault="000C6F82" w:rsidP="00416DDF">
            <w:pPr>
              <w:pStyle w:val="NormalWeb"/>
              <w:jc w:val="center"/>
              <w:rPr>
                <w:sz w:val="18"/>
                <w:szCs w:val="18"/>
              </w:rPr>
            </w:pPr>
            <w:r w:rsidRPr="00860D7E">
              <w:rPr>
                <w:sz w:val="18"/>
                <w:szCs w:val="18"/>
              </w:rPr>
              <w:t>Asthma</w:t>
            </w:r>
            <w:r w:rsidR="00416DDF">
              <w:rPr>
                <w:sz w:val="18"/>
                <w:szCs w:val="18"/>
              </w:rPr>
              <w:br/>
            </w:r>
            <w:r w:rsidRPr="00860D7E">
              <w:rPr>
                <w:sz w:val="18"/>
                <w:szCs w:val="18"/>
              </w:rPr>
              <w:t>(64, 12%)</w:t>
            </w:r>
          </w:p>
        </w:tc>
        <w:tc>
          <w:tcPr>
            <w:tcW w:w="0" w:type="auto"/>
            <w:shd w:val="clear" w:color="auto" w:fill="auto"/>
            <w:hideMark/>
          </w:tcPr>
          <w:p w14:paraId="62394AA3" w14:textId="2E2FD400" w:rsidR="000C6F82" w:rsidRPr="00860D7E" w:rsidRDefault="000C6F82" w:rsidP="00416DDF">
            <w:pPr>
              <w:pStyle w:val="NormalWeb"/>
              <w:jc w:val="center"/>
              <w:rPr>
                <w:sz w:val="18"/>
                <w:szCs w:val="18"/>
              </w:rPr>
            </w:pPr>
            <w:r w:rsidRPr="00860D7E">
              <w:rPr>
                <w:sz w:val="18"/>
                <w:szCs w:val="18"/>
              </w:rPr>
              <w:t>Chronic respiratory condition</w:t>
            </w:r>
            <w:r w:rsidRPr="00B24C64">
              <w:rPr>
                <w:sz w:val="18"/>
                <w:szCs w:val="18"/>
                <w:vertAlign w:val="superscript"/>
              </w:rPr>
              <w:t>c</w:t>
            </w:r>
            <w:r w:rsidR="00416DDF">
              <w:rPr>
                <w:sz w:val="18"/>
                <w:szCs w:val="18"/>
                <w:vertAlign w:val="superscript"/>
              </w:rPr>
              <w:br/>
            </w:r>
            <w:r w:rsidRPr="00860D7E">
              <w:rPr>
                <w:sz w:val="18"/>
                <w:szCs w:val="18"/>
              </w:rPr>
              <w:t>(18, 11%)</w:t>
            </w:r>
          </w:p>
        </w:tc>
        <w:tc>
          <w:tcPr>
            <w:tcW w:w="0" w:type="auto"/>
            <w:shd w:val="clear" w:color="auto" w:fill="auto"/>
            <w:hideMark/>
          </w:tcPr>
          <w:p w14:paraId="62394AA5" w14:textId="535CAB20" w:rsidR="000C6F82" w:rsidRPr="00860D7E" w:rsidRDefault="000C6F82" w:rsidP="00416DDF">
            <w:pPr>
              <w:pStyle w:val="NormalWeb"/>
              <w:jc w:val="center"/>
              <w:rPr>
                <w:sz w:val="18"/>
                <w:szCs w:val="18"/>
              </w:rPr>
            </w:pPr>
            <w:r w:rsidRPr="00860D7E">
              <w:rPr>
                <w:sz w:val="18"/>
                <w:szCs w:val="18"/>
              </w:rPr>
              <w:t>Immunosuppressive condition/therapy</w:t>
            </w:r>
            <w:r w:rsidR="00416DDF">
              <w:rPr>
                <w:sz w:val="18"/>
                <w:szCs w:val="18"/>
              </w:rPr>
              <w:br/>
            </w:r>
            <w:r w:rsidRPr="00860D7E">
              <w:rPr>
                <w:sz w:val="18"/>
                <w:szCs w:val="18"/>
              </w:rPr>
              <w:t>(16, 20%)</w:t>
            </w:r>
          </w:p>
        </w:tc>
      </w:tr>
      <w:tr w:rsidR="000C6F82" w:rsidRPr="00860D7E" w14:paraId="62394AB0" w14:textId="77777777" w:rsidTr="00712417">
        <w:tc>
          <w:tcPr>
            <w:tcW w:w="0" w:type="auto"/>
            <w:shd w:val="clear" w:color="auto" w:fill="auto"/>
            <w:hideMark/>
          </w:tcPr>
          <w:p w14:paraId="62394AA7" w14:textId="77777777" w:rsidR="000C6F82" w:rsidRPr="00860D7E" w:rsidRDefault="000C6F82" w:rsidP="00AA3E97">
            <w:pPr>
              <w:pStyle w:val="NormalWeb"/>
              <w:jc w:val="center"/>
              <w:rPr>
                <w:sz w:val="18"/>
                <w:szCs w:val="18"/>
              </w:rPr>
            </w:pPr>
            <w:r w:rsidRPr="00860D7E">
              <w:rPr>
                <w:sz w:val="18"/>
                <w:szCs w:val="18"/>
              </w:rPr>
              <w:t>5</w:t>
            </w:r>
          </w:p>
        </w:tc>
        <w:tc>
          <w:tcPr>
            <w:tcW w:w="0" w:type="auto"/>
            <w:shd w:val="clear" w:color="auto" w:fill="auto"/>
            <w:hideMark/>
          </w:tcPr>
          <w:p w14:paraId="62394AA9" w14:textId="4D1FF2CB" w:rsidR="000C6F82" w:rsidRPr="00860D7E" w:rsidRDefault="000C6F82" w:rsidP="00416DDF">
            <w:pPr>
              <w:pStyle w:val="NormalWeb"/>
              <w:jc w:val="center"/>
              <w:rPr>
                <w:sz w:val="18"/>
                <w:szCs w:val="18"/>
              </w:rPr>
            </w:pPr>
            <w:r w:rsidRPr="00860D7E">
              <w:rPr>
                <w:sz w:val="18"/>
                <w:szCs w:val="18"/>
              </w:rPr>
              <w:t>Chronic respiratory condition</w:t>
            </w:r>
            <w:r w:rsidRPr="00B24C64">
              <w:rPr>
                <w:sz w:val="18"/>
                <w:szCs w:val="18"/>
                <w:vertAlign w:val="superscript"/>
              </w:rPr>
              <w:t>c</w:t>
            </w:r>
            <w:r w:rsidR="00416DDF">
              <w:rPr>
                <w:sz w:val="18"/>
                <w:szCs w:val="18"/>
                <w:vertAlign w:val="superscript"/>
              </w:rPr>
              <w:br/>
            </w:r>
            <w:r w:rsidRPr="00860D7E">
              <w:rPr>
                <w:sz w:val="18"/>
                <w:szCs w:val="18"/>
              </w:rPr>
              <w:t>(190, 4%)</w:t>
            </w:r>
          </w:p>
        </w:tc>
        <w:tc>
          <w:tcPr>
            <w:tcW w:w="0" w:type="auto"/>
            <w:shd w:val="clear" w:color="auto" w:fill="auto"/>
            <w:hideMark/>
          </w:tcPr>
          <w:p w14:paraId="62394AAB" w14:textId="332B98D1" w:rsidR="000C6F82" w:rsidRPr="00860D7E" w:rsidRDefault="000C6F82" w:rsidP="00416DDF">
            <w:pPr>
              <w:pStyle w:val="NormalWeb"/>
              <w:jc w:val="center"/>
              <w:rPr>
                <w:sz w:val="18"/>
                <w:szCs w:val="18"/>
              </w:rPr>
            </w:pPr>
            <w:r w:rsidRPr="00860D7E">
              <w:rPr>
                <w:sz w:val="18"/>
                <w:szCs w:val="18"/>
              </w:rPr>
              <w:t>Obesity</w:t>
            </w:r>
            <w:r w:rsidR="00416DDF">
              <w:rPr>
                <w:sz w:val="18"/>
                <w:szCs w:val="18"/>
              </w:rPr>
              <w:br/>
            </w:r>
            <w:r w:rsidRPr="00860D7E">
              <w:rPr>
                <w:sz w:val="18"/>
                <w:szCs w:val="18"/>
              </w:rPr>
              <w:t>(46, 7%)</w:t>
            </w:r>
          </w:p>
        </w:tc>
        <w:tc>
          <w:tcPr>
            <w:tcW w:w="0" w:type="auto"/>
            <w:shd w:val="clear" w:color="auto" w:fill="auto"/>
            <w:hideMark/>
          </w:tcPr>
          <w:p w14:paraId="62394AAD" w14:textId="0C5C3173" w:rsidR="000C6F82" w:rsidRPr="00860D7E" w:rsidRDefault="000C6F82" w:rsidP="00416DDF">
            <w:pPr>
              <w:pStyle w:val="NormalWeb"/>
              <w:jc w:val="center"/>
              <w:rPr>
                <w:sz w:val="18"/>
                <w:szCs w:val="18"/>
              </w:rPr>
            </w:pPr>
            <w:r w:rsidRPr="00860D7E">
              <w:rPr>
                <w:sz w:val="18"/>
                <w:szCs w:val="18"/>
              </w:rPr>
              <w:t>Immunosuppressive condition/therapy</w:t>
            </w:r>
            <w:r w:rsidR="00416DDF">
              <w:rPr>
                <w:sz w:val="18"/>
                <w:szCs w:val="18"/>
              </w:rPr>
              <w:br/>
            </w:r>
            <w:r w:rsidRPr="00860D7E">
              <w:rPr>
                <w:sz w:val="18"/>
                <w:szCs w:val="18"/>
              </w:rPr>
              <w:t>(17, 10%)</w:t>
            </w:r>
          </w:p>
        </w:tc>
        <w:tc>
          <w:tcPr>
            <w:tcW w:w="0" w:type="auto"/>
            <w:shd w:val="clear" w:color="auto" w:fill="auto"/>
            <w:hideMark/>
          </w:tcPr>
          <w:p w14:paraId="62394AAF" w14:textId="68BA3084" w:rsidR="000C6F82" w:rsidRPr="00860D7E" w:rsidRDefault="000C6F82" w:rsidP="00416DDF">
            <w:pPr>
              <w:pStyle w:val="NormalWeb"/>
              <w:jc w:val="center"/>
              <w:rPr>
                <w:sz w:val="18"/>
                <w:szCs w:val="18"/>
              </w:rPr>
            </w:pPr>
            <w:r w:rsidRPr="00860D7E">
              <w:rPr>
                <w:sz w:val="18"/>
                <w:szCs w:val="18"/>
              </w:rPr>
              <w:t>Neurological disorder</w:t>
            </w:r>
            <w:r w:rsidR="00416DDF">
              <w:rPr>
                <w:sz w:val="18"/>
                <w:szCs w:val="18"/>
              </w:rPr>
              <w:br/>
            </w:r>
            <w:r w:rsidRPr="00860D7E">
              <w:rPr>
                <w:sz w:val="18"/>
                <w:szCs w:val="18"/>
              </w:rPr>
              <w:t>(14, 18%)</w:t>
            </w:r>
          </w:p>
        </w:tc>
      </w:tr>
      <w:tr w:rsidR="000C6F82" w:rsidRPr="00860D7E" w14:paraId="62394AB9" w14:textId="77777777" w:rsidTr="00712417">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62394AB1" w14:textId="77777777" w:rsidR="000C6F82" w:rsidRPr="00860D7E" w:rsidRDefault="000C6F82" w:rsidP="00AA3E97">
            <w:pPr>
              <w:pStyle w:val="NormalWeb"/>
              <w:jc w:val="center"/>
              <w:rPr>
                <w:sz w:val="18"/>
                <w:szCs w:val="18"/>
              </w:rPr>
            </w:pPr>
            <w:r w:rsidRPr="00860D7E">
              <w:rPr>
                <w:sz w:val="18"/>
                <w:szCs w:val="18"/>
              </w:rPr>
              <w:t>6</w:t>
            </w:r>
          </w:p>
        </w:tc>
        <w:tc>
          <w:tcPr>
            <w:tcW w:w="0" w:type="auto"/>
            <w:shd w:val="clear" w:color="auto" w:fill="auto"/>
            <w:hideMark/>
          </w:tcPr>
          <w:p w14:paraId="62394AB3" w14:textId="487A743A" w:rsidR="000C6F82" w:rsidRPr="00860D7E" w:rsidRDefault="000C6F82" w:rsidP="00416DDF">
            <w:pPr>
              <w:pStyle w:val="NormalWeb"/>
              <w:jc w:val="center"/>
              <w:rPr>
                <w:sz w:val="18"/>
                <w:szCs w:val="18"/>
              </w:rPr>
            </w:pPr>
            <w:r w:rsidRPr="00860D7E">
              <w:rPr>
                <w:sz w:val="18"/>
                <w:szCs w:val="18"/>
              </w:rPr>
              <w:t>Immunosuppressive condition/therapy</w:t>
            </w:r>
            <w:r w:rsidR="00416DDF">
              <w:rPr>
                <w:sz w:val="18"/>
                <w:szCs w:val="18"/>
              </w:rPr>
              <w:br/>
            </w:r>
            <w:r w:rsidRPr="00860D7E">
              <w:rPr>
                <w:sz w:val="18"/>
                <w:szCs w:val="18"/>
              </w:rPr>
              <w:t>(155, 3%)</w:t>
            </w:r>
          </w:p>
        </w:tc>
        <w:tc>
          <w:tcPr>
            <w:tcW w:w="0" w:type="auto"/>
            <w:shd w:val="clear" w:color="auto" w:fill="auto"/>
            <w:hideMark/>
          </w:tcPr>
          <w:p w14:paraId="62394AB4" w14:textId="77777777" w:rsidR="000C6F82" w:rsidRPr="00860D7E" w:rsidRDefault="000C6F82" w:rsidP="00AA3E97">
            <w:pPr>
              <w:pStyle w:val="NormalWeb"/>
              <w:jc w:val="center"/>
              <w:rPr>
                <w:sz w:val="18"/>
                <w:szCs w:val="18"/>
              </w:rPr>
            </w:pPr>
            <w:r w:rsidRPr="00860D7E">
              <w:rPr>
                <w:sz w:val="18"/>
                <w:szCs w:val="18"/>
              </w:rPr>
              <w:t>Immunosuppressive condition/therapy</w:t>
            </w:r>
            <w:r w:rsidRPr="00860D7E">
              <w:rPr>
                <w:sz w:val="18"/>
                <w:szCs w:val="18"/>
              </w:rPr>
              <w:br/>
              <w:t>(43, 6%)</w:t>
            </w:r>
          </w:p>
        </w:tc>
        <w:tc>
          <w:tcPr>
            <w:tcW w:w="0" w:type="auto"/>
            <w:shd w:val="clear" w:color="auto" w:fill="auto"/>
            <w:hideMark/>
          </w:tcPr>
          <w:p w14:paraId="62394AB6" w14:textId="1C6830F9" w:rsidR="000C6F82" w:rsidRPr="00860D7E" w:rsidRDefault="000C6F82" w:rsidP="00416DDF">
            <w:pPr>
              <w:pStyle w:val="NormalWeb"/>
              <w:jc w:val="center"/>
              <w:rPr>
                <w:sz w:val="18"/>
                <w:szCs w:val="18"/>
              </w:rPr>
            </w:pPr>
            <w:r w:rsidRPr="00860D7E">
              <w:rPr>
                <w:sz w:val="18"/>
                <w:szCs w:val="18"/>
              </w:rPr>
              <w:t>Asthma</w:t>
            </w:r>
            <w:r w:rsidR="00416DDF">
              <w:rPr>
                <w:sz w:val="18"/>
                <w:szCs w:val="18"/>
              </w:rPr>
              <w:br/>
            </w:r>
            <w:r w:rsidRPr="00860D7E">
              <w:rPr>
                <w:sz w:val="18"/>
                <w:szCs w:val="18"/>
              </w:rPr>
              <w:t>(13, 8%)</w:t>
            </w:r>
          </w:p>
        </w:tc>
        <w:tc>
          <w:tcPr>
            <w:tcW w:w="0" w:type="auto"/>
            <w:shd w:val="clear" w:color="auto" w:fill="auto"/>
            <w:hideMark/>
          </w:tcPr>
          <w:p w14:paraId="62394AB8" w14:textId="3A574C38" w:rsidR="000C6F82" w:rsidRPr="00860D7E" w:rsidRDefault="000C6F82" w:rsidP="00416DDF">
            <w:pPr>
              <w:pStyle w:val="NormalWeb"/>
              <w:jc w:val="center"/>
              <w:rPr>
                <w:sz w:val="18"/>
                <w:szCs w:val="18"/>
              </w:rPr>
            </w:pPr>
            <w:r w:rsidRPr="00860D7E">
              <w:rPr>
                <w:sz w:val="18"/>
                <w:szCs w:val="18"/>
              </w:rPr>
              <w:t>Obesity</w:t>
            </w:r>
            <w:r w:rsidR="00416DDF">
              <w:rPr>
                <w:sz w:val="18"/>
                <w:szCs w:val="18"/>
              </w:rPr>
              <w:br/>
            </w:r>
            <w:r w:rsidRPr="00860D7E">
              <w:rPr>
                <w:sz w:val="18"/>
                <w:szCs w:val="18"/>
              </w:rPr>
              <w:t>(6, 8%)</w:t>
            </w:r>
          </w:p>
        </w:tc>
      </w:tr>
      <w:tr w:rsidR="000C6F82" w:rsidRPr="00860D7E" w14:paraId="62394AC2" w14:textId="77777777" w:rsidTr="00712417">
        <w:tc>
          <w:tcPr>
            <w:tcW w:w="0" w:type="auto"/>
            <w:shd w:val="clear" w:color="auto" w:fill="auto"/>
            <w:hideMark/>
          </w:tcPr>
          <w:p w14:paraId="62394ABA" w14:textId="77777777" w:rsidR="000C6F82" w:rsidRPr="00860D7E" w:rsidRDefault="000C6F82" w:rsidP="00AA3E97">
            <w:pPr>
              <w:pStyle w:val="NormalWeb"/>
              <w:jc w:val="center"/>
              <w:rPr>
                <w:sz w:val="18"/>
                <w:szCs w:val="18"/>
              </w:rPr>
            </w:pPr>
            <w:r w:rsidRPr="00860D7E">
              <w:rPr>
                <w:sz w:val="18"/>
                <w:szCs w:val="18"/>
              </w:rPr>
              <w:t>7</w:t>
            </w:r>
          </w:p>
        </w:tc>
        <w:tc>
          <w:tcPr>
            <w:tcW w:w="0" w:type="auto"/>
            <w:shd w:val="clear" w:color="auto" w:fill="auto"/>
            <w:hideMark/>
          </w:tcPr>
          <w:p w14:paraId="62394ABB" w14:textId="77777777" w:rsidR="000C6F82" w:rsidRPr="00860D7E" w:rsidRDefault="000C6F82" w:rsidP="00AA3E97">
            <w:pPr>
              <w:pStyle w:val="NormalWeb"/>
              <w:jc w:val="center"/>
              <w:rPr>
                <w:sz w:val="18"/>
                <w:szCs w:val="18"/>
              </w:rPr>
            </w:pPr>
            <w:r w:rsidRPr="00860D7E">
              <w:rPr>
                <w:sz w:val="18"/>
                <w:szCs w:val="18"/>
              </w:rPr>
              <w:t>Neurological disorder</w:t>
            </w:r>
            <w:r w:rsidRPr="00860D7E">
              <w:rPr>
                <w:sz w:val="18"/>
                <w:szCs w:val="18"/>
              </w:rPr>
              <w:br/>
              <w:t>(92, 2%)</w:t>
            </w:r>
          </w:p>
        </w:tc>
        <w:tc>
          <w:tcPr>
            <w:tcW w:w="0" w:type="auto"/>
            <w:shd w:val="clear" w:color="auto" w:fill="auto"/>
            <w:hideMark/>
          </w:tcPr>
          <w:p w14:paraId="62394ABD" w14:textId="7B112903" w:rsidR="000C6F82" w:rsidRPr="00860D7E" w:rsidRDefault="000C6F82" w:rsidP="00416DDF">
            <w:pPr>
              <w:pStyle w:val="NormalWeb"/>
              <w:jc w:val="center"/>
              <w:rPr>
                <w:sz w:val="18"/>
                <w:szCs w:val="18"/>
              </w:rPr>
            </w:pPr>
            <w:r w:rsidRPr="00860D7E">
              <w:rPr>
                <w:sz w:val="18"/>
                <w:szCs w:val="18"/>
              </w:rPr>
              <w:t>Renal disease</w:t>
            </w:r>
            <w:r w:rsidR="00416DDF">
              <w:rPr>
                <w:sz w:val="18"/>
                <w:szCs w:val="18"/>
              </w:rPr>
              <w:br/>
            </w:r>
            <w:r w:rsidRPr="00860D7E">
              <w:rPr>
                <w:sz w:val="18"/>
                <w:szCs w:val="18"/>
              </w:rPr>
              <w:t>(27, 4%)</w:t>
            </w:r>
          </w:p>
        </w:tc>
        <w:tc>
          <w:tcPr>
            <w:tcW w:w="0" w:type="auto"/>
            <w:shd w:val="clear" w:color="auto" w:fill="auto"/>
            <w:hideMark/>
          </w:tcPr>
          <w:p w14:paraId="62394ABF" w14:textId="29823A52" w:rsidR="000C6F82" w:rsidRPr="00860D7E" w:rsidRDefault="000C6F82" w:rsidP="00416DDF">
            <w:pPr>
              <w:pStyle w:val="NormalWeb"/>
              <w:jc w:val="center"/>
              <w:rPr>
                <w:sz w:val="18"/>
                <w:szCs w:val="18"/>
              </w:rPr>
            </w:pPr>
            <w:r w:rsidRPr="00860D7E">
              <w:rPr>
                <w:sz w:val="18"/>
                <w:szCs w:val="18"/>
              </w:rPr>
              <w:t>Renal disease</w:t>
            </w:r>
            <w:r w:rsidR="00416DDF">
              <w:rPr>
                <w:sz w:val="18"/>
                <w:szCs w:val="18"/>
              </w:rPr>
              <w:br/>
            </w:r>
            <w:r w:rsidRPr="00860D7E">
              <w:rPr>
                <w:sz w:val="18"/>
                <w:szCs w:val="18"/>
              </w:rPr>
              <w:t>(11, 7%)</w:t>
            </w:r>
          </w:p>
        </w:tc>
        <w:tc>
          <w:tcPr>
            <w:tcW w:w="0" w:type="auto"/>
            <w:shd w:val="clear" w:color="auto" w:fill="auto"/>
            <w:hideMark/>
          </w:tcPr>
          <w:p w14:paraId="62394AC1" w14:textId="0AB29DF6" w:rsidR="000C6F82" w:rsidRPr="00860D7E" w:rsidRDefault="000C6F82" w:rsidP="00416DDF">
            <w:pPr>
              <w:pStyle w:val="NormalWeb"/>
              <w:jc w:val="center"/>
              <w:rPr>
                <w:sz w:val="18"/>
                <w:szCs w:val="18"/>
              </w:rPr>
            </w:pPr>
            <w:r w:rsidRPr="00860D7E">
              <w:rPr>
                <w:sz w:val="18"/>
                <w:szCs w:val="18"/>
              </w:rPr>
              <w:t>Asthma</w:t>
            </w:r>
            <w:r w:rsidR="00416DDF">
              <w:rPr>
                <w:sz w:val="18"/>
                <w:szCs w:val="18"/>
              </w:rPr>
              <w:br/>
            </w:r>
            <w:r w:rsidRPr="00860D7E">
              <w:rPr>
                <w:sz w:val="18"/>
                <w:szCs w:val="18"/>
              </w:rPr>
              <w:t>(5, 6%)</w:t>
            </w:r>
          </w:p>
        </w:tc>
      </w:tr>
      <w:tr w:rsidR="000C6F82" w:rsidRPr="00860D7E" w14:paraId="62394ACC" w14:textId="77777777" w:rsidTr="00712417">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62394AC3" w14:textId="77777777" w:rsidR="000C6F82" w:rsidRPr="00860D7E" w:rsidRDefault="000C6F82" w:rsidP="00AA3E97">
            <w:pPr>
              <w:pStyle w:val="NormalWeb"/>
              <w:jc w:val="center"/>
              <w:rPr>
                <w:sz w:val="18"/>
                <w:szCs w:val="18"/>
              </w:rPr>
            </w:pPr>
            <w:r w:rsidRPr="00860D7E">
              <w:rPr>
                <w:sz w:val="18"/>
                <w:szCs w:val="18"/>
              </w:rPr>
              <w:t>8</w:t>
            </w:r>
          </w:p>
        </w:tc>
        <w:tc>
          <w:tcPr>
            <w:tcW w:w="0" w:type="auto"/>
            <w:shd w:val="clear" w:color="auto" w:fill="auto"/>
            <w:hideMark/>
          </w:tcPr>
          <w:p w14:paraId="62394AC5" w14:textId="238E11BD" w:rsidR="000C6F82" w:rsidRPr="00860D7E" w:rsidRDefault="000C6F82" w:rsidP="00416DDF">
            <w:pPr>
              <w:pStyle w:val="NormalWeb"/>
              <w:jc w:val="center"/>
              <w:rPr>
                <w:sz w:val="18"/>
                <w:szCs w:val="18"/>
              </w:rPr>
            </w:pPr>
            <w:r w:rsidRPr="00860D7E">
              <w:rPr>
                <w:sz w:val="18"/>
                <w:szCs w:val="18"/>
              </w:rPr>
              <w:t>Renal disease</w:t>
            </w:r>
            <w:r w:rsidR="00416DDF">
              <w:rPr>
                <w:sz w:val="18"/>
                <w:szCs w:val="18"/>
              </w:rPr>
              <w:br/>
            </w:r>
            <w:r w:rsidRPr="00860D7E">
              <w:rPr>
                <w:sz w:val="18"/>
                <w:szCs w:val="18"/>
              </w:rPr>
              <w:t>(62, 1%)</w:t>
            </w:r>
          </w:p>
        </w:tc>
        <w:tc>
          <w:tcPr>
            <w:tcW w:w="0" w:type="auto"/>
            <w:shd w:val="clear" w:color="auto" w:fill="auto"/>
            <w:hideMark/>
          </w:tcPr>
          <w:p w14:paraId="62394AC7" w14:textId="28B4EB00" w:rsidR="000C6F82" w:rsidRPr="00860D7E" w:rsidRDefault="000C6F82" w:rsidP="00416DDF">
            <w:pPr>
              <w:pStyle w:val="NormalWeb"/>
              <w:jc w:val="center"/>
              <w:rPr>
                <w:sz w:val="18"/>
                <w:szCs w:val="18"/>
              </w:rPr>
            </w:pPr>
            <w:r w:rsidRPr="00860D7E">
              <w:rPr>
                <w:sz w:val="18"/>
                <w:szCs w:val="18"/>
              </w:rPr>
              <w:t>Neurological disorder</w:t>
            </w:r>
            <w:r w:rsidR="00416DDF">
              <w:rPr>
                <w:sz w:val="18"/>
                <w:szCs w:val="18"/>
              </w:rPr>
              <w:br/>
            </w:r>
            <w:r w:rsidRPr="00860D7E">
              <w:rPr>
                <w:sz w:val="18"/>
                <w:szCs w:val="18"/>
              </w:rPr>
              <w:t>(20, 3%)</w:t>
            </w:r>
          </w:p>
        </w:tc>
        <w:tc>
          <w:tcPr>
            <w:tcW w:w="0" w:type="auto"/>
            <w:shd w:val="clear" w:color="auto" w:fill="auto"/>
            <w:hideMark/>
          </w:tcPr>
          <w:p w14:paraId="62394AC9" w14:textId="24DE7D77" w:rsidR="000C6F82" w:rsidRPr="00860D7E" w:rsidRDefault="000C6F82" w:rsidP="00416DDF">
            <w:pPr>
              <w:pStyle w:val="NormalWeb"/>
              <w:jc w:val="center"/>
              <w:rPr>
                <w:sz w:val="18"/>
                <w:szCs w:val="18"/>
              </w:rPr>
            </w:pPr>
            <w:r w:rsidRPr="00860D7E">
              <w:rPr>
                <w:sz w:val="18"/>
                <w:szCs w:val="18"/>
              </w:rPr>
              <w:t>Neurological disorder</w:t>
            </w:r>
            <w:r w:rsidR="00416DDF">
              <w:rPr>
                <w:sz w:val="18"/>
                <w:szCs w:val="18"/>
              </w:rPr>
              <w:br/>
            </w:r>
            <w:r w:rsidRPr="00860D7E">
              <w:rPr>
                <w:sz w:val="18"/>
                <w:szCs w:val="18"/>
              </w:rPr>
              <w:t>(6, 4%)</w:t>
            </w:r>
          </w:p>
        </w:tc>
        <w:tc>
          <w:tcPr>
            <w:tcW w:w="0" w:type="auto"/>
            <w:shd w:val="clear" w:color="auto" w:fill="auto"/>
            <w:hideMark/>
          </w:tcPr>
          <w:p w14:paraId="62394ACB" w14:textId="284B6136" w:rsidR="000C6F82" w:rsidRPr="00860D7E" w:rsidRDefault="000C6F82" w:rsidP="00416DDF">
            <w:pPr>
              <w:pStyle w:val="NormalWeb"/>
              <w:jc w:val="center"/>
              <w:rPr>
                <w:sz w:val="18"/>
                <w:szCs w:val="18"/>
              </w:rPr>
            </w:pPr>
            <w:r w:rsidRPr="00860D7E">
              <w:rPr>
                <w:sz w:val="18"/>
                <w:szCs w:val="18"/>
              </w:rPr>
              <w:t>Renal disease</w:t>
            </w:r>
            <w:r w:rsidR="00416DDF">
              <w:rPr>
                <w:sz w:val="18"/>
                <w:szCs w:val="18"/>
              </w:rPr>
              <w:br/>
            </w:r>
            <w:r w:rsidRPr="00860D7E">
              <w:rPr>
                <w:sz w:val="18"/>
                <w:szCs w:val="18"/>
              </w:rPr>
              <w:t>(5, 6%)</w:t>
            </w:r>
          </w:p>
        </w:tc>
      </w:tr>
      <w:tr w:rsidR="000C6F82" w:rsidRPr="00860D7E" w14:paraId="62394AD4" w14:textId="77777777" w:rsidTr="00712417">
        <w:tc>
          <w:tcPr>
            <w:tcW w:w="0" w:type="auto"/>
            <w:shd w:val="clear" w:color="auto" w:fill="auto"/>
            <w:hideMark/>
          </w:tcPr>
          <w:p w14:paraId="62394ACD" w14:textId="77777777" w:rsidR="000C6F82" w:rsidRPr="00860D7E" w:rsidRDefault="000C6F82" w:rsidP="00AA3E97">
            <w:pPr>
              <w:pStyle w:val="NormalWeb"/>
              <w:jc w:val="center"/>
              <w:rPr>
                <w:sz w:val="18"/>
                <w:szCs w:val="18"/>
              </w:rPr>
            </w:pPr>
            <w:r w:rsidRPr="00860D7E">
              <w:rPr>
                <w:sz w:val="18"/>
                <w:szCs w:val="18"/>
              </w:rPr>
              <w:t>9</w:t>
            </w:r>
          </w:p>
        </w:tc>
        <w:tc>
          <w:tcPr>
            <w:tcW w:w="0" w:type="auto"/>
            <w:shd w:val="clear" w:color="auto" w:fill="auto"/>
            <w:hideMark/>
          </w:tcPr>
          <w:p w14:paraId="62394ACE" w14:textId="77777777" w:rsidR="000C6F82" w:rsidRPr="00860D7E" w:rsidRDefault="000C6F82" w:rsidP="00AA3E97">
            <w:pPr>
              <w:pStyle w:val="NormalWeb"/>
              <w:jc w:val="center"/>
              <w:rPr>
                <w:sz w:val="18"/>
                <w:szCs w:val="18"/>
              </w:rPr>
            </w:pPr>
            <w:r w:rsidRPr="00860D7E">
              <w:rPr>
                <w:sz w:val="18"/>
                <w:szCs w:val="18"/>
              </w:rPr>
              <w:t>Liver disease</w:t>
            </w:r>
            <w:r w:rsidRPr="00860D7E">
              <w:rPr>
                <w:sz w:val="18"/>
                <w:szCs w:val="18"/>
              </w:rPr>
              <w:br/>
              <w:t>(41, 1%)</w:t>
            </w:r>
          </w:p>
        </w:tc>
        <w:tc>
          <w:tcPr>
            <w:tcW w:w="0" w:type="auto"/>
            <w:shd w:val="clear" w:color="auto" w:fill="auto"/>
            <w:hideMark/>
          </w:tcPr>
          <w:p w14:paraId="62394AD0" w14:textId="17CEF4BA" w:rsidR="000C6F82" w:rsidRPr="00860D7E" w:rsidRDefault="000C6F82" w:rsidP="00416DDF">
            <w:pPr>
              <w:pStyle w:val="NormalWeb"/>
              <w:jc w:val="center"/>
              <w:rPr>
                <w:sz w:val="18"/>
                <w:szCs w:val="18"/>
              </w:rPr>
            </w:pPr>
            <w:r w:rsidRPr="00860D7E">
              <w:rPr>
                <w:sz w:val="18"/>
                <w:szCs w:val="18"/>
              </w:rPr>
              <w:t>Liver disease</w:t>
            </w:r>
            <w:r w:rsidR="00416DDF">
              <w:rPr>
                <w:sz w:val="18"/>
                <w:szCs w:val="18"/>
              </w:rPr>
              <w:br/>
            </w:r>
            <w:r w:rsidRPr="00860D7E">
              <w:rPr>
                <w:sz w:val="18"/>
                <w:szCs w:val="18"/>
              </w:rPr>
              <w:t>(11, 2%)</w:t>
            </w:r>
          </w:p>
        </w:tc>
        <w:tc>
          <w:tcPr>
            <w:tcW w:w="0" w:type="auto"/>
            <w:shd w:val="clear" w:color="auto" w:fill="auto"/>
            <w:hideMark/>
          </w:tcPr>
          <w:p w14:paraId="62394AD1" w14:textId="77777777" w:rsidR="000C6F82" w:rsidRPr="00860D7E" w:rsidRDefault="000C6F82" w:rsidP="00AA3E97">
            <w:pPr>
              <w:pStyle w:val="NormalWeb"/>
              <w:jc w:val="center"/>
              <w:rPr>
                <w:sz w:val="18"/>
                <w:szCs w:val="18"/>
              </w:rPr>
            </w:pPr>
            <w:r w:rsidRPr="00860D7E">
              <w:rPr>
                <w:sz w:val="18"/>
                <w:szCs w:val="18"/>
              </w:rPr>
              <w:t>Liver disease</w:t>
            </w:r>
            <w:r w:rsidRPr="00860D7E">
              <w:rPr>
                <w:sz w:val="18"/>
                <w:szCs w:val="18"/>
              </w:rPr>
              <w:br/>
              <w:t>(2, 1%)</w:t>
            </w:r>
          </w:p>
        </w:tc>
        <w:tc>
          <w:tcPr>
            <w:tcW w:w="0" w:type="auto"/>
            <w:shd w:val="clear" w:color="auto" w:fill="auto"/>
            <w:hideMark/>
          </w:tcPr>
          <w:p w14:paraId="62394AD3" w14:textId="1B78FA0A" w:rsidR="000C6F82" w:rsidRPr="00860D7E" w:rsidRDefault="000C6F82" w:rsidP="00416DDF">
            <w:pPr>
              <w:pStyle w:val="NormalWeb"/>
              <w:jc w:val="center"/>
              <w:rPr>
                <w:sz w:val="18"/>
                <w:szCs w:val="18"/>
              </w:rPr>
            </w:pPr>
            <w:r w:rsidRPr="00860D7E">
              <w:rPr>
                <w:sz w:val="18"/>
                <w:szCs w:val="18"/>
              </w:rPr>
              <w:t>Liver disease</w:t>
            </w:r>
            <w:r w:rsidR="00416DDF">
              <w:rPr>
                <w:sz w:val="18"/>
                <w:szCs w:val="18"/>
              </w:rPr>
              <w:br/>
            </w:r>
            <w:r w:rsidRPr="00860D7E">
              <w:rPr>
                <w:sz w:val="18"/>
                <w:szCs w:val="18"/>
              </w:rPr>
              <w:t>(2, 3%)</w:t>
            </w:r>
          </w:p>
        </w:tc>
      </w:tr>
      <w:tr w:rsidR="000C6F82" w:rsidRPr="00860D7E" w14:paraId="62394AD7" w14:textId="77777777" w:rsidTr="00712417">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62394AD5" w14:textId="77777777" w:rsidR="000C6F82" w:rsidRPr="00860D7E" w:rsidRDefault="000C6F82" w:rsidP="00AA3E97">
            <w:pPr>
              <w:jc w:val="center"/>
              <w:rPr>
                <w:sz w:val="18"/>
                <w:szCs w:val="18"/>
              </w:rPr>
            </w:pPr>
          </w:p>
        </w:tc>
        <w:tc>
          <w:tcPr>
            <w:tcW w:w="0" w:type="auto"/>
            <w:gridSpan w:val="4"/>
            <w:shd w:val="clear" w:color="auto" w:fill="auto"/>
            <w:hideMark/>
          </w:tcPr>
          <w:p w14:paraId="62394AD6" w14:textId="77777777" w:rsidR="000C6F82" w:rsidRPr="00860D7E" w:rsidRDefault="000C6F82" w:rsidP="00AA3E97">
            <w:pPr>
              <w:pStyle w:val="NormalWeb"/>
              <w:jc w:val="center"/>
              <w:rPr>
                <w:sz w:val="18"/>
                <w:szCs w:val="18"/>
              </w:rPr>
            </w:pPr>
            <w:r w:rsidRPr="00860D7E">
              <w:rPr>
                <w:sz w:val="18"/>
                <w:szCs w:val="18"/>
              </w:rPr>
              <w:t>No comorbidities</w:t>
            </w:r>
          </w:p>
        </w:tc>
      </w:tr>
      <w:tr w:rsidR="000C6F82" w:rsidRPr="00860D7E" w14:paraId="62394ADD" w14:textId="77777777" w:rsidTr="00712417">
        <w:tc>
          <w:tcPr>
            <w:tcW w:w="0" w:type="auto"/>
            <w:shd w:val="clear" w:color="auto" w:fill="auto"/>
            <w:hideMark/>
          </w:tcPr>
          <w:p w14:paraId="62394AD8" w14:textId="77777777" w:rsidR="000C6F82" w:rsidRPr="00860D7E" w:rsidRDefault="000C6F82" w:rsidP="00AA3E97">
            <w:pPr>
              <w:jc w:val="center"/>
              <w:rPr>
                <w:sz w:val="18"/>
                <w:szCs w:val="18"/>
              </w:rPr>
            </w:pPr>
          </w:p>
        </w:tc>
        <w:tc>
          <w:tcPr>
            <w:tcW w:w="0" w:type="auto"/>
            <w:shd w:val="clear" w:color="auto" w:fill="auto"/>
            <w:hideMark/>
          </w:tcPr>
          <w:p w14:paraId="62394AD9" w14:textId="77777777" w:rsidR="000C6F82" w:rsidRPr="00860D7E" w:rsidRDefault="000C6F82" w:rsidP="00AA3E97">
            <w:pPr>
              <w:pStyle w:val="NormalWeb"/>
              <w:jc w:val="center"/>
              <w:rPr>
                <w:sz w:val="18"/>
                <w:szCs w:val="18"/>
              </w:rPr>
            </w:pPr>
            <w:r w:rsidRPr="00860D7E">
              <w:rPr>
                <w:sz w:val="18"/>
                <w:szCs w:val="18"/>
              </w:rPr>
              <w:t>2,951 (55%)</w:t>
            </w:r>
          </w:p>
        </w:tc>
        <w:tc>
          <w:tcPr>
            <w:tcW w:w="0" w:type="auto"/>
            <w:shd w:val="clear" w:color="auto" w:fill="auto"/>
            <w:hideMark/>
          </w:tcPr>
          <w:p w14:paraId="62394ADA" w14:textId="77777777" w:rsidR="000C6F82" w:rsidRPr="00860D7E" w:rsidRDefault="000C6F82" w:rsidP="00AA3E97">
            <w:pPr>
              <w:pStyle w:val="NormalWeb"/>
              <w:jc w:val="center"/>
              <w:rPr>
                <w:sz w:val="18"/>
                <w:szCs w:val="18"/>
              </w:rPr>
            </w:pPr>
            <w:r w:rsidRPr="00860D7E">
              <w:rPr>
                <w:sz w:val="18"/>
                <w:szCs w:val="18"/>
              </w:rPr>
              <w:t>198 (29%)</w:t>
            </w:r>
          </w:p>
        </w:tc>
        <w:tc>
          <w:tcPr>
            <w:tcW w:w="0" w:type="auto"/>
            <w:shd w:val="clear" w:color="auto" w:fill="auto"/>
            <w:hideMark/>
          </w:tcPr>
          <w:p w14:paraId="62394ADB" w14:textId="77777777" w:rsidR="000C6F82" w:rsidRPr="00860D7E" w:rsidRDefault="000C6F82" w:rsidP="00AA3E97">
            <w:pPr>
              <w:pStyle w:val="NormalWeb"/>
              <w:jc w:val="center"/>
              <w:rPr>
                <w:sz w:val="18"/>
                <w:szCs w:val="18"/>
              </w:rPr>
            </w:pPr>
            <w:r w:rsidRPr="00860D7E">
              <w:rPr>
                <w:sz w:val="18"/>
                <w:szCs w:val="18"/>
              </w:rPr>
              <w:t>40 (25%)</w:t>
            </w:r>
          </w:p>
        </w:tc>
        <w:tc>
          <w:tcPr>
            <w:tcW w:w="0" w:type="auto"/>
            <w:shd w:val="clear" w:color="auto" w:fill="auto"/>
            <w:hideMark/>
          </w:tcPr>
          <w:p w14:paraId="62394ADC" w14:textId="77777777" w:rsidR="000C6F82" w:rsidRPr="00860D7E" w:rsidRDefault="000C6F82" w:rsidP="00AA3E97">
            <w:pPr>
              <w:pStyle w:val="NormalWeb"/>
              <w:jc w:val="center"/>
              <w:rPr>
                <w:sz w:val="18"/>
                <w:szCs w:val="18"/>
              </w:rPr>
            </w:pPr>
            <w:r w:rsidRPr="00860D7E">
              <w:rPr>
                <w:sz w:val="18"/>
                <w:szCs w:val="18"/>
              </w:rPr>
              <w:t>7 (9%)</w:t>
            </w:r>
          </w:p>
        </w:tc>
      </w:tr>
      <w:tr w:rsidR="000C6F82" w:rsidRPr="00860D7E" w14:paraId="62394AE0" w14:textId="77777777" w:rsidTr="00712417">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62394ADE" w14:textId="77777777" w:rsidR="000C6F82" w:rsidRPr="00860D7E" w:rsidRDefault="000C6F82" w:rsidP="00AA3E97">
            <w:pPr>
              <w:jc w:val="center"/>
              <w:rPr>
                <w:sz w:val="18"/>
                <w:szCs w:val="18"/>
              </w:rPr>
            </w:pPr>
          </w:p>
        </w:tc>
        <w:tc>
          <w:tcPr>
            <w:tcW w:w="0" w:type="auto"/>
            <w:gridSpan w:val="4"/>
            <w:shd w:val="clear" w:color="auto" w:fill="auto"/>
            <w:hideMark/>
          </w:tcPr>
          <w:p w14:paraId="62394ADF" w14:textId="77777777" w:rsidR="000C6F82" w:rsidRPr="00860D7E" w:rsidRDefault="000C6F82" w:rsidP="00AA3E97">
            <w:pPr>
              <w:pStyle w:val="NormalWeb"/>
              <w:jc w:val="center"/>
              <w:rPr>
                <w:sz w:val="18"/>
                <w:szCs w:val="18"/>
              </w:rPr>
            </w:pPr>
            <w:r w:rsidRPr="00860D7E">
              <w:rPr>
                <w:sz w:val="18"/>
                <w:szCs w:val="18"/>
              </w:rPr>
              <w:t>One or more specified comorbidities</w:t>
            </w:r>
            <w:r w:rsidRPr="00B24C64">
              <w:rPr>
                <w:sz w:val="18"/>
                <w:szCs w:val="18"/>
                <w:vertAlign w:val="superscript"/>
              </w:rPr>
              <w:t>d</w:t>
            </w:r>
          </w:p>
        </w:tc>
      </w:tr>
      <w:tr w:rsidR="000C6F82" w:rsidRPr="00860D7E" w14:paraId="62394AE6" w14:textId="77777777" w:rsidTr="00712417">
        <w:tc>
          <w:tcPr>
            <w:tcW w:w="0" w:type="auto"/>
            <w:shd w:val="clear" w:color="auto" w:fill="auto"/>
            <w:hideMark/>
          </w:tcPr>
          <w:p w14:paraId="62394AE1" w14:textId="77777777" w:rsidR="000C6F82" w:rsidRPr="00860D7E" w:rsidRDefault="000C6F82" w:rsidP="00AA3E97">
            <w:pPr>
              <w:jc w:val="center"/>
              <w:rPr>
                <w:sz w:val="18"/>
                <w:szCs w:val="18"/>
              </w:rPr>
            </w:pPr>
          </w:p>
        </w:tc>
        <w:tc>
          <w:tcPr>
            <w:tcW w:w="0" w:type="auto"/>
            <w:shd w:val="clear" w:color="auto" w:fill="auto"/>
            <w:hideMark/>
          </w:tcPr>
          <w:p w14:paraId="62394AE2" w14:textId="77777777" w:rsidR="000C6F82" w:rsidRPr="00860D7E" w:rsidRDefault="000C6F82" w:rsidP="00AA3E97">
            <w:pPr>
              <w:pStyle w:val="NormalWeb"/>
              <w:jc w:val="center"/>
              <w:rPr>
                <w:sz w:val="18"/>
                <w:szCs w:val="18"/>
              </w:rPr>
            </w:pPr>
            <w:r w:rsidRPr="00860D7E">
              <w:rPr>
                <w:sz w:val="18"/>
                <w:szCs w:val="18"/>
              </w:rPr>
              <w:t>1,556 (29%)</w:t>
            </w:r>
          </w:p>
        </w:tc>
        <w:tc>
          <w:tcPr>
            <w:tcW w:w="0" w:type="auto"/>
            <w:shd w:val="clear" w:color="auto" w:fill="auto"/>
            <w:hideMark/>
          </w:tcPr>
          <w:p w14:paraId="62394AE3" w14:textId="77777777" w:rsidR="000C6F82" w:rsidRPr="00860D7E" w:rsidRDefault="000C6F82" w:rsidP="00AA3E97">
            <w:pPr>
              <w:pStyle w:val="NormalWeb"/>
              <w:jc w:val="center"/>
              <w:rPr>
                <w:sz w:val="18"/>
                <w:szCs w:val="18"/>
              </w:rPr>
            </w:pPr>
            <w:r w:rsidRPr="00860D7E">
              <w:rPr>
                <w:sz w:val="18"/>
                <w:szCs w:val="18"/>
              </w:rPr>
              <w:t>375 (55%)</w:t>
            </w:r>
          </w:p>
        </w:tc>
        <w:tc>
          <w:tcPr>
            <w:tcW w:w="0" w:type="auto"/>
            <w:shd w:val="clear" w:color="auto" w:fill="auto"/>
            <w:hideMark/>
          </w:tcPr>
          <w:p w14:paraId="62394AE4" w14:textId="77777777" w:rsidR="000C6F82" w:rsidRPr="00860D7E" w:rsidRDefault="000C6F82" w:rsidP="00AA3E97">
            <w:pPr>
              <w:pStyle w:val="NormalWeb"/>
              <w:jc w:val="center"/>
              <w:rPr>
                <w:sz w:val="18"/>
                <w:szCs w:val="18"/>
              </w:rPr>
            </w:pPr>
            <w:r w:rsidRPr="00860D7E">
              <w:rPr>
                <w:sz w:val="18"/>
                <w:szCs w:val="18"/>
              </w:rPr>
              <w:t>101 (62%)</w:t>
            </w:r>
          </w:p>
        </w:tc>
        <w:tc>
          <w:tcPr>
            <w:tcW w:w="0" w:type="auto"/>
            <w:shd w:val="clear" w:color="auto" w:fill="auto"/>
            <w:hideMark/>
          </w:tcPr>
          <w:p w14:paraId="62394AE5" w14:textId="77777777" w:rsidR="000C6F82" w:rsidRPr="00860D7E" w:rsidRDefault="000C6F82" w:rsidP="00AA3E97">
            <w:pPr>
              <w:pStyle w:val="NormalWeb"/>
              <w:jc w:val="center"/>
              <w:rPr>
                <w:sz w:val="18"/>
                <w:szCs w:val="18"/>
              </w:rPr>
            </w:pPr>
            <w:r w:rsidRPr="00860D7E">
              <w:rPr>
                <w:sz w:val="18"/>
                <w:szCs w:val="18"/>
              </w:rPr>
              <w:t>78%)</w:t>
            </w:r>
          </w:p>
        </w:tc>
      </w:tr>
    </w:tbl>
    <w:p w14:paraId="62394AE7" w14:textId="77777777" w:rsidR="000C6F82" w:rsidRDefault="000C6F82" w:rsidP="008044EE">
      <w:pPr>
        <w:pStyle w:val="CDIfootnotes"/>
        <w:spacing w:before="0" w:beforeAutospacing="0" w:after="0" w:afterAutospacing="0"/>
        <w:ind w:left="284" w:hanging="284"/>
      </w:pPr>
      <w:r>
        <w:t>a</w:t>
      </w:r>
      <w:r>
        <w:tab/>
        <w:t>Source: NNDSS. Excludes those with missing data on comorbidities or where comorbidity is unknown.</w:t>
      </w:r>
    </w:p>
    <w:p w14:paraId="62394AE8" w14:textId="77777777" w:rsidR="000C6F82" w:rsidRDefault="000C6F82" w:rsidP="008044EE">
      <w:pPr>
        <w:pStyle w:val="CDIfootnotes"/>
        <w:spacing w:before="0" w:beforeAutospacing="0" w:after="0" w:afterAutospacing="0"/>
        <w:ind w:left="284" w:hanging="284"/>
      </w:pPr>
      <w:r>
        <w:rPr>
          <w:lang w:val="en-US"/>
        </w:rPr>
        <w:t>b</w:t>
      </w:r>
      <w:r>
        <w:rPr>
          <w:lang w:val="en-US"/>
        </w:rPr>
        <w:tab/>
        <w:t>Excluding hypertension.</w:t>
      </w:r>
    </w:p>
    <w:p w14:paraId="62394AE9" w14:textId="77777777" w:rsidR="000C6F82" w:rsidRDefault="000C6F82" w:rsidP="008044EE">
      <w:pPr>
        <w:pStyle w:val="CDIfootnotes"/>
        <w:spacing w:before="0" w:beforeAutospacing="0" w:after="0" w:afterAutospacing="0"/>
        <w:ind w:left="284" w:hanging="284"/>
      </w:pPr>
      <w:r>
        <w:rPr>
          <w:lang w:val="en-US"/>
        </w:rPr>
        <w:t>c</w:t>
      </w:r>
      <w:r>
        <w:rPr>
          <w:lang w:val="en-US"/>
        </w:rPr>
        <w:tab/>
        <w:t>Excluding asthma.</w:t>
      </w:r>
    </w:p>
    <w:p w14:paraId="62394AEA" w14:textId="77777777" w:rsidR="000C6F82" w:rsidRDefault="000C6F82" w:rsidP="008044EE">
      <w:pPr>
        <w:pStyle w:val="CDIfootnotes"/>
        <w:spacing w:before="0" w:beforeAutospacing="0" w:after="0" w:afterAutospacing="0"/>
        <w:ind w:left="284" w:hanging="284"/>
      </w:pPr>
      <w:r>
        <w:rPr>
          <w:lang w:val="en-US"/>
        </w:rPr>
        <w:t>d</w:t>
      </w:r>
      <w:r>
        <w:rPr>
          <w:lang w:val="en-US"/>
        </w:rPr>
        <w:tab/>
        <w:t>Includes asthma, chronic respiratory conditions (excluding asthma), cardiac disease (excluding hypertension), immunosuppressive condition/therapy, diabetes, obesity, liver disease, renal disease and neurological disorder.</w:t>
      </w:r>
    </w:p>
    <w:p w14:paraId="6A7B2C55" w14:textId="77777777" w:rsidR="00D450F8" w:rsidRDefault="00D450F8" w:rsidP="000B2127"/>
    <w:p w14:paraId="17528674" w14:textId="2A2F0FBA" w:rsidR="00803D44" w:rsidRDefault="00884DF7" w:rsidP="00D450F8">
      <w:r>
        <w:t xml:space="preserve">Comorbidity information </w:t>
      </w:r>
      <w:r w:rsidR="00690897">
        <w:t>on</w:t>
      </w:r>
      <w:r>
        <w:t xml:space="preserve"> cases hospitalised in Australia is also </w:t>
      </w:r>
      <w:r w:rsidR="00690897">
        <w:t>available</w:t>
      </w:r>
      <w:r>
        <w:t xml:space="preserve"> through the Influenza Complications Alert Network (FluCAN).</w:t>
      </w:r>
      <w:r w:rsidR="001F74F6">
        <w:rPr>
          <w:vertAlign w:val="superscript"/>
        </w:rPr>
        <w:t>4</w:t>
      </w:r>
      <w:r>
        <w:t xml:space="preserve"> FluCAN found a greater prevalence of comorbid conditions in a sample of</w:t>
      </w:r>
      <w:r w:rsidR="005F0ECF">
        <w:t xml:space="preserve"> hospitalised</w:t>
      </w:r>
      <w:r>
        <w:t xml:space="preserve"> COVID-19 </w:t>
      </w:r>
      <w:r>
        <w:lastRenderedPageBreak/>
        <w:t>patients aged 16 years and over (n = 73) compared to the NNDSS. This difference is most likely due to more c</w:t>
      </w:r>
      <w:r w:rsidR="00803D44">
        <w:t xml:space="preserve">omprehensive data </w:t>
      </w:r>
      <w:r>
        <w:t xml:space="preserve">being available from patient medical records assessed </w:t>
      </w:r>
      <w:r w:rsidR="00704B57">
        <w:t>as part of</w:t>
      </w:r>
      <w:r w:rsidR="00690897">
        <w:t xml:space="preserve"> </w:t>
      </w:r>
      <w:r w:rsidR="00803D44">
        <w:t>FluCAN</w:t>
      </w:r>
      <w:r w:rsidR="00704B57">
        <w:t>.</w:t>
      </w:r>
      <w:r w:rsidR="001F74F6">
        <w:rPr>
          <w:vertAlign w:val="superscript"/>
        </w:rPr>
        <w:t>4</w:t>
      </w:r>
      <w:r w:rsidR="00704B57" w:rsidDel="00704B57">
        <w:t xml:space="preserve"> </w:t>
      </w:r>
    </w:p>
    <w:p w14:paraId="62394AEC" w14:textId="4F12F086" w:rsidR="000C6F82" w:rsidRDefault="005F0ECF" w:rsidP="00D450F8">
      <w:r w:rsidRPr="00D35A05">
        <w:t>Amongst</w:t>
      </w:r>
      <w:r w:rsidR="00EE5608" w:rsidRPr="00D35A05">
        <w:t xml:space="preserve"> FluCAN </w:t>
      </w:r>
      <w:r w:rsidRPr="00D35A05">
        <w:t>cases </w:t>
      </w:r>
      <w:r w:rsidRPr="00D35A05">
        <w:rPr>
          <w:shd w:val="clear" w:color="auto" w:fill="FFFFFF"/>
        </w:rPr>
        <w:t>with at least</w:t>
      </w:r>
      <w:r w:rsidR="00EE5608" w:rsidRPr="00D35A05">
        <w:rPr>
          <w:shd w:val="clear" w:color="auto" w:fill="FFFFFF"/>
        </w:rPr>
        <w:t xml:space="preserve"> one reported comorbidity</w:t>
      </w:r>
      <w:r w:rsidR="007341FE">
        <w:rPr>
          <w:shd w:val="clear" w:color="auto" w:fill="FFFFFF"/>
        </w:rPr>
        <w:t>,</w:t>
      </w:r>
      <w:r w:rsidRPr="00D35A05">
        <w:t xml:space="preserve"> the most common comorbidities</w:t>
      </w:r>
      <w:r w:rsidRPr="00D35A05">
        <w:rPr>
          <w:strike/>
        </w:rPr>
        <w:t xml:space="preserve"> </w:t>
      </w:r>
      <w:r w:rsidRPr="00D35A05">
        <w:t>were</w:t>
      </w:r>
      <w:r w:rsidR="00D03C18" w:rsidRPr="00D35A05">
        <w:t xml:space="preserve"> obesity (</w:t>
      </w:r>
      <w:r w:rsidR="000C6F82" w:rsidRPr="00D35A05">
        <w:t>37%</w:t>
      </w:r>
      <w:r w:rsidR="00D03C18" w:rsidRPr="00D35A05">
        <w:t>)</w:t>
      </w:r>
      <w:r w:rsidR="000C6F82" w:rsidRPr="00D35A05">
        <w:t xml:space="preserve">, </w:t>
      </w:r>
      <w:r w:rsidR="00D03C18">
        <w:t xml:space="preserve">diabetes (34%), cardiac disease (32%) and </w:t>
      </w:r>
      <w:r w:rsidR="000C6F82">
        <w:t xml:space="preserve">chronic respiratory illness (30%). A history of smoking (current or past smoker) was identified in 36% of </w:t>
      </w:r>
      <w:r w:rsidR="00D03C18">
        <w:t xml:space="preserve">FluCAN </w:t>
      </w:r>
      <w:r w:rsidR="000C6F82">
        <w:t xml:space="preserve">cases. </w:t>
      </w:r>
    </w:p>
    <w:p w14:paraId="62394AED" w14:textId="7FF7DE13" w:rsidR="000C6F82" w:rsidRDefault="00803D44" w:rsidP="00D450F8">
      <w:r>
        <w:t xml:space="preserve">Australian data </w:t>
      </w:r>
      <w:r w:rsidR="005F0ECF">
        <w:t xml:space="preserve">on comorbidities </w:t>
      </w:r>
      <w:r w:rsidR="008D618B">
        <w:t xml:space="preserve">are </w:t>
      </w:r>
      <w:r w:rsidR="008044EE">
        <w:t>similar to</w:t>
      </w:r>
      <w:r w:rsidR="005F0ECF">
        <w:t xml:space="preserve"> results reported</w:t>
      </w:r>
      <w:r w:rsidR="00A52DBE">
        <w:t xml:space="preserve"> </w:t>
      </w:r>
      <w:r w:rsidR="00690897">
        <w:t>international</w:t>
      </w:r>
      <w:r w:rsidR="00A52DBE">
        <w:t>ly</w:t>
      </w:r>
      <w:r w:rsidR="000C6F82">
        <w:t xml:space="preserve">. </w:t>
      </w:r>
      <w:r>
        <w:t xml:space="preserve">This includes </w:t>
      </w:r>
      <w:r w:rsidR="005F0ECF">
        <w:t>findings</w:t>
      </w:r>
      <w:r>
        <w:t xml:space="preserve"> from t</w:t>
      </w:r>
      <w:r w:rsidR="000C6F82">
        <w:t>he United States CDC</w:t>
      </w:r>
      <w:r>
        <w:t xml:space="preserve"> which published comorbidity data for a small </w:t>
      </w:r>
      <w:r w:rsidR="000C6F82">
        <w:t xml:space="preserve">proportion of cases </w:t>
      </w:r>
      <w:r w:rsidR="00D03C18">
        <w:t xml:space="preserve">where a complete chart review was </w:t>
      </w:r>
      <w:r w:rsidR="0073763E">
        <w:t>available</w:t>
      </w:r>
      <w:r w:rsidR="000C6F82">
        <w:t>.</w:t>
      </w:r>
      <w:r w:rsidR="001F74F6">
        <w:rPr>
          <w:vertAlign w:val="superscript"/>
        </w:rPr>
        <w:t>11</w:t>
      </w:r>
      <w:r w:rsidR="001F74F6">
        <w:t xml:space="preserve"> </w:t>
      </w:r>
      <w:r>
        <w:t xml:space="preserve">In the CDC report, the most common comorbidities found for hospitalised adults with at least one reported comorbidity </w:t>
      </w:r>
      <w:r w:rsidR="007830DC">
        <w:t>were</w:t>
      </w:r>
      <w:r w:rsidR="000C6F82">
        <w:t xml:space="preserve"> hypertension (</w:t>
      </w:r>
      <w:r w:rsidR="00D03C18">
        <w:t>58</w:t>
      </w:r>
      <w:r w:rsidR="000C6F82">
        <w:t>%), obesity (</w:t>
      </w:r>
      <w:r w:rsidR="00D03C18">
        <w:t>50</w:t>
      </w:r>
      <w:r w:rsidR="000C6F82">
        <w:t>%), metabolic disease (42%) and cardiovascular disease (</w:t>
      </w:r>
      <w:r w:rsidR="00D03C18">
        <w:t>44</w:t>
      </w:r>
      <w:r w:rsidR="000C6F82">
        <w:t xml:space="preserve">%). </w:t>
      </w:r>
      <w:r w:rsidR="00D03C18">
        <w:t>Amongst all cases included in</w:t>
      </w:r>
      <w:r w:rsidR="0073763E">
        <w:t xml:space="preserve"> the</w:t>
      </w:r>
      <w:r w:rsidR="00D03C18">
        <w:t xml:space="preserve"> CDC report, only 8.3% reported no known comorbidity. </w:t>
      </w:r>
    </w:p>
    <w:p w14:paraId="179A1221" w14:textId="346D6511" w:rsidR="00497D6C" w:rsidRDefault="000C6F82" w:rsidP="00D450F8">
      <w:pPr>
        <w:sectPr w:rsidR="00497D6C" w:rsidSect="00A30C37">
          <w:headerReference w:type="default" r:id="rId15"/>
          <w:footerReference w:type="default" r:id="rId16"/>
          <w:footerReference w:type="first" r:id="rId17"/>
          <w:footnotePr>
            <w:numFmt w:val="lowerRoman"/>
          </w:footnotePr>
          <w:pgSz w:w="11906" w:h="16838"/>
          <w:pgMar w:top="720" w:right="720" w:bottom="1134" w:left="720" w:header="709" w:footer="284" w:gutter="0"/>
          <w:cols w:space="708"/>
          <w:titlePg/>
          <w:docGrid w:linePitch="360"/>
        </w:sectPr>
      </w:pPr>
      <w:r>
        <w:t xml:space="preserve">Within the European region, analysis of comorbidities of hospitalised patients has shown </w:t>
      </w:r>
      <w:r w:rsidR="00D03C18">
        <w:t>39</w:t>
      </w:r>
      <w:r>
        <w:t>% had no</w:t>
      </w:r>
      <w:r w:rsidR="00D03C18">
        <w:t xml:space="preserve"> known or reported</w:t>
      </w:r>
      <w:r>
        <w:t xml:space="preserve"> comorbidity. </w:t>
      </w:r>
      <w:r w:rsidR="0073763E">
        <w:t>The most common comorbidities for hospitalised cases with at least one reported comorbidity were</w:t>
      </w:r>
      <w:r>
        <w:t xml:space="preserve"> cardiac disorder (excluding hyper</w:t>
      </w:r>
      <w:r w:rsidR="0073763E">
        <w:t>tension) (13%), diabetes (12</w:t>
      </w:r>
      <w:r>
        <w:t>%) and chronic lung disease (</w:t>
      </w:r>
      <w:r w:rsidR="0073763E">
        <w:t>9%). These findings are similar to the level of comorbidity seen for hospitalised cases in Australia.</w:t>
      </w:r>
      <w:r w:rsidR="00734A2B">
        <w:rPr>
          <w:vertAlign w:val="superscript"/>
        </w:rPr>
        <w:t>8</w:t>
      </w:r>
      <w:r w:rsidR="001F74F6">
        <w:t xml:space="preserve"> </w:t>
      </w:r>
    </w:p>
    <w:p w14:paraId="62394AEF" w14:textId="3D5861FB" w:rsidR="000C6F82" w:rsidRDefault="000C6F82" w:rsidP="00497D6C">
      <w:pPr>
        <w:pStyle w:val="Heading2"/>
      </w:pPr>
      <w:r w:rsidRPr="000B2127">
        <w:t xml:space="preserve">Symptom profile </w:t>
      </w:r>
    </w:p>
    <w:p w14:paraId="18AEEDF3" w14:textId="64898874" w:rsidR="00037FDD" w:rsidRPr="00037FDD" w:rsidRDefault="00037FDD" w:rsidP="00037FDD">
      <w:pPr>
        <w:rPr>
          <w:i/>
        </w:rPr>
      </w:pPr>
      <w:r w:rsidRPr="00D450F8">
        <w:rPr>
          <w:i/>
        </w:rPr>
        <w:t>As at 24 May 2020 (not updated</w:t>
      </w:r>
      <w:r w:rsidR="00416DDF" w:rsidRPr="00D450F8">
        <w:rPr>
          <w:i/>
        </w:rPr>
        <w:t xml:space="preserve"> for</w:t>
      </w:r>
      <w:r w:rsidRPr="00D450F8">
        <w:rPr>
          <w:i/>
        </w:rPr>
        <w:t xml:space="preserve"> this reporting period)</w:t>
      </w:r>
    </w:p>
    <w:p w14:paraId="62394AF0" w14:textId="77777777" w:rsidR="000C6F82" w:rsidRDefault="000C6F82" w:rsidP="000B2127">
      <w:r>
        <w:t xml:space="preserve">The symptoms reported by COVID-19 cases in Australia are consistent with a mild respiratory infection in the majority of cases. The most common symptoms reported (see Appendix B, Figure B.2) were cough (69%), fever (47%), sore throat (40%) and headache (36%). Loss of smell or taste was reported in 12% of cases, noting that this is currently not a standard field in NNDSS, and is likely to under-represent those presenting with these symptoms. A small number of cases reported more severe symptoms, with pneumonia and/or acute respiratory disease (ARD) reported in 3% of cases with symptoms. </w:t>
      </w:r>
    </w:p>
    <w:p w14:paraId="62394AF1" w14:textId="77777777" w:rsidR="000C6F82" w:rsidRDefault="000C6F82" w:rsidP="000B2127">
      <w:r>
        <w:t xml:space="preserve">Adults and children reported similar symptoms, with cough and fever the most commonly reported symptoms across all age groups. Shortness of breath was more commonly reported among older cases, particularly those aged 80 and over (32%). </w:t>
      </w:r>
    </w:p>
    <w:p w14:paraId="62394AF2" w14:textId="7A719969" w:rsidR="000C6F82" w:rsidRDefault="000C6F82" w:rsidP="000B2127">
      <w:r>
        <w:t>The symptom profile of Australian cases is broadly similar to the symptoms reported by COVID-19 cases internationally. Among EU/EEA countries and the UK, fever/chills and dry or productive cough were the most commonly reported symptoms.</w:t>
      </w:r>
      <w:r w:rsidR="001F74F6">
        <w:rPr>
          <w:vertAlign w:val="superscript"/>
        </w:rPr>
        <w:t>12</w:t>
      </w:r>
      <w:r w:rsidR="001F74F6">
        <w:t xml:space="preserve"> </w:t>
      </w:r>
      <w:r>
        <w:t>Cough, headaches and fever and chills were the most commonly reported symptoms among cases in Canada.</w:t>
      </w:r>
      <w:r w:rsidR="001F74F6">
        <w:rPr>
          <w:vertAlign w:val="superscript"/>
        </w:rPr>
        <w:t>13</w:t>
      </w:r>
      <w:r w:rsidR="001F74F6">
        <w:t xml:space="preserve"> </w:t>
      </w:r>
      <w:r>
        <w:t xml:space="preserve">Differences in reported symptoms will be influenced by differences in surveillance strategies and symptom reporting across countries. </w:t>
      </w:r>
    </w:p>
    <w:p w14:paraId="62394AF3" w14:textId="77777777" w:rsidR="000C6F82" w:rsidRPr="000B2127" w:rsidRDefault="000C6F82" w:rsidP="000B2127">
      <w:pPr>
        <w:pStyle w:val="Heading2"/>
      </w:pPr>
      <w:r w:rsidRPr="000B2127">
        <w:t xml:space="preserve">Populations of Interest </w:t>
      </w:r>
    </w:p>
    <w:p w14:paraId="62394AF4" w14:textId="77777777" w:rsidR="000C6F82" w:rsidRPr="000B2127" w:rsidRDefault="000C6F82" w:rsidP="000B2127">
      <w:pPr>
        <w:pStyle w:val="Heading3"/>
      </w:pPr>
      <w:r w:rsidRPr="000B2127">
        <w:t xml:space="preserve">Aboriginal and Torres Strait Islander persons </w:t>
      </w:r>
    </w:p>
    <w:p w14:paraId="74C94C9B" w14:textId="0BEB0E19" w:rsidR="00497D6C" w:rsidRDefault="00942D6A" w:rsidP="0048340A">
      <w:r>
        <w:t>Sixty</w:t>
      </w:r>
      <w:r w:rsidR="000C6F82">
        <w:t xml:space="preserve"> cases (0.8%) have been reported in Aboriginal and Torres Strait Islander persons since the start of the epidemic in Australia. </w:t>
      </w:r>
      <w:r w:rsidR="008D618B">
        <w:t>H</w:t>
      </w:r>
      <w:r w:rsidR="000C6F82">
        <w:t xml:space="preserve">alf of these cases acquired their infection overseas. </w:t>
      </w:r>
      <w:r>
        <w:t>O</w:t>
      </w:r>
      <w:r w:rsidR="000C6F82">
        <w:t>f locally-acquired cases</w:t>
      </w:r>
      <w:r>
        <w:t>,</w:t>
      </w:r>
      <w:r w:rsidR="000C6F82">
        <w:t xml:space="preserve"> the majority were reported in areas classified ‘Major cities of Australia’ based on the case’s usual place of residence (Table 5). No cases among Aboriginal and Torres Strait Islander persons have been notified from remote or very remote areas of Australia.</w:t>
      </w:r>
      <w:r>
        <w:t xml:space="preserve"> </w:t>
      </w:r>
    </w:p>
    <w:p w14:paraId="349DA4F9" w14:textId="77777777" w:rsidR="00E45D69" w:rsidRDefault="00E45D69">
      <w:pPr>
        <w:rPr>
          <w:b/>
        </w:rPr>
      </w:pPr>
      <w:r>
        <w:br w:type="page"/>
      </w:r>
    </w:p>
    <w:p w14:paraId="62394AF7" w14:textId="32BDC0E3" w:rsidR="000C6F82" w:rsidRDefault="000C6F82" w:rsidP="000B2127">
      <w:pPr>
        <w:pStyle w:val="CDIFigures"/>
      </w:pPr>
      <w:r>
        <w:lastRenderedPageBreak/>
        <w:t>Table 5: COVID-19 cases,</w:t>
      </w:r>
      <w:r w:rsidRPr="00613C1F">
        <w:rPr>
          <w:vertAlign w:val="superscript"/>
        </w:rPr>
        <w:t>a</w:t>
      </w:r>
      <w:r>
        <w:t xml:space="preserve"> notified among Aboriginal and Torres Strait Islander persons by remoteness classification and source of acquisition</w:t>
      </w:r>
    </w:p>
    <w:tbl>
      <w:tblPr>
        <w:tblStyle w:val="CDI-StandardTable"/>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57" w:type="dxa"/>
          <w:left w:w="57" w:type="dxa"/>
          <w:bottom w:w="57" w:type="dxa"/>
          <w:right w:w="57" w:type="dxa"/>
        </w:tblCellMar>
        <w:tblLook w:val="04A0" w:firstRow="1" w:lastRow="0" w:firstColumn="1" w:lastColumn="0" w:noHBand="0" w:noVBand="1"/>
        <w:tblDescription w:val="Table 5: COVID-19 cases, notified among Aboriginal and Torres Strait Islander persons by remoteness classification and source of acquisition &#10;Table 5 shows the notifications among Aboriginal and Torres Strait Islander people by place of acquisition and, for locally-acquired cases, by remoteness classification. There have been 60 notifications in Aboriginal and Torres Strait Islander people, with 50% of these cases overseas-acquired. Nationwide, notifications of locally-acquired cases among Aboriginal and Torres Strait Islander people have occurred predominantly within major cities of Australia (20 cases) rather than in inner regional Australia (4 cases) or outer regional Australia (6 cases).&#10;"/>
      </w:tblPr>
      <w:tblGrid>
        <w:gridCol w:w="1902"/>
        <w:gridCol w:w="1872"/>
        <w:gridCol w:w="1912"/>
        <w:gridCol w:w="2407"/>
        <w:gridCol w:w="1507"/>
        <w:gridCol w:w="840"/>
      </w:tblGrid>
      <w:tr w:rsidR="005C5E58" w:rsidRPr="005C5E58" w14:paraId="62394AFB" w14:textId="77777777" w:rsidTr="00BD752F">
        <w:trPr>
          <w:cnfStyle w:val="100000000000" w:firstRow="1" w:lastRow="0" w:firstColumn="0" w:lastColumn="0" w:oddVBand="0" w:evenVBand="0" w:oddHBand="0" w:evenHBand="0" w:firstRowFirstColumn="0" w:firstRowLastColumn="0" w:lastRowFirstColumn="0" w:lastRowLastColumn="0"/>
          <w:tblHeader/>
        </w:trPr>
        <w:tc>
          <w:tcPr>
            <w:tcW w:w="0" w:type="auto"/>
            <w:gridSpan w:val="4"/>
            <w:hideMark/>
          </w:tcPr>
          <w:p w14:paraId="62394AF8" w14:textId="77777777" w:rsidR="000C6F82" w:rsidRPr="005C5E58" w:rsidRDefault="000C6F82" w:rsidP="00860D7E">
            <w:pPr>
              <w:pStyle w:val="NormalWeb"/>
              <w:jc w:val="center"/>
              <w:rPr>
                <w:color w:val="FFFFFF" w:themeColor="background1"/>
                <w:sz w:val="18"/>
                <w:szCs w:val="18"/>
              </w:rPr>
            </w:pPr>
            <w:r w:rsidRPr="005C5E58">
              <w:rPr>
                <w:color w:val="FFFFFF" w:themeColor="background1"/>
                <w:sz w:val="18"/>
                <w:szCs w:val="18"/>
              </w:rPr>
              <w:t>Locally-acquired</w:t>
            </w:r>
            <w:r w:rsidRPr="005F5C6E">
              <w:rPr>
                <w:color w:val="FFFFFF" w:themeColor="background1"/>
                <w:sz w:val="18"/>
                <w:szCs w:val="18"/>
                <w:vertAlign w:val="superscript"/>
              </w:rPr>
              <w:t>b</w:t>
            </w:r>
          </w:p>
        </w:tc>
        <w:tc>
          <w:tcPr>
            <w:tcW w:w="0" w:type="auto"/>
            <w:vMerge w:val="restart"/>
            <w:hideMark/>
          </w:tcPr>
          <w:p w14:paraId="62394AF9" w14:textId="77777777" w:rsidR="000C6F82" w:rsidRPr="005C5E58" w:rsidRDefault="000C6F82" w:rsidP="00860D7E">
            <w:pPr>
              <w:pStyle w:val="NormalWeb"/>
              <w:jc w:val="center"/>
              <w:rPr>
                <w:color w:val="FFFFFF" w:themeColor="background1"/>
                <w:sz w:val="18"/>
                <w:szCs w:val="18"/>
              </w:rPr>
            </w:pPr>
            <w:r w:rsidRPr="005C5E58">
              <w:rPr>
                <w:color w:val="FFFFFF" w:themeColor="background1"/>
                <w:sz w:val="18"/>
                <w:szCs w:val="18"/>
              </w:rPr>
              <w:t>Overseas-acquired</w:t>
            </w:r>
          </w:p>
        </w:tc>
        <w:tc>
          <w:tcPr>
            <w:tcW w:w="840" w:type="dxa"/>
            <w:vMerge w:val="restart"/>
            <w:hideMark/>
          </w:tcPr>
          <w:p w14:paraId="62394AFA" w14:textId="77777777" w:rsidR="000C6F82" w:rsidRPr="005C5E58" w:rsidRDefault="000C6F82" w:rsidP="00860D7E">
            <w:pPr>
              <w:pStyle w:val="NormalWeb"/>
              <w:jc w:val="center"/>
              <w:rPr>
                <w:color w:val="FFFFFF" w:themeColor="background1"/>
                <w:sz w:val="18"/>
                <w:szCs w:val="18"/>
              </w:rPr>
            </w:pPr>
            <w:r w:rsidRPr="005C5E58">
              <w:rPr>
                <w:color w:val="FFFFFF" w:themeColor="background1"/>
                <w:sz w:val="18"/>
                <w:szCs w:val="18"/>
              </w:rPr>
              <w:t>Total</w:t>
            </w:r>
          </w:p>
        </w:tc>
      </w:tr>
      <w:tr w:rsidR="005C5E58" w:rsidRPr="005C5E58" w14:paraId="62394B02" w14:textId="77777777" w:rsidTr="00BD752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62394AFC" w14:textId="77777777" w:rsidR="000C6F82" w:rsidRPr="005C5E58" w:rsidRDefault="000C6F82" w:rsidP="00860D7E">
            <w:pPr>
              <w:pStyle w:val="NormalWeb"/>
              <w:jc w:val="center"/>
              <w:rPr>
                <w:color w:val="FFFFFF" w:themeColor="background1"/>
                <w:sz w:val="18"/>
                <w:szCs w:val="18"/>
              </w:rPr>
            </w:pPr>
            <w:r w:rsidRPr="005C5E58">
              <w:rPr>
                <w:color w:val="FFFFFF" w:themeColor="background1"/>
                <w:sz w:val="18"/>
                <w:szCs w:val="18"/>
              </w:rPr>
              <w:t>Major cities of Australia</w:t>
            </w:r>
          </w:p>
        </w:tc>
        <w:tc>
          <w:tcPr>
            <w:tcW w:w="0" w:type="auto"/>
            <w:hideMark/>
          </w:tcPr>
          <w:p w14:paraId="62394AFD" w14:textId="77777777" w:rsidR="000C6F82" w:rsidRPr="005C5E58" w:rsidRDefault="000C6F82" w:rsidP="00860D7E">
            <w:pPr>
              <w:pStyle w:val="NormalWeb"/>
              <w:jc w:val="center"/>
              <w:rPr>
                <w:color w:val="FFFFFF" w:themeColor="background1"/>
                <w:sz w:val="18"/>
                <w:szCs w:val="18"/>
              </w:rPr>
            </w:pPr>
            <w:r w:rsidRPr="005C5E58">
              <w:rPr>
                <w:color w:val="FFFFFF" w:themeColor="background1"/>
                <w:sz w:val="18"/>
                <w:szCs w:val="18"/>
              </w:rPr>
              <w:t>Inner regional Australia</w:t>
            </w:r>
          </w:p>
        </w:tc>
        <w:tc>
          <w:tcPr>
            <w:tcW w:w="0" w:type="auto"/>
            <w:hideMark/>
          </w:tcPr>
          <w:p w14:paraId="62394AFE" w14:textId="77777777" w:rsidR="000C6F82" w:rsidRPr="005C5E58" w:rsidRDefault="000C6F82" w:rsidP="00860D7E">
            <w:pPr>
              <w:pStyle w:val="NormalWeb"/>
              <w:jc w:val="center"/>
              <w:rPr>
                <w:color w:val="FFFFFF" w:themeColor="background1"/>
                <w:sz w:val="18"/>
                <w:szCs w:val="18"/>
              </w:rPr>
            </w:pPr>
            <w:r w:rsidRPr="005C5E58">
              <w:rPr>
                <w:color w:val="FFFFFF" w:themeColor="background1"/>
                <w:sz w:val="18"/>
                <w:szCs w:val="18"/>
              </w:rPr>
              <w:t>Outer regional Australia</w:t>
            </w:r>
          </w:p>
        </w:tc>
        <w:tc>
          <w:tcPr>
            <w:tcW w:w="0" w:type="auto"/>
            <w:hideMark/>
          </w:tcPr>
          <w:p w14:paraId="62394AFF" w14:textId="77777777" w:rsidR="000C6F82" w:rsidRPr="005C5E58" w:rsidRDefault="000C6F82" w:rsidP="00860D7E">
            <w:pPr>
              <w:pStyle w:val="NormalWeb"/>
              <w:jc w:val="center"/>
              <w:rPr>
                <w:color w:val="FFFFFF" w:themeColor="background1"/>
                <w:sz w:val="18"/>
                <w:szCs w:val="18"/>
              </w:rPr>
            </w:pPr>
            <w:r w:rsidRPr="005C5E58">
              <w:rPr>
                <w:color w:val="FFFFFF" w:themeColor="background1"/>
                <w:sz w:val="18"/>
                <w:szCs w:val="18"/>
              </w:rPr>
              <w:t>Remote/very remote Australia</w:t>
            </w:r>
          </w:p>
        </w:tc>
        <w:tc>
          <w:tcPr>
            <w:tcW w:w="0" w:type="auto"/>
            <w:vMerge/>
            <w:hideMark/>
          </w:tcPr>
          <w:p w14:paraId="62394B00" w14:textId="77777777" w:rsidR="000C6F82" w:rsidRPr="005C5E58" w:rsidRDefault="000C6F82" w:rsidP="00860D7E">
            <w:pPr>
              <w:jc w:val="center"/>
              <w:rPr>
                <w:color w:val="FFFFFF" w:themeColor="background1"/>
                <w:sz w:val="18"/>
                <w:szCs w:val="18"/>
              </w:rPr>
            </w:pPr>
          </w:p>
        </w:tc>
        <w:tc>
          <w:tcPr>
            <w:tcW w:w="840" w:type="dxa"/>
            <w:vMerge/>
            <w:hideMark/>
          </w:tcPr>
          <w:p w14:paraId="62394B01" w14:textId="77777777" w:rsidR="000C6F82" w:rsidRPr="005C5E58" w:rsidRDefault="000C6F82" w:rsidP="00860D7E">
            <w:pPr>
              <w:jc w:val="center"/>
              <w:rPr>
                <w:color w:val="FFFFFF" w:themeColor="background1"/>
                <w:sz w:val="18"/>
                <w:szCs w:val="18"/>
              </w:rPr>
            </w:pPr>
          </w:p>
        </w:tc>
      </w:tr>
      <w:tr w:rsidR="000C6F82" w:rsidRPr="00860D7E" w14:paraId="62394B09" w14:textId="77777777" w:rsidTr="00BD752F">
        <w:tc>
          <w:tcPr>
            <w:tcW w:w="0" w:type="auto"/>
            <w:hideMark/>
          </w:tcPr>
          <w:p w14:paraId="62394B03" w14:textId="4A686BF9" w:rsidR="000C6F82" w:rsidRPr="00860D7E" w:rsidRDefault="000C6F82" w:rsidP="00860D7E">
            <w:pPr>
              <w:pStyle w:val="NormalWeb"/>
              <w:jc w:val="center"/>
              <w:rPr>
                <w:sz w:val="18"/>
                <w:szCs w:val="18"/>
              </w:rPr>
            </w:pPr>
            <w:r w:rsidRPr="00860D7E">
              <w:rPr>
                <w:sz w:val="18"/>
                <w:szCs w:val="18"/>
              </w:rPr>
              <w:t>2</w:t>
            </w:r>
            <w:r w:rsidR="00942D6A">
              <w:rPr>
                <w:sz w:val="18"/>
                <w:szCs w:val="18"/>
              </w:rPr>
              <w:t>0</w:t>
            </w:r>
          </w:p>
        </w:tc>
        <w:tc>
          <w:tcPr>
            <w:tcW w:w="0" w:type="auto"/>
            <w:hideMark/>
          </w:tcPr>
          <w:p w14:paraId="62394B04" w14:textId="77777777" w:rsidR="000C6F82" w:rsidRPr="00860D7E" w:rsidRDefault="000C6F82" w:rsidP="00860D7E">
            <w:pPr>
              <w:pStyle w:val="NormalWeb"/>
              <w:jc w:val="center"/>
              <w:rPr>
                <w:sz w:val="18"/>
                <w:szCs w:val="18"/>
              </w:rPr>
            </w:pPr>
            <w:r w:rsidRPr="00860D7E">
              <w:rPr>
                <w:sz w:val="18"/>
                <w:szCs w:val="18"/>
              </w:rPr>
              <w:t>4</w:t>
            </w:r>
          </w:p>
        </w:tc>
        <w:tc>
          <w:tcPr>
            <w:tcW w:w="0" w:type="auto"/>
            <w:hideMark/>
          </w:tcPr>
          <w:p w14:paraId="62394B05" w14:textId="77777777" w:rsidR="000C6F82" w:rsidRPr="00860D7E" w:rsidRDefault="000C6F82" w:rsidP="00860D7E">
            <w:pPr>
              <w:pStyle w:val="NormalWeb"/>
              <w:jc w:val="center"/>
              <w:rPr>
                <w:sz w:val="18"/>
                <w:szCs w:val="18"/>
              </w:rPr>
            </w:pPr>
            <w:r w:rsidRPr="00860D7E">
              <w:rPr>
                <w:sz w:val="18"/>
                <w:szCs w:val="18"/>
              </w:rPr>
              <w:t>6</w:t>
            </w:r>
          </w:p>
        </w:tc>
        <w:tc>
          <w:tcPr>
            <w:tcW w:w="0" w:type="auto"/>
            <w:hideMark/>
          </w:tcPr>
          <w:p w14:paraId="62394B06" w14:textId="77777777" w:rsidR="000C6F82" w:rsidRPr="00860D7E" w:rsidRDefault="000C6F82" w:rsidP="00860D7E">
            <w:pPr>
              <w:pStyle w:val="NormalWeb"/>
              <w:jc w:val="center"/>
              <w:rPr>
                <w:sz w:val="18"/>
                <w:szCs w:val="18"/>
              </w:rPr>
            </w:pPr>
            <w:r w:rsidRPr="00860D7E">
              <w:rPr>
                <w:sz w:val="18"/>
                <w:szCs w:val="18"/>
              </w:rPr>
              <w:t>0</w:t>
            </w:r>
          </w:p>
        </w:tc>
        <w:tc>
          <w:tcPr>
            <w:tcW w:w="0" w:type="auto"/>
            <w:hideMark/>
          </w:tcPr>
          <w:p w14:paraId="62394B07" w14:textId="4D2F31D2" w:rsidR="000C6F82" w:rsidRPr="00860D7E" w:rsidRDefault="00942D6A" w:rsidP="00860D7E">
            <w:pPr>
              <w:pStyle w:val="NormalWeb"/>
              <w:jc w:val="center"/>
              <w:rPr>
                <w:sz w:val="18"/>
                <w:szCs w:val="18"/>
              </w:rPr>
            </w:pPr>
            <w:r>
              <w:rPr>
                <w:sz w:val="18"/>
                <w:szCs w:val="18"/>
              </w:rPr>
              <w:t>30</w:t>
            </w:r>
          </w:p>
        </w:tc>
        <w:tc>
          <w:tcPr>
            <w:tcW w:w="840" w:type="dxa"/>
            <w:hideMark/>
          </w:tcPr>
          <w:p w14:paraId="62394B08" w14:textId="09300DE8" w:rsidR="000C6F82" w:rsidRPr="00860D7E" w:rsidRDefault="00942D6A" w:rsidP="00860D7E">
            <w:pPr>
              <w:pStyle w:val="NormalWeb"/>
              <w:jc w:val="center"/>
              <w:rPr>
                <w:sz w:val="18"/>
                <w:szCs w:val="18"/>
              </w:rPr>
            </w:pPr>
            <w:r>
              <w:rPr>
                <w:sz w:val="18"/>
                <w:szCs w:val="18"/>
              </w:rPr>
              <w:t>60</w:t>
            </w:r>
          </w:p>
        </w:tc>
      </w:tr>
    </w:tbl>
    <w:p w14:paraId="62394B0A" w14:textId="77777777" w:rsidR="000C6F82" w:rsidRDefault="000C6F82" w:rsidP="008044EE">
      <w:pPr>
        <w:pStyle w:val="CDIfootnotes"/>
        <w:spacing w:before="0" w:beforeAutospacing="0" w:after="0" w:afterAutospacing="0"/>
        <w:ind w:left="284" w:hanging="284"/>
      </w:pPr>
      <w:r>
        <w:t>a</w:t>
      </w:r>
      <w:r>
        <w:tab/>
        <w:t>Source: NNDSS.</w:t>
      </w:r>
    </w:p>
    <w:p w14:paraId="6766585E" w14:textId="56E5324C" w:rsidR="000C6F82" w:rsidRDefault="000C6F82" w:rsidP="008044EE">
      <w:pPr>
        <w:pStyle w:val="CDIfootnotes"/>
        <w:spacing w:before="0" w:beforeAutospacing="0" w:after="0" w:afterAutospacing="0"/>
        <w:ind w:left="284" w:hanging="284"/>
      </w:pPr>
      <w:r>
        <w:t>b</w:t>
      </w:r>
      <w:r>
        <w:tab/>
        <w:t>‘Locally-acquired’ comprises all cases without an overseas place of acquisition.</w:t>
      </w:r>
    </w:p>
    <w:p w14:paraId="6176E642" w14:textId="77777777" w:rsidR="00497D6C" w:rsidRDefault="00497D6C" w:rsidP="00497D6C">
      <w:pPr>
        <w:pStyle w:val="CDIfootnotes"/>
        <w:spacing w:before="120" w:beforeAutospacing="0" w:after="0" w:afterAutospacing="0"/>
        <w:sectPr w:rsidR="00497D6C" w:rsidSect="00497D6C">
          <w:type w:val="continuous"/>
          <w:pgSz w:w="11906" w:h="16838"/>
          <w:pgMar w:top="720" w:right="720" w:bottom="1134" w:left="720" w:header="709" w:footer="284" w:gutter="0"/>
          <w:cols w:space="708"/>
          <w:titlePg/>
          <w:docGrid w:linePitch="360"/>
        </w:sectPr>
      </w:pPr>
    </w:p>
    <w:p w14:paraId="3BF37472" w14:textId="5F231F5C" w:rsidR="00497D6C" w:rsidRDefault="00497D6C" w:rsidP="00497D6C">
      <w:pPr>
        <w:pStyle w:val="CDIfootnotes"/>
        <w:spacing w:before="120" w:beforeAutospacing="0" w:after="0" w:afterAutospacing="0"/>
      </w:pPr>
    </w:p>
    <w:p w14:paraId="62394B0C" w14:textId="3A431E70" w:rsidR="000C6F82" w:rsidRDefault="000C6F82" w:rsidP="00497D6C">
      <w:r>
        <w:t xml:space="preserve">Across all Australian cases, completeness of the Indigenous status field was approximately 95%. </w:t>
      </w:r>
    </w:p>
    <w:p w14:paraId="62394B0D" w14:textId="5DA86BEA" w:rsidR="000C6F82" w:rsidRDefault="000C6F82" w:rsidP="000B2127">
      <w:r>
        <w:t xml:space="preserve">The median age of COVID-19 cases among Aboriginal and Torres Strait Islander persons is </w:t>
      </w:r>
      <w:r w:rsidR="00942D6A">
        <w:t xml:space="preserve">33 </w:t>
      </w:r>
      <w:r>
        <w:t xml:space="preserve">years (IQR: </w:t>
      </w:r>
      <w:r w:rsidR="00942D6A">
        <w:t>22.5</w:t>
      </w:r>
      <w:r>
        <w:t>–</w:t>
      </w:r>
      <w:r w:rsidR="00942D6A">
        <w:t xml:space="preserve">55 </w:t>
      </w:r>
      <w:r>
        <w:t>years), which is lower than the median age of non-Indigenous COVID-19 cases (</w:t>
      </w:r>
      <w:r w:rsidR="00942D6A">
        <w:t>46</w:t>
      </w:r>
      <w:r>
        <w:t xml:space="preserve">, IQR: 29–62 years). </w:t>
      </w:r>
    </w:p>
    <w:p w14:paraId="1E60BAE2" w14:textId="1054336D" w:rsidR="00497D6C" w:rsidRDefault="000C6F82" w:rsidP="000B2127">
      <w:pPr>
        <w:sectPr w:rsidR="00497D6C" w:rsidSect="00497D6C">
          <w:type w:val="continuous"/>
          <w:pgSz w:w="11906" w:h="16838"/>
          <w:pgMar w:top="720" w:right="720" w:bottom="1134" w:left="720" w:header="709" w:footer="284" w:gutter="0"/>
          <w:cols w:space="708"/>
          <w:titlePg/>
          <w:docGrid w:linePitch="360"/>
        </w:sectPr>
      </w:pPr>
      <w:r>
        <w:t xml:space="preserve">Of the cases notified amongst Aboriginal and Torres Strait Islander persons, </w:t>
      </w:r>
      <w:r w:rsidR="00942D6A">
        <w:t>12</w:t>
      </w:r>
      <w:r>
        <w:t>% were admitted to hospital, which is similar to the proportion of all cases hospitalised (</w:t>
      </w:r>
      <w:r w:rsidR="00942D6A">
        <w:t>15</w:t>
      </w:r>
      <w:r>
        <w:t xml:space="preserve">%). Of cases in Aboriginal and Torres Strait Islander persons, </w:t>
      </w:r>
      <w:r w:rsidR="00942D6A">
        <w:t>no cases were reported as being admitted to ICU or requiring ventilation</w:t>
      </w:r>
      <w:r w:rsidR="00FC5692">
        <w:t xml:space="preserve"> </w:t>
      </w:r>
      <w:r w:rsidR="00670D4B">
        <w:t xml:space="preserve">and </w:t>
      </w:r>
      <w:r>
        <w:t xml:space="preserve">no fatalities </w:t>
      </w:r>
      <w:r w:rsidR="00670D4B">
        <w:t xml:space="preserve">have been </w:t>
      </w:r>
      <w:r>
        <w:t xml:space="preserve">reported. </w:t>
      </w:r>
    </w:p>
    <w:p w14:paraId="62394B0F" w14:textId="3ECFF769" w:rsidR="000C6F82" w:rsidRPr="000B2127" w:rsidRDefault="000C6F82" w:rsidP="000B2127">
      <w:pPr>
        <w:pStyle w:val="Heading3"/>
      </w:pPr>
      <w:r w:rsidRPr="000B2127">
        <w:t>School-aged children and older population</w:t>
      </w:r>
      <w:r w:rsidR="002E266D">
        <w:t>s</w:t>
      </w:r>
      <w:r w:rsidRPr="000B2127">
        <w:t xml:space="preserve"> </w:t>
      </w:r>
    </w:p>
    <w:p w14:paraId="62394B10" w14:textId="40D060AA" w:rsidR="000C6F82" w:rsidRPr="00D35A05" w:rsidRDefault="009663FD" w:rsidP="000B2127">
      <w:r>
        <w:t>Similar to the wider population, t</w:t>
      </w:r>
      <w:r w:rsidR="000C6F82">
        <w:t>he peak period of illness onset for COVID-19 cases among school-aged children and older populations in Australia was between 16 and 29 March 2020. The epidemic curve</w:t>
      </w:r>
      <w:r>
        <w:t>s</w:t>
      </w:r>
      <w:r w:rsidR="000C6F82">
        <w:t xml:space="preserve"> </w:t>
      </w:r>
      <w:r>
        <w:t xml:space="preserve">for </w:t>
      </w:r>
      <w:r w:rsidR="00D64B02">
        <w:t>these two</w:t>
      </w:r>
      <w:r>
        <w:t xml:space="preserve"> groups </w:t>
      </w:r>
      <w:r w:rsidR="000C6F82">
        <w:t>(Figure</w:t>
      </w:r>
      <w:r>
        <w:t>s</w:t>
      </w:r>
      <w:r w:rsidR="000C6F82">
        <w:t xml:space="preserve"> 3</w:t>
      </w:r>
      <w:r>
        <w:t xml:space="preserve"> and 4</w:t>
      </w:r>
      <w:r w:rsidR="000C6F82">
        <w:t>) show new cases declining in the following fortnight after the introduction of overseas travel restrictions, implemented on 20 Marc</w:t>
      </w:r>
      <w:r w:rsidR="004D20B0">
        <w:t>h 2020</w:t>
      </w:r>
      <w:r w:rsidR="000C6F82">
        <w:t xml:space="preserve">. This decline in new cases indicates that the measures were effective in </w:t>
      </w:r>
      <w:r w:rsidR="000C6F82" w:rsidRPr="00D35A05">
        <w:t xml:space="preserve">preventing the spread of COVID-19 in Australia. </w:t>
      </w:r>
    </w:p>
    <w:p w14:paraId="7088A856" w14:textId="3EA344BA" w:rsidR="00395F74" w:rsidRPr="00D35A05" w:rsidRDefault="000C6F82" w:rsidP="000B2127">
      <w:r w:rsidRPr="00D35A05">
        <w:t xml:space="preserve">There have been </w:t>
      </w:r>
      <w:r w:rsidR="00395F74" w:rsidRPr="00D35A05">
        <w:t>160</w:t>
      </w:r>
      <w:r w:rsidRPr="00D35A05">
        <w:t xml:space="preserve"> case notifications in total among school-aged children (5–17 years old), accounting for 2.0% of all cases. </w:t>
      </w:r>
      <w:r w:rsidR="00395F74" w:rsidRPr="00D35A05">
        <w:t>Fourteen</w:t>
      </w:r>
      <w:r w:rsidRPr="00D35A05">
        <w:t xml:space="preserve"> new cases within this age group were reported in this reporting period. Of the</w:t>
      </w:r>
      <w:r w:rsidR="00395F74" w:rsidRPr="00D35A05">
        <w:t xml:space="preserve"> 160</w:t>
      </w:r>
      <w:r w:rsidRPr="00D35A05">
        <w:t xml:space="preserve"> cases, 7</w:t>
      </w:r>
      <w:r w:rsidR="00395F74" w:rsidRPr="00D35A05">
        <w:t>0</w:t>
      </w:r>
      <w:r w:rsidRPr="00D35A05">
        <w:t xml:space="preserve">% reported no recent overseas travel history (Figure </w:t>
      </w:r>
      <w:r w:rsidR="008D618B">
        <w:t>3</w:t>
      </w:r>
      <w:r w:rsidR="00395F74" w:rsidRPr="00D35A05">
        <w:t>).</w:t>
      </w:r>
    </w:p>
    <w:p w14:paraId="62394B12" w14:textId="6EF11BF5" w:rsidR="00DB2744" w:rsidRPr="00D35A05" w:rsidRDefault="00DB2744" w:rsidP="00DB2744">
      <w:pPr>
        <w:pStyle w:val="CDIFigures"/>
        <w:sectPr w:rsidR="00DB2744" w:rsidRPr="00D35A05" w:rsidSect="00497D6C">
          <w:type w:val="continuous"/>
          <w:pgSz w:w="11906" w:h="16838"/>
          <w:pgMar w:top="720" w:right="720" w:bottom="1134" w:left="720" w:header="709" w:footer="284" w:gutter="0"/>
          <w:cols w:space="708"/>
          <w:titlePg/>
          <w:docGrid w:linePitch="360"/>
        </w:sectPr>
      </w:pPr>
    </w:p>
    <w:p w14:paraId="1FCD2A9F" w14:textId="1F36A450" w:rsidR="007B7C7E" w:rsidRDefault="002E266D" w:rsidP="007B7C7E">
      <w:pPr>
        <w:pStyle w:val="CDIFigures"/>
      </w:pPr>
      <w:r>
        <w:lastRenderedPageBreak/>
        <w:t>Figure 3</w:t>
      </w:r>
      <w:r w:rsidR="007B7C7E">
        <w:t>: Number of COVID-19 case notifications in Australia by date of illness onset for school</w:t>
      </w:r>
      <w:r w:rsidR="008D618B">
        <w:t>-</w:t>
      </w:r>
      <w:r w:rsidR="007B7C7E">
        <w:t>aged children (5 to 17), from 13 January to 7 June, by source of acquisition</w:t>
      </w:r>
      <w:r w:rsidR="007B7C7E" w:rsidRPr="00DB2744">
        <w:rPr>
          <w:vertAlign w:val="superscript"/>
        </w:rPr>
        <w:t>a</w:t>
      </w:r>
    </w:p>
    <w:p w14:paraId="07204BAE" w14:textId="6212811C" w:rsidR="007B7C7E" w:rsidRDefault="008D17B2" w:rsidP="008044EE">
      <w:pPr>
        <w:pStyle w:val="CDIfootnotes"/>
        <w:ind w:left="284" w:hanging="284"/>
      </w:pPr>
      <w:r>
        <w:rPr>
          <w:noProof/>
        </w:rPr>
        <w:drawing>
          <wp:inline distT="0" distB="0" distL="0" distR="0" wp14:anchorId="29C80F46" wp14:editId="70FD4833">
            <wp:extent cx="6640948" cy="3589880"/>
            <wp:effectExtent l="0" t="0" r="7620" b="0"/>
            <wp:docPr id="20" name="Picture 20" descr="Figure 3: Number of COVID-19 case notifications in Australia by date of illness onset for school aged children (5 to 17), from 13 January to 7 June, by source of acquisition&#10;Bar chart showing the number of COVID-19 case notification rates by date of illness onset and source of acquisition, for cases aged between 5 and 17 years of age. It is evident that, while cases peaked during the 16–29 March period that saw the largest number of new cases nationwide, a majority of cases among 5–17 year olds have been locally acquir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640948" cy="3589880"/>
                    </a:xfrm>
                    <a:prstGeom prst="rect">
                      <a:avLst/>
                    </a:prstGeom>
                    <a:extLst>
                      <a:ext uri="{53640926-AAD7-44D8-BBD7-CCE9431645EC}">
                        <a14:shadowObscured xmlns:a14="http://schemas.microsoft.com/office/drawing/2010/main"/>
                      </a:ext>
                    </a:extLst>
                  </pic:spPr>
                </pic:pic>
              </a:graphicData>
            </a:graphic>
          </wp:inline>
        </w:drawing>
      </w:r>
    </w:p>
    <w:p w14:paraId="0B445993" w14:textId="77777777" w:rsidR="00585481" w:rsidRDefault="006C1788" w:rsidP="00585481">
      <w:pPr>
        <w:pStyle w:val="CDIfootnotes"/>
        <w:ind w:left="284" w:hanging="284"/>
      </w:pPr>
      <w:r w:rsidRPr="006C1788">
        <w:t xml:space="preserve">a </w:t>
      </w:r>
      <w:r w:rsidRPr="006C1788">
        <w:tab/>
        <w:t>Source: NNDSS. Locally-acquired comprises all cases without a</w:t>
      </w:r>
      <w:r>
        <w:t>n overseas place of acquisition</w:t>
      </w:r>
      <w:r w:rsidR="001F74F6">
        <w:t>.</w:t>
      </w:r>
    </w:p>
    <w:p w14:paraId="02240635" w14:textId="46220735" w:rsidR="007B7C7E" w:rsidRDefault="002E266D" w:rsidP="00585481">
      <w:pPr>
        <w:pStyle w:val="CDIFigures"/>
      </w:pPr>
      <w:r>
        <w:t xml:space="preserve">Figure </w:t>
      </w:r>
      <w:r w:rsidR="009663FD">
        <w:t>4</w:t>
      </w:r>
      <w:r w:rsidR="007B7C7E">
        <w:t>: Number of COVID-19 case notifications in Australia by date of illness onset for persons 65 and over, from 13 January to 7 June, by source of acquisition</w:t>
      </w:r>
      <w:r w:rsidR="007B7C7E" w:rsidRPr="00DB2744">
        <w:rPr>
          <w:vertAlign w:val="superscript"/>
        </w:rPr>
        <w:t>a</w:t>
      </w:r>
    </w:p>
    <w:p w14:paraId="440EFE05" w14:textId="76D75105" w:rsidR="007B7C7E" w:rsidRDefault="008D17B2" w:rsidP="00C96695">
      <w:pPr>
        <w:pStyle w:val="NormalWeb"/>
      </w:pPr>
      <w:r>
        <w:rPr>
          <w:noProof/>
        </w:rPr>
        <w:drawing>
          <wp:inline distT="0" distB="0" distL="0" distR="0" wp14:anchorId="2BBBB5B4" wp14:editId="7151FA53">
            <wp:extent cx="6631646" cy="3593796"/>
            <wp:effectExtent l="0" t="0" r="0" b="6985"/>
            <wp:docPr id="21" name="Picture 21" descr="Figure 4: Number of COVID-19 case notifications in Australia by date of illness onset for persons 65 and over, from 13 January to 7 June, by source of acquisition &#10;Bar chart showing the number of COVID-19 case notification rates by date of illness onset and source of acquisition, for cases aged 65 years and older. It is evident that, while cases in broadly peaked during the 16–29 March period that saw the largest number of new cases nationwide, the majority of cases among those aged 65 years and older have been overseas acquired, particularly during the epidemic’s pea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631646" cy="3593796"/>
                    </a:xfrm>
                    <a:prstGeom prst="rect">
                      <a:avLst/>
                    </a:prstGeom>
                    <a:noFill/>
                    <a:ln>
                      <a:noFill/>
                    </a:ln>
                    <a:extLst>
                      <a:ext uri="{53640926-AAD7-44D8-BBD7-CCE9431645EC}">
                        <a14:shadowObscured xmlns:a14="http://schemas.microsoft.com/office/drawing/2010/main"/>
                      </a:ext>
                    </a:extLst>
                  </pic:spPr>
                </pic:pic>
              </a:graphicData>
            </a:graphic>
          </wp:inline>
        </w:drawing>
      </w:r>
    </w:p>
    <w:p w14:paraId="5AB55DED" w14:textId="61A2E0C6" w:rsidR="007B7C7E" w:rsidRDefault="000C6F82" w:rsidP="008044EE">
      <w:pPr>
        <w:pStyle w:val="CDIfootnotes"/>
        <w:ind w:left="284" w:hanging="284"/>
        <w:sectPr w:rsidR="007B7C7E" w:rsidSect="00A30C37">
          <w:pgSz w:w="11906" w:h="16838"/>
          <w:pgMar w:top="720" w:right="720" w:bottom="1134" w:left="720" w:header="709" w:footer="284" w:gutter="0"/>
          <w:cols w:space="708"/>
          <w:titlePg/>
          <w:docGrid w:linePitch="360"/>
        </w:sectPr>
      </w:pPr>
      <w:r>
        <w:t xml:space="preserve">a </w:t>
      </w:r>
      <w:r>
        <w:tab/>
        <w:t>Source: NNDSS</w:t>
      </w:r>
      <w:r w:rsidR="002C653C">
        <w:t>.</w:t>
      </w:r>
      <w:r>
        <w:t xml:space="preserve"> Locally-acquired comprises all cases without an overseas place of acquisition.</w:t>
      </w:r>
    </w:p>
    <w:p w14:paraId="62394B17" w14:textId="6901C39E" w:rsidR="000C6F82" w:rsidRPr="00FC5692" w:rsidRDefault="000C6F82" w:rsidP="00933AAD">
      <w:r>
        <w:lastRenderedPageBreak/>
        <w:t xml:space="preserve">Older people aged 65 years and over are at an increased risk for severe disease from COVID-19. In Australia, there </w:t>
      </w:r>
      <w:r w:rsidRPr="00D35A05">
        <w:t>have been 1,</w:t>
      </w:r>
      <w:r w:rsidR="007B7C7E" w:rsidRPr="00D35A05">
        <w:t>53</w:t>
      </w:r>
      <w:r w:rsidR="00AC7FDF">
        <w:t>3</w:t>
      </w:r>
      <w:r w:rsidRPr="00D35A05">
        <w:t xml:space="preserve"> cases notified among older people. The majority of these cases (</w:t>
      </w:r>
      <w:r w:rsidR="006C1788" w:rsidRPr="00D35A05">
        <w:t>71</w:t>
      </w:r>
      <w:r w:rsidRPr="00D35A05">
        <w:t xml:space="preserve">%) reported recent overseas </w:t>
      </w:r>
      <w:r>
        <w:t xml:space="preserve">travel history. Of the overseas-acquired infection cases in older populations, cruise-ship-acquired infection makes up </w:t>
      </w:r>
      <w:r w:rsidRPr="00FC5692">
        <w:t xml:space="preserve">62% of the cases, with approximately 1 in 2 of the cruise-ship-acquired cases among those aged 70–79 years old. </w:t>
      </w:r>
    </w:p>
    <w:p w14:paraId="3C2C47E7" w14:textId="6CB8997B" w:rsidR="007C55FF" w:rsidRDefault="000C6F82" w:rsidP="00416DDF">
      <w:pPr>
        <w:pStyle w:val="Heading2"/>
      </w:pPr>
      <w:r w:rsidRPr="00933AAD">
        <w:t>Clus</w:t>
      </w:r>
      <w:r w:rsidR="00585481">
        <w:t>ter and outbreak investigations</w:t>
      </w:r>
    </w:p>
    <w:p w14:paraId="753D6583" w14:textId="77777777" w:rsidR="007C55FF" w:rsidRDefault="007C55FF" w:rsidP="00416DDF">
      <w:pPr>
        <w:autoSpaceDE w:val="0"/>
        <w:autoSpaceDN w:val="0"/>
        <w:adjustRightInd w:val="0"/>
      </w:pPr>
      <w:r w:rsidRPr="009465DE">
        <w:rPr>
          <w:rFonts w:cstheme="minorHAnsi"/>
          <w:color w:val="000000"/>
        </w:rPr>
        <w:t>To date the largest outbreaks</w:t>
      </w:r>
      <w:r>
        <w:rPr>
          <w:rFonts w:cstheme="minorHAnsi"/>
          <w:color w:val="000000"/>
        </w:rPr>
        <w:t xml:space="preserve"> of COVID-19 in Australia</w:t>
      </w:r>
      <w:r w:rsidRPr="009465DE">
        <w:rPr>
          <w:rFonts w:cstheme="minorHAnsi"/>
          <w:color w:val="000000"/>
        </w:rPr>
        <w:t xml:space="preserve"> have been associated with cruise ships</w:t>
      </w:r>
      <w:r>
        <w:rPr>
          <w:rFonts w:cstheme="minorHAnsi"/>
          <w:color w:val="000000"/>
        </w:rPr>
        <w:t xml:space="preserve">, </w:t>
      </w:r>
      <w:r>
        <w:t>with some other large domestic clusters associated with aged care and healthcare facilities, workplaces and private functions.</w:t>
      </w:r>
    </w:p>
    <w:p w14:paraId="4F6C4CCC" w14:textId="77777777" w:rsidR="007C55FF" w:rsidRPr="00BB2CFF" w:rsidRDefault="007C55FF" w:rsidP="00416DDF">
      <w:pPr>
        <w:pStyle w:val="Default"/>
        <w:spacing w:line="360" w:lineRule="auto"/>
        <w:rPr>
          <w:rFonts w:asciiTheme="minorHAnsi" w:hAnsiTheme="minorHAnsi" w:cstheme="minorHAnsi"/>
          <w:szCs w:val="22"/>
        </w:rPr>
      </w:pPr>
      <w:r w:rsidRPr="008E576E">
        <w:rPr>
          <w:rStyle w:val="Heading3Char"/>
          <w:rFonts w:asciiTheme="minorHAnsi" w:hAnsiTheme="minorHAnsi" w:cstheme="minorHAnsi"/>
          <w:noProof/>
          <w:lang w:eastAsia="en-AU"/>
        </w:rPr>
        <mc:AlternateContent>
          <mc:Choice Requires="wps">
            <w:drawing>
              <wp:inline distT="0" distB="0" distL="0" distR="0" wp14:anchorId="2BB7CB3C" wp14:editId="56FEA27C">
                <wp:extent cx="6625800" cy="1890900"/>
                <wp:effectExtent l="0" t="0" r="22860" b="14605"/>
                <wp:docPr id="217" name="Text Box 2" descr="Text box provides working definitions for the terms ‘cluster’ and ‘outbreak’ as used in this report. The term ‘cluster’ in relation to COVID-19 refers to two or more cases that are epidemiologically related in time, place or person where a common source (such as an event or within a community) of infection is suspected but not yet established. The term ‘outbreak’ refers to two or more cases among a specific group of people and/or over a specific period of time where illness is associated with a common source (such as an event or within a commun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800" cy="1890900"/>
                        </a:xfrm>
                        <a:prstGeom prst="rect">
                          <a:avLst/>
                        </a:prstGeom>
                        <a:solidFill>
                          <a:schemeClr val="bg1">
                            <a:lumMod val="95000"/>
                          </a:schemeClr>
                        </a:solidFill>
                        <a:ln w="3175">
                          <a:solidFill>
                            <a:srgbClr val="000000"/>
                          </a:solidFill>
                          <a:miter lim="800000"/>
                          <a:headEnd/>
                          <a:tailEnd/>
                        </a:ln>
                      </wps:spPr>
                      <wps:txbx>
                        <w:txbxContent>
                          <w:p w14:paraId="16FDAD28" w14:textId="40448274" w:rsidR="00C37967" w:rsidRPr="00825806" w:rsidRDefault="00C37967" w:rsidP="00416DDF">
                            <w:pPr>
                              <w:pStyle w:val="NormalWeb"/>
                              <w:spacing w:after="0" w:afterAutospacing="0"/>
                              <w:rPr>
                                <w:rStyle w:val="Strong"/>
                                <w:rFonts w:cstheme="minorHAnsi"/>
                              </w:rPr>
                            </w:pPr>
                            <w:r>
                              <w:rPr>
                                <w:rStyle w:val="Strong"/>
                                <w:rFonts w:cstheme="minorHAnsi"/>
                              </w:rPr>
                              <w:t>Cluster</w:t>
                            </w:r>
                          </w:p>
                          <w:p w14:paraId="1CE897E6" w14:textId="77777777" w:rsidR="00C37967" w:rsidRPr="009465DE" w:rsidRDefault="00C37967" w:rsidP="00416DDF">
                            <w:pPr>
                              <w:pStyle w:val="NormalWeb"/>
                              <w:numPr>
                                <w:ilvl w:val="0"/>
                                <w:numId w:val="23"/>
                              </w:numPr>
                              <w:spacing w:after="200" w:afterAutospacing="0"/>
                              <w:ind w:left="284" w:hanging="284"/>
                              <w:contextualSpacing/>
                              <w:rPr>
                                <w:rStyle w:val="Strong"/>
                                <w:rFonts w:cstheme="minorHAnsi"/>
                                <w:b w:val="0"/>
                                <w:bCs w:val="0"/>
                              </w:rPr>
                            </w:pPr>
                            <w:r w:rsidRPr="00825806">
                              <w:rPr>
                                <w:rFonts w:cstheme="minorHAnsi"/>
                              </w:rPr>
                              <w:t xml:space="preserve">The term </w:t>
                            </w:r>
                            <w:r>
                              <w:rPr>
                                <w:rFonts w:cstheme="minorHAnsi"/>
                              </w:rPr>
                              <w:t>‘</w:t>
                            </w:r>
                            <w:r w:rsidRPr="00825806">
                              <w:rPr>
                                <w:rFonts w:cstheme="minorHAnsi"/>
                              </w:rPr>
                              <w:t>cluster</w:t>
                            </w:r>
                            <w:r>
                              <w:rPr>
                                <w:rFonts w:cstheme="minorHAnsi"/>
                              </w:rPr>
                              <w:t>’ in relation to COVID-19</w:t>
                            </w:r>
                            <w:r w:rsidRPr="00825806">
                              <w:rPr>
                                <w:rFonts w:cstheme="minorHAnsi"/>
                              </w:rPr>
                              <w:t xml:space="preserve"> refers to two or more cases </w:t>
                            </w:r>
                            <w:r>
                              <w:rPr>
                                <w:rFonts w:cstheme="minorHAnsi"/>
                              </w:rPr>
                              <w:t xml:space="preserve">(who do not reside in the same household) </w:t>
                            </w:r>
                            <w:r w:rsidRPr="00825806">
                              <w:rPr>
                                <w:rFonts w:cstheme="minorHAnsi"/>
                              </w:rPr>
                              <w:t>that are epidemiologically related in time, place or person where a common source (such as an event or within a community) of infection is suspected but not yet established.</w:t>
                            </w:r>
                          </w:p>
                          <w:p w14:paraId="22180728" w14:textId="3BFF55DA" w:rsidR="00C37967" w:rsidRPr="00825806" w:rsidRDefault="00C37967" w:rsidP="00416DDF">
                            <w:pPr>
                              <w:pStyle w:val="NormalWeb"/>
                              <w:spacing w:after="0" w:afterAutospacing="0"/>
                              <w:rPr>
                                <w:rStyle w:val="Strong"/>
                                <w:rFonts w:cstheme="minorHAnsi"/>
                              </w:rPr>
                            </w:pPr>
                            <w:r>
                              <w:rPr>
                                <w:rStyle w:val="Strong"/>
                                <w:rFonts w:cstheme="minorHAnsi"/>
                              </w:rPr>
                              <w:t>Outbreak</w:t>
                            </w:r>
                          </w:p>
                          <w:p w14:paraId="0ED750A4" w14:textId="77777777" w:rsidR="00C37967" w:rsidRPr="00825806" w:rsidRDefault="00C37967" w:rsidP="00416DDF">
                            <w:pPr>
                              <w:pStyle w:val="NormalWeb"/>
                              <w:numPr>
                                <w:ilvl w:val="0"/>
                                <w:numId w:val="23"/>
                              </w:numPr>
                              <w:spacing w:after="0" w:afterAutospacing="0"/>
                              <w:ind w:left="284" w:hanging="284"/>
                              <w:contextualSpacing/>
                              <w:rPr>
                                <w:rFonts w:cstheme="minorHAnsi"/>
                                <w:bCs/>
                              </w:rPr>
                            </w:pPr>
                            <w:r w:rsidRPr="00825806">
                              <w:rPr>
                                <w:rFonts w:cstheme="minorHAnsi"/>
                                <w:bCs/>
                              </w:rPr>
                              <w:t>The term</w:t>
                            </w:r>
                            <w:r>
                              <w:rPr>
                                <w:rFonts w:cstheme="minorHAnsi"/>
                                <w:bCs/>
                              </w:rPr>
                              <w:t xml:space="preserve"> ‘outbreak’ in relation to COVID-19 </w:t>
                            </w:r>
                            <w:r w:rsidRPr="00825806">
                              <w:rPr>
                                <w:rFonts w:cstheme="minorHAnsi"/>
                                <w:bCs/>
                              </w:rPr>
                              <w:t>refers to two or more cases</w:t>
                            </w:r>
                            <w:r>
                              <w:rPr>
                                <w:rFonts w:cstheme="minorHAnsi"/>
                                <w:bCs/>
                              </w:rPr>
                              <w:t xml:space="preserve"> (who do not reside in the same household)</w:t>
                            </w:r>
                            <w:r w:rsidRPr="00825806">
                              <w:rPr>
                                <w:rFonts w:cstheme="minorHAnsi"/>
                                <w:bCs/>
                              </w:rPr>
                              <w:t xml:space="preserve"> among a specific group of people and/or over a specific period of time where illness is </w:t>
                            </w:r>
                            <w:r>
                              <w:rPr>
                                <w:rFonts w:cstheme="minorHAnsi"/>
                                <w:bCs/>
                              </w:rPr>
                              <w:t xml:space="preserve">associated with a common source </w:t>
                            </w:r>
                            <w:r w:rsidRPr="00825806">
                              <w:rPr>
                                <w:rFonts w:cstheme="minorHAnsi"/>
                                <w:bCs/>
                              </w:rPr>
                              <w:t xml:space="preserve">(such as an event or </w:t>
                            </w:r>
                            <w:r>
                              <w:rPr>
                                <w:rFonts w:cstheme="minorHAnsi"/>
                                <w:bCs/>
                              </w:rPr>
                              <w:t xml:space="preserve">within a </w:t>
                            </w:r>
                            <w:r w:rsidRPr="00825806">
                              <w:rPr>
                                <w:rFonts w:cstheme="minorHAnsi"/>
                                <w:bCs/>
                              </w:rPr>
                              <w:t>community).</w:t>
                            </w:r>
                            <w:r>
                              <w:rPr>
                                <w:rFonts w:cstheme="minorHAnsi"/>
                                <w:bCs/>
                              </w:rPr>
                              <w:t xml:space="preserve"> Some states and territories may report a single case associated with a residential aged care facility as an outbreak.</w:t>
                            </w:r>
                          </w:p>
                        </w:txbxContent>
                      </wps:txbx>
                      <wps:bodyPr rot="0" vert="horz" wrap="square" lIns="91440" tIns="45720" rIns="91440" bIns="45720" anchor="t" anchorCtr="0">
                        <a:noAutofit/>
                      </wps:bodyPr>
                    </wps:wsp>
                  </a:graphicData>
                </a:graphic>
              </wp:inline>
            </w:drawing>
          </mc:Choice>
          <mc:Fallback>
            <w:pict>
              <v:shapetype w14:anchorId="2BB7CB3C" id="_x0000_t202" coordsize="21600,21600" o:spt="202" path="m,l,21600r21600,l21600,xe">
                <v:stroke joinstyle="miter"/>
                <v:path gradientshapeok="t" o:connecttype="rect"/>
              </v:shapetype>
              <v:shape id="Text Box 2" o:spid="_x0000_s1026" type="#_x0000_t202" alt="Text box provides working definitions for the terms ‘cluster’ and ‘outbreak’ as used in this report. The term ‘cluster’ in relation to COVID-19 refers to two or more cases that are epidemiologically related in time, place or person where a common source (such as an event or within a community) of infection is suspected but not yet established. The term ‘outbreak’ refers to two or more cases among a specific group of people and/or over a specific period of time where illness is associated with a common source (such as an event or within a community)." style="width:521.7pt;height:14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" fillcolor="#f2f2f2 [3052]" strokeweight=".25pt">
                <v:textbox>
                  <w:txbxContent>
                    <w:p w14:paraId="16FDAD28" w14:textId="40448274" w:rsidR="00C37967" w:rsidRPr="00825806" w:rsidRDefault="00C37967" w:rsidP="00416DDF">
                      <w:pPr>
                        <w:pStyle w:val="NormalWeb"/>
                        <w:spacing w:after="0" w:afterAutospacing="0"/>
                        <w:rPr>
                          <w:rStyle w:val="Strong"/>
                          <w:rFonts w:cstheme="minorHAnsi"/>
                        </w:rPr>
                      </w:pPr>
                      <w:r>
                        <w:rPr>
                          <w:rStyle w:val="Strong"/>
                          <w:rFonts w:cstheme="minorHAnsi"/>
                        </w:rPr>
                        <w:t>Cluster</w:t>
                      </w:r>
                    </w:p>
                    <w:p w14:paraId="1CE897E6" w14:textId="77777777" w:rsidR="00C37967" w:rsidRPr="009465DE" w:rsidRDefault="00C37967" w:rsidP="00416DDF">
                      <w:pPr>
                        <w:pStyle w:val="NormalWeb"/>
                        <w:numPr>
                          <w:ilvl w:val="0"/>
                          <w:numId w:val="23"/>
                        </w:numPr>
                        <w:spacing w:after="200" w:afterAutospacing="0"/>
                        <w:ind w:left="284" w:hanging="284"/>
                        <w:contextualSpacing/>
                        <w:rPr>
                          <w:rStyle w:val="Strong"/>
                          <w:rFonts w:cstheme="minorHAnsi"/>
                          <w:b w:val="0"/>
                          <w:bCs w:val="0"/>
                        </w:rPr>
                      </w:pPr>
                      <w:r w:rsidRPr="00825806">
                        <w:rPr>
                          <w:rFonts w:cstheme="minorHAnsi"/>
                        </w:rPr>
                        <w:t xml:space="preserve">The term </w:t>
                      </w:r>
                      <w:r>
                        <w:rPr>
                          <w:rFonts w:cstheme="minorHAnsi"/>
                        </w:rPr>
                        <w:t>‘</w:t>
                      </w:r>
                      <w:r w:rsidRPr="00825806">
                        <w:rPr>
                          <w:rFonts w:cstheme="minorHAnsi"/>
                        </w:rPr>
                        <w:t>cluster</w:t>
                      </w:r>
                      <w:r>
                        <w:rPr>
                          <w:rFonts w:cstheme="minorHAnsi"/>
                        </w:rPr>
                        <w:t>’ in relation to COVID-19</w:t>
                      </w:r>
                      <w:r w:rsidRPr="00825806">
                        <w:rPr>
                          <w:rFonts w:cstheme="minorHAnsi"/>
                        </w:rPr>
                        <w:t xml:space="preserve"> refers to two or more cases </w:t>
                      </w:r>
                      <w:r>
                        <w:rPr>
                          <w:rFonts w:cstheme="minorHAnsi"/>
                        </w:rPr>
                        <w:t xml:space="preserve">(who do not reside in the same household) </w:t>
                      </w:r>
                      <w:r w:rsidRPr="00825806">
                        <w:rPr>
                          <w:rFonts w:cstheme="minorHAnsi"/>
                        </w:rPr>
                        <w:t>that are epidemiologically related in time, place or person where a common source (such as an event or within a community) of infection is suspected but not yet established.</w:t>
                      </w:r>
                    </w:p>
                    <w:p w14:paraId="22180728" w14:textId="3BFF55DA" w:rsidR="00C37967" w:rsidRPr="00825806" w:rsidRDefault="00C37967" w:rsidP="00416DDF">
                      <w:pPr>
                        <w:pStyle w:val="NormalWeb"/>
                        <w:spacing w:after="0" w:afterAutospacing="0"/>
                        <w:rPr>
                          <w:rStyle w:val="Strong"/>
                          <w:rFonts w:cstheme="minorHAnsi"/>
                        </w:rPr>
                      </w:pPr>
                      <w:r>
                        <w:rPr>
                          <w:rStyle w:val="Strong"/>
                          <w:rFonts w:cstheme="minorHAnsi"/>
                        </w:rPr>
                        <w:t>Outbreak</w:t>
                      </w:r>
                    </w:p>
                    <w:p w14:paraId="0ED750A4" w14:textId="77777777" w:rsidR="00C37967" w:rsidRPr="00825806" w:rsidRDefault="00C37967" w:rsidP="00416DDF">
                      <w:pPr>
                        <w:pStyle w:val="NormalWeb"/>
                        <w:numPr>
                          <w:ilvl w:val="0"/>
                          <w:numId w:val="23"/>
                        </w:numPr>
                        <w:spacing w:after="0" w:afterAutospacing="0"/>
                        <w:ind w:left="284" w:hanging="284"/>
                        <w:contextualSpacing/>
                        <w:rPr>
                          <w:rFonts w:cstheme="minorHAnsi"/>
                          <w:bCs/>
                        </w:rPr>
                      </w:pPr>
                      <w:r w:rsidRPr="00825806">
                        <w:rPr>
                          <w:rFonts w:cstheme="minorHAnsi"/>
                          <w:bCs/>
                        </w:rPr>
                        <w:t>The term</w:t>
                      </w:r>
                      <w:r>
                        <w:rPr>
                          <w:rFonts w:cstheme="minorHAnsi"/>
                          <w:bCs/>
                        </w:rPr>
                        <w:t xml:space="preserve"> ‘outbreak’ in relation to COVID-19 </w:t>
                      </w:r>
                      <w:r w:rsidRPr="00825806">
                        <w:rPr>
                          <w:rFonts w:cstheme="minorHAnsi"/>
                          <w:bCs/>
                        </w:rPr>
                        <w:t>refers to two or more cases</w:t>
                      </w:r>
                      <w:r>
                        <w:rPr>
                          <w:rFonts w:cstheme="minorHAnsi"/>
                          <w:bCs/>
                        </w:rPr>
                        <w:t xml:space="preserve"> (who do not reside in the same household)</w:t>
                      </w:r>
                      <w:r w:rsidRPr="00825806">
                        <w:rPr>
                          <w:rFonts w:cstheme="minorHAnsi"/>
                          <w:bCs/>
                        </w:rPr>
                        <w:t xml:space="preserve"> among a specific group of people and/or over a specific period of time where illness is </w:t>
                      </w:r>
                      <w:r>
                        <w:rPr>
                          <w:rFonts w:cstheme="minorHAnsi"/>
                          <w:bCs/>
                        </w:rPr>
                        <w:t xml:space="preserve">associated with a common source </w:t>
                      </w:r>
                      <w:r w:rsidRPr="00825806">
                        <w:rPr>
                          <w:rFonts w:cstheme="minorHAnsi"/>
                          <w:bCs/>
                        </w:rPr>
                        <w:t xml:space="preserve">(such as an event or </w:t>
                      </w:r>
                      <w:r>
                        <w:rPr>
                          <w:rFonts w:cstheme="minorHAnsi"/>
                          <w:bCs/>
                        </w:rPr>
                        <w:t xml:space="preserve">within a </w:t>
                      </w:r>
                      <w:r w:rsidRPr="00825806">
                        <w:rPr>
                          <w:rFonts w:cstheme="minorHAnsi"/>
                          <w:bCs/>
                        </w:rPr>
                        <w:t>community).</w:t>
                      </w:r>
                      <w:r>
                        <w:rPr>
                          <w:rFonts w:cstheme="minorHAnsi"/>
                          <w:bCs/>
                        </w:rPr>
                        <w:t xml:space="preserve"> Some states and territories may report a single case associated with a residential aged care facility as an outbreak.</w:t>
                      </w:r>
                    </w:p>
                  </w:txbxContent>
                </v:textbox>
                <w10:anchorlock/>
              </v:shape>
            </w:pict>
          </mc:Fallback>
        </mc:AlternateContent>
      </w:r>
    </w:p>
    <w:p w14:paraId="08CB11D8" w14:textId="2682FDBE" w:rsidR="007C55FF" w:rsidRDefault="007C55FF" w:rsidP="00AC57CC">
      <w:r w:rsidRPr="00BA2FFA">
        <w:t xml:space="preserve">In the </w:t>
      </w:r>
      <w:r>
        <w:t>week ending</w:t>
      </w:r>
      <w:r w:rsidRPr="00BA2FFA">
        <w:t xml:space="preserve"> </w:t>
      </w:r>
      <w:r>
        <w:t>7 June</w:t>
      </w:r>
      <w:r w:rsidRPr="00BA2FFA">
        <w:t xml:space="preserve"> 2020,</w:t>
      </w:r>
      <w:r>
        <w:t xml:space="preserve"> state</w:t>
      </w:r>
      <w:r w:rsidR="00D9764E">
        <w:t>s</w:t>
      </w:r>
      <w:r>
        <w:t xml:space="preserve"> and territories reported eight open</w:t>
      </w:r>
      <w:r w:rsidRPr="00BA2FFA">
        <w:t xml:space="preserve"> clusters and outbreak</w:t>
      </w:r>
      <w:r>
        <w:t xml:space="preserve">s of COVID-19, a decrease compared to the preceding week ending 31 May 2020. </w:t>
      </w:r>
      <w:r w:rsidRPr="002C5718">
        <w:t>Open clusters and outbreaks are defined as those where a new case was identified in the last 14 days</w:t>
      </w:r>
      <w:r>
        <w:t xml:space="preserve"> as at the end of the reporting period</w:t>
      </w:r>
      <w:r w:rsidRPr="002C5718">
        <w:t>.</w:t>
      </w:r>
      <w:r>
        <w:rPr>
          <w:i/>
        </w:rPr>
        <w:t xml:space="preserve"> </w:t>
      </w:r>
      <w:r>
        <w:t>O</w:t>
      </w:r>
      <w:r w:rsidRPr="00BA2FFA">
        <w:t xml:space="preserve">f </w:t>
      </w:r>
      <w:r>
        <w:t xml:space="preserve">the </w:t>
      </w:r>
      <w:r w:rsidRPr="00BA2FFA">
        <w:t>open cluste</w:t>
      </w:r>
      <w:r>
        <w:t xml:space="preserve">rs and outbreaks, four were in residential aged care facilities and four were associated with various other settings </w:t>
      </w:r>
      <w:r w:rsidR="00D9764E">
        <w:t>comprising</w:t>
      </w:r>
      <w:r>
        <w:t xml:space="preserve"> a livestock carrier, a quarantine hotel, a fast food restaurant and a family.</w:t>
      </w:r>
      <w:r w:rsidRPr="00BA2FFA">
        <w:t xml:space="preserve"> </w:t>
      </w:r>
      <w:r>
        <w:t>The number of open clusters and outbreaks may be revised as a result of ongoing investigations in states and territories.</w:t>
      </w:r>
    </w:p>
    <w:p w14:paraId="717835E0" w14:textId="68B4CD41" w:rsidR="007C55FF" w:rsidRPr="00AF0090" w:rsidRDefault="007C55FF" w:rsidP="00AC57CC">
      <w:r w:rsidRPr="00AF0090">
        <w:t xml:space="preserve">Residents of aged care facilities are at increased risk of COVID-19 infection due to the environment of communal living facilities and are more vulnerable to serious complications if </w:t>
      </w:r>
      <w:r w:rsidRPr="008A414B">
        <w:t xml:space="preserve">they do become infected. As of 7 June 2020, there have been 133 cases of COVID-19 associated with 32 residential aged care facilities, with 98 recoveries and 27 deaths. Sixty-seven of these cases occurred in </w:t>
      </w:r>
      <w:r w:rsidRPr="00AF0090">
        <w:t xml:space="preserve">aged care residents, with the remaining </w:t>
      </w:r>
      <w:r>
        <w:t>66</w:t>
      </w:r>
      <w:r w:rsidRPr="00AF0090">
        <w:t xml:space="preserve"> cases occurring in care staff. In addition, there have been 42 cases associated with</w:t>
      </w:r>
      <w:r w:rsidRPr="00AF0090">
        <w:rPr>
          <w:shd w:val="clear" w:color="auto" w:fill="FFFFFF"/>
        </w:rPr>
        <w:t xml:space="preserve"> 30</w:t>
      </w:r>
      <w:r w:rsidRPr="00AF0090">
        <w:t xml:space="preserve"> in-home Commonwealth funded aged care services providing support to older Australians who live at home, with </w:t>
      </w:r>
      <w:r>
        <w:t>38</w:t>
      </w:r>
      <w:r w:rsidRPr="00AF0090">
        <w:t xml:space="preserve"> recoveries and 3 deaths. Thirty-one of these cases occurred in care recipients, with the remaining 11 cases occurring in care staff. The Commonwealth is actively supporting services with reported incidents and outbreaks of COVID-19</w:t>
      </w:r>
      <w:r w:rsidR="000825A2">
        <w:t>,</w:t>
      </w:r>
      <w:r w:rsidRPr="00AF0090">
        <w:t xml:space="preserve"> providing access to personal protective equipment and additional staffing resources where required.  Advice and guidelines</w:t>
      </w:r>
      <w:r w:rsidR="001F74F6">
        <w:rPr>
          <w:vertAlign w:val="superscript"/>
        </w:rPr>
        <w:t>14</w:t>
      </w:r>
      <w:r w:rsidRPr="00AF0090">
        <w:t xml:space="preserve"> have been provided to aged care services, including the release of an outbreak management guide.</w:t>
      </w:r>
      <w:r w:rsidR="001F74F6">
        <w:rPr>
          <w:vertAlign w:val="superscript"/>
        </w:rPr>
        <w:t>15</w:t>
      </w:r>
    </w:p>
    <w:p w14:paraId="62394B66" w14:textId="4CF01E1B" w:rsidR="000C6F82" w:rsidRPr="00933AAD" w:rsidRDefault="000C6F82" w:rsidP="009755B5">
      <w:pPr>
        <w:pStyle w:val="Heading2"/>
      </w:pPr>
      <w:r w:rsidRPr="00933AAD">
        <w:t xml:space="preserve">Public health response measures </w:t>
      </w:r>
    </w:p>
    <w:p w14:paraId="522796B2" w14:textId="67D794BE" w:rsidR="00497D6C" w:rsidRDefault="00E03393" w:rsidP="00F47DCD">
      <w:r>
        <w:t>Since COVID-19 first emerged internationally, Australia has implemented public health measures in response to the disease’s epidemiology, both overseas and in Australia (Figure 5). Key aspects of Australia’s evolving public health response are summarised in previous reports.</w:t>
      </w:r>
      <w:r w:rsidR="00497D6C">
        <w:t xml:space="preserve"> </w:t>
      </w:r>
    </w:p>
    <w:p w14:paraId="3A2B9D2A" w14:textId="64868EAD" w:rsidR="00497D6C" w:rsidRDefault="00497D6C" w:rsidP="00497D6C">
      <w:r>
        <w:t xml:space="preserve">On Friday 8 May, the Australian Government announced a three-step framework for easing COVID-19 restrictions, with states and territories easing restrictions at their own pace depending on the current public health situation and local epidemiology. Within this reporting period, two jurisdictions have progressed to step three within this framework. A summary of the restrictions that have been eased is listed at Table </w:t>
      </w:r>
      <w:r w:rsidR="000C5F07">
        <w:t>6</w:t>
      </w:r>
      <w:r>
        <w:t xml:space="preserve">. </w:t>
      </w:r>
    </w:p>
    <w:p w14:paraId="1A610574" w14:textId="77777777" w:rsidR="00497D6C" w:rsidRDefault="00497D6C" w:rsidP="00F47DCD">
      <w:pPr>
        <w:sectPr w:rsidR="00497D6C" w:rsidSect="00497D6C">
          <w:pgSz w:w="11906" w:h="16838"/>
          <w:pgMar w:top="720" w:right="720" w:bottom="1134" w:left="720" w:header="709" w:footer="284" w:gutter="0"/>
          <w:cols w:space="708"/>
          <w:titlePg/>
          <w:docGrid w:linePitch="360"/>
        </w:sectPr>
      </w:pPr>
    </w:p>
    <w:p w14:paraId="0A34EF76" w14:textId="573943B2" w:rsidR="000C6F82" w:rsidRDefault="000C6F82" w:rsidP="009875D2">
      <w:pPr>
        <w:pStyle w:val="CDIFigures"/>
      </w:pPr>
      <w:r>
        <w:lastRenderedPageBreak/>
        <w:t>Figure 5: COVID-19 notifications in Australia by date of illn</w:t>
      </w:r>
      <w:r w:rsidR="007F5653">
        <w:t>ess onset, from 13 January to 7 June</w:t>
      </w:r>
      <w:r>
        <w:t xml:space="preserve"> 2020</w:t>
      </w:r>
      <w:r w:rsidRPr="0022207B">
        <w:rPr>
          <w:vertAlign w:val="superscript"/>
        </w:rPr>
        <w:t>a</w:t>
      </w:r>
      <w:r>
        <w:t xml:space="preserve"> with timing of key public health measures</w:t>
      </w:r>
    </w:p>
    <w:p w14:paraId="11C299E7" w14:textId="77777777" w:rsidR="00033BD3" w:rsidRDefault="0047630E" w:rsidP="008044EE">
      <w:pPr>
        <w:tabs>
          <w:tab w:val="left" w:pos="284"/>
        </w:tabs>
        <w:rPr>
          <w:rStyle w:val="CDIfootnotesChar"/>
        </w:rPr>
      </w:pPr>
      <w:r>
        <w:rPr>
          <w:noProof/>
        </w:rPr>
        <w:drawing>
          <wp:inline distT="0" distB="0" distL="0" distR="0" wp14:anchorId="28AD449E" wp14:editId="01B3FF33">
            <wp:extent cx="9567000" cy="5381054"/>
            <wp:effectExtent l="0" t="0" r="0" b="0"/>
            <wp:docPr id="23" name="Picture 23" descr="Figure 5: COVID-19 notifications in Australia by date of illness onset, from 13 January to 7 June 2020 with timing of key public health measures &#10;Bar chart showing COVID-19 notifications by date of illness onset, for the 7,135 Australian cases. Notifications for the cases shown have onset dates ranging from 13 January 2020 to 7 June 2020. The chart also highlights the timing of key public health measures such as quarantine and self-isolation advice and restrictions on gatherings and trav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574800" cy="5385441"/>
                    </a:xfrm>
                    <a:prstGeom prst="rect">
                      <a:avLst/>
                    </a:prstGeom>
                    <a:ln>
                      <a:noFill/>
                    </a:ln>
                    <a:extLst>
                      <a:ext uri="{53640926-AAD7-44D8-BBD7-CCE9431645EC}">
                        <a14:shadowObscured xmlns:a14="http://schemas.microsoft.com/office/drawing/2010/main"/>
                      </a:ext>
                    </a:extLst>
                  </pic:spPr>
                </pic:pic>
              </a:graphicData>
            </a:graphic>
          </wp:inline>
        </w:drawing>
      </w:r>
    </w:p>
    <w:p w14:paraId="3BE9C8CE" w14:textId="258245F5" w:rsidR="000C6F82" w:rsidRPr="00BB428F" w:rsidRDefault="000C6F82" w:rsidP="008044EE">
      <w:pPr>
        <w:tabs>
          <w:tab w:val="left" w:pos="284"/>
        </w:tabs>
        <w:rPr>
          <w:rStyle w:val="CDIfootnotesChar"/>
        </w:rPr>
      </w:pPr>
      <w:r w:rsidRPr="00BB428F">
        <w:rPr>
          <w:rStyle w:val="CDIfootnotesChar"/>
        </w:rPr>
        <w:t xml:space="preserve">a </w:t>
      </w:r>
      <w:r w:rsidRPr="00BB428F">
        <w:rPr>
          <w:rStyle w:val="CDIfootnotesChar"/>
        </w:rPr>
        <w:tab/>
        <w:t>Source: NNDSS. Due to reporting delays, interpret the latest days’ new cases with caution</w:t>
      </w:r>
      <w:r w:rsidR="001F74F6" w:rsidRPr="00BB428F">
        <w:rPr>
          <w:rStyle w:val="CDIfootnotesChar"/>
        </w:rPr>
        <w:t>.</w:t>
      </w:r>
    </w:p>
    <w:p w14:paraId="3EB4C7E2" w14:textId="14E2A899" w:rsidR="00A513EE" w:rsidRDefault="00A513EE" w:rsidP="00933AAD">
      <w:pPr>
        <w:sectPr w:rsidR="00A513EE" w:rsidSect="00A513EE">
          <w:pgSz w:w="16838" w:h="11906" w:orient="landscape"/>
          <w:pgMar w:top="720" w:right="720" w:bottom="720" w:left="1134" w:header="709" w:footer="284" w:gutter="0"/>
          <w:cols w:space="708"/>
          <w:titlePg/>
          <w:docGrid w:linePitch="360"/>
        </w:sectPr>
      </w:pPr>
    </w:p>
    <w:p w14:paraId="5D6FCE21" w14:textId="26270E95" w:rsidR="00E03393" w:rsidRDefault="00E03393" w:rsidP="00E03393">
      <w:pPr>
        <w:pStyle w:val="CDIFigures"/>
      </w:pPr>
      <w:r>
        <w:lastRenderedPageBreak/>
        <w:t xml:space="preserve">Table </w:t>
      </w:r>
      <w:r w:rsidR="000C5F07">
        <w:t>6</w:t>
      </w:r>
      <w:r>
        <w:t>: State and territory actions for easing COVID-19 restrictions, from 25 May to 7 June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summarises measures for easing COVID-19 restrictions, applied during the current reporting fortnight, for Australian states and territories.&#10;"/>
      </w:tblPr>
      <w:tblGrid>
        <w:gridCol w:w="2026"/>
        <w:gridCol w:w="8440"/>
      </w:tblGrid>
      <w:tr w:rsidR="00E03393" w:rsidRPr="00860D7E" w14:paraId="3DEFD37D" w14:textId="77777777" w:rsidTr="00D9764E">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2543AD5E" w14:textId="77777777" w:rsidR="00E03393" w:rsidRPr="00860D7E" w:rsidRDefault="00E03393" w:rsidP="00D9764E">
            <w:pPr>
              <w:pStyle w:val="NormalWeb"/>
              <w:rPr>
                <w:color w:val="FFFFFF" w:themeColor="background1"/>
                <w:sz w:val="18"/>
                <w:szCs w:val="18"/>
              </w:rPr>
            </w:pPr>
            <w:r w:rsidRPr="00860D7E">
              <w:rPr>
                <w:color w:val="FFFFFF" w:themeColor="background1"/>
                <w:sz w:val="18"/>
                <w:szCs w:val="18"/>
              </w:rPr>
              <w:t>Jurisdiction</w:t>
            </w:r>
          </w:p>
        </w:tc>
        <w:tc>
          <w:tcPr>
            <w:tcW w:w="0" w:type="auto"/>
            <w:hideMark/>
          </w:tcPr>
          <w:p w14:paraId="305EBFC6" w14:textId="77777777" w:rsidR="00E03393" w:rsidRPr="00860D7E" w:rsidRDefault="00E03393" w:rsidP="00D9764E">
            <w:pPr>
              <w:pStyle w:val="NormalWeb"/>
              <w:rPr>
                <w:color w:val="FFFFFF" w:themeColor="background1"/>
                <w:sz w:val="18"/>
                <w:szCs w:val="18"/>
              </w:rPr>
            </w:pPr>
            <w:r w:rsidRPr="00860D7E">
              <w:rPr>
                <w:color w:val="FFFFFF" w:themeColor="background1"/>
                <w:sz w:val="18"/>
                <w:szCs w:val="18"/>
              </w:rPr>
              <w:t>Summary of restrictions which have been eased</w:t>
            </w:r>
          </w:p>
        </w:tc>
      </w:tr>
      <w:tr w:rsidR="00E03393" w:rsidRPr="00860D7E" w14:paraId="07D81DDB" w14:textId="77777777" w:rsidTr="00416DDF">
        <w:trPr>
          <w:trHeight w:val="1771"/>
        </w:trPr>
        <w:tc>
          <w:tcPr>
            <w:tcW w:w="0" w:type="auto"/>
            <w:hideMark/>
          </w:tcPr>
          <w:p w14:paraId="349143F8" w14:textId="77777777" w:rsidR="00E03393" w:rsidRPr="00860D7E" w:rsidRDefault="00E03393" w:rsidP="00D9764E">
            <w:pPr>
              <w:pStyle w:val="NormalWeb"/>
              <w:rPr>
                <w:sz w:val="18"/>
                <w:szCs w:val="18"/>
              </w:rPr>
            </w:pPr>
            <w:r w:rsidRPr="00860D7E">
              <w:rPr>
                <w:sz w:val="18"/>
                <w:szCs w:val="18"/>
              </w:rPr>
              <w:t>New South Wales</w:t>
            </w:r>
          </w:p>
        </w:tc>
        <w:tc>
          <w:tcPr>
            <w:tcW w:w="0" w:type="auto"/>
            <w:hideMark/>
          </w:tcPr>
          <w:p w14:paraId="43E9479A" w14:textId="2C42E05F" w:rsidR="00E03393" w:rsidRPr="000825A2" w:rsidRDefault="00E03393" w:rsidP="00416DDF">
            <w:pPr>
              <w:pStyle w:val="NormalWeb"/>
              <w:spacing w:after="0" w:afterAutospacing="0"/>
              <w:rPr>
                <w:sz w:val="18"/>
                <w:szCs w:val="18"/>
                <w:vertAlign w:val="superscript"/>
              </w:rPr>
            </w:pPr>
            <w:r w:rsidRPr="00860D7E">
              <w:rPr>
                <w:sz w:val="18"/>
                <w:szCs w:val="18"/>
              </w:rPr>
              <w:t xml:space="preserve">Step </w:t>
            </w:r>
            <w:r>
              <w:rPr>
                <w:sz w:val="18"/>
                <w:szCs w:val="18"/>
              </w:rPr>
              <w:t>2</w:t>
            </w:r>
            <w:r w:rsidRPr="00860D7E">
              <w:rPr>
                <w:sz w:val="18"/>
                <w:szCs w:val="18"/>
              </w:rPr>
              <w:t xml:space="preserve">: from </w:t>
            </w:r>
            <w:r>
              <w:rPr>
                <w:sz w:val="18"/>
                <w:szCs w:val="18"/>
              </w:rPr>
              <w:t>1</w:t>
            </w:r>
            <w:r w:rsidRPr="00860D7E">
              <w:rPr>
                <w:sz w:val="18"/>
                <w:szCs w:val="18"/>
              </w:rPr>
              <w:t xml:space="preserve"> </w:t>
            </w:r>
            <w:r>
              <w:rPr>
                <w:sz w:val="18"/>
                <w:szCs w:val="18"/>
              </w:rPr>
              <w:t>June</w:t>
            </w:r>
            <w:r w:rsidRPr="00860D7E">
              <w:rPr>
                <w:sz w:val="18"/>
                <w:szCs w:val="18"/>
              </w:rPr>
              <w:t xml:space="preserve"> the following restrictions were eased:</w:t>
            </w:r>
            <w:r w:rsidR="001F74F6">
              <w:rPr>
                <w:sz w:val="18"/>
                <w:szCs w:val="18"/>
                <w:vertAlign w:val="superscript"/>
              </w:rPr>
              <w:t>16</w:t>
            </w:r>
          </w:p>
          <w:p w14:paraId="676CB5DC" w14:textId="0D484422" w:rsidR="00E03393" w:rsidRPr="0071762E" w:rsidRDefault="00E03393" w:rsidP="00416DDF">
            <w:pPr>
              <w:numPr>
                <w:ilvl w:val="0"/>
                <w:numId w:val="7"/>
              </w:numPr>
              <w:spacing w:after="100" w:afterAutospacing="1"/>
              <w:rPr>
                <w:rFonts w:eastAsia="Times New Roman"/>
                <w:sz w:val="18"/>
                <w:szCs w:val="18"/>
              </w:rPr>
            </w:pPr>
            <w:r>
              <w:rPr>
                <w:rFonts w:eastAsia="Times New Roman"/>
                <w:sz w:val="18"/>
                <w:szCs w:val="18"/>
              </w:rPr>
              <w:t>Travel to regi</w:t>
            </w:r>
            <w:r w:rsidR="0000089F">
              <w:rPr>
                <w:rFonts w:eastAsia="Times New Roman"/>
                <w:sz w:val="18"/>
                <w:szCs w:val="18"/>
              </w:rPr>
              <w:t>onal NSW for holidays permitted;</w:t>
            </w:r>
            <w:r>
              <w:rPr>
                <w:rFonts w:eastAsia="Times New Roman"/>
                <w:sz w:val="18"/>
                <w:szCs w:val="18"/>
              </w:rPr>
              <w:t xml:space="preserve"> caravan and camping grounds to open</w:t>
            </w:r>
          </w:p>
          <w:p w14:paraId="5089ADBC" w14:textId="77777777" w:rsidR="00E03393" w:rsidRPr="00C705A8" w:rsidRDefault="00E03393" w:rsidP="00E03393">
            <w:pPr>
              <w:numPr>
                <w:ilvl w:val="0"/>
                <w:numId w:val="7"/>
              </w:numPr>
              <w:spacing w:before="100" w:beforeAutospacing="1" w:after="100" w:afterAutospacing="1"/>
              <w:rPr>
                <w:rFonts w:eastAsia="Times New Roman"/>
                <w:sz w:val="18"/>
                <w:szCs w:val="18"/>
              </w:rPr>
            </w:pPr>
            <w:r w:rsidRPr="00860D7E">
              <w:rPr>
                <w:rFonts w:eastAsia="Times New Roman"/>
                <w:sz w:val="18"/>
                <w:szCs w:val="18"/>
              </w:rPr>
              <w:t>Restrictions on</w:t>
            </w:r>
            <w:r>
              <w:rPr>
                <w:rFonts w:eastAsia="Times New Roman"/>
                <w:sz w:val="18"/>
                <w:szCs w:val="18"/>
              </w:rPr>
              <w:t xml:space="preserve"> funerals further eased</w:t>
            </w:r>
          </w:p>
          <w:p w14:paraId="4CDAE5F4" w14:textId="77777777" w:rsidR="00E03393" w:rsidRDefault="00E03393" w:rsidP="00E03393">
            <w:pPr>
              <w:numPr>
                <w:ilvl w:val="0"/>
                <w:numId w:val="7"/>
              </w:numPr>
              <w:spacing w:before="100" w:beforeAutospacing="1" w:after="100" w:afterAutospacing="1"/>
              <w:rPr>
                <w:rFonts w:eastAsia="Times New Roman"/>
                <w:sz w:val="18"/>
                <w:szCs w:val="18"/>
              </w:rPr>
            </w:pPr>
            <w:r>
              <w:rPr>
                <w:rFonts w:eastAsia="Times New Roman"/>
                <w:sz w:val="18"/>
                <w:szCs w:val="18"/>
              </w:rPr>
              <w:t>Pubs, clubs, cafes and restaurants permitted to have up to 50 customers</w:t>
            </w:r>
          </w:p>
          <w:p w14:paraId="04B4A79F" w14:textId="77777777" w:rsidR="00E03393" w:rsidRDefault="00E03393" w:rsidP="00E03393">
            <w:pPr>
              <w:numPr>
                <w:ilvl w:val="0"/>
                <w:numId w:val="7"/>
              </w:numPr>
              <w:spacing w:before="100" w:beforeAutospacing="1" w:after="100" w:afterAutospacing="1"/>
              <w:rPr>
                <w:rFonts w:eastAsia="Times New Roman"/>
                <w:sz w:val="18"/>
                <w:szCs w:val="18"/>
              </w:rPr>
            </w:pPr>
            <w:r>
              <w:rPr>
                <w:rFonts w:eastAsia="Times New Roman"/>
                <w:sz w:val="18"/>
                <w:szCs w:val="18"/>
              </w:rPr>
              <w:t>Cultural buildings, libraries, galleries and museums open with restrictions</w:t>
            </w:r>
          </w:p>
          <w:p w14:paraId="218F3A68" w14:textId="77777777" w:rsidR="00E03393" w:rsidRDefault="00E03393" w:rsidP="00E03393">
            <w:pPr>
              <w:numPr>
                <w:ilvl w:val="0"/>
                <w:numId w:val="7"/>
              </w:numPr>
              <w:spacing w:before="100" w:beforeAutospacing="1" w:after="100" w:afterAutospacing="1"/>
              <w:rPr>
                <w:rFonts w:eastAsia="Times New Roman"/>
                <w:sz w:val="18"/>
                <w:szCs w:val="18"/>
              </w:rPr>
            </w:pPr>
            <w:r>
              <w:rPr>
                <w:rFonts w:eastAsia="Times New Roman"/>
                <w:sz w:val="18"/>
                <w:szCs w:val="18"/>
              </w:rPr>
              <w:t>Childcare, schools, universities and TAFE open</w:t>
            </w:r>
          </w:p>
          <w:p w14:paraId="0EC071BD" w14:textId="77777777" w:rsidR="00E03393" w:rsidRPr="00860D7E" w:rsidRDefault="00E03393" w:rsidP="00E03393">
            <w:pPr>
              <w:numPr>
                <w:ilvl w:val="0"/>
                <w:numId w:val="7"/>
              </w:numPr>
              <w:spacing w:before="100" w:beforeAutospacing="1" w:after="100" w:afterAutospacing="1"/>
              <w:rPr>
                <w:rFonts w:eastAsia="Times New Roman"/>
                <w:sz w:val="18"/>
                <w:szCs w:val="18"/>
              </w:rPr>
            </w:pPr>
            <w:r>
              <w:rPr>
                <w:rFonts w:eastAsia="Times New Roman"/>
                <w:sz w:val="18"/>
                <w:szCs w:val="18"/>
              </w:rPr>
              <w:t>Hairdressers and beauty salons open with restrictions</w:t>
            </w:r>
          </w:p>
        </w:tc>
      </w:tr>
      <w:tr w:rsidR="00E03393" w:rsidRPr="00860D7E" w14:paraId="46D32448" w14:textId="77777777" w:rsidTr="00D9764E">
        <w:trPr>
          <w:cnfStyle w:val="000000010000" w:firstRow="0" w:lastRow="0" w:firstColumn="0" w:lastColumn="0" w:oddVBand="0" w:evenVBand="0" w:oddHBand="0" w:evenHBand="1" w:firstRowFirstColumn="0" w:firstRowLastColumn="0" w:lastRowFirstColumn="0" w:lastRowLastColumn="0"/>
        </w:trPr>
        <w:tc>
          <w:tcPr>
            <w:tcW w:w="0" w:type="auto"/>
            <w:hideMark/>
          </w:tcPr>
          <w:p w14:paraId="08FE04E6" w14:textId="77777777" w:rsidR="00E03393" w:rsidRPr="00860D7E" w:rsidRDefault="00E03393" w:rsidP="00416DDF">
            <w:pPr>
              <w:pStyle w:val="NormalWeb"/>
              <w:spacing w:before="0" w:beforeAutospacing="0" w:after="0" w:afterAutospacing="0"/>
              <w:rPr>
                <w:sz w:val="18"/>
                <w:szCs w:val="18"/>
              </w:rPr>
            </w:pPr>
            <w:r w:rsidRPr="00860D7E">
              <w:rPr>
                <w:sz w:val="18"/>
                <w:szCs w:val="18"/>
              </w:rPr>
              <w:t>Victoria</w:t>
            </w:r>
          </w:p>
        </w:tc>
        <w:tc>
          <w:tcPr>
            <w:tcW w:w="0" w:type="auto"/>
            <w:hideMark/>
          </w:tcPr>
          <w:p w14:paraId="140E90B9" w14:textId="14036650" w:rsidR="00E03393" w:rsidRPr="000825A2" w:rsidRDefault="00E03393" w:rsidP="00416DDF">
            <w:pPr>
              <w:pStyle w:val="NormalWeb"/>
              <w:spacing w:before="0" w:beforeAutospacing="0" w:after="0" w:afterAutospacing="0"/>
              <w:rPr>
                <w:sz w:val="18"/>
                <w:szCs w:val="18"/>
                <w:vertAlign w:val="superscript"/>
              </w:rPr>
            </w:pPr>
            <w:r w:rsidRPr="00860D7E">
              <w:rPr>
                <w:sz w:val="18"/>
                <w:szCs w:val="18"/>
              </w:rPr>
              <w:t xml:space="preserve">Step </w:t>
            </w:r>
            <w:r>
              <w:rPr>
                <w:sz w:val="18"/>
                <w:szCs w:val="18"/>
              </w:rPr>
              <w:t>2</w:t>
            </w:r>
            <w:r w:rsidRPr="00860D7E">
              <w:rPr>
                <w:sz w:val="18"/>
                <w:szCs w:val="18"/>
              </w:rPr>
              <w:t xml:space="preserve">: from </w:t>
            </w:r>
            <w:r>
              <w:rPr>
                <w:sz w:val="18"/>
                <w:szCs w:val="18"/>
              </w:rPr>
              <w:t>1</w:t>
            </w:r>
            <w:r w:rsidRPr="00860D7E">
              <w:rPr>
                <w:sz w:val="18"/>
                <w:szCs w:val="18"/>
              </w:rPr>
              <w:t xml:space="preserve"> </w:t>
            </w:r>
            <w:r>
              <w:rPr>
                <w:sz w:val="18"/>
                <w:szCs w:val="18"/>
              </w:rPr>
              <w:t>June</w:t>
            </w:r>
            <w:r w:rsidRPr="00860D7E">
              <w:rPr>
                <w:sz w:val="18"/>
                <w:szCs w:val="18"/>
              </w:rPr>
              <w:t xml:space="preserve"> the following restrictions were eased:</w:t>
            </w:r>
            <w:r w:rsidR="001F74F6">
              <w:rPr>
                <w:sz w:val="18"/>
                <w:szCs w:val="18"/>
                <w:vertAlign w:val="superscript"/>
              </w:rPr>
              <w:t>17</w:t>
            </w:r>
          </w:p>
          <w:p w14:paraId="0DD2C048" w14:textId="2B2BCFCF" w:rsidR="00E03393" w:rsidRDefault="00E03393" w:rsidP="00416DDF">
            <w:pPr>
              <w:numPr>
                <w:ilvl w:val="0"/>
                <w:numId w:val="8"/>
              </w:numPr>
              <w:rPr>
                <w:rFonts w:eastAsia="Times New Roman"/>
                <w:sz w:val="18"/>
                <w:szCs w:val="18"/>
              </w:rPr>
            </w:pPr>
            <w:r>
              <w:rPr>
                <w:rFonts w:eastAsia="Times New Roman"/>
                <w:sz w:val="18"/>
                <w:szCs w:val="18"/>
              </w:rPr>
              <w:t xml:space="preserve">Gatherings of up to 20 </w:t>
            </w:r>
            <w:r w:rsidR="009C7F9A">
              <w:rPr>
                <w:rFonts w:eastAsia="Times New Roman"/>
                <w:sz w:val="18"/>
                <w:szCs w:val="18"/>
              </w:rPr>
              <w:t xml:space="preserve">people </w:t>
            </w:r>
            <w:r>
              <w:rPr>
                <w:rFonts w:eastAsia="Times New Roman"/>
                <w:sz w:val="18"/>
                <w:szCs w:val="18"/>
              </w:rPr>
              <w:t>permitted in households and public places</w:t>
            </w:r>
          </w:p>
          <w:p w14:paraId="69275109" w14:textId="77777777" w:rsidR="00E03393" w:rsidRDefault="00E03393" w:rsidP="00416DDF">
            <w:pPr>
              <w:numPr>
                <w:ilvl w:val="0"/>
                <w:numId w:val="8"/>
              </w:numPr>
              <w:rPr>
                <w:rFonts w:eastAsia="Times New Roman"/>
                <w:sz w:val="18"/>
                <w:szCs w:val="18"/>
              </w:rPr>
            </w:pPr>
            <w:r>
              <w:rPr>
                <w:rFonts w:eastAsia="Times New Roman"/>
                <w:sz w:val="18"/>
                <w:szCs w:val="18"/>
              </w:rPr>
              <w:t>Restaurants, cafes and community services permitted to open for up to 20 patrons</w:t>
            </w:r>
          </w:p>
          <w:p w14:paraId="245CC008" w14:textId="77777777" w:rsidR="00E03393" w:rsidRDefault="00E03393" w:rsidP="00416DDF">
            <w:pPr>
              <w:numPr>
                <w:ilvl w:val="0"/>
                <w:numId w:val="8"/>
              </w:numPr>
              <w:rPr>
                <w:rFonts w:eastAsia="Times New Roman"/>
                <w:sz w:val="18"/>
                <w:szCs w:val="18"/>
              </w:rPr>
            </w:pPr>
            <w:r>
              <w:rPr>
                <w:rFonts w:eastAsia="Times New Roman"/>
                <w:sz w:val="18"/>
                <w:szCs w:val="18"/>
              </w:rPr>
              <w:t>Tourist accommodation including caravan and camping grounds to open</w:t>
            </w:r>
          </w:p>
          <w:p w14:paraId="5BDA02DD" w14:textId="77777777" w:rsidR="00E03393" w:rsidRDefault="00E03393" w:rsidP="00416DDF">
            <w:pPr>
              <w:numPr>
                <w:ilvl w:val="0"/>
                <w:numId w:val="8"/>
              </w:numPr>
              <w:rPr>
                <w:rFonts w:eastAsia="Times New Roman"/>
                <w:sz w:val="18"/>
                <w:szCs w:val="18"/>
              </w:rPr>
            </w:pPr>
            <w:r w:rsidRPr="0071762E">
              <w:rPr>
                <w:rFonts w:eastAsia="Times New Roman"/>
                <w:sz w:val="18"/>
                <w:szCs w:val="18"/>
              </w:rPr>
              <w:t>From 26 May - Primary and high schools to commence a staged return of face-to-face learning</w:t>
            </w:r>
          </w:p>
          <w:p w14:paraId="153FACC1" w14:textId="1F5004EF" w:rsidR="00416DDF" w:rsidRPr="00860D7E" w:rsidRDefault="00416DDF" w:rsidP="00416DDF">
            <w:pPr>
              <w:rPr>
                <w:rFonts w:eastAsia="Times New Roman"/>
                <w:sz w:val="18"/>
                <w:szCs w:val="18"/>
              </w:rPr>
            </w:pPr>
          </w:p>
        </w:tc>
      </w:tr>
      <w:tr w:rsidR="00E03393" w:rsidRPr="00860D7E" w14:paraId="3AA5CEC4" w14:textId="77777777" w:rsidTr="00D9764E">
        <w:tc>
          <w:tcPr>
            <w:tcW w:w="0" w:type="auto"/>
            <w:hideMark/>
          </w:tcPr>
          <w:p w14:paraId="2D23B287" w14:textId="77777777" w:rsidR="00E03393" w:rsidRPr="00860D7E" w:rsidRDefault="00E03393" w:rsidP="00416DDF">
            <w:pPr>
              <w:pStyle w:val="NormalWeb"/>
              <w:spacing w:before="0" w:beforeAutospacing="0" w:after="0" w:afterAutospacing="0"/>
              <w:rPr>
                <w:sz w:val="18"/>
                <w:szCs w:val="18"/>
              </w:rPr>
            </w:pPr>
            <w:r w:rsidRPr="00860D7E">
              <w:rPr>
                <w:sz w:val="18"/>
                <w:szCs w:val="18"/>
              </w:rPr>
              <w:t>Queensland</w:t>
            </w:r>
          </w:p>
        </w:tc>
        <w:tc>
          <w:tcPr>
            <w:tcW w:w="0" w:type="auto"/>
            <w:hideMark/>
          </w:tcPr>
          <w:p w14:paraId="4D84ACC0" w14:textId="084DB4C7" w:rsidR="00E03393" w:rsidRPr="000825A2" w:rsidRDefault="00E03393" w:rsidP="00416DDF">
            <w:pPr>
              <w:pStyle w:val="NormalWeb"/>
              <w:spacing w:before="0" w:beforeAutospacing="0" w:after="0" w:afterAutospacing="0"/>
              <w:rPr>
                <w:sz w:val="18"/>
                <w:szCs w:val="18"/>
                <w:vertAlign w:val="superscript"/>
              </w:rPr>
            </w:pPr>
            <w:r w:rsidRPr="00860D7E">
              <w:rPr>
                <w:sz w:val="18"/>
                <w:szCs w:val="18"/>
              </w:rPr>
              <w:t xml:space="preserve">Step </w:t>
            </w:r>
            <w:r>
              <w:rPr>
                <w:sz w:val="18"/>
                <w:szCs w:val="18"/>
              </w:rPr>
              <w:t>2</w:t>
            </w:r>
            <w:r w:rsidRPr="00860D7E">
              <w:rPr>
                <w:sz w:val="18"/>
                <w:szCs w:val="18"/>
              </w:rPr>
              <w:t xml:space="preserve">: from </w:t>
            </w:r>
            <w:r>
              <w:rPr>
                <w:sz w:val="18"/>
                <w:szCs w:val="18"/>
              </w:rPr>
              <w:t>1</w:t>
            </w:r>
            <w:r w:rsidRPr="00860D7E">
              <w:rPr>
                <w:sz w:val="18"/>
                <w:szCs w:val="18"/>
              </w:rPr>
              <w:t xml:space="preserve"> </w:t>
            </w:r>
            <w:r>
              <w:rPr>
                <w:sz w:val="18"/>
                <w:szCs w:val="18"/>
              </w:rPr>
              <w:t>June</w:t>
            </w:r>
            <w:r w:rsidRPr="00860D7E">
              <w:rPr>
                <w:sz w:val="18"/>
                <w:szCs w:val="18"/>
              </w:rPr>
              <w:t xml:space="preserve"> the following restrictions were eased:</w:t>
            </w:r>
            <w:r w:rsidR="001F74F6">
              <w:rPr>
                <w:sz w:val="18"/>
                <w:szCs w:val="18"/>
                <w:vertAlign w:val="superscript"/>
              </w:rPr>
              <w:t>18</w:t>
            </w:r>
          </w:p>
          <w:p w14:paraId="75E41511" w14:textId="22B813A8" w:rsidR="00E03393" w:rsidRDefault="00E03393" w:rsidP="00416DDF">
            <w:pPr>
              <w:numPr>
                <w:ilvl w:val="0"/>
                <w:numId w:val="9"/>
              </w:numPr>
              <w:rPr>
                <w:rFonts w:eastAsia="Times New Roman"/>
                <w:sz w:val="18"/>
                <w:szCs w:val="18"/>
              </w:rPr>
            </w:pPr>
            <w:r>
              <w:rPr>
                <w:rFonts w:eastAsia="Times New Roman"/>
                <w:sz w:val="18"/>
                <w:szCs w:val="18"/>
              </w:rPr>
              <w:t>Intrastate restrictions eased to allow travel and overnight stays for all</w:t>
            </w:r>
            <w:r w:rsidR="009C7F9A">
              <w:rPr>
                <w:rFonts w:eastAsia="Times New Roman"/>
                <w:sz w:val="18"/>
                <w:szCs w:val="18"/>
              </w:rPr>
              <w:t xml:space="preserve"> of</w:t>
            </w:r>
            <w:r>
              <w:rPr>
                <w:rFonts w:eastAsia="Times New Roman"/>
                <w:sz w:val="18"/>
                <w:szCs w:val="18"/>
              </w:rPr>
              <w:t xml:space="preserve"> Queensland</w:t>
            </w:r>
          </w:p>
          <w:p w14:paraId="4A092CC7" w14:textId="2D4058B4" w:rsidR="00E03393" w:rsidRDefault="00E03393" w:rsidP="00416DDF">
            <w:pPr>
              <w:numPr>
                <w:ilvl w:val="0"/>
                <w:numId w:val="9"/>
              </w:numPr>
              <w:rPr>
                <w:rFonts w:eastAsia="Times New Roman"/>
                <w:sz w:val="18"/>
                <w:szCs w:val="18"/>
              </w:rPr>
            </w:pPr>
            <w:r>
              <w:rPr>
                <w:rFonts w:eastAsia="Times New Roman"/>
                <w:sz w:val="18"/>
                <w:szCs w:val="18"/>
              </w:rPr>
              <w:t xml:space="preserve">Gatherings of up to 20 </w:t>
            </w:r>
            <w:r w:rsidR="009C7F9A">
              <w:rPr>
                <w:rFonts w:eastAsia="Times New Roman"/>
                <w:sz w:val="18"/>
                <w:szCs w:val="18"/>
              </w:rPr>
              <w:t xml:space="preserve">people </w:t>
            </w:r>
            <w:r>
              <w:rPr>
                <w:rFonts w:eastAsia="Times New Roman"/>
                <w:sz w:val="18"/>
                <w:szCs w:val="18"/>
              </w:rPr>
              <w:t>permitted in households and public places</w:t>
            </w:r>
          </w:p>
          <w:p w14:paraId="5D07B505" w14:textId="77777777" w:rsidR="00E03393" w:rsidRDefault="00E03393" w:rsidP="00416DDF">
            <w:pPr>
              <w:numPr>
                <w:ilvl w:val="0"/>
                <w:numId w:val="9"/>
              </w:numPr>
              <w:rPr>
                <w:rFonts w:eastAsia="Times New Roman"/>
                <w:sz w:val="18"/>
                <w:szCs w:val="18"/>
              </w:rPr>
            </w:pPr>
            <w:r>
              <w:rPr>
                <w:rFonts w:eastAsia="Times New Roman"/>
                <w:sz w:val="18"/>
                <w:szCs w:val="18"/>
              </w:rPr>
              <w:t>Pubs, clubs, cafes and restaurants permitted to have up to 20 customers</w:t>
            </w:r>
          </w:p>
          <w:p w14:paraId="78CF2CB9" w14:textId="77777777" w:rsidR="00E03393" w:rsidRDefault="00E03393" w:rsidP="00416DDF">
            <w:pPr>
              <w:numPr>
                <w:ilvl w:val="0"/>
                <w:numId w:val="9"/>
              </w:numPr>
              <w:rPr>
                <w:rFonts w:eastAsia="Times New Roman"/>
                <w:sz w:val="18"/>
                <w:szCs w:val="18"/>
              </w:rPr>
            </w:pPr>
            <w:r>
              <w:rPr>
                <w:rFonts w:eastAsia="Times New Roman"/>
                <w:sz w:val="18"/>
                <w:szCs w:val="18"/>
              </w:rPr>
              <w:t>Restrictions on funerals further eased</w:t>
            </w:r>
          </w:p>
          <w:p w14:paraId="0BB85BC8" w14:textId="1AB3A50A" w:rsidR="00416DDF" w:rsidRPr="00860D7E" w:rsidRDefault="00416DDF" w:rsidP="00416DDF">
            <w:pPr>
              <w:rPr>
                <w:rFonts w:eastAsia="Times New Roman"/>
                <w:sz w:val="18"/>
                <w:szCs w:val="18"/>
              </w:rPr>
            </w:pPr>
          </w:p>
        </w:tc>
      </w:tr>
      <w:tr w:rsidR="00E03393" w:rsidRPr="00860D7E" w14:paraId="55F49708" w14:textId="77777777" w:rsidTr="00D9764E">
        <w:trPr>
          <w:cnfStyle w:val="000000010000" w:firstRow="0" w:lastRow="0" w:firstColumn="0" w:lastColumn="0" w:oddVBand="0" w:evenVBand="0" w:oddHBand="0" w:evenHBand="1" w:firstRowFirstColumn="0" w:firstRowLastColumn="0" w:lastRowFirstColumn="0" w:lastRowLastColumn="0"/>
        </w:trPr>
        <w:tc>
          <w:tcPr>
            <w:tcW w:w="0" w:type="auto"/>
            <w:hideMark/>
          </w:tcPr>
          <w:p w14:paraId="05F9F725" w14:textId="77777777" w:rsidR="00E03393" w:rsidRPr="00860D7E" w:rsidRDefault="00E03393" w:rsidP="00416DDF">
            <w:pPr>
              <w:pStyle w:val="NormalWeb"/>
              <w:spacing w:before="0" w:beforeAutospacing="0" w:after="0" w:afterAutospacing="0"/>
              <w:rPr>
                <w:sz w:val="18"/>
                <w:szCs w:val="18"/>
              </w:rPr>
            </w:pPr>
            <w:r w:rsidRPr="00860D7E">
              <w:rPr>
                <w:sz w:val="18"/>
                <w:szCs w:val="18"/>
              </w:rPr>
              <w:t>Western Australia</w:t>
            </w:r>
          </w:p>
        </w:tc>
        <w:tc>
          <w:tcPr>
            <w:tcW w:w="0" w:type="auto"/>
            <w:hideMark/>
          </w:tcPr>
          <w:p w14:paraId="618AF3EC" w14:textId="0399C415" w:rsidR="00E03393" w:rsidRPr="000825A2" w:rsidRDefault="00E03393" w:rsidP="00416DDF">
            <w:pPr>
              <w:pStyle w:val="NormalWeb"/>
              <w:spacing w:before="0" w:beforeAutospacing="0" w:after="0" w:afterAutospacing="0"/>
              <w:rPr>
                <w:sz w:val="18"/>
                <w:szCs w:val="18"/>
                <w:vertAlign w:val="superscript"/>
              </w:rPr>
            </w:pPr>
            <w:r w:rsidRPr="00860D7E">
              <w:rPr>
                <w:sz w:val="18"/>
                <w:szCs w:val="18"/>
              </w:rPr>
              <w:t xml:space="preserve">Step </w:t>
            </w:r>
            <w:r>
              <w:rPr>
                <w:sz w:val="18"/>
                <w:szCs w:val="18"/>
              </w:rPr>
              <w:t>3</w:t>
            </w:r>
            <w:r w:rsidRPr="00860D7E">
              <w:rPr>
                <w:sz w:val="18"/>
                <w:szCs w:val="18"/>
              </w:rPr>
              <w:t xml:space="preserve">: from </w:t>
            </w:r>
            <w:r>
              <w:rPr>
                <w:sz w:val="18"/>
                <w:szCs w:val="18"/>
              </w:rPr>
              <w:t>5 June</w:t>
            </w:r>
            <w:r w:rsidRPr="00860D7E">
              <w:rPr>
                <w:sz w:val="18"/>
                <w:szCs w:val="18"/>
              </w:rPr>
              <w:t xml:space="preserve"> the following restrictions w</w:t>
            </w:r>
            <w:r>
              <w:rPr>
                <w:sz w:val="18"/>
                <w:szCs w:val="18"/>
              </w:rPr>
              <w:t>ere</w:t>
            </w:r>
            <w:r w:rsidRPr="00860D7E">
              <w:rPr>
                <w:sz w:val="18"/>
                <w:szCs w:val="18"/>
              </w:rPr>
              <w:t xml:space="preserve"> eased:</w:t>
            </w:r>
            <w:r w:rsidR="001F74F6">
              <w:rPr>
                <w:sz w:val="18"/>
                <w:szCs w:val="18"/>
                <w:vertAlign w:val="superscript"/>
              </w:rPr>
              <w:t>19</w:t>
            </w:r>
          </w:p>
          <w:p w14:paraId="2ABC8864" w14:textId="77777777" w:rsidR="00E03393" w:rsidRDefault="00E03393" w:rsidP="00416DDF">
            <w:pPr>
              <w:numPr>
                <w:ilvl w:val="0"/>
                <w:numId w:val="10"/>
              </w:numPr>
              <w:rPr>
                <w:rFonts w:eastAsia="Times New Roman"/>
                <w:sz w:val="18"/>
                <w:szCs w:val="18"/>
              </w:rPr>
            </w:pPr>
            <w:r>
              <w:rPr>
                <w:rFonts w:eastAsia="Times New Roman"/>
                <w:sz w:val="18"/>
                <w:szCs w:val="18"/>
              </w:rPr>
              <w:t>Indoor and outdoor gatherings of up to 100 people permitted</w:t>
            </w:r>
          </w:p>
          <w:p w14:paraId="1DC92E23" w14:textId="77777777" w:rsidR="00E03393" w:rsidRDefault="00E03393" w:rsidP="00416DDF">
            <w:pPr>
              <w:numPr>
                <w:ilvl w:val="0"/>
                <w:numId w:val="10"/>
              </w:numPr>
              <w:rPr>
                <w:rFonts w:eastAsia="Times New Roman"/>
                <w:sz w:val="18"/>
                <w:szCs w:val="18"/>
              </w:rPr>
            </w:pPr>
            <w:r>
              <w:rPr>
                <w:rFonts w:eastAsia="Times New Roman"/>
                <w:sz w:val="18"/>
                <w:szCs w:val="18"/>
              </w:rPr>
              <w:t>All venues can fully reopen with up to 300 customers (no more than 100 in an undivided space)</w:t>
            </w:r>
          </w:p>
          <w:p w14:paraId="27A25FA5" w14:textId="77777777" w:rsidR="00E03393" w:rsidRDefault="00E03393" w:rsidP="00416DDF">
            <w:pPr>
              <w:numPr>
                <w:ilvl w:val="0"/>
                <w:numId w:val="10"/>
              </w:numPr>
              <w:rPr>
                <w:rFonts w:eastAsia="Times New Roman"/>
                <w:sz w:val="18"/>
                <w:szCs w:val="18"/>
              </w:rPr>
            </w:pPr>
            <w:r>
              <w:rPr>
                <w:rFonts w:eastAsia="Times New Roman"/>
                <w:sz w:val="18"/>
                <w:szCs w:val="18"/>
              </w:rPr>
              <w:t>All venues must comply with a 2 square metre rule for customers</w:t>
            </w:r>
          </w:p>
          <w:p w14:paraId="49FBA4F8" w14:textId="72C26B7C" w:rsidR="00416DDF" w:rsidRPr="00860D7E" w:rsidRDefault="00416DDF" w:rsidP="00416DDF">
            <w:pPr>
              <w:rPr>
                <w:rFonts w:eastAsia="Times New Roman"/>
                <w:sz w:val="18"/>
                <w:szCs w:val="18"/>
              </w:rPr>
            </w:pPr>
          </w:p>
        </w:tc>
      </w:tr>
      <w:tr w:rsidR="00E03393" w:rsidRPr="00860D7E" w14:paraId="1BA749F0" w14:textId="77777777" w:rsidTr="00D9764E">
        <w:tc>
          <w:tcPr>
            <w:tcW w:w="0" w:type="auto"/>
            <w:hideMark/>
          </w:tcPr>
          <w:p w14:paraId="2352FF0D" w14:textId="77777777" w:rsidR="00E03393" w:rsidRPr="00860D7E" w:rsidRDefault="00E03393" w:rsidP="00416DDF">
            <w:pPr>
              <w:pStyle w:val="NormalWeb"/>
              <w:spacing w:before="0" w:beforeAutospacing="0" w:after="0" w:afterAutospacing="0"/>
              <w:rPr>
                <w:sz w:val="18"/>
                <w:szCs w:val="18"/>
              </w:rPr>
            </w:pPr>
            <w:r w:rsidRPr="00860D7E">
              <w:rPr>
                <w:sz w:val="18"/>
                <w:szCs w:val="18"/>
              </w:rPr>
              <w:t>South Australia</w:t>
            </w:r>
          </w:p>
        </w:tc>
        <w:tc>
          <w:tcPr>
            <w:tcW w:w="0" w:type="auto"/>
            <w:hideMark/>
          </w:tcPr>
          <w:p w14:paraId="420F53D7" w14:textId="33415481" w:rsidR="00E03393" w:rsidRPr="00860D7E" w:rsidRDefault="00E03393" w:rsidP="00416DDF">
            <w:pPr>
              <w:pStyle w:val="NormalWeb"/>
              <w:spacing w:before="0" w:beforeAutospacing="0" w:after="0" w:afterAutospacing="0"/>
              <w:rPr>
                <w:sz w:val="18"/>
                <w:szCs w:val="18"/>
              </w:rPr>
            </w:pPr>
            <w:r w:rsidRPr="00860D7E">
              <w:rPr>
                <w:sz w:val="18"/>
                <w:szCs w:val="18"/>
              </w:rPr>
              <w:t xml:space="preserve">Step </w:t>
            </w:r>
            <w:r>
              <w:rPr>
                <w:sz w:val="18"/>
                <w:szCs w:val="18"/>
              </w:rPr>
              <w:t>2</w:t>
            </w:r>
            <w:r w:rsidRPr="00860D7E">
              <w:rPr>
                <w:sz w:val="18"/>
                <w:szCs w:val="18"/>
              </w:rPr>
              <w:t>: from 1</w:t>
            </w:r>
            <w:r>
              <w:rPr>
                <w:sz w:val="18"/>
                <w:szCs w:val="18"/>
              </w:rPr>
              <w:t xml:space="preserve"> June</w:t>
            </w:r>
            <w:r w:rsidRPr="00860D7E">
              <w:rPr>
                <w:sz w:val="18"/>
                <w:szCs w:val="18"/>
              </w:rPr>
              <w:t xml:space="preserve"> the following restrictions were eased:</w:t>
            </w:r>
            <w:r w:rsidR="001F74F6">
              <w:rPr>
                <w:sz w:val="18"/>
                <w:szCs w:val="18"/>
                <w:vertAlign w:val="superscript"/>
              </w:rPr>
              <w:t>20,21</w:t>
            </w:r>
          </w:p>
          <w:p w14:paraId="611028D5" w14:textId="77777777" w:rsidR="00E03393" w:rsidRDefault="00E03393" w:rsidP="00416DDF">
            <w:pPr>
              <w:numPr>
                <w:ilvl w:val="0"/>
                <w:numId w:val="11"/>
              </w:numPr>
              <w:rPr>
                <w:rFonts w:eastAsia="Times New Roman"/>
                <w:sz w:val="18"/>
                <w:szCs w:val="18"/>
              </w:rPr>
            </w:pPr>
            <w:r>
              <w:rPr>
                <w:rFonts w:eastAsia="Times New Roman"/>
                <w:sz w:val="18"/>
                <w:szCs w:val="18"/>
              </w:rPr>
              <w:t>Venues and public gatherings can reopen with up to 80 people (no more than 20 in a separate room, area or shop)</w:t>
            </w:r>
          </w:p>
          <w:p w14:paraId="43FB6964" w14:textId="77777777" w:rsidR="00E03393" w:rsidRDefault="00E03393" w:rsidP="00416DDF">
            <w:pPr>
              <w:numPr>
                <w:ilvl w:val="0"/>
                <w:numId w:val="11"/>
              </w:numPr>
              <w:rPr>
                <w:rFonts w:eastAsia="Times New Roman"/>
                <w:sz w:val="18"/>
                <w:szCs w:val="18"/>
              </w:rPr>
            </w:pPr>
            <w:r>
              <w:rPr>
                <w:rFonts w:eastAsia="Times New Roman"/>
                <w:sz w:val="18"/>
                <w:szCs w:val="18"/>
              </w:rPr>
              <w:t>Restrictions on funerals further eased</w:t>
            </w:r>
          </w:p>
          <w:p w14:paraId="1F06FE64" w14:textId="77777777" w:rsidR="00E03393" w:rsidRDefault="00E03393" w:rsidP="00416DDF">
            <w:pPr>
              <w:numPr>
                <w:ilvl w:val="0"/>
                <w:numId w:val="11"/>
              </w:numPr>
              <w:rPr>
                <w:rFonts w:eastAsia="Times New Roman"/>
                <w:sz w:val="18"/>
                <w:szCs w:val="18"/>
              </w:rPr>
            </w:pPr>
            <w:r>
              <w:rPr>
                <w:rFonts w:eastAsia="Times New Roman"/>
                <w:sz w:val="18"/>
                <w:szCs w:val="18"/>
              </w:rPr>
              <w:t>Gyms and indoor fitness open for up to 10 people per group class</w:t>
            </w:r>
          </w:p>
          <w:p w14:paraId="6B3ADB05" w14:textId="77777777" w:rsidR="00E03393" w:rsidRDefault="00E03393" w:rsidP="00416DDF">
            <w:pPr>
              <w:numPr>
                <w:ilvl w:val="0"/>
                <w:numId w:val="11"/>
              </w:numPr>
              <w:rPr>
                <w:rFonts w:eastAsia="Times New Roman"/>
                <w:sz w:val="18"/>
                <w:szCs w:val="18"/>
              </w:rPr>
            </w:pPr>
            <w:r>
              <w:rPr>
                <w:rFonts w:eastAsia="Times New Roman"/>
                <w:sz w:val="18"/>
                <w:szCs w:val="18"/>
              </w:rPr>
              <w:t>Beauty salons open with restrictions</w:t>
            </w:r>
          </w:p>
          <w:p w14:paraId="6A5A0CBB" w14:textId="051E01E1" w:rsidR="00416DDF" w:rsidRPr="00860D7E" w:rsidRDefault="00416DDF" w:rsidP="00416DDF">
            <w:pPr>
              <w:rPr>
                <w:rFonts w:eastAsia="Times New Roman"/>
                <w:sz w:val="18"/>
                <w:szCs w:val="18"/>
              </w:rPr>
            </w:pPr>
          </w:p>
        </w:tc>
      </w:tr>
      <w:tr w:rsidR="00E03393" w:rsidRPr="00860D7E" w14:paraId="48830287" w14:textId="77777777" w:rsidTr="00D9764E">
        <w:trPr>
          <w:cnfStyle w:val="000000010000" w:firstRow="0" w:lastRow="0" w:firstColumn="0" w:lastColumn="0" w:oddVBand="0" w:evenVBand="0" w:oddHBand="0" w:evenHBand="1" w:firstRowFirstColumn="0" w:firstRowLastColumn="0" w:lastRowFirstColumn="0" w:lastRowLastColumn="0"/>
        </w:trPr>
        <w:tc>
          <w:tcPr>
            <w:tcW w:w="0" w:type="auto"/>
            <w:hideMark/>
          </w:tcPr>
          <w:p w14:paraId="7BCC3428" w14:textId="77777777" w:rsidR="00E03393" w:rsidRPr="00860D7E" w:rsidRDefault="00E03393" w:rsidP="00416DDF">
            <w:pPr>
              <w:pStyle w:val="NormalWeb"/>
              <w:spacing w:before="0" w:beforeAutospacing="0" w:after="0" w:afterAutospacing="0"/>
              <w:rPr>
                <w:sz w:val="18"/>
                <w:szCs w:val="18"/>
              </w:rPr>
            </w:pPr>
            <w:r w:rsidRPr="00860D7E">
              <w:rPr>
                <w:sz w:val="18"/>
                <w:szCs w:val="18"/>
              </w:rPr>
              <w:t>Tasmania</w:t>
            </w:r>
          </w:p>
        </w:tc>
        <w:tc>
          <w:tcPr>
            <w:tcW w:w="0" w:type="auto"/>
            <w:hideMark/>
          </w:tcPr>
          <w:p w14:paraId="63F9D6AB" w14:textId="4BA31AF7" w:rsidR="00E03393" w:rsidRPr="000825A2" w:rsidRDefault="00E03393" w:rsidP="00416DDF">
            <w:pPr>
              <w:pStyle w:val="NormalWeb"/>
              <w:spacing w:before="0" w:beforeAutospacing="0" w:after="0" w:afterAutospacing="0"/>
              <w:rPr>
                <w:sz w:val="18"/>
                <w:szCs w:val="18"/>
                <w:vertAlign w:val="superscript"/>
              </w:rPr>
            </w:pPr>
            <w:r w:rsidRPr="00860D7E">
              <w:rPr>
                <w:sz w:val="18"/>
                <w:szCs w:val="18"/>
              </w:rPr>
              <w:t xml:space="preserve">Step </w:t>
            </w:r>
            <w:r>
              <w:rPr>
                <w:sz w:val="18"/>
                <w:szCs w:val="18"/>
              </w:rPr>
              <w:t>2</w:t>
            </w:r>
            <w:r w:rsidRPr="00860D7E">
              <w:rPr>
                <w:sz w:val="18"/>
                <w:szCs w:val="18"/>
              </w:rPr>
              <w:t xml:space="preserve">: from </w:t>
            </w:r>
            <w:r>
              <w:rPr>
                <w:sz w:val="18"/>
                <w:szCs w:val="18"/>
              </w:rPr>
              <w:t>5 June</w:t>
            </w:r>
            <w:r w:rsidRPr="00860D7E">
              <w:rPr>
                <w:sz w:val="18"/>
                <w:szCs w:val="18"/>
              </w:rPr>
              <w:t xml:space="preserve"> the following restrictions were eased:</w:t>
            </w:r>
            <w:r w:rsidR="000B4124">
              <w:rPr>
                <w:sz w:val="18"/>
                <w:szCs w:val="18"/>
                <w:vertAlign w:val="superscript"/>
              </w:rPr>
              <w:t>22</w:t>
            </w:r>
          </w:p>
          <w:p w14:paraId="02AD4CF2" w14:textId="5FB12BF1" w:rsidR="00E03393" w:rsidRPr="00B14275" w:rsidRDefault="00E03393" w:rsidP="00416DDF">
            <w:pPr>
              <w:numPr>
                <w:ilvl w:val="0"/>
                <w:numId w:val="12"/>
              </w:numPr>
              <w:rPr>
                <w:rFonts w:eastAsia="Times New Roman"/>
                <w:sz w:val="18"/>
                <w:szCs w:val="18"/>
              </w:rPr>
            </w:pPr>
            <w:r>
              <w:rPr>
                <w:rFonts w:eastAsia="Times New Roman"/>
                <w:sz w:val="18"/>
                <w:szCs w:val="18"/>
              </w:rPr>
              <w:t xml:space="preserve">Gatherings of up to 20 </w:t>
            </w:r>
            <w:r w:rsidR="009C7F9A">
              <w:rPr>
                <w:rFonts w:eastAsia="Times New Roman"/>
                <w:sz w:val="18"/>
                <w:szCs w:val="18"/>
              </w:rPr>
              <w:t xml:space="preserve">people </w:t>
            </w:r>
            <w:r>
              <w:rPr>
                <w:rFonts w:eastAsia="Times New Roman"/>
                <w:sz w:val="18"/>
                <w:szCs w:val="18"/>
              </w:rPr>
              <w:t>permitted in public places and in most businesses</w:t>
            </w:r>
          </w:p>
          <w:p w14:paraId="4D6D85D4" w14:textId="40B32D9A" w:rsidR="00E03393" w:rsidRDefault="00E03393" w:rsidP="00416DDF">
            <w:pPr>
              <w:numPr>
                <w:ilvl w:val="0"/>
                <w:numId w:val="12"/>
              </w:numPr>
              <w:rPr>
                <w:rFonts w:eastAsia="Times New Roman"/>
                <w:sz w:val="18"/>
                <w:szCs w:val="18"/>
              </w:rPr>
            </w:pPr>
            <w:r>
              <w:rPr>
                <w:rFonts w:eastAsia="Times New Roman"/>
                <w:sz w:val="18"/>
                <w:szCs w:val="18"/>
              </w:rPr>
              <w:t xml:space="preserve">Gatherings of up to 10 </w:t>
            </w:r>
            <w:r w:rsidR="009C7F9A">
              <w:rPr>
                <w:rFonts w:eastAsia="Times New Roman"/>
                <w:sz w:val="18"/>
                <w:szCs w:val="18"/>
              </w:rPr>
              <w:t xml:space="preserve">people </w:t>
            </w:r>
            <w:r>
              <w:rPr>
                <w:rFonts w:eastAsia="Times New Roman"/>
                <w:sz w:val="18"/>
                <w:szCs w:val="18"/>
              </w:rPr>
              <w:t>permitted in households</w:t>
            </w:r>
          </w:p>
          <w:p w14:paraId="7DB3EC68" w14:textId="77777777" w:rsidR="00E03393" w:rsidRDefault="00E03393" w:rsidP="00416DDF">
            <w:pPr>
              <w:numPr>
                <w:ilvl w:val="0"/>
                <w:numId w:val="12"/>
              </w:numPr>
              <w:rPr>
                <w:rFonts w:eastAsia="Times New Roman"/>
                <w:sz w:val="18"/>
                <w:szCs w:val="18"/>
              </w:rPr>
            </w:pPr>
            <w:r>
              <w:rPr>
                <w:rFonts w:eastAsia="Times New Roman"/>
                <w:sz w:val="18"/>
                <w:szCs w:val="18"/>
              </w:rPr>
              <w:t>Pubs, clubs, cafes and restaurants permitted to have up to 40 customers</w:t>
            </w:r>
          </w:p>
          <w:p w14:paraId="7A81532E" w14:textId="77777777" w:rsidR="00E03393" w:rsidRDefault="00E03393" w:rsidP="00416DDF">
            <w:pPr>
              <w:numPr>
                <w:ilvl w:val="0"/>
                <w:numId w:val="12"/>
              </w:numPr>
              <w:rPr>
                <w:rFonts w:eastAsia="Times New Roman"/>
                <w:sz w:val="18"/>
                <w:szCs w:val="18"/>
              </w:rPr>
            </w:pPr>
            <w:r>
              <w:rPr>
                <w:rFonts w:eastAsia="Times New Roman"/>
                <w:sz w:val="18"/>
                <w:szCs w:val="18"/>
              </w:rPr>
              <w:t>Restrictions on weddings, funerals and religious ceremonies eased</w:t>
            </w:r>
          </w:p>
          <w:p w14:paraId="4E610039" w14:textId="77777777" w:rsidR="00E03393" w:rsidRPr="00B14275" w:rsidRDefault="00E03393" w:rsidP="00416DDF">
            <w:pPr>
              <w:numPr>
                <w:ilvl w:val="0"/>
                <w:numId w:val="12"/>
              </w:numPr>
              <w:rPr>
                <w:rFonts w:eastAsia="Times New Roman"/>
                <w:sz w:val="18"/>
                <w:szCs w:val="18"/>
              </w:rPr>
            </w:pPr>
            <w:r w:rsidRPr="000D1E53">
              <w:rPr>
                <w:rFonts w:eastAsia="Times New Roman"/>
                <w:sz w:val="18"/>
                <w:szCs w:val="18"/>
              </w:rPr>
              <w:t>Tourist accommodation including caravan and camping grounds to open</w:t>
            </w:r>
          </w:p>
          <w:p w14:paraId="7A5275ED" w14:textId="77777777" w:rsidR="00E03393" w:rsidRPr="00860D7E" w:rsidRDefault="00E03393" w:rsidP="00416DDF">
            <w:pPr>
              <w:rPr>
                <w:rFonts w:eastAsia="Times New Roman"/>
                <w:sz w:val="18"/>
                <w:szCs w:val="18"/>
              </w:rPr>
            </w:pPr>
          </w:p>
        </w:tc>
      </w:tr>
      <w:tr w:rsidR="00E03393" w:rsidRPr="00860D7E" w14:paraId="18BADCDE" w14:textId="77777777" w:rsidTr="00D9764E">
        <w:tc>
          <w:tcPr>
            <w:tcW w:w="0" w:type="auto"/>
            <w:hideMark/>
          </w:tcPr>
          <w:p w14:paraId="6504D194" w14:textId="77777777" w:rsidR="00E03393" w:rsidRPr="00860D7E" w:rsidRDefault="00E03393" w:rsidP="00D9764E">
            <w:pPr>
              <w:pStyle w:val="NormalWeb"/>
              <w:rPr>
                <w:sz w:val="18"/>
                <w:szCs w:val="18"/>
              </w:rPr>
            </w:pPr>
            <w:r w:rsidRPr="00860D7E">
              <w:rPr>
                <w:sz w:val="18"/>
                <w:szCs w:val="18"/>
              </w:rPr>
              <w:t>Australian Capital Territory</w:t>
            </w:r>
          </w:p>
        </w:tc>
        <w:tc>
          <w:tcPr>
            <w:tcW w:w="0" w:type="auto"/>
            <w:hideMark/>
          </w:tcPr>
          <w:p w14:paraId="04E9011F" w14:textId="735788FF" w:rsidR="00E03393" w:rsidRPr="00860D7E" w:rsidRDefault="00E03393" w:rsidP="00416DDF">
            <w:pPr>
              <w:pStyle w:val="NormalWeb"/>
              <w:spacing w:before="0" w:beforeAutospacing="0" w:after="0" w:afterAutospacing="0"/>
              <w:rPr>
                <w:sz w:val="18"/>
                <w:szCs w:val="18"/>
              </w:rPr>
            </w:pPr>
            <w:r w:rsidRPr="00860D7E">
              <w:rPr>
                <w:sz w:val="18"/>
                <w:szCs w:val="18"/>
              </w:rPr>
              <w:t xml:space="preserve">Step </w:t>
            </w:r>
            <w:r>
              <w:rPr>
                <w:sz w:val="18"/>
                <w:szCs w:val="18"/>
              </w:rPr>
              <w:t>2</w:t>
            </w:r>
            <w:r w:rsidRPr="00860D7E">
              <w:rPr>
                <w:sz w:val="18"/>
                <w:szCs w:val="18"/>
              </w:rPr>
              <w:t xml:space="preserve">: from </w:t>
            </w:r>
            <w:r>
              <w:rPr>
                <w:sz w:val="18"/>
                <w:szCs w:val="18"/>
              </w:rPr>
              <w:t>29</w:t>
            </w:r>
            <w:r w:rsidRPr="00860D7E">
              <w:rPr>
                <w:sz w:val="18"/>
                <w:szCs w:val="18"/>
              </w:rPr>
              <w:t xml:space="preserve"> May the following restrictions were eased:</w:t>
            </w:r>
            <w:r w:rsidR="000B4124">
              <w:rPr>
                <w:sz w:val="18"/>
                <w:szCs w:val="18"/>
                <w:vertAlign w:val="superscript"/>
              </w:rPr>
              <w:t>23,24</w:t>
            </w:r>
          </w:p>
          <w:p w14:paraId="79DCBA61" w14:textId="77777777" w:rsidR="00E03393" w:rsidRDefault="00E03393" w:rsidP="00416DDF">
            <w:pPr>
              <w:numPr>
                <w:ilvl w:val="0"/>
                <w:numId w:val="13"/>
              </w:numPr>
              <w:rPr>
                <w:rFonts w:eastAsia="Times New Roman"/>
                <w:sz w:val="18"/>
                <w:szCs w:val="18"/>
              </w:rPr>
            </w:pPr>
            <w:r w:rsidRPr="00860D7E">
              <w:rPr>
                <w:rFonts w:eastAsia="Times New Roman"/>
                <w:sz w:val="18"/>
                <w:szCs w:val="18"/>
              </w:rPr>
              <w:t xml:space="preserve">Public gatherings of up to </w:t>
            </w:r>
            <w:r>
              <w:rPr>
                <w:rFonts w:eastAsia="Times New Roman"/>
                <w:sz w:val="18"/>
                <w:szCs w:val="18"/>
              </w:rPr>
              <w:t>2</w:t>
            </w:r>
            <w:r w:rsidRPr="00860D7E">
              <w:rPr>
                <w:rFonts w:eastAsia="Times New Roman"/>
                <w:sz w:val="18"/>
                <w:szCs w:val="18"/>
              </w:rPr>
              <w:t>0 people permitted</w:t>
            </w:r>
            <w:r>
              <w:rPr>
                <w:rFonts w:eastAsia="Times New Roman"/>
                <w:sz w:val="18"/>
                <w:szCs w:val="18"/>
              </w:rPr>
              <w:t xml:space="preserve"> in households, public places and businesses</w:t>
            </w:r>
          </w:p>
          <w:p w14:paraId="23E71D51" w14:textId="77777777" w:rsidR="00E03393" w:rsidRPr="00860D7E" w:rsidRDefault="00E03393" w:rsidP="00416DDF">
            <w:pPr>
              <w:numPr>
                <w:ilvl w:val="0"/>
                <w:numId w:val="13"/>
              </w:numPr>
              <w:rPr>
                <w:rFonts w:eastAsia="Times New Roman"/>
                <w:sz w:val="18"/>
                <w:szCs w:val="18"/>
              </w:rPr>
            </w:pPr>
            <w:r>
              <w:rPr>
                <w:rFonts w:eastAsia="Times New Roman"/>
                <w:sz w:val="18"/>
                <w:szCs w:val="18"/>
              </w:rPr>
              <w:t>Restrictions on funerals further eased</w:t>
            </w:r>
          </w:p>
          <w:p w14:paraId="4940C816" w14:textId="77777777" w:rsidR="00E03393" w:rsidRDefault="00E03393" w:rsidP="00416DDF">
            <w:pPr>
              <w:numPr>
                <w:ilvl w:val="0"/>
                <w:numId w:val="13"/>
              </w:numPr>
              <w:rPr>
                <w:rFonts w:eastAsia="Times New Roman"/>
                <w:sz w:val="18"/>
                <w:szCs w:val="18"/>
              </w:rPr>
            </w:pPr>
            <w:r w:rsidRPr="00860D7E">
              <w:rPr>
                <w:rFonts w:eastAsia="Times New Roman"/>
                <w:sz w:val="18"/>
                <w:szCs w:val="18"/>
              </w:rPr>
              <w:t>Public schools to progressively reopen over a four week period commencing 18 May</w:t>
            </w:r>
          </w:p>
          <w:p w14:paraId="745C6C7D" w14:textId="4F31EC3D" w:rsidR="00416DDF" w:rsidRPr="00860D7E" w:rsidRDefault="00416DDF" w:rsidP="00416DDF">
            <w:pPr>
              <w:rPr>
                <w:rFonts w:eastAsia="Times New Roman"/>
                <w:sz w:val="18"/>
                <w:szCs w:val="18"/>
              </w:rPr>
            </w:pPr>
          </w:p>
        </w:tc>
      </w:tr>
      <w:tr w:rsidR="00E03393" w:rsidRPr="00860D7E" w14:paraId="2CB25540" w14:textId="77777777" w:rsidTr="00D9764E">
        <w:trPr>
          <w:cnfStyle w:val="000000010000" w:firstRow="0" w:lastRow="0" w:firstColumn="0" w:lastColumn="0" w:oddVBand="0" w:evenVBand="0" w:oddHBand="0" w:evenHBand="1" w:firstRowFirstColumn="0" w:firstRowLastColumn="0" w:lastRowFirstColumn="0" w:lastRowLastColumn="0"/>
        </w:trPr>
        <w:tc>
          <w:tcPr>
            <w:tcW w:w="0" w:type="auto"/>
            <w:hideMark/>
          </w:tcPr>
          <w:p w14:paraId="53B7E206" w14:textId="77777777" w:rsidR="00E03393" w:rsidRPr="00860D7E" w:rsidRDefault="00E03393" w:rsidP="00D9764E">
            <w:pPr>
              <w:pStyle w:val="NormalWeb"/>
              <w:rPr>
                <w:sz w:val="18"/>
                <w:szCs w:val="18"/>
              </w:rPr>
            </w:pPr>
            <w:r w:rsidRPr="00860D7E">
              <w:rPr>
                <w:sz w:val="18"/>
                <w:szCs w:val="18"/>
              </w:rPr>
              <w:t>Northern Territory</w:t>
            </w:r>
          </w:p>
        </w:tc>
        <w:tc>
          <w:tcPr>
            <w:tcW w:w="0" w:type="auto"/>
            <w:hideMark/>
          </w:tcPr>
          <w:p w14:paraId="5066F4EB" w14:textId="38961719" w:rsidR="00E03393" w:rsidRPr="00860D7E" w:rsidRDefault="00E03393" w:rsidP="00416DDF">
            <w:pPr>
              <w:pStyle w:val="NormalWeb"/>
              <w:spacing w:before="0" w:beforeAutospacing="0" w:after="0" w:afterAutospacing="0"/>
              <w:rPr>
                <w:sz w:val="18"/>
                <w:szCs w:val="18"/>
              </w:rPr>
            </w:pPr>
            <w:r w:rsidRPr="00860D7E">
              <w:rPr>
                <w:sz w:val="18"/>
                <w:szCs w:val="18"/>
              </w:rPr>
              <w:t xml:space="preserve">Step 3: from </w:t>
            </w:r>
            <w:r>
              <w:rPr>
                <w:sz w:val="18"/>
                <w:szCs w:val="18"/>
              </w:rPr>
              <w:t>5 June</w:t>
            </w:r>
            <w:r w:rsidRPr="00860D7E">
              <w:rPr>
                <w:sz w:val="18"/>
                <w:szCs w:val="18"/>
              </w:rPr>
              <w:t xml:space="preserve"> the following restrictions were eased:</w:t>
            </w:r>
            <w:r w:rsidR="000B4124">
              <w:rPr>
                <w:sz w:val="18"/>
                <w:szCs w:val="18"/>
                <w:vertAlign w:val="superscript"/>
              </w:rPr>
              <w:t>25</w:t>
            </w:r>
          </w:p>
          <w:p w14:paraId="18CEB510" w14:textId="01BF6F09" w:rsidR="00E03393" w:rsidRDefault="00E03393" w:rsidP="00416DDF">
            <w:pPr>
              <w:numPr>
                <w:ilvl w:val="0"/>
                <w:numId w:val="14"/>
              </w:numPr>
              <w:rPr>
                <w:rFonts w:eastAsia="Times New Roman"/>
                <w:sz w:val="18"/>
                <w:szCs w:val="18"/>
              </w:rPr>
            </w:pPr>
            <w:r>
              <w:rPr>
                <w:rFonts w:eastAsia="Times New Roman"/>
                <w:sz w:val="18"/>
                <w:szCs w:val="18"/>
              </w:rPr>
              <w:t>Businesses including cinemas, theatres, amusement parks, and beauty services permitted to reopen</w:t>
            </w:r>
          </w:p>
          <w:p w14:paraId="4D04EA8C" w14:textId="77777777" w:rsidR="00E03393" w:rsidRDefault="00E03393" w:rsidP="00416DDF">
            <w:pPr>
              <w:numPr>
                <w:ilvl w:val="0"/>
                <w:numId w:val="14"/>
              </w:numPr>
              <w:rPr>
                <w:rFonts w:eastAsia="Times New Roman"/>
                <w:sz w:val="18"/>
                <w:szCs w:val="18"/>
              </w:rPr>
            </w:pPr>
            <w:r>
              <w:rPr>
                <w:rFonts w:eastAsia="Times New Roman"/>
                <w:sz w:val="18"/>
                <w:szCs w:val="18"/>
              </w:rPr>
              <w:t>A COVID-19 safety plan is required for gatherings of more than 500 people</w:t>
            </w:r>
          </w:p>
          <w:p w14:paraId="50A6DE7E" w14:textId="3E8DF06C" w:rsidR="00E03393" w:rsidRPr="00860D7E" w:rsidRDefault="00E03393" w:rsidP="00416DDF">
            <w:pPr>
              <w:numPr>
                <w:ilvl w:val="0"/>
                <w:numId w:val="14"/>
              </w:numPr>
              <w:rPr>
                <w:rFonts w:eastAsia="Times New Roman"/>
                <w:sz w:val="18"/>
                <w:szCs w:val="18"/>
              </w:rPr>
            </w:pPr>
            <w:r>
              <w:rPr>
                <w:rFonts w:eastAsia="Times New Roman"/>
                <w:sz w:val="18"/>
                <w:szCs w:val="18"/>
              </w:rPr>
              <w:t>All parks and</w:t>
            </w:r>
            <w:r w:rsidR="001876D5">
              <w:rPr>
                <w:rFonts w:eastAsia="Times New Roman"/>
                <w:sz w:val="18"/>
                <w:szCs w:val="18"/>
              </w:rPr>
              <w:t xml:space="preserve"> reservations reopen for travel</w:t>
            </w:r>
          </w:p>
        </w:tc>
      </w:tr>
    </w:tbl>
    <w:p w14:paraId="5B7AE369" w14:textId="77777777" w:rsidR="00497D6C" w:rsidRDefault="00497D6C">
      <w:pPr>
        <w:pStyle w:val="Heading1"/>
        <w:rPr>
          <w:rFonts w:eastAsia="Times New Roman"/>
        </w:rPr>
        <w:sectPr w:rsidR="00497D6C" w:rsidSect="00A30C37">
          <w:pgSz w:w="11906" w:h="16838"/>
          <w:pgMar w:top="720" w:right="720" w:bottom="1134" w:left="720" w:header="709" w:footer="284" w:gutter="0"/>
          <w:cols w:space="708"/>
          <w:titlePg/>
          <w:docGrid w:linePitch="360"/>
        </w:sectPr>
      </w:pPr>
    </w:p>
    <w:p w14:paraId="62394BA7" w14:textId="53755B20" w:rsidR="000C6F82" w:rsidRPr="00497D6C" w:rsidRDefault="000C6F82">
      <w:pPr>
        <w:pStyle w:val="Heading1"/>
      </w:pPr>
      <w:r w:rsidRPr="00497D6C">
        <w:lastRenderedPageBreak/>
        <w:t xml:space="preserve">International </w:t>
      </w:r>
      <w:r w:rsidR="000B4124" w:rsidRPr="00497D6C">
        <w:t>situation</w:t>
      </w:r>
      <w:r w:rsidR="000B4124">
        <w:rPr>
          <w:vertAlign w:val="superscript"/>
        </w:rPr>
        <w:t>26</w:t>
      </w:r>
      <w:r w:rsidR="000B4124" w:rsidRPr="00497D6C">
        <w:t xml:space="preserve"> </w:t>
      </w:r>
    </w:p>
    <w:p w14:paraId="62394BA8" w14:textId="06C3E439" w:rsidR="000C6F82" w:rsidRPr="00497D6C" w:rsidRDefault="000C6F82">
      <w:pPr>
        <w:pStyle w:val="Heading2"/>
      </w:pPr>
      <w:r w:rsidRPr="00497D6C">
        <w:t xml:space="preserve">Global </w:t>
      </w:r>
    </w:p>
    <w:p w14:paraId="08572EB2" w14:textId="5F1E3272" w:rsidR="00290688" w:rsidRDefault="00575E9B" w:rsidP="00290688">
      <w:r>
        <w:t>As at</w:t>
      </w:r>
      <w:r w:rsidR="00290688" w:rsidRPr="00693DDE">
        <w:t xml:space="preserve"> 7 June 2020, more than 216 countries, regions and areas had reported 6,789,968 COVID-19 cases and 397,375 deaths to WHO.</w:t>
      </w:r>
      <w:r w:rsidR="000B4124">
        <w:rPr>
          <w:vertAlign w:val="superscript"/>
        </w:rPr>
        <w:t>26</w:t>
      </w:r>
      <w:r w:rsidR="000B4124">
        <w:t xml:space="preserve"> </w:t>
      </w:r>
      <w:r w:rsidR="00290688" w:rsidRPr="00693DDE">
        <w:t>Europe and the United States of America continue to be the epicentres of the pandemic</w:t>
      </w:r>
      <w:r>
        <w:t>. H</w:t>
      </w:r>
      <w:r w:rsidR="00290688" w:rsidRPr="00693DDE">
        <w:t>owever, some South American countries and India are emerging as hotspots (Figure 6). By region, approximately 48% of all global cases and 45% of all global deaths are from the Americas, while 33% of cases and 46% of deaths are from the European Region. By country, the largest numbers of cases are from the United States of America, Brazil and the Russian Federation and the largest numbers of deaths are from the United States of America, the United Kingdom and Brazil. The global case fatality rate (CFR) is approximately 5.8%.</w:t>
      </w:r>
      <w:r w:rsidR="00290688">
        <w:t xml:space="preserve"> The differing epidemics being experienced by each country are aligned to the phase of the epidemic that they are currently in and the relevant local public health responses, as well as broader health system capacity.</w:t>
      </w:r>
    </w:p>
    <w:p w14:paraId="62394BAA" w14:textId="77777777" w:rsidR="00D82299" w:rsidRDefault="00D82299" w:rsidP="00D82299">
      <w:pPr>
        <w:pStyle w:val="CDIFigures"/>
        <w:sectPr w:rsidR="00D82299" w:rsidSect="00A30C37">
          <w:pgSz w:w="11906" w:h="16838"/>
          <w:pgMar w:top="720" w:right="720" w:bottom="1134" w:left="720" w:header="709" w:footer="284" w:gutter="0"/>
          <w:cols w:space="708"/>
          <w:titlePg/>
          <w:docGrid w:linePitch="360"/>
        </w:sectPr>
      </w:pPr>
    </w:p>
    <w:p w14:paraId="200CA7AA" w14:textId="0C53392F" w:rsidR="000C6F82" w:rsidRDefault="000C6F82" w:rsidP="00640DA0">
      <w:pPr>
        <w:pStyle w:val="CDIFigures"/>
      </w:pPr>
      <w:r w:rsidRPr="0084287C">
        <w:lastRenderedPageBreak/>
        <w:t xml:space="preserve">Figure 6: Number of COVID-19 cases (logarithmic scale) by selected country and days since passing 100 cases, up to </w:t>
      </w:r>
      <w:r w:rsidR="005C7DB6">
        <w:t>7 June</w:t>
      </w:r>
      <w:r w:rsidRPr="0084287C">
        <w:t xml:space="preserve"> 2020</w:t>
      </w:r>
    </w:p>
    <w:p w14:paraId="7D862C3A" w14:textId="58F1AF7F" w:rsidR="00497D6C" w:rsidRDefault="00352B89" w:rsidP="0048340A">
      <w:r>
        <w:rPr>
          <w:noProof/>
        </w:rPr>
        <w:drawing>
          <wp:inline distT="0" distB="0" distL="0" distR="0" wp14:anchorId="4A703AF5" wp14:editId="1338E73C">
            <wp:extent cx="9240289" cy="5847338"/>
            <wp:effectExtent l="0" t="0" r="0" b="1270"/>
            <wp:docPr id="5" name="Picture 5" descr="Figure 6: Number of COVID-19 cases (logarithmic scale) by selected country and days since passing 100 cases, up to 7 June 2020&#10;Line graph comparing the growth in number of COVID-19 cases, from the ‘starting point’ of 100 cases in each country, for Australia and several other countries. The highest sustained growth in cases among all countries has occurred in USA, though recent rapid growth in Brazil and the Russian Federation is also notably high. Of the countries represented, Australia’s epidemic curve most closely matches that of Malaysia, which similarly appears to have the epidemic largely under contro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ot of Days Since 100 Cases 20200616  - Based on WHO SITREP from 20200610 .png"/>
                    <pic:cNvPicPr/>
                  </pic:nvPicPr>
                  <pic:blipFill>
                    <a:blip r:embed="rId21">
                      <a:extLst>
                        <a:ext uri="{28A0092B-C50C-407E-A947-70E740481C1C}">
                          <a14:useLocalDpi xmlns:a14="http://schemas.microsoft.com/office/drawing/2010/main" val="0"/>
                        </a:ext>
                      </a:extLst>
                    </a:blip>
                    <a:stretch>
                      <a:fillRect/>
                    </a:stretch>
                  </pic:blipFill>
                  <pic:spPr>
                    <a:xfrm>
                      <a:off x="0" y="0"/>
                      <a:ext cx="9240289" cy="5847338"/>
                    </a:xfrm>
                    <a:prstGeom prst="rect">
                      <a:avLst/>
                    </a:prstGeom>
                  </pic:spPr>
                </pic:pic>
              </a:graphicData>
            </a:graphic>
          </wp:inline>
        </w:drawing>
      </w:r>
    </w:p>
    <w:p w14:paraId="4AE67799" w14:textId="77777777" w:rsidR="00D82299" w:rsidRDefault="00D82299" w:rsidP="0048340A">
      <w:pPr>
        <w:sectPr w:rsidR="00D82299" w:rsidSect="00D82299">
          <w:pgSz w:w="16838" w:h="11906" w:orient="landscape"/>
          <w:pgMar w:top="720" w:right="720" w:bottom="720" w:left="1134" w:header="709" w:footer="284" w:gutter="0"/>
          <w:cols w:space="708"/>
          <w:titlePg/>
          <w:docGrid w:linePitch="360"/>
        </w:sectPr>
      </w:pPr>
    </w:p>
    <w:p w14:paraId="4F9D95B0" w14:textId="786D3281" w:rsidR="00290688" w:rsidRPr="00933AAD" w:rsidRDefault="00290688" w:rsidP="001E2C6C">
      <w:pPr>
        <w:pStyle w:val="Heading2"/>
      </w:pPr>
      <w:r w:rsidRPr="00933AAD">
        <w:lastRenderedPageBreak/>
        <w:t xml:space="preserve">Americas </w:t>
      </w:r>
    </w:p>
    <w:p w14:paraId="6B8459BA" w14:textId="277D411C" w:rsidR="00290688" w:rsidRPr="00B7789C" w:rsidRDefault="00290688" w:rsidP="00290688">
      <w:r w:rsidRPr="00B7789C">
        <w:t xml:space="preserve">The United States of America </w:t>
      </w:r>
      <w:r w:rsidR="00D22969">
        <w:t xml:space="preserve">(USA) </w:t>
      </w:r>
      <w:r w:rsidR="00575E9B">
        <w:t xml:space="preserve">has </w:t>
      </w:r>
      <w:r w:rsidRPr="00B7789C">
        <w:t>report</w:t>
      </w:r>
      <w:r w:rsidR="00575E9B">
        <w:t>ed</w:t>
      </w:r>
      <w:r w:rsidRPr="00B7789C">
        <w:t xml:space="preserve"> almost 1.9 million cases (28% of global cases) and is experiencing a steady decline in new daily case numbers. Despite this, the number of new cases over the previous week was the second highest in the world, </w:t>
      </w:r>
      <w:r w:rsidR="00575E9B">
        <w:t>with</w:t>
      </w:r>
      <w:r w:rsidRPr="00B7789C">
        <w:t xml:space="preserve"> Brazil</w:t>
      </w:r>
      <w:r w:rsidR="00575E9B">
        <w:t xml:space="preserve"> reporting the highest</w:t>
      </w:r>
      <w:r w:rsidRPr="00B7789C">
        <w:t xml:space="preserve">. </w:t>
      </w:r>
      <w:r w:rsidR="00575E9B">
        <w:t xml:space="preserve">Currently, </w:t>
      </w:r>
      <w:r w:rsidR="00087AEF">
        <w:t xml:space="preserve">USA </w:t>
      </w:r>
      <w:r w:rsidRPr="00B7789C">
        <w:t xml:space="preserve">is experiencing large outbreaks in several workplace and community settings, such as animal processing plants, correctional facilities and residential aged care facilities. </w:t>
      </w:r>
    </w:p>
    <w:p w14:paraId="4F7317C6" w14:textId="065AF1EC" w:rsidR="00290688" w:rsidRDefault="00290688" w:rsidP="00290688">
      <w:r w:rsidRPr="00B7789C">
        <w:t xml:space="preserve">Brazil’s epidemic continues to accelerate (Figure </w:t>
      </w:r>
      <w:r>
        <w:t>6</w:t>
      </w:r>
      <w:r w:rsidRPr="00B7789C">
        <w:t xml:space="preserve">), with the country reporting over 645,000 cases </w:t>
      </w:r>
      <w:r w:rsidR="00575E9B">
        <w:t>with</w:t>
      </w:r>
      <w:r w:rsidRPr="00B7789C">
        <w:t xml:space="preserve"> an average of 26,000 new cases reported daily over the past week. The situation in Peru is also rapidly worsening (Figure </w:t>
      </w:r>
      <w:r>
        <w:t>6</w:t>
      </w:r>
      <w:r w:rsidRPr="00B7789C">
        <w:t xml:space="preserve">), with the country reporting 39,000 new cases over the past week (21% of their cumulative cases). Despite early success against the virus through mandatory self-quarantine and border closures, the current epidemic may be attributed to a limited ability by the population to adhere to public health measures. </w:t>
      </w:r>
    </w:p>
    <w:p w14:paraId="0D63F3A7" w14:textId="77777777" w:rsidR="00290688" w:rsidRDefault="00290688" w:rsidP="00290688">
      <w:pPr>
        <w:pStyle w:val="Heading2"/>
        <w:rPr>
          <w:rFonts w:eastAsia="Times New Roman"/>
        </w:rPr>
      </w:pPr>
      <w:r>
        <w:rPr>
          <w:rFonts w:eastAsia="Times New Roman"/>
        </w:rPr>
        <w:t xml:space="preserve">Europe </w:t>
      </w:r>
    </w:p>
    <w:p w14:paraId="4E8716A6" w14:textId="281F3251" w:rsidR="00290688" w:rsidRPr="00B7789C" w:rsidRDefault="00290688" w:rsidP="00290688">
      <w:r w:rsidRPr="00B7789C">
        <w:t xml:space="preserve">Russia has the greatest number of COVID-19 cases in Europe, accounting for 1 in 5 European cases. Its epidemic appears to be slowing (seen in the flattening on the curve in Figure </w:t>
      </w:r>
      <w:r>
        <w:t>6</w:t>
      </w:r>
      <w:r w:rsidRPr="00B7789C">
        <w:t>). Whilst it has one of the lowest CFRs in the world (1.3%), this is likely because it is reporting only deaths that are considered to be exclusively due to COVID-19.</w:t>
      </w:r>
      <w:r>
        <w:t xml:space="preserve"> </w:t>
      </w:r>
      <w:r w:rsidRPr="00B7789C">
        <w:t>Following the</w:t>
      </w:r>
      <w:r w:rsidR="000825A2">
        <w:t xml:space="preserve"> easing of restrictions across the</w:t>
      </w:r>
      <w:r w:rsidRPr="00B7789C">
        <w:t xml:space="preserve"> majority of </w:t>
      </w:r>
      <w:r w:rsidR="000825A2">
        <w:t xml:space="preserve">the </w:t>
      </w:r>
      <w:r w:rsidRPr="00B7789C">
        <w:t>Russia</w:t>
      </w:r>
      <w:r w:rsidR="000825A2">
        <w:t>n</w:t>
      </w:r>
      <w:r w:rsidRPr="00B7789C">
        <w:t xml:space="preserve"> </w:t>
      </w:r>
      <w:r w:rsidR="000825A2">
        <w:t>landmass</w:t>
      </w:r>
      <w:r w:rsidRPr="00B7789C">
        <w:t xml:space="preserve">, the trend in new daily cases is steady (approximately 8,800 cases). Moscow, which has delayed reopening, plans to ease restrictions in the coming weeks. Turkey, </w:t>
      </w:r>
      <w:r w:rsidR="00575E9B">
        <w:t>currently</w:t>
      </w:r>
      <w:r w:rsidRPr="00B7789C">
        <w:t xml:space="preserve"> reporting more than 169,000 cases, also has a lower CFR than most European countries (2.8%).</w:t>
      </w:r>
      <w:r w:rsidR="000B4124">
        <w:rPr>
          <w:vertAlign w:val="superscript"/>
        </w:rPr>
        <w:t>27</w:t>
      </w:r>
      <w:r w:rsidR="000B4124" w:rsidRPr="00B7789C">
        <w:t xml:space="preserve"> </w:t>
      </w:r>
      <w:r w:rsidRPr="00B7789C">
        <w:t xml:space="preserve">This may be related to underreporting of COVID-19 deaths, as the country is reporting </w:t>
      </w:r>
      <w:r w:rsidR="00ED094B">
        <w:t>an increased number of deaths due to other causes during the pandemic period</w:t>
      </w:r>
      <w:r w:rsidRPr="00B7789C">
        <w:t>.</w:t>
      </w:r>
      <w:r w:rsidR="000B4124">
        <w:rPr>
          <w:vertAlign w:val="superscript"/>
        </w:rPr>
        <w:t>28</w:t>
      </w:r>
      <w:r w:rsidR="000B4124" w:rsidRPr="00B7789C">
        <w:t xml:space="preserve"> </w:t>
      </w:r>
    </w:p>
    <w:p w14:paraId="2F7CB500" w14:textId="11001E13" w:rsidR="00290688" w:rsidRDefault="00290688" w:rsidP="00290688">
      <w:r w:rsidRPr="00B7789C">
        <w:t>The number of new daily cases continue to decline in many of the other significantly affected European nations, with Sweden and the United Kingdom the main exceptions. Several countries in eastern Europe,</w:t>
      </w:r>
      <w:r w:rsidR="000B4124">
        <w:rPr>
          <w:vertAlign w:val="superscript"/>
        </w:rPr>
        <w:t>29</w:t>
      </w:r>
      <w:r w:rsidR="000B4124" w:rsidRPr="00B7789C">
        <w:t xml:space="preserve"> </w:t>
      </w:r>
      <w:r w:rsidRPr="00B7789C">
        <w:t>including Azerbaijan, Kazakhstan</w:t>
      </w:r>
      <w:r w:rsidR="00A876E3">
        <w:t>,</w:t>
      </w:r>
      <w:r w:rsidRPr="00B7789C">
        <w:t xml:space="preserve"> and Armenia, are showing strong growth in the number of new cases. Many countries are planning to allow </w:t>
      </w:r>
      <w:r w:rsidR="00DE19DA">
        <w:t xml:space="preserve">cross-border </w:t>
      </w:r>
      <w:r w:rsidRPr="00B7789C">
        <w:t>travel in the coming months</w:t>
      </w:r>
      <w:r w:rsidR="00A876E3">
        <w:t>;</w:t>
      </w:r>
      <w:r w:rsidRPr="00B7789C">
        <w:t xml:space="preserve"> some countries </w:t>
      </w:r>
      <w:r w:rsidR="00A876E3">
        <w:t xml:space="preserve">are </w:t>
      </w:r>
      <w:r w:rsidRPr="00B7789C">
        <w:t>negotiat</w:t>
      </w:r>
      <w:r w:rsidR="00DE19DA">
        <w:t>ing ‘travel bubbles’, with</w:t>
      </w:r>
      <w:r w:rsidRPr="00B7789C">
        <w:t xml:space="preserve"> Estonia, Latvia and Lithuania one example.</w:t>
      </w:r>
      <w:r>
        <w:t xml:space="preserve"> </w:t>
      </w:r>
    </w:p>
    <w:p w14:paraId="5E387A8B" w14:textId="77777777" w:rsidR="00290688" w:rsidRDefault="00290688" w:rsidP="00290688">
      <w:pPr>
        <w:pStyle w:val="Heading2"/>
        <w:rPr>
          <w:rFonts w:eastAsia="Times New Roman"/>
        </w:rPr>
      </w:pPr>
      <w:r>
        <w:rPr>
          <w:rFonts w:eastAsia="Times New Roman"/>
        </w:rPr>
        <w:t xml:space="preserve">Eastern Mediterranean </w:t>
      </w:r>
    </w:p>
    <w:p w14:paraId="37C21385" w14:textId="0C8522AD" w:rsidR="00290688" w:rsidRPr="00B7789C" w:rsidRDefault="00290688" w:rsidP="00290688">
      <w:r w:rsidRPr="00B7789C">
        <w:t xml:space="preserve">Saudi Arabia passed </w:t>
      </w:r>
      <w:r w:rsidR="00A876E3">
        <w:t>its</w:t>
      </w:r>
      <w:r w:rsidR="00A876E3" w:rsidRPr="00B7789C">
        <w:t xml:space="preserve"> </w:t>
      </w:r>
      <w:r w:rsidRPr="00B7789C">
        <w:t xml:space="preserve">initial epidemic peak and </w:t>
      </w:r>
      <w:r w:rsidR="00DE19DA">
        <w:t xml:space="preserve">now </w:t>
      </w:r>
      <w:r w:rsidRPr="00B7789C">
        <w:t xml:space="preserve">appear to be seeing a resurgence, reporting an average of 2,200 new cases per day over the past week. Saudi Arabia </w:t>
      </w:r>
      <w:r w:rsidR="00DE19DA">
        <w:t>intend</w:t>
      </w:r>
      <w:r w:rsidR="00A876E3">
        <w:t>s</w:t>
      </w:r>
      <w:r w:rsidRPr="00B7789C">
        <w:t xml:space="preserve"> to fully lift restrictions by 21 June 2020. </w:t>
      </w:r>
      <w:r w:rsidR="00A876E3">
        <w:t xml:space="preserve">The Islamic Republic of </w:t>
      </w:r>
      <w:r w:rsidRPr="00B7789C">
        <w:t>Iran is experiencing a resurgence of the epidemic,</w:t>
      </w:r>
      <w:r w:rsidR="000B4124">
        <w:rPr>
          <w:vertAlign w:val="superscript"/>
        </w:rPr>
        <w:t>30</w:t>
      </w:r>
      <w:r w:rsidR="000B4124" w:rsidRPr="00B7789C">
        <w:t xml:space="preserve"> </w:t>
      </w:r>
      <w:r w:rsidRPr="00B7789C">
        <w:t xml:space="preserve">and on 23 May 2020 announced additional measures against the outbreak. Iraq is experiencing strong growth in the number of new cases, reporting 44% of </w:t>
      </w:r>
      <w:r w:rsidR="00A876E3">
        <w:t>its</w:t>
      </w:r>
      <w:r w:rsidR="00A876E3" w:rsidRPr="00B7789C">
        <w:t xml:space="preserve"> </w:t>
      </w:r>
      <w:r w:rsidRPr="00B7789C">
        <w:t>cumulative cases in the past 7 days (total cases</w:t>
      </w:r>
      <w:r w:rsidR="00A876E3">
        <w:t xml:space="preserve"> =</w:t>
      </w:r>
      <w:r w:rsidRPr="00B7789C">
        <w:t xml:space="preserve"> 11,098).</w:t>
      </w:r>
    </w:p>
    <w:p w14:paraId="2B7393CF" w14:textId="214C9E42" w:rsidR="00290688" w:rsidRDefault="00290688" w:rsidP="00290688">
      <w:r w:rsidRPr="00B7789C">
        <w:t xml:space="preserve">A large majority of the outbreaks in Arab countries have been within the migrant worker and prison populations. Population migration, as a result of jobless workers returning to their home countries, has </w:t>
      </w:r>
      <w:r w:rsidR="00DE19DA">
        <w:t>spread</w:t>
      </w:r>
      <w:r w:rsidR="00DE19DA" w:rsidRPr="00B7789C">
        <w:t xml:space="preserve"> </w:t>
      </w:r>
      <w:r w:rsidRPr="00B7789C">
        <w:t xml:space="preserve">the disease and </w:t>
      </w:r>
      <w:r w:rsidR="00DE19DA" w:rsidRPr="00B7789C">
        <w:t>the true scale of the epidemic</w:t>
      </w:r>
      <w:r w:rsidR="00DE19DA">
        <w:t xml:space="preserve"> may be masked by </w:t>
      </w:r>
      <w:r w:rsidRPr="00B7789C">
        <w:t xml:space="preserve">the restricted testing capacity of several countries in the </w:t>
      </w:r>
      <w:r w:rsidR="00654656" w:rsidRPr="00B7789C">
        <w:t xml:space="preserve">region. </w:t>
      </w:r>
      <w:r w:rsidRPr="00B7789C">
        <w:t xml:space="preserve">Most countries in the region are reporting a CFR lower than the global average. However, Yemen is reporting a CFR of approximately 23%. </w:t>
      </w:r>
    </w:p>
    <w:p w14:paraId="0BFA3269" w14:textId="77777777" w:rsidR="00290688" w:rsidRDefault="00290688" w:rsidP="00290688">
      <w:pPr>
        <w:pStyle w:val="Heading2"/>
        <w:rPr>
          <w:rFonts w:eastAsia="Times New Roman"/>
        </w:rPr>
      </w:pPr>
      <w:r>
        <w:rPr>
          <w:rFonts w:eastAsia="Times New Roman"/>
        </w:rPr>
        <w:t xml:space="preserve">Africa </w:t>
      </w:r>
    </w:p>
    <w:p w14:paraId="06C75299" w14:textId="04EEA235" w:rsidR="00824150" w:rsidRDefault="00290688">
      <w:pPr>
        <w:rPr>
          <w:rFonts w:asciiTheme="majorHAnsi" w:eastAsia="Times New Roman" w:hAnsiTheme="majorHAnsi" w:cstheme="majorBidi"/>
          <w:b/>
          <w:bCs/>
          <w:sz w:val="26"/>
          <w:szCs w:val="26"/>
        </w:rPr>
      </w:pPr>
      <w:r>
        <w:t xml:space="preserve">Of cases in the African region (1.9% of global cases), more than </w:t>
      </w:r>
      <w:r w:rsidR="00DE19DA">
        <w:t>one</w:t>
      </w:r>
      <w:r>
        <w:t xml:space="preserve"> third have been from South Africa (35%)</w:t>
      </w:r>
      <w:r w:rsidR="00A876E3">
        <w:t>;</w:t>
      </w:r>
      <w:r>
        <w:t xml:space="preserve"> almost a third of deaths in this region have also occurred in South Africa (30%). </w:t>
      </w:r>
      <w:r w:rsidRPr="00B7789C">
        <w:t xml:space="preserve">Nigeria, Algeria and Ghana </w:t>
      </w:r>
      <w:r w:rsidR="00A876E3">
        <w:t xml:space="preserve">have </w:t>
      </w:r>
      <w:r w:rsidRPr="00B7789C">
        <w:t>also report</w:t>
      </w:r>
      <w:r w:rsidR="00A876E3">
        <w:t>ed</w:t>
      </w:r>
      <w:r w:rsidRPr="00B7789C">
        <w:t xml:space="preserve"> high case numbers for </w:t>
      </w:r>
      <w:r>
        <w:t xml:space="preserve">the </w:t>
      </w:r>
      <w:r w:rsidRPr="00B7789C">
        <w:t>region.</w:t>
      </w:r>
      <w:r>
        <w:t xml:space="preserve"> COVID testing is available in more than </w:t>
      </w:r>
      <w:r w:rsidRPr="00B7789C">
        <w:t>50</w:t>
      </w:r>
      <w:r>
        <w:t xml:space="preserve"> African countries,</w:t>
      </w:r>
      <w:r w:rsidR="000B4124">
        <w:rPr>
          <w:vertAlign w:val="superscript"/>
        </w:rPr>
        <w:t>31</w:t>
      </w:r>
      <w:r>
        <w:t xml:space="preserve"> </w:t>
      </w:r>
      <w:r w:rsidR="00DE19DA">
        <w:t>with</w:t>
      </w:r>
      <w:r>
        <w:t xml:space="preserve"> essentially one laboratory per country. However, obtaining test kits has </w:t>
      </w:r>
      <w:r w:rsidR="00A876E3">
        <w:t xml:space="preserve">proven </w:t>
      </w:r>
      <w:r>
        <w:t xml:space="preserve">problematic for smaller </w:t>
      </w:r>
      <w:r w:rsidR="00DE19DA">
        <w:t xml:space="preserve">African </w:t>
      </w:r>
      <w:r>
        <w:t>nations.</w:t>
      </w:r>
      <w:r w:rsidR="00010067">
        <w:t xml:space="preserve"> To assist,</w:t>
      </w:r>
      <w:r>
        <w:t xml:space="preserve"> Africa CDC is coordinating bulk orders </w:t>
      </w:r>
      <w:r w:rsidR="001365D6">
        <w:t>of testing supplies</w:t>
      </w:r>
      <w:r>
        <w:t xml:space="preserve">. </w:t>
      </w:r>
      <w:r w:rsidR="00824150">
        <w:rPr>
          <w:rFonts w:eastAsia="Times New Roman"/>
        </w:rPr>
        <w:br w:type="page"/>
      </w:r>
    </w:p>
    <w:p w14:paraId="1A708D60" w14:textId="6CF1794C" w:rsidR="00290688" w:rsidRDefault="00290688" w:rsidP="00290688">
      <w:pPr>
        <w:pStyle w:val="Heading2"/>
        <w:rPr>
          <w:rFonts w:eastAsia="Times New Roman"/>
        </w:rPr>
      </w:pPr>
      <w:r>
        <w:rPr>
          <w:rFonts w:eastAsia="Times New Roman"/>
        </w:rPr>
        <w:lastRenderedPageBreak/>
        <w:t xml:space="preserve">South East Asia </w:t>
      </w:r>
    </w:p>
    <w:p w14:paraId="6AEC54AB" w14:textId="368E841F" w:rsidR="00290688" w:rsidRDefault="00290688" w:rsidP="00290688">
      <w:r>
        <w:t>This region continues to report the highest week-on-week proportional increase of newly reported cases glob</w:t>
      </w:r>
      <w:r w:rsidR="000460CD">
        <w:t>ally</w:t>
      </w:r>
      <w:r>
        <w:t xml:space="preserve">. Case numbers in India and Bangladesh are accelerating with the virus circulating in the poorest </w:t>
      </w:r>
      <w:r w:rsidR="000460CD">
        <w:t xml:space="preserve">most vulnerable </w:t>
      </w:r>
      <w:r>
        <w:t xml:space="preserve">populations (seen in Figure 6). India </w:t>
      </w:r>
      <w:r w:rsidR="000460CD">
        <w:t xml:space="preserve">recently </w:t>
      </w:r>
      <w:r>
        <w:t xml:space="preserve">increased its testing capacity and has conducted over 100,000 tests per day since at least 20 May 2020. Media reports that </w:t>
      </w:r>
      <w:r w:rsidR="00A876E3">
        <w:t>the Indian G</w:t>
      </w:r>
      <w:r>
        <w:t>overnment plans to conduct 200,000 tests per day in the near future</w:t>
      </w:r>
      <w:r w:rsidR="000460CD">
        <w:t>. H</w:t>
      </w:r>
      <w:r>
        <w:t>owever, shortages in essential supplies for testing may impact</w:t>
      </w:r>
      <w:r w:rsidR="00A876E3">
        <w:t xml:space="preserve"> on</w:t>
      </w:r>
      <w:r>
        <w:t xml:space="preserve"> this</w:t>
      </w:r>
      <w:r w:rsidR="00A876E3">
        <w:t xml:space="preserve"> plan</w:t>
      </w:r>
      <w:r>
        <w:t>.</w:t>
      </w:r>
      <w:r w:rsidR="000B4124">
        <w:rPr>
          <w:vertAlign w:val="superscript"/>
        </w:rPr>
        <w:t>32</w:t>
      </w:r>
      <w:r>
        <w:t xml:space="preserve"> Over the past </w:t>
      </w:r>
      <w:r w:rsidR="000460CD">
        <w:t>week</w:t>
      </w:r>
      <w:r w:rsidRPr="00F35CE6">
        <w:t xml:space="preserve">, India reported </w:t>
      </w:r>
      <w:r>
        <w:t xml:space="preserve">a testing positivity rate of approximately </w:t>
      </w:r>
      <w:r w:rsidRPr="00F35CE6">
        <w:t>8%, suggesting there are cases in the community not being detected.</w:t>
      </w:r>
      <w:r w:rsidR="000B4124">
        <w:rPr>
          <w:vertAlign w:val="superscript"/>
        </w:rPr>
        <w:t>33–35</w:t>
      </w:r>
      <w:r w:rsidR="00C81B98">
        <w:t xml:space="preserve"> </w:t>
      </w:r>
      <w:r>
        <w:t xml:space="preserve">Malaysia, Vietnam and Thailand all have a very low positivity rate and have likely contained the outbreak in their respective countries. Malaysia’s cumulative case trajectory is shown in Figure 5. </w:t>
      </w:r>
      <w:r w:rsidRPr="00B55090">
        <w:t>Timor-Leste</w:t>
      </w:r>
      <w:r>
        <w:t xml:space="preserve"> has not reported a case for over a month.</w:t>
      </w:r>
    </w:p>
    <w:p w14:paraId="07791830" w14:textId="77777777" w:rsidR="00290688" w:rsidRDefault="00290688" w:rsidP="00290688">
      <w:pPr>
        <w:pStyle w:val="Heading2"/>
        <w:rPr>
          <w:rFonts w:eastAsia="Times New Roman"/>
        </w:rPr>
      </w:pPr>
      <w:r>
        <w:rPr>
          <w:rFonts w:eastAsia="Times New Roman"/>
        </w:rPr>
        <w:t xml:space="preserve">Pacific </w:t>
      </w:r>
    </w:p>
    <w:p w14:paraId="57B61173" w14:textId="310E9759" w:rsidR="00AC57CC" w:rsidRDefault="00817D6B" w:rsidP="00AC57CC">
      <w:r w:rsidRPr="00817D6B">
        <w:t>The number of new cases observed in the previous week has not increased substantially from that observed two weeks prior, suggesting that the epidemic is not accelerating in the region.</w:t>
      </w:r>
      <w:r>
        <w:t xml:space="preserve"> T</w:t>
      </w:r>
      <w:r w:rsidR="00290688">
        <w:t xml:space="preserve">he Philippines and Singapore account for 83% of the new cases in the area. Their epidemic trajectories are shown in Figure </w:t>
      </w:r>
      <w:r w:rsidR="00DA3332">
        <w:t>6</w:t>
      </w:r>
      <w:r w:rsidR="00290688">
        <w:t>. In Singapore, approximately 94% of all cases are dormitory workers</w:t>
      </w:r>
      <w:r w:rsidR="000460CD">
        <w:t xml:space="preserve"> with</w:t>
      </w:r>
      <w:r w:rsidR="00CC03E2">
        <w:t xml:space="preserve"> 11</w:t>
      </w:r>
      <w:r w:rsidR="00290688">
        <w:t xml:space="preserve">% of </w:t>
      </w:r>
      <w:r w:rsidR="00A00AC9">
        <w:t>the dormitory worker</w:t>
      </w:r>
      <w:r w:rsidR="00290688">
        <w:t xml:space="preserve"> population diagnosed with COVID-19. The Philippines testing data shows a positivity rate of </w:t>
      </w:r>
      <w:r w:rsidR="00290688" w:rsidRPr="003D6F20">
        <w:t>approximately 7%, suggesting</w:t>
      </w:r>
      <w:r w:rsidR="00290688">
        <w:t xml:space="preserve"> there </w:t>
      </w:r>
      <w:r w:rsidR="00290688" w:rsidRPr="003D6F20">
        <w:t>are undetected cases in the community.</w:t>
      </w:r>
      <w:r w:rsidR="000B4124">
        <w:rPr>
          <w:vertAlign w:val="superscript"/>
        </w:rPr>
        <w:t>36</w:t>
      </w:r>
      <w:r w:rsidR="00290688">
        <w:t xml:space="preserve"> </w:t>
      </w:r>
      <w:r w:rsidR="00290688" w:rsidRPr="00B55090">
        <w:t>No</w:t>
      </w:r>
      <w:r w:rsidR="00290688">
        <w:t xml:space="preserve"> new cases or deaths </w:t>
      </w:r>
      <w:r w:rsidR="00290688" w:rsidRPr="00B55090">
        <w:t xml:space="preserve">have been </w:t>
      </w:r>
      <w:r w:rsidR="00290688">
        <w:t>reported in Fiji, French Polynesia or</w:t>
      </w:r>
      <w:r w:rsidR="00290688" w:rsidRPr="00B55090">
        <w:t xml:space="preserve"> Papua New Guinea in </w:t>
      </w:r>
      <w:r w:rsidR="00290688">
        <w:t xml:space="preserve">over </w:t>
      </w:r>
      <w:r w:rsidR="00290688" w:rsidRPr="00B55090">
        <w:t>a month.</w:t>
      </w:r>
      <w:r w:rsidR="00290688">
        <w:t xml:space="preserve"> </w:t>
      </w:r>
      <w:r w:rsidR="000460CD">
        <w:t xml:space="preserve">The </w:t>
      </w:r>
      <w:r w:rsidR="00290688">
        <w:t xml:space="preserve">Commonwealth of the Northern Mariana Islands </w:t>
      </w:r>
      <w:r w:rsidR="00290688" w:rsidRPr="00B55090">
        <w:t>and New Caledonia each recorded new cases on 5 June 2020.</w:t>
      </w:r>
    </w:p>
    <w:p w14:paraId="62394BBC" w14:textId="51B995D6" w:rsidR="000C6F82" w:rsidRPr="00497D6C" w:rsidRDefault="000C6F82" w:rsidP="00AC57CC">
      <w:pPr>
        <w:pStyle w:val="Heading1"/>
      </w:pPr>
      <w:r w:rsidRPr="00497D6C">
        <w:t xml:space="preserve">Background </w:t>
      </w:r>
    </w:p>
    <w:p w14:paraId="62394BBD" w14:textId="4D1BD181" w:rsidR="000C6F82" w:rsidRPr="00734A2B" w:rsidRDefault="00037FDD" w:rsidP="00933AAD">
      <w:r w:rsidRPr="00AC57CC">
        <w:rPr>
          <w:i/>
        </w:rPr>
        <w:t>As at 24 May 2020 (not updated</w:t>
      </w:r>
      <w:r w:rsidR="00416DDF" w:rsidRPr="00AC57CC">
        <w:rPr>
          <w:i/>
        </w:rPr>
        <w:t xml:space="preserve"> for</w:t>
      </w:r>
      <w:r w:rsidRPr="00AC57CC">
        <w:rPr>
          <w:i/>
        </w:rPr>
        <w:t xml:space="preserve"> this reporting period)</w:t>
      </w:r>
      <w:r w:rsidRPr="00AC57CC">
        <w:rPr>
          <w:rStyle w:val="Emphasis"/>
          <w:b w:val="0"/>
        </w:rPr>
        <w:br/>
      </w:r>
      <w:r w:rsidR="000C6F82" w:rsidRPr="00734A2B">
        <w:t xml:space="preserve">The current estimates on epidemiological parameters including severity, transmissibility and incubation period are uncertain. Estimates are likely to change as more information becomes available. </w:t>
      </w:r>
    </w:p>
    <w:p w14:paraId="62394BBE" w14:textId="77777777" w:rsidR="000C6F82" w:rsidRDefault="000C6F82">
      <w:pPr>
        <w:pStyle w:val="Heading2"/>
        <w:rPr>
          <w:rFonts w:eastAsia="Times New Roman"/>
        </w:rPr>
      </w:pPr>
      <w:r>
        <w:rPr>
          <w:rFonts w:eastAsia="Times New Roman"/>
        </w:rPr>
        <w:t xml:space="preserve">Transmission </w:t>
      </w:r>
    </w:p>
    <w:p w14:paraId="62394BBF" w14:textId="2CE1F821" w:rsidR="000C6F82" w:rsidRDefault="000C6F82" w:rsidP="00933AAD">
      <w:r>
        <w:t>Human-to-human transmission of SARS-CoV-2 is via droplets and fomites from an infected person to a close contact.</w:t>
      </w:r>
      <w:r w:rsidR="000B4124">
        <w:rPr>
          <w:vertAlign w:val="superscript"/>
        </w:rPr>
        <w:t>37</w:t>
      </w:r>
      <w:r w:rsidR="000B4124">
        <w:t xml:space="preserve"> </w:t>
      </w:r>
      <w:r>
        <w:t>Several studies have detected that viral RNA levels peak in the first week of illness, suggesting transmission is most likely to occur early in the illness with infectivity gradually decreasing over time.</w:t>
      </w:r>
      <w:r w:rsidR="000B4124">
        <w:rPr>
          <w:vertAlign w:val="superscript"/>
        </w:rPr>
        <w:t xml:space="preserve">38 </w:t>
      </w:r>
      <w:r>
        <w:t>In a Taiwanese study examining over 2,500 close contacts of 100 patients with COVID-19, all 22 secondary cases had their first exposure to the index case within six days of symptom onset. No infections were documented in the 850 contacts whose exposure was after six days.</w:t>
      </w:r>
      <w:r w:rsidR="000B4124">
        <w:rPr>
          <w:vertAlign w:val="superscript"/>
        </w:rPr>
        <w:t>39</w:t>
      </w:r>
      <w:r w:rsidR="000B4124">
        <w:t xml:space="preserve"> </w:t>
      </w:r>
    </w:p>
    <w:p w14:paraId="62394BC0" w14:textId="7C186C44" w:rsidR="000C6F82" w:rsidRDefault="000C6F82" w:rsidP="00933AAD">
      <w:r>
        <w:t>Viral RNA has been identified in respiratory track specimens 1–2 days prior to symptom onset, and has been observed after symptom cessation.</w:t>
      </w:r>
      <w:r w:rsidR="000B4124">
        <w:rPr>
          <w:vertAlign w:val="superscript"/>
        </w:rPr>
        <w:t>38</w:t>
      </w:r>
      <w:r w:rsidR="000B4124">
        <w:t xml:space="preserve"> </w:t>
      </w:r>
      <w:r>
        <w:t>In 50% of the patients, seroconversion occurred after seven days with a range of up to 14 days; this seroconversion was not followed by a rapid decline in viral load.</w:t>
      </w:r>
      <w:r w:rsidR="000B4124">
        <w:rPr>
          <w:vertAlign w:val="superscript"/>
        </w:rPr>
        <w:t>38</w:t>
      </w:r>
      <w:r w:rsidR="000B4124">
        <w:t xml:space="preserve"> </w:t>
      </w:r>
      <w:r>
        <w:t xml:space="preserve">However, the detection of viral RNA does not always correlate with transmission risk. A study of nine patients with mild COVID-19 infection found </w:t>
      </w:r>
      <w:r w:rsidR="00152214">
        <w:t xml:space="preserve">infectious </w:t>
      </w:r>
      <w:r>
        <w:t>virus was not able to be isolated from naso/oropharyngeal and sputum samples after the first 8 days of illness, despite continued high viral RNA levels.</w:t>
      </w:r>
      <w:r w:rsidR="000B4124">
        <w:rPr>
          <w:vertAlign w:val="superscript"/>
        </w:rPr>
        <w:t>38</w:t>
      </w:r>
      <w:r w:rsidR="000B4124">
        <w:t xml:space="preserve"> </w:t>
      </w:r>
      <w:r>
        <w:t>Recent analysis from the Korea Centres for Disease Control and Prevention of cases who tested positive after previously being cleared from isolation found live virus was unable to be cultured from any cases selected for testing (n = 108).</w:t>
      </w:r>
      <w:r w:rsidR="000B4124">
        <w:rPr>
          <w:vertAlign w:val="superscript"/>
        </w:rPr>
        <w:t>40</w:t>
      </w:r>
      <w:r w:rsidR="000B4124">
        <w:t xml:space="preserve"> </w:t>
      </w:r>
    </w:p>
    <w:p w14:paraId="62394BC1" w14:textId="428B739D" w:rsidR="000C6F82" w:rsidRDefault="000C6F82" w:rsidP="00933AAD">
      <w:r>
        <w:t>Several studies suggests that children do not play a key role in transmission and are unlikely to be the primary source of infections.</w:t>
      </w:r>
      <w:r w:rsidR="000B4124">
        <w:rPr>
          <w:vertAlign w:val="superscript"/>
        </w:rPr>
        <w:t>41</w:t>
      </w:r>
      <w:r w:rsidR="000B4124">
        <w:t xml:space="preserve"> </w:t>
      </w:r>
      <w:r>
        <w:t>Studies out of the EU have suggested that child to adult transmission is uncommon.</w:t>
      </w:r>
      <w:r>
        <w:rPr>
          <w:vertAlign w:val="superscript"/>
        </w:rPr>
        <w:t>4</w:t>
      </w:r>
      <w:r w:rsidR="000B4124">
        <w:rPr>
          <w:vertAlign w:val="superscript"/>
        </w:rPr>
        <w:t>2,</w:t>
      </w:r>
      <w:r w:rsidR="00734A2B">
        <w:rPr>
          <w:vertAlign w:val="superscript"/>
        </w:rPr>
        <w:t>4</w:t>
      </w:r>
      <w:r w:rsidR="000B4124">
        <w:rPr>
          <w:vertAlign w:val="superscript"/>
        </w:rPr>
        <w:t>3</w:t>
      </w:r>
      <w:r>
        <w:t xml:space="preserve"> </w:t>
      </w:r>
    </w:p>
    <w:p w14:paraId="62394BC2" w14:textId="77575673" w:rsidR="000C6F82" w:rsidRDefault="000C6F82" w:rsidP="00933AAD">
      <w:r>
        <w:lastRenderedPageBreak/>
        <w:t>Current evidence does not support airborne or faecal-oral spread as major factors in transmission.</w:t>
      </w:r>
      <w:r w:rsidR="000B4124">
        <w:rPr>
          <w:vertAlign w:val="superscript"/>
        </w:rPr>
        <w:t>37</w:t>
      </w:r>
      <w:r w:rsidR="000B4124">
        <w:t xml:space="preserve"> </w:t>
      </w:r>
    </w:p>
    <w:p w14:paraId="62394BC3" w14:textId="77777777" w:rsidR="000C6F82" w:rsidRDefault="000C6F82">
      <w:pPr>
        <w:pStyle w:val="Heading2"/>
        <w:rPr>
          <w:rFonts w:eastAsia="Times New Roman"/>
        </w:rPr>
      </w:pPr>
      <w:r>
        <w:rPr>
          <w:rFonts w:eastAsia="Times New Roman"/>
        </w:rPr>
        <w:t xml:space="preserve">Incubation period </w:t>
      </w:r>
    </w:p>
    <w:p w14:paraId="62394BC4" w14:textId="2E7980AB" w:rsidR="000C6F82" w:rsidRDefault="000C6F82" w:rsidP="00933AAD">
      <w:r>
        <w:t>Estimates of median incubation period, based on seven published studies, are 5 to 6 days (ranging from 1 to 14 days). Patients with long incubation periods do occasionally occur; however, they are likely to be ‘outliers’ who should be studied further but who are unlikely to represent a change in epidemiology of the virus.</w:t>
      </w:r>
      <w:r w:rsidR="000B4124">
        <w:rPr>
          <w:vertAlign w:val="superscript"/>
        </w:rPr>
        <w:t>44,45</w:t>
      </w:r>
      <w:r>
        <w:t xml:space="preserve"> </w:t>
      </w:r>
    </w:p>
    <w:p w14:paraId="62394BC5" w14:textId="77777777" w:rsidR="000C6F82" w:rsidRDefault="000C6F82">
      <w:pPr>
        <w:pStyle w:val="Heading2"/>
        <w:rPr>
          <w:rFonts w:eastAsia="Times New Roman"/>
        </w:rPr>
      </w:pPr>
      <w:r>
        <w:rPr>
          <w:rFonts w:eastAsia="Times New Roman"/>
        </w:rPr>
        <w:t xml:space="preserve">Molecular epidemiology </w:t>
      </w:r>
    </w:p>
    <w:p w14:paraId="62394BC6" w14:textId="690F1115" w:rsidR="000C6F82" w:rsidRDefault="000C6F82" w:rsidP="00933AAD">
      <w:r>
        <w:t>Since December 2019, the virus has diversified into multiple lineages as it has spread globally, with some degree of geographical clustering. The whole genome sequences currently available from Australian cases are dispersed across these lineages, reflecting multiple concurrent introductions into Australia.</w:t>
      </w:r>
      <w:r w:rsidR="000B4124">
        <w:rPr>
          <w:vertAlign w:val="superscript"/>
        </w:rPr>
        <w:t>46–48</w:t>
      </w:r>
      <w:r>
        <w:t xml:space="preserve"> Multiple genomic clusters, closely related sequences reflecting local transmission chains, have also been identified in Australia.</w:t>
      </w:r>
      <w:r w:rsidR="000B4124">
        <w:rPr>
          <w:vertAlign w:val="superscript"/>
        </w:rPr>
        <w:t>46,47</w:t>
      </w:r>
      <w:r>
        <w:t xml:space="preserve"> Genomic epidemiology has successfully been used to link many cases that were epidemiologically classified as ‘locally-acquired – contact not identified’ to known genomic clusters, highlighting the utility of virus sequencing to informing the public health response.</w:t>
      </w:r>
      <w:r w:rsidR="000B4124">
        <w:rPr>
          <w:vertAlign w:val="superscript"/>
        </w:rPr>
        <w:t>46,47</w:t>
      </w:r>
      <w:r>
        <w:t xml:space="preserve"> </w:t>
      </w:r>
    </w:p>
    <w:p w14:paraId="62394BC7" w14:textId="77777777" w:rsidR="000C6F82" w:rsidRDefault="000C6F82">
      <w:pPr>
        <w:pStyle w:val="Heading2"/>
        <w:rPr>
          <w:rFonts w:eastAsia="Times New Roman"/>
        </w:rPr>
      </w:pPr>
      <w:r>
        <w:rPr>
          <w:rFonts w:eastAsia="Times New Roman"/>
        </w:rPr>
        <w:t xml:space="preserve">Clinical features </w:t>
      </w:r>
    </w:p>
    <w:p w14:paraId="62394BC8" w14:textId="33A87B45" w:rsidR="000C6F82" w:rsidRDefault="000C6F82" w:rsidP="00AC57CC">
      <w:r>
        <w:t>COVID-19 presents as mild illness in the majority of cases, with cough and fever being the most commonly reported symptoms. Severe or fatal outcomes are more likely to occur in the elderly or those with comorbid conditions.</w:t>
      </w:r>
      <w:r w:rsidR="000B4124">
        <w:rPr>
          <w:vertAlign w:val="superscript"/>
        </w:rPr>
        <w:t>37,49</w:t>
      </w:r>
      <w:r>
        <w:rPr>
          <w:vertAlign w:val="superscript"/>
        </w:rPr>
        <w:t xml:space="preserve"> </w:t>
      </w:r>
    </w:p>
    <w:p w14:paraId="62394BC9" w14:textId="07D65070" w:rsidR="000C6F82" w:rsidRDefault="000C6F82" w:rsidP="00AC57CC">
      <w:r>
        <w:t>Some COVID-19 patients show neurological signs such as headache, nausea and vomiting. There is evidence that SARS-CoV-2 viruses are not always confined to the respiratory tract and may invade the central nervous system inducing neurological symptoms. As such, it is possible that invasion of the central nervous system is partially responsible for the acute respiratory failure of COVID-19 patients.</w:t>
      </w:r>
      <w:r w:rsidR="000B4124">
        <w:rPr>
          <w:vertAlign w:val="superscript"/>
        </w:rPr>
        <w:t xml:space="preserve">50 </w:t>
      </w:r>
    </w:p>
    <w:p w14:paraId="62394BCA" w14:textId="1CCCCF17" w:rsidR="000C6F82" w:rsidRDefault="000C6F82" w:rsidP="00AC57CC">
      <w:r>
        <w:t>There is some evidence to suggest that impairment or loss of the sense of smell (hyposmia/anosmia) or taste (hypoguesia/aguesia) is associated with COVID-19.</w:t>
      </w:r>
      <w:r w:rsidR="000B4124">
        <w:rPr>
          <w:vertAlign w:val="superscript"/>
        </w:rPr>
        <w:t>51,52</w:t>
      </w:r>
      <w:r>
        <w:t xml:space="preserve"> This is supported by research finding a biological mechanism for the SARS-CoV-2 virus to cause olfactory dysfunction.</w:t>
      </w:r>
      <w:r w:rsidR="000B4124">
        <w:rPr>
          <w:vertAlign w:val="superscript"/>
        </w:rPr>
        <w:t>53,54</w:t>
      </w:r>
      <w:r>
        <w:rPr>
          <w:vertAlign w:val="superscript"/>
        </w:rPr>
        <w:t xml:space="preserve"> </w:t>
      </w:r>
    </w:p>
    <w:p w14:paraId="62394BCB" w14:textId="7F7B45FD" w:rsidR="000C6F82" w:rsidRDefault="000C6F82" w:rsidP="00AC57CC">
      <w:r>
        <w:t>Several studies have identified cardiovascular implications resulting from COVID-19.</w:t>
      </w:r>
      <w:r w:rsidR="000B4124">
        <w:rPr>
          <w:vertAlign w:val="superscript"/>
        </w:rPr>
        <w:t>55–57</w:t>
      </w:r>
      <w:r>
        <w:t xml:space="preserve"> Vascular inflammation has been observed in a number of cases and may be a potential mechanism for myocardial injury which can result in cardiac dysfunction and arrhythmias. </w:t>
      </w:r>
    </w:p>
    <w:p w14:paraId="62394BCC" w14:textId="41FE0A9D" w:rsidR="000C6F82" w:rsidRDefault="000C6F82" w:rsidP="00AC57CC">
      <w:r>
        <w:t>COVID-19 disease in children is more likely to be mild and self-limiting, compared to adults. Internationally</w:t>
      </w:r>
      <w:r w:rsidR="00621C8D">
        <w:t>,</w:t>
      </w:r>
      <w:r>
        <w:t xml:space="preserve"> children make up a small proportion of confirmed COVID-19 cases, with those shown to be infected either presenting with milder symptoms </w:t>
      </w:r>
      <w:r w:rsidR="00621C8D">
        <w:t xml:space="preserve">than </w:t>
      </w:r>
      <w:r>
        <w:t xml:space="preserve">adults or remaining asymptomatic, a similar pattern has been observed with SARS and MERS. However, the greater likelihood of mild clinical presentation in children may result </w:t>
      </w:r>
      <w:r w:rsidR="00621C8D">
        <w:t xml:space="preserve">in </w:t>
      </w:r>
      <w:r>
        <w:t>lower testing and case detection in this cohort. Studies have also shown that hospital admission is inversely related to age. From European reporting</w:t>
      </w:r>
      <w:r w:rsidR="00621C8D">
        <w:t>,</w:t>
      </w:r>
      <w:r>
        <w:t xml:space="preserve"> death associated with COVID-19 has been rare among those aged less than 15 years, with 4 deaths reported from 44,695 cases, as at 13 May 2020. </w:t>
      </w:r>
    </w:p>
    <w:p w14:paraId="62394BCD" w14:textId="2D932554" w:rsidR="000C6F82" w:rsidRDefault="000C6F82" w:rsidP="00AC57CC">
      <w:r>
        <w:t xml:space="preserve">There have been reports of a rare clinical presentation of paediatric inflammatory multisystem syndrome resembling Kawasaki disease temporally associated with SARS-CoV-2 infection in children. </w:t>
      </w:r>
      <w:r w:rsidR="00621C8D">
        <w:t>However,</w:t>
      </w:r>
      <w:r>
        <w:t xml:space="preserve"> evidence of the association between COVID-19 and the development of a Kawasaki like disease is currently inconclusive and further investigation is needed due to variability in clinical presentations in reported paediatric cases.</w:t>
      </w:r>
      <w:r w:rsidR="000B4124">
        <w:rPr>
          <w:vertAlign w:val="superscript"/>
        </w:rPr>
        <w:t>58,59</w:t>
      </w:r>
      <w:r>
        <w:rPr>
          <w:vertAlign w:val="superscript"/>
        </w:rPr>
        <w:t xml:space="preserve"> </w:t>
      </w:r>
    </w:p>
    <w:p w14:paraId="62394BCE" w14:textId="77777777" w:rsidR="000C6F82" w:rsidRDefault="000C6F82">
      <w:pPr>
        <w:pStyle w:val="Heading2"/>
        <w:rPr>
          <w:rFonts w:eastAsia="Times New Roman"/>
        </w:rPr>
      </w:pPr>
      <w:r>
        <w:rPr>
          <w:rFonts w:eastAsia="Times New Roman"/>
        </w:rPr>
        <w:t xml:space="preserve">Treatment </w:t>
      </w:r>
    </w:p>
    <w:p w14:paraId="62394BCF" w14:textId="4A391BC6" w:rsidR="000C6F82" w:rsidRDefault="000C6F82" w:rsidP="00933AAD">
      <w:r>
        <w:t>Current clinical management of COVID-19 cases focuses on early recognition, isolation, appropriate infection control measures and provision of supportive care.</w:t>
      </w:r>
      <w:r w:rsidR="000B4124">
        <w:rPr>
          <w:vertAlign w:val="superscript"/>
        </w:rPr>
        <w:t>60</w:t>
      </w:r>
      <w:r w:rsidR="000B4124">
        <w:t xml:space="preserve"> </w:t>
      </w:r>
      <w:r>
        <w:t xml:space="preserve">Whilst there is no specific antiviral treatment currently recommended </w:t>
      </w:r>
      <w:r>
        <w:lastRenderedPageBreak/>
        <w:t>for patients with suspected or confirmed SARS-CoV-2 infection, multiple clinical trials are underway to evaluate a number of therapeutic agents, including remdesivir, lopinavir/ritonavir, and chloroquine or hydroxychloroquine.</w:t>
      </w:r>
      <w:r>
        <w:rPr>
          <w:vertAlign w:val="superscript"/>
        </w:rPr>
        <w:t xml:space="preserve"> </w:t>
      </w:r>
      <w:r w:rsidR="000B4124">
        <w:rPr>
          <w:vertAlign w:val="superscript"/>
        </w:rPr>
        <w:t>61,62</w:t>
      </w:r>
      <w:r>
        <w:t xml:space="preserve"> </w:t>
      </w:r>
    </w:p>
    <w:p w14:paraId="62394BD0" w14:textId="5182D3D0" w:rsidR="000C6F82" w:rsidRDefault="000C6F82" w:rsidP="00933AAD">
      <w:r>
        <w:t>A</w:t>
      </w:r>
      <w:r w:rsidR="00FC5692">
        <w:t>n</w:t>
      </w:r>
      <w:r>
        <w:t xml:space="preserve"> open-label randomised controlled trial did not find a significant impact of hydroxychloroquine treatment on disease progression for hospitalised patients with mild to moderate COVID-19, with those receiving treatment also reporting a higher number of adverse events.</w:t>
      </w:r>
      <w:r w:rsidR="000B4124">
        <w:rPr>
          <w:vertAlign w:val="superscript"/>
        </w:rPr>
        <w:t xml:space="preserve">63 </w:t>
      </w:r>
      <w:r>
        <w:t>Similarly, an open-label randomised controlled trial of lopinavir/ritonavir among hospitalised patients found no benefit for time to clinical improvement.</w:t>
      </w:r>
      <w:r w:rsidR="000B4124">
        <w:rPr>
          <w:vertAlign w:val="superscript"/>
        </w:rPr>
        <w:t>64</w:t>
      </w:r>
      <w:r w:rsidR="000B4124">
        <w:t xml:space="preserve"> </w:t>
      </w:r>
    </w:p>
    <w:p w14:paraId="62394BD1" w14:textId="15071BDF" w:rsidR="000C6F82" w:rsidRDefault="000C6F82" w:rsidP="00933AAD">
      <w:r>
        <w:t>Results for remdesivir treatment have been mixed, with one randomised double-blind placebo-controlled trial finding patients recovered 31% faster and a lower mortality rate (8.0% compared with 11.6% among placebo patients),</w:t>
      </w:r>
      <w:r w:rsidR="000B4124">
        <w:rPr>
          <w:vertAlign w:val="superscript"/>
        </w:rPr>
        <w:t>65</w:t>
      </w:r>
      <w:r w:rsidR="000B4124">
        <w:t xml:space="preserve"> </w:t>
      </w:r>
      <w:r>
        <w:t>while another found no effect.</w:t>
      </w:r>
      <w:r w:rsidR="000B4124">
        <w:rPr>
          <w:vertAlign w:val="superscript"/>
        </w:rPr>
        <w:t>66</w:t>
      </w:r>
      <w:r w:rsidR="000B4124">
        <w:t xml:space="preserve"> </w:t>
      </w:r>
      <w:r>
        <w:t xml:space="preserve">Taiwan Food and Drug Administration (TFDA) has recently approved remdesivir for the treatment of patients with severe SARS-CoV-2 infection based on preliminary evidence on its safety and effectiveness. Further trials are required to assess the effectiveness of these treatments on COVID-19. Multiple COVID-19 vaccines have commenced clinical trials. </w:t>
      </w:r>
    </w:p>
    <w:p w14:paraId="62394BD2" w14:textId="77777777" w:rsidR="000C6F82" w:rsidRPr="00497D6C" w:rsidRDefault="000C6F82">
      <w:pPr>
        <w:pStyle w:val="Heading1"/>
      </w:pPr>
      <w:r w:rsidRPr="00497D6C">
        <w:t xml:space="preserve">Data considerations </w:t>
      </w:r>
    </w:p>
    <w:p w14:paraId="62394BD3" w14:textId="4510C1E6" w:rsidR="000C6F82" w:rsidRDefault="000C6F82" w:rsidP="00933AAD">
      <w:r>
        <w:t xml:space="preserve">Data were extracted from the NNDSS on </w:t>
      </w:r>
      <w:r w:rsidR="00C65AC2">
        <w:t>9 June</w:t>
      </w:r>
      <w:r>
        <w:t xml:space="preserve"> 2020</w:t>
      </w:r>
      <w:r w:rsidR="005D442A">
        <w:t xml:space="preserve"> for</w:t>
      </w:r>
      <w:r>
        <w:t xml:space="preserve"> notifications received up to </w:t>
      </w:r>
      <w:r w:rsidR="00C65AC2">
        <w:t>7</w:t>
      </w:r>
      <w:r>
        <w:t xml:space="preserve"> </w:t>
      </w:r>
      <w:r w:rsidR="00C65AC2">
        <w:t>June</w:t>
      </w:r>
      <w:r>
        <w:t xml:space="preserve"> 2020. Due to the dynamic nature of the NNDSS, </w:t>
      </w:r>
      <w:r w:rsidR="00C65AC2">
        <w:t xml:space="preserve">numbers </w:t>
      </w:r>
      <w:r w:rsidR="00771481">
        <w:t xml:space="preserve">presented </w:t>
      </w:r>
      <w:r w:rsidR="005D442A">
        <w:t xml:space="preserve">in </w:t>
      </w:r>
      <w:r>
        <w:t xml:space="preserve">this </w:t>
      </w:r>
      <w:r w:rsidR="005D442A">
        <w:t>report</w:t>
      </w:r>
      <w:r>
        <w:t xml:space="preserve"> are subject to revision and may vary from </w:t>
      </w:r>
      <w:r w:rsidR="00C65AC2">
        <w:t>numbers</w:t>
      </w:r>
      <w:r>
        <w:t xml:space="preserve"> </w:t>
      </w:r>
      <w:r w:rsidR="00C65AC2">
        <w:t xml:space="preserve">previously </w:t>
      </w:r>
      <w:r>
        <w:t xml:space="preserve">reported and </w:t>
      </w:r>
      <w:r w:rsidR="00C65AC2">
        <w:t>from case</w:t>
      </w:r>
      <w:r>
        <w:t xml:space="preserve"> notification</w:t>
      </w:r>
      <w:r w:rsidR="00771481">
        <w:t xml:space="preserve">s </w:t>
      </w:r>
      <w:r w:rsidR="00C65AC2">
        <w:t xml:space="preserve">released </w:t>
      </w:r>
      <w:r>
        <w:t xml:space="preserve">by states and territories. </w:t>
      </w:r>
    </w:p>
    <w:p w14:paraId="608D3A45" w14:textId="7B6873CC" w:rsidR="00E802B3" w:rsidRPr="00D35A05" w:rsidRDefault="00E802B3" w:rsidP="00933AAD">
      <w:pPr>
        <w:rPr>
          <w:b/>
        </w:rPr>
      </w:pPr>
      <w:r w:rsidRPr="00D35A05">
        <w:rPr>
          <w:b/>
        </w:rPr>
        <w:t>Definitions</w:t>
      </w:r>
    </w:p>
    <w:p w14:paraId="48154C49" w14:textId="19A3629B" w:rsidR="00C65AC2" w:rsidRPr="00D35A05" w:rsidRDefault="00C65AC2" w:rsidP="00933AAD">
      <w:r w:rsidRPr="00D35A05">
        <w:t xml:space="preserve">‘Date of illness onset’ is derived from data </w:t>
      </w:r>
      <w:r w:rsidR="005D442A" w:rsidRPr="00D35A05">
        <w:t>collected by</w:t>
      </w:r>
      <w:r w:rsidRPr="00D35A05">
        <w:t xml:space="preserve"> the NNDSS and represents the diagnosis date, or</w:t>
      </w:r>
      <w:r w:rsidR="005D442A" w:rsidRPr="00D35A05">
        <w:t xml:space="preserve"> reported</w:t>
      </w:r>
      <w:r w:rsidRPr="00D35A05">
        <w:t xml:space="preserve"> true onset of disease date. If unknown, the earliest of specimen collection date, notification date or notification receive date is used.</w:t>
      </w:r>
    </w:p>
    <w:p w14:paraId="3A68463F" w14:textId="550CC4A1" w:rsidR="00C65AC2" w:rsidRPr="00D35A05" w:rsidRDefault="00C65AC2" w:rsidP="00933AAD">
      <w:r w:rsidRPr="00D35A05">
        <w:t>‘Notification receive</w:t>
      </w:r>
      <w:r w:rsidR="008A7FCD">
        <w:t>d</w:t>
      </w:r>
      <w:r w:rsidRPr="00D35A05">
        <w:t xml:space="preserve"> date’ is reported in the NNDSS and represents the date the case is first notified </w:t>
      </w:r>
      <w:r w:rsidR="005D442A" w:rsidRPr="00D35A05">
        <w:t xml:space="preserve">on </w:t>
      </w:r>
      <w:r w:rsidRPr="00D35A05">
        <w:t>the NNDSS. As notification can only occur after testing is complete</w:t>
      </w:r>
      <w:r w:rsidR="00BE1FFF" w:rsidRPr="00D35A05">
        <w:t>d</w:t>
      </w:r>
      <w:r w:rsidRPr="00D35A05">
        <w:t xml:space="preserve"> and</w:t>
      </w:r>
      <w:r w:rsidR="005D442A" w:rsidRPr="00D35A05">
        <w:t xml:space="preserve"> information</w:t>
      </w:r>
      <w:r w:rsidRPr="00D35A05">
        <w:t xml:space="preserve"> </w:t>
      </w:r>
      <w:r w:rsidR="00BE1FFF" w:rsidRPr="00D35A05">
        <w:t xml:space="preserve">processed, counts for a defined period will vary according to </w:t>
      </w:r>
      <w:r w:rsidR="005D442A" w:rsidRPr="00D35A05">
        <w:t xml:space="preserve">the </w:t>
      </w:r>
      <w:r w:rsidR="00BE1FFF" w:rsidRPr="00D35A05">
        <w:t>date</w:t>
      </w:r>
      <w:r w:rsidR="005D442A" w:rsidRPr="00D35A05">
        <w:t xml:space="preserve"> type</w:t>
      </w:r>
      <w:r w:rsidR="00AC57CC">
        <w:t xml:space="preserve"> used.</w:t>
      </w:r>
    </w:p>
    <w:p w14:paraId="62394BD5" w14:textId="77777777" w:rsidR="000C6F82" w:rsidRDefault="000C6F82">
      <w:pPr>
        <w:pStyle w:val="Heading1"/>
        <w:rPr>
          <w:rFonts w:eastAsia="Times New Roman"/>
        </w:rPr>
      </w:pPr>
      <w:r>
        <w:rPr>
          <w:rFonts w:eastAsia="Times New Roman"/>
        </w:rPr>
        <w:t xml:space="preserve">Acknowledgements </w:t>
      </w:r>
    </w:p>
    <w:p w14:paraId="62394BD6" w14:textId="28A739F4" w:rsidR="000C6F82" w:rsidRDefault="000C6F82" w:rsidP="00933AAD">
      <w:r>
        <w:t xml:space="preserve">This report represents surveillance data reported through CDNA as part of the nationally-coordinated response to COVID-19. We thank public health staff from incident emergency operations centres in state and territory health departments, and the Australian Government Department of Health, along with state and territory public health laboratories. </w:t>
      </w:r>
    </w:p>
    <w:p w14:paraId="62394BD7" w14:textId="77777777" w:rsidR="000C6F82" w:rsidRPr="00497D6C" w:rsidRDefault="000C6F82">
      <w:pPr>
        <w:pStyle w:val="Heading1"/>
      </w:pPr>
      <w:r w:rsidRPr="00497D6C">
        <w:t xml:space="preserve">Author details </w:t>
      </w:r>
    </w:p>
    <w:p w14:paraId="62394BD8" w14:textId="77777777" w:rsidR="000C6F82" w:rsidRDefault="000C6F82">
      <w:pPr>
        <w:pStyle w:val="Heading2"/>
        <w:rPr>
          <w:rFonts w:eastAsia="Times New Roman"/>
        </w:rPr>
      </w:pPr>
      <w:r>
        <w:rPr>
          <w:rFonts w:eastAsia="Times New Roman"/>
        </w:rPr>
        <w:t xml:space="preserve">Corresponding author </w:t>
      </w:r>
    </w:p>
    <w:p w14:paraId="62394BD9" w14:textId="7603BF6F" w:rsidR="000C6F82" w:rsidRDefault="000C6F82" w:rsidP="00933AAD">
      <w:r>
        <w:t xml:space="preserve">COVID-19 National Incident Room Surveillance Team, Australian Government Department of Health, GPO Box 9484, MDP 14, Canberra, ACT 2601. Email: epi.coronavirus@health.gov.au </w:t>
      </w:r>
    </w:p>
    <w:p w14:paraId="0CBC2659" w14:textId="77777777" w:rsidR="00712EB9" w:rsidRDefault="00712EB9">
      <w:pPr>
        <w:rPr>
          <w:rFonts w:asciiTheme="majorHAnsi" w:eastAsiaTheme="majorEastAsia" w:hAnsiTheme="majorHAnsi" w:cstheme="majorBidi"/>
          <w:b/>
          <w:bCs/>
          <w:sz w:val="32"/>
          <w:szCs w:val="28"/>
        </w:rPr>
      </w:pPr>
      <w:r>
        <w:br w:type="page"/>
      </w:r>
    </w:p>
    <w:p w14:paraId="62394BDA" w14:textId="3E92470A" w:rsidR="000C6F82" w:rsidRPr="00497D6C" w:rsidRDefault="000C6F82">
      <w:pPr>
        <w:pStyle w:val="Heading1"/>
      </w:pPr>
      <w:r w:rsidRPr="00497D6C">
        <w:lastRenderedPageBreak/>
        <w:t xml:space="preserve">References </w:t>
      </w:r>
    </w:p>
    <w:p w14:paraId="0FD2E557" w14:textId="7692DB5A" w:rsidR="00D35A05" w:rsidRPr="00000CC6" w:rsidRDefault="00D35A05" w:rsidP="00951171">
      <w:pPr>
        <w:pStyle w:val="ListParagraph"/>
        <w:numPr>
          <w:ilvl w:val="0"/>
          <w:numId w:val="33"/>
        </w:numPr>
      </w:pPr>
      <w:r w:rsidRPr="00000CC6">
        <w:t>Australian Government Department of Health. Series of National Guidelines (SoNGs): Coronavirus Disease 2019 (COVID-19). CDNA National guidelines for public health units. [Internet.] Canberra: Australian Government Department of Health; 29 May 2020. [Accessed on 2 June 2020.] Available from: https://www1.health.gov.au/internet/main/publishing.nsf/Content/cdna-song-novel-coronavirus.htm.</w:t>
      </w:r>
    </w:p>
    <w:p w14:paraId="28B4EEFB" w14:textId="0425F3D5" w:rsidR="00D35A05" w:rsidRPr="00000CC6" w:rsidRDefault="00D35A05" w:rsidP="00951171">
      <w:pPr>
        <w:pStyle w:val="ListParagraph"/>
        <w:numPr>
          <w:ilvl w:val="0"/>
          <w:numId w:val="33"/>
        </w:numPr>
      </w:pPr>
      <w:r w:rsidRPr="00000CC6">
        <w:t>Government of the United Kingdom. Guidance: Coronavirus (COVID-19): getting tested. [Internet.] London: Government of the United Kingdom; 15 April 2020. [Accessed on 1 June 2020.] Available from: https://www.gov.uk/guidance/coronavirus-covid-19-getting-tested.</w:t>
      </w:r>
    </w:p>
    <w:p w14:paraId="4040EBC0" w14:textId="505E5DB4" w:rsidR="00D35A05" w:rsidRPr="00000CC6" w:rsidRDefault="00D35A05" w:rsidP="00951171">
      <w:pPr>
        <w:pStyle w:val="ListParagraph"/>
        <w:numPr>
          <w:ilvl w:val="0"/>
          <w:numId w:val="33"/>
        </w:numPr>
      </w:pPr>
      <w:r w:rsidRPr="00000CC6">
        <w:t>New Zealand Government. COVID-19 testing: Information about COVID-19 testing in New Zealand. [Internet.] Wellington: New Zealand Government; 18 April 2020. [Accessed on 1 June 2020.] Available from: https://covid19.govt.nz/covid-19/about-covid-19/covid-19-testing/.</w:t>
      </w:r>
    </w:p>
    <w:p w14:paraId="15A0F30E" w14:textId="72055D08" w:rsidR="00D35A05" w:rsidRPr="00000CC6" w:rsidRDefault="00D35A05" w:rsidP="00951171">
      <w:pPr>
        <w:pStyle w:val="ListParagraph"/>
        <w:numPr>
          <w:ilvl w:val="0"/>
          <w:numId w:val="33"/>
        </w:numPr>
      </w:pPr>
      <w:r w:rsidRPr="00000CC6">
        <w:t xml:space="preserve">COVID-19 National Incident Room Surveillance Team. COVID-19, Australia: Epidemiology Report 16: Reporting week ending 23:59 AEST 17 May 2020. </w:t>
      </w:r>
      <w:r w:rsidRPr="00951171">
        <w:rPr>
          <w:i/>
        </w:rPr>
        <w:t>Commun Dis Intell (2018)</w:t>
      </w:r>
      <w:r w:rsidRPr="00000CC6">
        <w:t>. 2020;44. doi: https://doi.org/10.33321/cdi.2020.44.45.</w:t>
      </w:r>
    </w:p>
    <w:p w14:paraId="5A990C71" w14:textId="07356E03" w:rsidR="00D35A05" w:rsidRPr="00000CC6" w:rsidRDefault="00D35A05" w:rsidP="00951171">
      <w:pPr>
        <w:pStyle w:val="ListParagraph"/>
        <w:numPr>
          <w:ilvl w:val="0"/>
          <w:numId w:val="33"/>
        </w:numPr>
      </w:pPr>
      <w:r w:rsidRPr="00000CC6">
        <w:t>Public Health Agency of Canada (PHAC). Coronavirus disease 2019 (COVID-19). Epidemiology update. Updated: 11 June 2020, 7 pm EDT. [Internet.] Ottawa: Government of Canada, PHAC; 2020. [Accessed on 12 June 2020.] Available from: https://health-infobase.canada.ca/covid-19/epidemiological-summary-covid-19-cases.html.</w:t>
      </w:r>
    </w:p>
    <w:p w14:paraId="3C7F3945" w14:textId="304A2281" w:rsidR="00D35A05" w:rsidRPr="00000CC6" w:rsidRDefault="00D35A05" w:rsidP="00951171">
      <w:pPr>
        <w:pStyle w:val="ListParagraph"/>
        <w:numPr>
          <w:ilvl w:val="0"/>
          <w:numId w:val="33"/>
        </w:numPr>
      </w:pPr>
      <w:r w:rsidRPr="00000CC6">
        <w:t>European Centre for Disease Prevention and Control (ECDC) COVID-19 surveillance report: Week 23, 2020. [Internet.] Solna: ECDC; 11 June 2020. [Accessed on 12 June 2020.] Available from: https://covid19-surveillance-report.ecdc.europa.eu/.</w:t>
      </w:r>
    </w:p>
    <w:p w14:paraId="5824805E" w14:textId="77777777" w:rsidR="00032029" w:rsidRPr="00000CC6" w:rsidRDefault="00032029" w:rsidP="00032029">
      <w:pPr>
        <w:pStyle w:val="ListParagraph"/>
        <w:numPr>
          <w:ilvl w:val="0"/>
          <w:numId w:val="33"/>
        </w:numPr>
      </w:pPr>
      <w:r w:rsidRPr="00000CC6">
        <w:t>Statistics Canada. Table 13-10-0775-01. Detailed preliminary information on cases of COVID-19: 4 Dimensions (Aggregated data), Public Health Agency of Canada. [Internet.] Ottawa: Statistics Canada; 2020. [Accessed on 3 June 2020.] Available from: https://www150.statcan.gc.ca/t1/tbl1/en/tv.action?pid=1310077501.</w:t>
      </w:r>
    </w:p>
    <w:p w14:paraId="127372B9" w14:textId="77777777" w:rsidR="00032029" w:rsidRPr="00000CC6" w:rsidRDefault="00032029" w:rsidP="00032029">
      <w:pPr>
        <w:pStyle w:val="ListParagraph"/>
        <w:numPr>
          <w:ilvl w:val="0"/>
          <w:numId w:val="33"/>
        </w:numPr>
      </w:pPr>
      <w:r w:rsidRPr="00000CC6">
        <w:t>ECDC. COVID-19 surveillance report: Week 21, 2020. [Internet.] Solna: ECDC; 2 June 2020. [Accessed on 3 June 2020.] Available from: https://covid19-surveillance-report.ecdc.europa.eu/.</w:t>
      </w:r>
    </w:p>
    <w:p w14:paraId="77C4ED52" w14:textId="57DC3443" w:rsidR="00D35A05" w:rsidRPr="00000CC6" w:rsidRDefault="00D35A05" w:rsidP="00951171">
      <w:pPr>
        <w:pStyle w:val="ListParagraph"/>
        <w:numPr>
          <w:ilvl w:val="0"/>
          <w:numId w:val="33"/>
        </w:numPr>
      </w:pPr>
      <w:r w:rsidRPr="00000CC6">
        <w:t xml:space="preserve">Zheng Z, Peng F, Xu B, Zhao J, Liu H, Peng J et al. Risk factors of critical &amp; mortal COVID-19 cases: a systematic literature review and meta-analysis. </w:t>
      </w:r>
      <w:r w:rsidRPr="00951171">
        <w:rPr>
          <w:i/>
        </w:rPr>
        <w:t>J Infect</w:t>
      </w:r>
      <w:r w:rsidRPr="00000CC6">
        <w:t>. 2020. doi: https://doi.org/10.1016/j.jinf.2020.04.021.</w:t>
      </w:r>
    </w:p>
    <w:p w14:paraId="58D15A26" w14:textId="2C613E54" w:rsidR="00D35A05" w:rsidRPr="00000CC6" w:rsidRDefault="00D35A05" w:rsidP="00951171">
      <w:pPr>
        <w:pStyle w:val="ListParagraph"/>
        <w:numPr>
          <w:ilvl w:val="0"/>
          <w:numId w:val="33"/>
        </w:numPr>
      </w:pPr>
      <w:r w:rsidRPr="00000CC6">
        <w:t xml:space="preserve">Onder G, Rezza G, Brusaferro S. Case-fatality rate and characteristics of patients dying in relation to COVID-19 in Italy. </w:t>
      </w:r>
      <w:r w:rsidRPr="00951171">
        <w:rPr>
          <w:i/>
        </w:rPr>
        <w:t>JAMA</w:t>
      </w:r>
      <w:r w:rsidRPr="00000CC6">
        <w:t>. 2020;323(18):1775-1776. doi: https://doi.org/10.1001/jama.2020.4683.</w:t>
      </w:r>
    </w:p>
    <w:p w14:paraId="100E0C87" w14:textId="2EC9ADF0" w:rsidR="00D35A05" w:rsidRPr="00000CC6" w:rsidRDefault="00D35A05" w:rsidP="00951171">
      <w:pPr>
        <w:pStyle w:val="ListParagraph"/>
        <w:numPr>
          <w:ilvl w:val="0"/>
          <w:numId w:val="33"/>
        </w:numPr>
      </w:pPr>
      <w:r w:rsidRPr="00000CC6">
        <w:t>Centers for Disease Control and Prevention (CDC). COVID-Net: a weekly summary of U.S. COVID-19 hospitalization data. COVID-19 laboratory-confirmed hospitalizations: preliminary data as of May 23, 2020. [Internet.] Atlanta: United States Government Department of Health and Human Services, CDC; 2020. [Accessed on 3 June 2020.] Available from: https://gis.cdc.gov/grasp/COVIDNet/COVID19_5.html.</w:t>
      </w:r>
    </w:p>
    <w:p w14:paraId="06035CBB" w14:textId="72BFEA40" w:rsidR="00D35A05" w:rsidRPr="00000CC6" w:rsidRDefault="00D35A05" w:rsidP="00951171">
      <w:pPr>
        <w:pStyle w:val="ListParagraph"/>
        <w:numPr>
          <w:ilvl w:val="0"/>
          <w:numId w:val="33"/>
        </w:numPr>
      </w:pPr>
      <w:r w:rsidRPr="00000CC6">
        <w:t>ECDC. COVID-19 surveillance report: Week 2020-19. 6: Other epidemiological characteristics. [Internet.] Solna: ECDC; 14 May 2020. [Accessed on 19 May 2020.] Available from: https://covid19-surveillance-report.ecdc.europa.eu/#6_other_epidemiological_characteristics.</w:t>
      </w:r>
    </w:p>
    <w:p w14:paraId="4A092290" w14:textId="52AEE166" w:rsidR="00D35A05" w:rsidRPr="00000CC6" w:rsidRDefault="00D35A05" w:rsidP="00951171">
      <w:pPr>
        <w:pStyle w:val="ListParagraph"/>
        <w:numPr>
          <w:ilvl w:val="0"/>
          <w:numId w:val="33"/>
        </w:numPr>
      </w:pPr>
      <w:r w:rsidRPr="00000CC6">
        <w:t>Government of Canada. Epidemiological summary of COVID-19 cases in Canada: last data update May 19, 2020, 11:00 ET. [Internet.] Ottawa: Government of Canada; 2020. [Accessed on 19 May 2020.] Available from: https://health-infobase.canada.ca/covid-19/epidemiological-summary-covid-19-cases.html.</w:t>
      </w:r>
    </w:p>
    <w:p w14:paraId="5B7FC3BB" w14:textId="3D0FB8FF" w:rsidR="00D35A05" w:rsidRPr="00000CC6" w:rsidRDefault="00D35A05" w:rsidP="00951171">
      <w:pPr>
        <w:pStyle w:val="ListParagraph"/>
        <w:numPr>
          <w:ilvl w:val="0"/>
          <w:numId w:val="33"/>
        </w:numPr>
      </w:pPr>
      <w:r w:rsidRPr="00000CC6">
        <w:t>Australian Government Department of Health. Coronavirus (COVID-19) advice for the health and aged care sector. [Internet.] Canberra: Australian Government Department of Health; 2020. [Accessed 3 June 2020.] Available from: https://www.health.gov.au/news/health-alerts/novel-coronavirus-2019-ncov-health-alert/coronavirus-covid-19-advice-for-the-health-and-aged-care-sector.</w:t>
      </w:r>
    </w:p>
    <w:p w14:paraId="4F84B978" w14:textId="47666B53" w:rsidR="00D35A05" w:rsidRPr="00000CC6" w:rsidRDefault="00D35A05" w:rsidP="00951171">
      <w:pPr>
        <w:pStyle w:val="ListParagraph"/>
        <w:numPr>
          <w:ilvl w:val="0"/>
          <w:numId w:val="33"/>
        </w:numPr>
      </w:pPr>
      <w:r w:rsidRPr="00000CC6">
        <w:lastRenderedPageBreak/>
        <w:t>Communicable Diseases Network Australia (CDNA). Coronavirus disease 2019 (COVID-19) outbreaks in residential care facilities: CDNA national guidelines for the prevention, control and public health management of COVID-19 outbreaks in residential care facilities in Australia. Canberra: Australian Government Department of Health, CDNA; 13 March 2020. [Accessed on 3 June 2020.] Available from: https://www.health.gov.au/sites/default/files/documents/2020/03/coronavirus-covid-19-guidelines-for-outbreaks-in-residential-care-facilities.pdf.</w:t>
      </w:r>
    </w:p>
    <w:p w14:paraId="31CC16F2" w14:textId="02CBA6F9" w:rsidR="00D35A05" w:rsidRPr="00000CC6" w:rsidRDefault="00D35A05" w:rsidP="00951171">
      <w:pPr>
        <w:pStyle w:val="ListParagraph"/>
        <w:numPr>
          <w:ilvl w:val="0"/>
          <w:numId w:val="33"/>
        </w:numPr>
      </w:pPr>
      <w:r w:rsidRPr="00000CC6">
        <w:t>Government of New South Wales. Answers to your questions about the rules: FAQs about changes to the rules, effective from Monday 1 June. [Internet.] Sydney: Government of New South Wales; 2020. [Accessed on 11 June 2020.] Available from: https://www.nsw.gov.au/covid-19/what-you-can-and-cant-do-under-rules/changes#what-has-changed-from-monday-1-june.</w:t>
      </w:r>
    </w:p>
    <w:p w14:paraId="7D992065" w14:textId="6ED60AF0" w:rsidR="00D35A05" w:rsidRPr="00000CC6" w:rsidRDefault="00D35A05" w:rsidP="00951171">
      <w:pPr>
        <w:pStyle w:val="ListParagraph"/>
        <w:numPr>
          <w:ilvl w:val="0"/>
          <w:numId w:val="33"/>
        </w:numPr>
      </w:pPr>
      <w:r w:rsidRPr="00000CC6">
        <w:t>Department of Health and Human Services (DHHS). Victoria’s restriction levels. [Internet.] Melbourne: Victoria State Government, DHHS; 2020. [Accessed on 11 June 2020.] Available from: https://www.dhhs.vic.gov.au/victorias-restriction-levels-covid-19.</w:t>
      </w:r>
    </w:p>
    <w:p w14:paraId="767CC4C4" w14:textId="6A8D952D" w:rsidR="00D35A05" w:rsidRPr="00000CC6" w:rsidRDefault="00D35A05" w:rsidP="00951171">
      <w:pPr>
        <w:pStyle w:val="ListParagraph"/>
        <w:numPr>
          <w:ilvl w:val="0"/>
          <w:numId w:val="33"/>
        </w:numPr>
      </w:pPr>
      <w:r w:rsidRPr="00000CC6">
        <w:t>Queensland Government. Roadmap to easing restrictions. [Internet.] Brisbane: Queensland Government; 2020. [Accessed on 11 June 2020.] Available from: https://www.covid19.qld.gov.au/government-actions/roadmap-to-easing-queenslands-restrictions.</w:t>
      </w:r>
    </w:p>
    <w:p w14:paraId="2B9579A2" w14:textId="0436E579" w:rsidR="00D35A05" w:rsidRPr="00000CC6" w:rsidRDefault="00D35A05" w:rsidP="00951171">
      <w:pPr>
        <w:pStyle w:val="ListParagraph"/>
        <w:numPr>
          <w:ilvl w:val="0"/>
          <w:numId w:val="33"/>
        </w:numPr>
      </w:pPr>
      <w:r w:rsidRPr="00000CC6">
        <w:t>Government of Western Australia. Phase 3 - Easing of restrictions - frequently asked questions. [Internet.] Perth: Government of Western Australia; 2020. [Accessed on 11 June 2020.] Available from: https://www.wa.gov.au/government/publications/phase-3-easing-of-restrictions-frequently-asked-questions.</w:t>
      </w:r>
    </w:p>
    <w:p w14:paraId="2067FB05" w14:textId="0368E880" w:rsidR="00D35A05" w:rsidRPr="00000CC6" w:rsidRDefault="00D35A05" w:rsidP="00951171">
      <w:pPr>
        <w:pStyle w:val="ListParagraph"/>
        <w:numPr>
          <w:ilvl w:val="0"/>
          <w:numId w:val="33"/>
        </w:numPr>
      </w:pPr>
      <w:r w:rsidRPr="00000CC6">
        <w:t>Government of South Australia. South Australian roadmap for easing COVID-19 restrictions. Adelaide: Government of South Australia; 2020. [Accessed on 20 May 2020.] Available from: https://www.covid-19.sa.gov.au/__data/assets/pdf_file/0012/195879/200059.4-COVID-19-RoadMap_FINAL.PDF.</w:t>
      </w:r>
    </w:p>
    <w:p w14:paraId="5015A703" w14:textId="54CBA3F2" w:rsidR="00D35A05" w:rsidRPr="00000CC6" w:rsidRDefault="00D35A05" w:rsidP="00951171">
      <w:pPr>
        <w:pStyle w:val="ListParagraph"/>
        <w:numPr>
          <w:ilvl w:val="0"/>
          <w:numId w:val="33"/>
        </w:numPr>
      </w:pPr>
      <w:r w:rsidRPr="00000CC6">
        <w:t>Government of South Australia. Recovery from COVID-19. [Internet.] Adelaide: Government of South Australia; 2020. [Accessed on 11 June 2020.] Available from: https://www.covid-19.sa.gov.au/recovery.</w:t>
      </w:r>
    </w:p>
    <w:p w14:paraId="69B500C5" w14:textId="7134B36C" w:rsidR="00D35A05" w:rsidRPr="00000CC6" w:rsidRDefault="00D35A05" w:rsidP="00951171">
      <w:pPr>
        <w:pStyle w:val="ListParagraph"/>
        <w:numPr>
          <w:ilvl w:val="0"/>
          <w:numId w:val="33"/>
        </w:numPr>
      </w:pPr>
      <w:r w:rsidRPr="00000CC6">
        <w:t>Tasmanian Government. Roadmap to recovery. [Internet.] Hobart: Tasmanian Government; 2020. [Accessed on 11 June 2020.] Available from: https://coronavirus.tas.gov.au/families-community/roadmap-to-recovery.</w:t>
      </w:r>
    </w:p>
    <w:p w14:paraId="5FEB67DF" w14:textId="0C2D58CC" w:rsidR="00D35A05" w:rsidRPr="00000CC6" w:rsidRDefault="00D35A05" w:rsidP="00951171">
      <w:pPr>
        <w:pStyle w:val="ListParagraph"/>
        <w:numPr>
          <w:ilvl w:val="0"/>
          <w:numId w:val="33"/>
        </w:numPr>
      </w:pPr>
      <w:r w:rsidRPr="00000CC6">
        <w:t>Australian Capital Territory Government. FAQs changes to restrictions. [Internet.] Canberra: Australian Capital Territory Government; 2020. [Accessed on 11 June 2020.] Available from: https://www.covid19.act.gov.au/faqs/faqs-changes-to-restrictions.</w:t>
      </w:r>
    </w:p>
    <w:p w14:paraId="64FCBBD6" w14:textId="7AF12034" w:rsidR="00D35A05" w:rsidRPr="00000CC6" w:rsidRDefault="00D35A05" w:rsidP="00951171">
      <w:pPr>
        <w:pStyle w:val="ListParagraph"/>
        <w:numPr>
          <w:ilvl w:val="0"/>
          <w:numId w:val="33"/>
        </w:numPr>
      </w:pPr>
      <w:r w:rsidRPr="00000CC6">
        <w:t>Australian Capital Territory Government (ACT Government). Canberra's recovery plan: COVID-19 easing of restrictions roadmap. Canberra: ACT Government; 26 May 2020. [Accessed on 29 May 2020.] Available from: https://www.covid19.act.gov.au/__data/assets/pdf_file/0007/1551778/CV_Roadmap_Recovery-plan_ease-of-restrictions_0.4.1.pdf.</w:t>
      </w:r>
    </w:p>
    <w:p w14:paraId="4EBEFB2D" w14:textId="5096181B" w:rsidR="00D35A05" w:rsidRPr="00000CC6" w:rsidRDefault="00D35A05" w:rsidP="00951171">
      <w:pPr>
        <w:pStyle w:val="ListParagraph"/>
        <w:numPr>
          <w:ilvl w:val="0"/>
          <w:numId w:val="33"/>
        </w:numPr>
      </w:pPr>
      <w:r w:rsidRPr="00000CC6">
        <w:t>Northern Territory Government. Roadmap to the new normal. Stage 3 – Friday 5 June (current). [Internet.] Darwin: Northern Territory Government; 2020. [Accessed on 11 June 2020.] Available from: https://coronavirus.nt.gov.au/roadmap-new-normal#/stage_3_friday_5_june_current.</w:t>
      </w:r>
    </w:p>
    <w:p w14:paraId="0FB6BF8C" w14:textId="023CE95B" w:rsidR="00D35A05" w:rsidRPr="00000CC6" w:rsidRDefault="00D35A05" w:rsidP="00951171">
      <w:pPr>
        <w:pStyle w:val="ListParagraph"/>
        <w:numPr>
          <w:ilvl w:val="0"/>
          <w:numId w:val="33"/>
        </w:numPr>
      </w:pPr>
      <w:r w:rsidRPr="00000CC6">
        <w:t xml:space="preserve">World Health Organization (WHO). Coronavirus disease 2019 (COVID-19) situation report – 139. [Internet.] Geneva: WHO; 2020. [Accessed on 12 June 2020.] Available from: https://www.who.int/docs/default-source/coronaviruse/situation-reports/20200607-covid-19-sitrep-139.pdf. </w:t>
      </w:r>
    </w:p>
    <w:p w14:paraId="70DF1B4C" w14:textId="57705C68" w:rsidR="00D35A05" w:rsidRPr="00000CC6" w:rsidRDefault="00D35A05" w:rsidP="00951171">
      <w:pPr>
        <w:pStyle w:val="ListParagraph"/>
        <w:numPr>
          <w:ilvl w:val="0"/>
          <w:numId w:val="33"/>
        </w:numPr>
      </w:pPr>
      <w:r w:rsidRPr="00000CC6">
        <w:t xml:space="preserve">Gall C. Istanbul death toll hints Turkey is hiding a wider coronavirus calamity. [Internet.] New York: </w:t>
      </w:r>
      <w:r w:rsidRPr="00951171">
        <w:rPr>
          <w:i/>
        </w:rPr>
        <w:t>The New York Times</w:t>
      </w:r>
      <w:r w:rsidRPr="00000CC6">
        <w:t>; 20 April 2020. [Accessed on 1 June 2020.] Available from: https://www.nytimes.com/2020/04/20/world/middleeast/coronavirus-turkey-deaths.html.</w:t>
      </w:r>
    </w:p>
    <w:p w14:paraId="3A2730B7" w14:textId="16638998" w:rsidR="00D35A05" w:rsidRPr="00000CC6" w:rsidRDefault="00D35A05" w:rsidP="00951171">
      <w:pPr>
        <w:pStyle w:val="ListParagraph"/>
        <w:numPr>
          <w:ilvl w:val="0"/>
          <w:numId w:val="33"/>
        </w:numPr>
      </w:pPr>
      <w:r w:rsidRPr="00000CC6">
        <w:t xml:space="preserve">Wu J, McCann A, Katz J, Peltier E. 87,000 missing deaths: tracking the true toll of the coronavirus outbreak. [Internet.] New York: </w:t>
      </w:r>
      <w:r w:rsidRPr="00951171">
        <w:rPr>
          <w:i/>
        </w:rPr>
        <w:t>The New York Times</w:t>
      </w:r>
      <w:r w:rsidRPr="00000CC6">
        <w:t>; 21 April 2020. [Accessed on 1 June 2020.] Available from: https://www.nytimes.com/interactive/2020/04/21/world/coronavirus-missing-deaths.html.</w:t>
      </w:r>
    </w:p>
    <w:p w14:paraId="0C84AAEF" w14:textId="37124D40" w:rsidR="00D35A05" w:rsidRPr="00000CC6" w:rsidRDefault="00D35A05" w:rsidP="00951171">
      <w:pPr>
        <w:pStyle w:val="ListParagraph"/>
        <w:numPr>
          <w:ilvl w:val="0"/>
          <w:numId w:val="33"/>
        </w:numPr>
      </w:pPr>
      <w:r w:rsidRPr="00000CC6">
        <w:lastRenderedPageBreak/>
        <w:t>WHO. COVID-19 sitation in the WHO European Region. [Internet.] Geneva: WHO; 2020. [Accessed on 1 June 2020.] Available from: https://who.maps.arcgis.com/apps/opsdashboard/index.html#/ead3c6475654481ca51c248d52ab9c61.</w:t>
      </w:r>
    </w:p>
    <w:p w14:paraId="589E4D1E" w14:textId="159B4AE0" w:rsidR="00D35A05" w:rsidRPr="00000CC6" w:rsidRDefault="00D35A05" w:rsidP="00951171">
      <w:pPr>
        <w:pStyle w:val="ListParagraph"/>
        <w:numPr>
          <w:ilvl w:val="0"/>
          <w:numId w:val="33"/>
        </w:numPr>
      </w:pPr>
      <w:r w:rsidRPr="00000CC6">
        <w:t>United Nations Office for the Coordination of Humanitarian Affairs (OCHA). Islamic Republic of Iran: flash update - as of 28 May 2020. [Internet.] New York: United Nations, OCHA; 28 May 2020. [Accessed on 1 June 2020.] Available from: https://reliefweb.int/report/iran-islamic-republic/islamic-republic-iran-flash-update-28-may-2020.</w:t>
      </w:r>
    </w:p>
    <w:p w14:paraId="4C015DE0" w14:textId="6FE6AAB5" w:rsidR="00D35A05" w:rsidRPr="00000CC6" w:rsidRDefault="00D35A05" w:rsidP="00951171">
      <w:pPr>
        <w:pStyle w:val="ListParagraph"/>
        <w:numPr>
          <w:ilvl w:val="0"/>
          <w:numId w:val="33"/>
        </w:numPr>
      </w:pPr>
      <w:r w:rsidRPr="00000CC6">
        <w:t>African Centres for Disease Control and Prevention (Africa CDC). Home / Outbreak Briefs. Outbreak Brief 20: COVID-19 Pandemic – 2 June 2020. [Internet.] Addis Ababa: African Union, Africa CDC; 2020. [Accessed on 10 June 2020.] Available from: https://africacdc.org/download/outbreak-brief-19-covid-19-pandemic-26-may-2020-2/.</w:t>
      </w:r>
    </w:p>
    <w:p w14:paraId="6B7B3C61" w14:textId="653BB8E7" w:rsidR="00D35A05" w:rsidRPr="00000CC6" w:rsidRDefault="00D35A05" w:rsidP="00951171">
      <w:pPr>
        <w:pStyle w:val="ListParagraph"/>
        <w:numPr>
          <w:ilvl w:val="0"/>
          <w:numId w:val="33"/>
        </w:numPr>
      </w:pPr>
      <w:r w:rsidRPr="00000CC6">
        <w:t xml:space="preserve">Yadav P, Mehndiratta A, Chalkidou K, Rupani S, Reddy K. India’s COVID-19 testing capacity must grow by a factor of 10: here’s how </w:t>
      </w:r>
      <w:r w:rsidR="007341FE">
        <w:t>t</w:t>
      </w:r>
      <w:r w:rsidRPr="00000CC6">
        <w:t xml:space="preserve">hat </w:t>
      </w:r>
      <w:r w:rsidR="007341FE">
        <w:t>c</w:t>
      </w:r>
      <w:r w:rsidRPr="00000CC6">
        <w:t>an happen. [Internet.] Washington, DC: Center for Global Development; 4 June 2020. [Accessed on 10 June 2020.] Available from: https://www.cgdev.org/publication/indias-covid-19-testing-capacity-must-grow-factor-10-heres-how-can-happen.</w:t>
      </w:r>
    </w:p>
    <w:p w14:paraId="71C8458E" w14:textId="1751013C" w:rsidR="00D35A05" w:rsidRPr="00000CC6" w:rsidRDefault="00D35A05" w:rsidP="00951171">
      <w:pPr>
        <w:pStyle w:val="ListParagraph"/>
        <w:numPr>
          <w:ilvl w:val="0"/>
          <w:numId w:val="33"/>
        </w:numPr>
      </w:pPr>
      <w:r w:rsidRPr="00000CC6">
        <w:t>Indian Council of Medical Research (ICMR). SARS-CoV-2 (COVID-19) testing: status update. 01 June 2020, 09:00 AM IST. New Delhi: Government of India, Ministry of Health and Family Welfare, Department of Health Research, ICMR; 1 June 2020. [Accessed on 10 June 2020.] Available from: https://www.icmr.gov.in/pdf/covid/update/ICMR_testing_update_01June2020_9AM_IST.pdf.</w:t>
      </w:r>
    </w:p>
    <w:p w14:paraId="2B213D37" w14:textId="5C5618B0" w:rsidR="00D35A05" w:rsidRPr="00000CC6" w:rsidRDefault="00D35A05" w:rsidP="00951171">
      <w:pPr>
        <w:pStyle w:val="ListParagraph"/>
        <w:numPr>
          <w:ilvl w:val="0"/>
          <w:numId w:val="33"/>
        </w:numPr>
      </w:pPr>
      <w:r w:rsidRPr="00000CC6">
        <w:t>ICMR. SARS-CoV-2 (COVID-19) testing: status update. 07 June 2020, 09:00 AM IST. New Delhi: Government of India, Ministry of Health and Family Welfare, Department of Health Research, ICMR; 7 June 2020. [Accessed on 10 June 2020.] Available from: https://www.icmr.gov.in/pdf/covid/update/ICMR_testing_update_07June2020_9AM_IST.pdf.</w:t>
      </w:r>
    </w:p>
    <w:p w14:paraId="35363EB9" w14:textId="71BC482F" w:rsidR="00D35A05" w:rsidRPr="00000CC6" w:rsidRDefault="00D35A05" w:rsidP="00951171">
      <w:pPr>
        <w:pStyle w:val="ListParagraph"/>
        <w:numPr>
          <w:ilvl w:val="0"/>
          <w:numId w:val="33"/>
        </w:numPr>
      </w:pPr>
      <w:r w:rsidRPr="00000CC6">
        <w:t>WHO. WHO Coronavirus Disease (COVID-19) dashboard. [Internet.] Geneva: WHO; 2020. [Accessed on 10 June 2020.] Available from: https://covid19.who.int/.</w:t>
      </w:r>
    </w:p>
    <w:p w14:paraId="7D110D94" w14:textId="7FFF9A5B" w:rsidR="00D35A05" w:rsidRPr="00000CC6" w:rsidRDefault="00D35A05" w:rsidP="00951171">
      <w:pPr>
        <w:pStyle w:val="ListParagraph"/>
        <w:numPr>
          <w:ilvl w:val="0"/>
          <w:numId w:val="33"/>
        </w:numPr>
      </w:pPr>
      <w:r w:rsidRPr="00000CC6">
        <w:t>Philippines Department of Health. COVID-19 case tracker. [Internet.] Manila: Republic of the Philippines, Department of Health; 2020. [Accessed on 10 June 2020.] Available from: https://www.doh.gov.ph/covid-19/case-tracker.</w:t>
      </w:r>
    </w:p>
    <w:p w14:paraId="1242E6D2" w14:textId="4E023F91" w:rsidR="00D35A05" w:rsidRPr="00000CC6" w:rsidRDefault="00D35A05" w:rsidP="00951171">
      <w:pPr>
        <w:pStyle w:val="ListParagraph"/>
        <w:numPr>
          <w:ilvl w:val="0"/>
          <w:numId w:val="33"/>
        </w:numPr>
      </w:pPr>
      <w:r w:rsidRPr="00000CC6">
        <w:t>WHO. Report of the WHO-China joint mission on coronavirus disease 2019 (COVID-19). [Internet.] Geneva: WHO; 2020. [Accessed 1 Mar 2020.] Available from: https://www.who.int/docs/default-source/coronaviruse/who-china-joint-mission-on-covid-19-final-report.pdf.</w:t>
      </w:r>
    </w:p>
    <w:p w14:paraId="2B9DCA1A" w14:textId="651366DD" w:rsidR="00D35A05" w:rsidRPr="00000CC6" w:rsidRDefault="00D35A05" w:rsidP="00951171">
      <w:pPr>
        <w:pStyle w:val="ListParagraph"/>
        <w:numPr>
          <w:ilvl w:val="0"/>
          <w:numId w:val="33"/>
        </w:numPr>
      </w:pPr>
      <w:r w:rsidRPr="00000CC6">
        <w:t xml:space="preserve">Wölfel R, Corman VM, Guggemos W, Seilmaier M, Zange S, Müller MA et al. Virological assessment of hospitalized patients with COVID-2019. </w:t>
      </w:r>
      <w:r w:rsidRPr="00951171">
        <w:rPr>
          <w:i/>
        </w:rPr>
        <w:t>Nature</w:t>
      </w:r>
      <w:r w:rsidRPr="00000CC6">
        <w:t>. 2020. doi: https://doi.org/10.1038/s41586-020-2196-x.</w:t>
      </w:r>
    </w:p>
    <w:p w14:paraId="5F5F09AE" w14:textId="65CCBD75" w:rsidR="00D35A05" w:rsidRPr="00000CC6" w:rsidRDefault="00D35A05" w:rsidP="00951171">
      <w:pPr>
        <w:pStyle w:val="ListParagraph"/>
        <w:numPr>
          <w:ilvl w:val="0"/>
          <w:numId w:val="33"/>
        </w:numPr>
      </w:pPr>
      <w:r w:rsidRPr="00000CC6">
        <w:t xml:space="preserve">Cheng HY, Jian SW, Liu DP, Ng TC, Huang WT, Lin HH. Contact tracing assessment of COVID-19 transmission dynamics in Taiwan and risk at different exposure periods before and after symptom onset. </w:t>
      </w:r>
      <w:r w:rsidRPr="00951171">
        <w:rPr>
          <w:i/>
        </w:rPr>
        <w:t>JAMA Intern Med</w:t>
      </w:r>
      <w:r w:rsidRPr="00000CC6">
        <w:t>. 2020. doi: https://doi.org/10.1001/jamainternmed.2020.2020.</w:t>
      </w:r>
    </w:p>
    <w:p w14:paraId="5C0347ED" w14:textId="40CE5779" w:rsidR="00D35A05" w:rsidRPr="00000CC6" w:rsidRDefault="00D35A05" w:rsidP="00951171">
      <w:pPr>
        <w:pStyle w:val="ListParagraph"/>
        <w:numPr>
          <w:ilvl w:val="0"/>
          <w:numId w:val="33"/>
        </w:numPr>
      </w:pPr>
      <w:r w:rsidRPr="00000CC6">
        <w:t>Korea Centers for Disease Control and Prevention (KCDC). Division of risk assessment and international cooperation. Findings from investigation and analysis of re-positive cases. [Internet.] Cheongju: Government of South Korea, KCDC; 2020. [Accessed on 24 May 2020.] Available from: https://www.cdc.go.kr/board/board.es?mid=a30402000000&amp;bid=0030&amp;act=view&amp;list_no=367267&amp;nPage=1.</w:t>
      </w:r>
    </w:p>
    <w:p w14:paraId="04EB48A3" w14:textId="0530A564" w:rsidR="00D35A05" w:rsidRPr="00000CC6" w:rsidRDefault="00D35A05" w:rsidP="00951171">
      <w:pPr>
        <w:pStyle w:val="ListParagraph"/>
        <w:numPr>
          <w:ilvl w:val="0"/>
          <w:numId w:val="33"/>
        </w:numPr>
      </w:pPr>
      <w:r w:rsidRPr="00000CC6">
        <w:t xml:space="preserve">Zhu Y, Bloxham CJ, Hulme KD, Sinclair JE, Tong ZW, Steele LE et al. Children are unlikely to have been the primary source of household SARS-CoV-2 infections. </w:t>
      </w:r>
      <w:r w:rsidRPr="00951171">
        <w:rPr>
          <w:i/>
        </w:rPr>
        <w:t>medRxiv</w:t>
      </w:r>
      <w:r w:rsidRPr="00000CC6">
        <w:t>. 2020. doi: https://doi.org/10.1101/2020.03.26.20044826.</w:t>
      </w:r>
    </w:p>
    <w:p w14:paraId="514E3A27" w14:textId="00D29660" w:rsidR="00D35A05" w:rsidRPr="00000CC6" w:rsidRDefault="00D35A05" w:rsidP="00951171">
      <w:pPr>
        <w:pStyle w:val="ListParagraph"/>
        <w:numPr>
          <w:ilvl w:val="0"/>
          <w:numId w:val="33"/>
        </w:numPr>
      </w:pPr>
      <w:r w:rsidRPr="00000CC6">
        <w:t xml:space="preserve">Gudbjartsson DF, Helgason A, Jonsson H, Magnusson OT, Melsted P, Norddahl GL et al. Spread of SARS-CoV-2 in the Icelandic population. </w:t>
      </w:r>
      <w:r w:rsidRPr="00951171">
        <w:rPr>
          <w:i/>
        </w:rPr>
        <w:t>N Engl J Med</w:t>
      </w:r>
      <w:r w:rsidRPr="00000CC6">
        <w:t>. 2020. doi: https://doi.org/10.1056/NEJMoa2006100.</w:t>
      </w:r>
    </w:p>
    <w:p w14:paraId="4119D910" w14:textId="5946269C" w:rsidR="00D35A05" w:rsidRPr="00000CC6" w:rsidRDefault="00D35A05" w:rsidP="00951171">
      <w:pPr>
        <w:pStyle w:val="ListParagraph"/>
        <w:numPr>
          <w:ilvl w:val="0"/>
          <w:numId w:val="33"/>
        </w:numPr>
      </w:pPr>
      <w:r w:rsidRPr="00000CC6">
        <w:lastRenderedPageBreak/>
        <w:t>European Centre for Disease Prevention and Control (ECDC). Rapid risk assessment: Paediatric inflammatory multisystem syndrome and SARS-CoV-2 infection in children – 15 May 2020. Solna: ECDC; 2020. [Accessed on 19 May 2020.] Available from: https://www.ecdc.europa.eu/sites/default/files/documents/covid-19-risk-assessment-paediatric-inflammatory-multisystem-syndrome-15-May-2020.pdf.</w:t>
      </w:r>
    </w:p>
    <w:p w14:paraId="17A90E10" w14:textId="45377FBE" w:rsidR="00D35A05" w:rsidRPr="00000CC6" w:rsidRDefault="00D35A05" w:rsidP="00951171">
      <w:pPr>
        <w:pStyle w:val="ListParagraph"/>
        <w:numPr>
          <w:ilvl w:val="0"/>
          <w:numId w:val="33"/>
        </w:numPr>
      </w:pPr>
      <w:r w:rsidRPr="00000CC6">
        <w:t>WHO. Coronavirus disease 2019 (COVID-19) situation report – 29. [Internet.] Geneva: WHO; 2020. [Accessed 22 Feb 2020.] Available from: https://www.who.int/docs/default-source/coronaviruse/situation-reports/20200218-sitrep-29-covid-19.pdf.</w:t>
      </w:r>
    </w:p>
    <w:p w14:paraId="4B8D27B8" w14:textId="3FFA29B4" w:rsidR="00D35A05" w:rsidRPr="00000CC6" w:rsidRDefault="00D35A05" w:rsidP="00951171">
      <w:pPr>
        <w:pStyle w:val="ListParagraph"/>
        <w:numPr>
          <w:ilvl w:val="0"/>
          <w:numId w:val="33"/>
        </w:numPr>
      </w:pPr>
      <w:r w:rsidRPr="00000CC6">
        <w:t xml:space="preserve">Pung R, Chiew CJ, Young BE, Chin S, Chen M, Clapham HE. Investigation of three clusters of COVID-19 in Singapore: implications for surveillance and response measures. </w:t>
      </w:r>
      <w:r w:rsidRPr="00951171">
        <w:rPr>
          <w:i/>
        </w:rPr>
        <w:t>Lancet</w:t>
      </w:r>
      <w:r w:rsidRPr="00000CC6">
        <w:t>. 2020;395(10229):1039–46.</w:t>
      </w:r>
    </w:p>
    <w:p w14:paraId="0139A89F" w14:textId="6B60BDC9" w:rsidR="00D35A05" w:rsidRPr="00000CC6" w:rsidRDefault="00D35A05" w:rsidP="00951171">
      <w:pPr>
        <w:pStyle w:val="ListParagraph"/>
        <w:numPr>
          <w:ilvl w:val="0"/>
          <w:numId w:val="33"/>
        </w:numPr>
      </w:pPr>
      <w:r w:rsidRPr="00000CC6">
        <w:t xml:space="preserve">Rockett RJ, Arnott A, Lam C, Sadsad R, Timms V, Gray KA et al. Revealing COVID-19 transmission by SARS-CoV-2 genome sequencing and agent based modelling. </w:t>
      </w:r>
      <w:r w:rsidRPr="00951171">
        <w:rPr>
          <w:i/>
        </w:rPr>
        <w:t>bioRxiv</w:t>
      </w:r>
      <w:r w:rsidRPr="00000CC6">
        <w:t>. doi: https://doi.org/10.1101/2020.04.19.048751.</w:t>
      </w:r>
    </w:p>
    <w:p w14:paraId="1C068905" w14:textId="48848504" w:rsidR="00D35A05" w:rsidRPr="00000CC6" w:rsidRDefault="00D35A05" w:rsidP="00951171">
      <w:pPr>
        <w:pStyle w:val="ListParagraph"/>
        <w:numPr>
          <w:ilvl w:val="0"/>
          <w:numId w:val="33"/>
        </w:numPr>
      </w:pPr>
      <w:r w:rsidRPr="00000CC6">
        <w:t>Nextstrain team. Genomic epidemiology of novel coronavirus – Oceania-focused subsampling. [Internet.] [Accessed on 5 May 2020.] Available online: https://nextstrain.org/ncov/oceania?c=division&amp;f_country=Australia&amp;l=radial.</w:t>
      </w:r>
    </w:p>
    <w:p w14:paraId="41C35391" w14:textId="7B604F70" w:rsidR="00D35A05" w:rsidRPr="00000CC6" w:rsidRDefault="00D35A05" w:rsidP="00951171">
      <w:pPr>
        <w:pStyle w:val="ListParagraph"/>
        <w:numPr>
          <w:ilvl w:val="0"/>
          <w:numId w:val="33"/>
        </w:numPr>
      </w:pPr>
      <w:r w:rsidRPr="00000CC6">
        <w:t xml:space="preserve">Seemann T, Lane C, Sherry N, Duchene S, Goncalves da Silva A, Caly L et al. Tracking the COVID-19 pandemic in Australia using genomics. </w:t>
      </w:r>
      <w:r w:rsidRPr="00951171">
        <w:rPr>
          <w:i/>
        </w:rPr>
        <w:t>medRxiv</w:t>
      </w:r>
      <w:r w:rsidRPr="00000CC6">
        <w:t>. 2020 doi: https://doi.org/10.1101/2020.05.12.20099929.</w:t>
      </w:r>
    </w:p>
    <w:p w14:paraId="7D69C357" w14:textId="396C839D" w:rsidR="00D35A05" w:rsidRPr="00000CC6" w:rsidRDefault="00D35A05" w:rsidP="00951171">
      <w:pPr>
        <w:pStyle w:val="ListParagraph"/>
        <w:numPr>
          <w:ilvl w:val="0"/>
          <w:numId w:val="33"/>
        </w:numPr>
      </w:pPr>
      <w:r w:rsidRPr="00000CC6">
        <w:t xml:space="preserve">Sun P, Qiu S, Liu Z, Ren J, Xi JJ. Clinical characteristics of 50466 patients with 2019-nCoV infection. </w:t>
      </w:r>
      <w:r w:rsidRPr="00951171">
        <w:rPr>
          <w:i/>
        </w:rPr>
        <w:t>medRxiv</w:t>
      </w:r>
      <w:r w:rsidRPr="00000CC6">
        <w:t>. 2020. doi: https://doi.org/10.1101/2020.02.18.20024539.</w:t>
      </w:r>
    </w:p>
    <w:p w14:paraId="5D77EB12" w14:textId="259DEF26" w:rsidR="00D35A05" w:rsidRPr="00000CC6" w:rsidRDefault="00D35A05" w:rsidP="00951171">
      <w:pPr>
        <w:pStyle w:val="ListParagraph"/>
        <w:numPr>
          <w:ilvl w:val="0"/>
          <w:numId w:val="33"/>
        </w:numPr>
      </w:pPr>
      <w:r w:rsidRPr="00000CC6">
        <w:t xml:space="preserve">Li B, Bai W, Hashikawa T. The neuroinvasive potential of SARS-CoV-2 may be at least partially responsible for the respiratory failure of COVID-19 patients. </w:t>
      </w:r>
      <w:r w:rsidRPr="00951171">
        <w:rPr>
          <w:i/>
        </w:rPr>
        <w:t>J Med Virol</w:t>
      </w:r>
      <w:r w:rsidRPr="00000CC6">
        <w:t>. 2020. doi: https://doi.org/10.1002/jmv.25728.</w:t>
      </w:r>
    </w:p>
    <w:p w14:paraId="5C820527" w14:textId="4A953AA5" w:rsidR="00D35A05" w:rsidRPr="00000CC6" w:rsidRDefault="00D35A05" w:rsidP="00951171">
      <w:pPr>
        <w:pStyle w:val="ListParagraph"/>
        <w:numPr>
          <w:ilvl w:val="0"/>
          <w:numId w:val="33"/>
        </w:numPr>
      </w:pPr>
      <w:r w:rsidRPr="00000CC6">
        <w:t xml:space="preserve">Mao L, Jin H, Wang M, Hu Y, Chen S, He Q et al. Neurological manifestations of hospitalized patients with coronavirus disease 2019 in Wuhan, China. </w:t>
      </w:r>
      <w:r w:rsidRPr="00951171">
        <w:rPr>
          <w:i/>
        </w:rPr>
        <w:t>JAMA Neurol</w:t>
      </w:r>
      <w:r w:rsidRPr="00000CC6">
        <w:t>. 2020;e201127. doi: https://doi.org/10.1001/jamaneurol.2020.1127.</w:t>
      </w:r>
    </w:p>
    <w:p w14:paraId="030C8D6D" w14:textId="434171CE" w:rsidR="00D35A05" w:rsidRPr="00000CC6" w:rsidRDefault="00D35A05" w:rsidP="00951171">
      <w:pPr>
        <w:pStyle w:val="ListParagraph"/>
        <w:numPr>
          <w:ilvl w:val="0"/>
          <w:numId w:val="33"/>
        </w:numPr>
      </w:pPr>
      <w:r w:rsidRPr="00000CC6">
        <w:t xml:space="preserve">Drew DA, Nguyen LH, Steves CJ, Wolf J, Spector TC, Chan AT. Rapid implementation of mobile technology for real-time epidemiology of COVID-19. </w:t>
      </w:r>
      <w:r w:rsidRPr="00951171">
        <w:rPr>
          <w:i/>
        </w:rPr>
        <w:t>medRxiv</w:t>
      </w:r>
      <w:r w:rsidRPr="00000CC6">
        <w:t>. 2020. doi: https://doi.org/10.1101/2020.04.02.20051334.</w:t>
      </w:r>
    </w:p>
    <w:p w14:paraId="139A436D" w14:textId="22D3E4FC" w:rsidR="00D35A05" w:rsidRPr="00000CC6" w:rsidRDefault="00D35A05" w:rsidP="00951171">
      <w:pPr>
        <w:pStyle w:val="ListParagraph"/>
        <w:numPr>
          <w:ilvl w:val="0"/>
          <w:numId w:val="33"/>
        </w:numPr>
      </w:pPr>
      <w:r w:rsidRPr="00000CC6">
        <w:t xml:space="preserve">Venkatakrishnan AJ, Puranik A, Anand A, Zemmour D, Yao X, Wu X et al. Knowledge synthesis from 100 million biomedical documents augments the deep expression profiling of coronavirus receptors. </w:t>
      </w:r>
      <w:r w:rsidRPr="00951171">
        <w:rPr>
          <w:i/>
        </w:rPr>
        <w:t>bioRxiv</w:t>
      </w:r>
      <w:r w:rsidRPr="00000CC6">
        <w:t xml:space="preserve">. 2020. doi: https://doi.org/10.1101/2020.03.24.005702. </w:t>
      </w:r>
    </w:p>
    <w:p w14:paraId="20196240" w14:textId="3712B938" w:rsidR="00D35A05" w:rsidRPr="00000CC6" w:rsidRDefault="00D35A05" w:rsidP="00951171">
      <w:pPr>
        <w:pStyle w:val="ListParagraph"/>
        <w:numPr>
          <w:ilvl w:val="0"/>
          <w:numId w:val="33"/>
        </w:numPr>
      </w:pPr>
      <w:r w:rsidRPr="00000CC6">
        <w:t xml:space="preserve">Brann DH, Tsukahara T, Weinreb C, Logan DW, Datta SR. Non-neural expression of SARS-CoV-2 entry genes in the olfactory epithelium suggests mechanisms underlying anosmia in COVID-19 patients. </w:t>
      </w:r>
      <w:r w:rsidRPr="00951171">
        <w:rPr>
          <w:i/>
        </w:rPr>
        <w:t>bioRxiv</w:t>
      </w:r>
      <w:r w:rsidRPr="00000CC6">
        <w:t>. 2020. doi: https://doi.org/10.1101/2020.03.25.009084.</w:t>
      </w:r>
    </w:p>
    <w:p w14:paraId="08DAFDD5" w14:textId="1A239661" w:rsidR="00D35A05" w:rsidRPr="00000CC6" w:rsidRDefault="00D35A05" w:rsidP="00951171">
      <w:pPr>
        <w:pStyle w:val="ListParagraph"/>
        <w:numPr>
          <w:ilvl w:val="0"/>
          <w:numId w:val="33"/>
        </w:numPr>
      </w:pPr>
      <w:r w:rsidRPr="00000CC6">
        <w:t>Inciardi RM, Lupi L, Zaccone G, Italia L, Raffo M, Tomasoni D et al. Cardiac involvement in a patient with coronavirus disease 2019 (COVID-19).</w:t>
      </w:r>
      <w:r w:rsidRPr="00951171">
        <w:rPr>
          <w:i/>
        </w:rPr>
        <w:t xml:space="preserve"> JAMA Cardiol</w:t>
      </w:r>
      <w:r w:rsidRPr="00000CC6">
        <w:t>. 2020. doi: https://doi.org/10.1001/jamacardio.2020.1096.</w:t>
      </w:r>
    </w:p>
    <w:p w14:paraId="544879EB" w14:textId="24B13657" w:rsidR="00D35A05" w:rsidRPr="00000CC6" w:rsidRDefault="00D35A05" w:rsidP="00951171">
      <w:pPr>
        <w:pStyle w:val="ListParagraph"/>
        <w:numPr>
          <w:ilvl w:val="0"/>
          <w:numId w:val="33"/>
        </w:numPr>
      </w:pPr>
      <w:r w:rsidRPr="00000CC6">
        <w:t>Guo T, Fan Y, Chen M, Wu X, Zhang L, He T et al. Cardiovascular implications of fatal outcomes of patients with coronavirus disease 2019 (COVID-19).</w:t>
      </w:r>
      <w:r w:rsidRPr="00951171">
        <w:rPr>
          <w:i/>
        </w:rPr>
        <w:t xml:space="preserve"> JAMA Cardiol</w:t>
      </w:r>
      <w:r w:rsidRPr="00000CC6">
        <w:t>. 2020. doi: https://doi.org/10.1001/jamacardio.2020.1017.</w:t>
      </w:r>
    </w:p>
    <w:p w14:paraId="7B7A0648" w14:textId="25ADCF77" w:rsidR="00D35A05" w:rsidRPr="00000CC6" w:rsidRDefault="00D35A05" w:rsidP="00951171">
      <w:pPr>
        <w:pStyle w:val="ListParagraph"/>
        <w:numPr>
          <w:ilvl w:val="0"/>
          <w:numId w:val="33"/>
        </w:numPr>
      </w:pPr>
      <w:r w:rsidRPr="00000CC6">
        <w:t xml:space="preserve">Madjid M, Safavi-Naeini P, Solomon SD, Vardeny O. Potential effects of coronaviruses on the cardiovascular system: a review. </w:t>
      </w:r>
      <w:r w:rsidRPr="00951171">
        <w:rPr>
          <w:i/>
        </w:rPr>
        <w:t>JAMA Cardiol</w:t>
      </w:r>
      <w:r w:rsidRPr="00000CC6">
        <w:t>. 2020. doi: https://doi.org/10.1001/jamacardio.2020.1286.</w:t>
      </w:r>
    </w:p>
    <w:p w14:paraId="134FF72A" w14:textId="57CDB332" w:rsidR="00D35A05" w:rsidRPr="00000CC6" w:rsidRDefault="00D35A05" w:rsidP="00951171">
      <w:pPr>
        <w:pStyle w:val="ListParagraph"/>
        <w:numPr>
          <w:ilvl w:val="0"/>
          <w:numId w:val="33"/>
        </w:numPr>
      </w:pPr>
      <w:r w:rsidRPr="00000CC6">
        <w:t xml:space="preserve">Riphagen S, Gomez X, Gonzalez-Martinez C, Wilkinson N, Theocharis P. Hyperinflammatory shock in children during COVID-19 pandemic. </w:t>
      </w:r>
      <w:r w:rsidRPr="00951171">
        <w:rPr>
          <w:i/>
        </w:rPr>
        <w:t>Lancet</w:t>
      </w:r>
      <w:r w:rsidRPr="00000CC6">
        <w:t>. 2020. doi: https://doi.org/10.1016/S0140-6736(20)31094-1.</w:t>
      </w:r>
    </w:p>
    <w:p w14:paraId="7DC9B53C" w14:textId="4F3786D1" w:rsidR="00D35A05" w:rsidRPr="00000CC6" w:rsidRDefault="00D35A05" w:rsidP="00951171">
      <w:pPr>
        <w:pStyle w:val="ListParagraph"/>
        <w:numPr>
          <w:ilvl w:val="0"/>
          <w:numId w:val="33"/>
        </w:numPr>
      </w:pPr>
      <w:r w:rsidRPr="00000CC6">
        <w:t xml:space="preserve">Morand A, Urbina D, Fabre A. COVID-19 and Kawasaki like disease: the known-known, the unknown-known and the unknown-unknown. </w:t>
      </w:r>
      <w:r w:rsidRPr="00951171">
        <w:rPr>
          <w:i/>
        </w:rPr>
        <w:t>Preprints</w:t>
      </w:r>
      <w:r w:rsidRPr="00000CC6">
        <w:t>. 2020;2020050160. doi: https://doi.org/10.20944/preprints202005.0160.v1.</w:t>
      </w:r>
    </w:p>
    <w:p w14:paraId="3E3ABABB" w14:textId="764CADF5" w:rsidR="00D35A05" w:rsidRPr="00000CC6" w:rsidRDefault="00D35A05" w:rsidP="00951171">
      <w:pPr>
        <w:pStyle w:val="ListParagraph"/>
        <w:numPr>
          <w:ilvl w:val="0"/>
          <w:numId w:val="33"/>
        </w:numPr>
      </w:pPr>
      <w:r w:rsidRPr="00000CC6">
        <w:t>WHO. Clinical management of severe acute respiratory infection when novel coronavirus (nCoV) infection is suspected. [Internet.] Geneva: WHO; 2020. [Accessed 23 Feb 2020.] Available from: https://www.who.int/publications-detail/clinical-management-of-severe-acute-respiratory-infection-when-novel-coronavirus-(ncov)-infection-is-suspected.</w:t>
      </w:r>
    </w:p>
    <w:p w14:paraId="6E1A5C31" w14:textId="24033F38" w:rsidR="00D35A05" w:rsidRPr="00000CC6" w:rsidRDefault="00D35A05" w:rsidP="00951171">
      <w:pPr>
        <w:pStyle w:val="ListParagraph"/>
        <w:numPr>
          <w:ilvl w:val="0"/>
          <w:numId w:val="33"/>
        </w:numPr>
      </w:pPr>
      <w:r w:rsidRPr="00000CC6">
        <w:t xml:space="preserve">Harrison C. Coronavirus puts drug re-purposing on the fast track. </w:t>
      </w:r>
      <w:r w:rsidRPr="00951171">
        <w:rPr>
          <w:i/>
        </w:rPr>
        <w:t>Nat Biotechnol</w:t>
      </w:r>
      <w:r w:rsidRPr="00000CC6">
        <w:t>. 2020. doi: https://doi.org/10.1038/d41587-020-00003-1.</w:t>
      </w:r>
    </w:p>
    <w:p w14:paraId="044FAFDA" w14:textId="16D41DBB" w:rsidR="00D35A05" w:rsidRPr="00000CC6" w:rsidRDefault="00D35A05" w:rsidP="00951171">
      <w:pPr>
        <w:pStyle w:val="ListParagraph"/>
        <w:numPr>
          <w:ilvl w:val="0"/>
          <w:numId w:val="33"/>
        </w:numPr>
      </w:pPr>
      <w:r w:rsidRPr="00000CC6">
        <w:t xml:space="preserve">Wang M, Cao R, Zhang L, Yang X, Liu J, Xu M et al. Remdesivir and chloroquine effectively inhibit the recently emerged novel coronavirus (2019-nCoV) in vitro. </w:t>
      </w:r>
      <w:r w:rsidRPr="00951171">
        <w:rPr>
          <w:i/>
        </w:rPr>
        <w:t>Cell Research</w:t>
      </w:r>
      <w:r w:rsidRPr="00000CC6">
        <w:t>. 2020;30;269–71.</w:t>
      </w:r>
    </w:p>
    <w:p w14:paraId="0019EEFA" w14:textId="48798B47" w:rsidR="00D35A05" w:rsidRPr="00000CC6" w:rsidRDefault="00D35A05" w:rsidP="00951171">
      <w:pPr>
        <w:pStyle w:val="ListParagraph"/>
        <w:numPr>
          <w:ilvl w:val="0"/>
          <w:numId w:val="33"/>
        </w:numPr>
      </w:pPr>
      <w:r w:rsidRPr="00000CC6">
        <w:t xml:space="preserve">Tang W, Cao Z, Han M, Wang Z, Chen W, Sun W et al. Hydroxychloroquine in patients with mainly mild to moderate coronavirus disease 2019: open label, randomised controlled trial. </w:t>
      </w:r>
      <w:r w:rsidRPr="00951171">
        <w:rPr>
          <w:i/>
        </w:rPr>
        <w:t>BMJ</w:t>
      </w:r>
      <w:r w:rsidRPr="00000CC6">
        <w:t>. 2020. doi: https://doi.org/10.1136/bmj.m1849.</w:t>
      </w:r>
    </w:p>
    <w:p w14:paraId="7DF1A9CF" w14:textId="002E7736" w:rsidR="00D35A05" w:rsidRPr="00000CC6" w:rsidRDefault="00D35A05" w:rsidP="00951171">
      <w:pPr>
        <w:pStyle w:val="ListParagraph"/>
        <w:numPr>
          <w:ilvl w:val="0"/>
          <w:numId w:val="33"/>
        </w:numPr>
      </w:pPr>
      <w:r w:rsidRPr="00000CC6">
        <w:t xml:space="preserve">Cao B, Wang Y, Wen D, Liu W, Wang J, Fan G et al. A trial of lopinavir–ritonavir in adults hospitalized with severe Covid-19. </w:t>
      </w:r>
      <w:r w:rsidRPr="00951171">
        <w:rPr>
          <w:i/>
        </w:rPr>
        <w:t>N Engl J Med</w:t>
      </w:r>
      <w:r w:rsidRPr="00000CC6">
        <w:t>. 2020;382:1787–99.</w:t>
      </w:r>
    </w:p>
    <w:p w14:paraId="3B0C64DC" w14:textId="5508A445" w:rsidR="00D35A05" w:rsidRPr="00000CC6" w:rsidRDefault="00D35A05" w:rsidP="00951171">
      <w:pPr>
        <w:pStyle w:val="ListParagraph"/>
        <w:numPr>
          <w:ilvl w:val="0"/>
          <w:numId w:val="33"/>
        </w:numPr>
      </w:pPr>
      <w:r w:rsidRPr="00000CC6">
        <w:t>National Institute of Allergy and Infectious Diseases (NIAID). NIH Clinical Trial Shows Remdesivir Accelerates Recovery from Advanced COVID-19. [Internet.] Bethesda: Government of the United States of America, National Institutes of Heath, NIAID; 2020. [Accessed on 19 May 2020.] Available from: https://www.niaid.nih.gov/news-events/nih-clinical-trial-shows-remdesivir-accelerates-recovery-advanced-covid-19.</w:t>
      </w:r>
    </w:p>
    <w:p w14:paraId="65861A5F" w14:textId="26869FCA" w:rsidR="00D35A05" w:rsidRPr="00000CC6" w:rsidRDefault="00D35A05" w:rsidP="00951171">
      <w:pPr>
        <w:pStyle w:val="ListParagraph"/>
        <w:numPr>
          <w:ilvl w:val="0"/>
          <w:numId w:val="33"/>
        </w:numPr>
      </w:pPr>
      <w:r w:rsidRPr="00000CC6">
        <w:t xml:space="preserve">Wang Y, Zhang D, Du G, Du R, Zhao J, Jin Y et al. Remdesivir in adults with severe COVID-19: a randomised, double-blind, placebo-controlled, multicentre trial. </w:t>
      </w:r>
      <w:r w:rsidRPr="00951171">
        <w:rPr>
          <w:i/>
        </w:rPr>
        <w:t>Lancet</w:t>
      </w:r>
      <w:r w:rsidRPr="00000CC6">
        <w:t>. 2020;395(10236);1569–78.</w:t>
      </w:r>
    </w:p>
    <w:p w14:paraId="7FDB94A5" w14:textId="77777777" w:rsidR="00D35A05" w:rsidRDefault="00D35A05">
      <w:pPr>
        <w:rPr>
          <w:rFonts w:asciiTheme="majorHAnsi" w:eastAsia="Times New Roman" w:hAnsiTheme="majorHAnsi" w:cstheme="majorBidi"/>
          <w:b/>
          <w:bCs/>
          <w:sz w:val="32"/>
          <w:szCs w:val="28"/>
        </w:rPr>
      </w:pPr>
      <w:r>
        <w:rPr>
          <w:rFonts w:eastAsia="Times New Roman"/>
        </w:rPr>
        <w:br w:type="page"/>
      </w:r>
    </w:p>
    <w:p w14:paraId="62394C1F" w14:textId="1DAFE471" w:rsidR="000C6F82" w:rsidRDefault="000C6F82">
      <w:pPr>
        <w:pStyle w:val="Heading1"/>
        <w:rPr>
          <w:rFonts w:eastAsia="Times New Roman"/>
        </w:rPr>
      </w:pPr>
      <w:r>
        <w:rPr>
          <w:rFonts w:eastAsia="Times New Roman"/>
        </w:rPr>
        <w:t xml:space="preserve">Appendix A: Frequently asked questions </w:t>
      </w:r>
    </w:p>
    <w:p w14:paraId="62394C20" w14:textId="77777777" w:rsidR="000C6F82" w:rsidRDefault="000C6F82" w:rsidP="00000CC6">
      <w:r>
        <w:rPr>
          <w:rStyle w:val="Strong"/>
        </w:rPr>
        <w:t xml:space="preserve">Q: Can I request access to the COVID-19 data behind your CDI fortnightly reports? </w:t>
      </w:r>
    </w:p>
    <w:p w14:paraId="62394C21" w14:textId="77777777" w:rsidR="000C6F82" w:rsidRDefault="000C6F82" w:rsidP="00000CC6">
      <w:r>
        <w:t xml:space="preserve">A: National notification data on COVID-19 confirmed cases is collated in the National Notifiable Disease Surveillance System (NNDSS) based on notifications made to state and territory health authorities under the provisions of their relevant public health legislation. </w:t>
      </w:r>
    </w:p>
    <w:p w14:paraId="62394C22" w14:textId="77777777" w:rsidR="000C6F82" w:rsidRDefault="000C6F82" w:rsidP="00000CC6">
      <w:r>
        <w:t xml:space="preserve">Normally, requests for the release of data from the NNDSS requires agreement from states and territories via the Communicable Diseases Network Australia, and, depending on the sensitivity of the data sought and proposed, ethics approval may also be required. </w:t>
      </w:r>
    </w:p>
    <w:p w14:paraId="62394C23" w14:textId="77777777" w:rsidR="000C6F82" w:rsidRDefault="000C6F82" w:rsidP="00000CC6">
      <w:r>
        <w:t xml:space="preserve">Due to the COVID-19 response, unfortunately, specific requests for NNDSS data have been put on hold. We are currently looking into options to be able to respond to data requests in the near future. </w:t>
      </w:r>
    </w:p>
    <w:p w14:paraId="62394C24" w14:textId="77777777" w:rsidR="000C6F82" w:rsidRDefault="000C6F82" w:rsidP="00000CC6">
      <w:r>
        <w:t xml:space="preserve">We will continue to publish regular summaries and analyses of the NNDSS dataset and recommend the following resources be referred to in the meantime: </w:t>
      </w:r>
    </w:p>
    <w:p w14:paraId="62394C25" w14:textId="77777777" w:rsidR="000C6F82" w:rsidRPr="00000CC6" w:rsidRDefault="000C6F82" w:rsidP="00000CC6">
      <w:pPr>
        <w:pStyle w:val="ListParagraph"/>
        <w:numPr>
          <w:ilvl w:val="0"/>
          <w:numId w:val="32"/>
        </w:numPr>
        <w:rPr>
          <w:rFonts w:eastAsia="Times New Roman"/>
        </w:rPr>
      </w:pPr>
      <w:r w:rsidRPr="00000CC6">
        <w:rPr>
          <w:rFonts w:eastAsia="Times New Roman"/>
        </w:rPr>
        <w:t xml:space="preserve">NNDSS summary tables: http://www9.health.gov.au/cda/source/cda-index.cfm </w:t>
      </w:r>
    </w:p>
    <w:p w14:paraId="62394C26" w14:textId="77777777" w:rsidR="000C6F82" w:rsidRPr="00000CC6" w:rsidRDefault="000C6F82" w:rsidP="00000CC6">
      <w:pPr>
        <w:pStyle w:val="ListParagraph"/>
        <w:numPr>
          <w:ilvl w:val="0"/>
          <w:numId w:val="32"/>
        </w:numPr>
        <w:rPr>
          <w:rFonts w:eastAsia="Times New Roman"/>
        </w:rPr>
      </w:pPr>
      <w:r w:rsidRPr="00000CC6">
        <w:rPr>
          <w:rFonts w:eastAsia="Times New Roman"/>
        </w:rPr>
        <w:t xml:space="preserve">Daily case summary of cases: https://www.health.gov.au/news/health-alerts/novel-coronavirus-2019-ncov-health-alert/coronavirus-covid-19-current-situation-and-case-numbers </w:t>
      </w:r>
    </w:p>
    <w:p w14:paraId="62394C27" w14:textId="77777777" w:rsidR="000C6F82" w:rsidRPr="00000CC6" w:rsidRDefault="000C6F82" w:rsidP="00000CC6">
      <w:pPr>
        <w:pStyle w:val="ListParagraph"/>
        <w:numPr>
          <w:ilvl w:val="0"/>
          <w:numId w:val="32"/>
        </w:numPr>
        <w:rPr>
          <w:rFonts w:eastAsia="Times New Roman"/>
        </w:rPr>
      </w:pPr>
      <w:r w:rsidRPr="00000CC6">
        <w:rPr>
          <w:rStyle w:val="Emphasis"/>
          <w:rFonts w:eastAsia="Times New Roman"/>
          <w:b w:val="0"/>
        </w:rPr>
        <w:t>Communicable Diseases Intelligence</w:t>
      </w:r>
      <w:r w:rsidRPr="00000CC6">
        <w:rPr>
          <w:rFonts w:eastAsia="Times New Roman"/>
        </w:rPr>
        <w:t xml:space="preserve"> COVID-19 epidemiology report: https://www1.health.gov.au/internet/main/publishing.nsf/Content/novel_coronavirus_2019_ncov_weekly_epidemiology_reports_australia_2020.htm </w:t>
      </w:r>
    </w:p>
    <w:p w14:paraId="62394C28" w14:textId="77777777" w:rsidR="000C6F82" w:rsidRPr="00000CC6" w:rsidRDefault="000C6F82" w:rsidP="00000CC6">
      <w:pPr>
        <w:pStyle w:val="ListParagraph"/>
        <w:numPr>
          <w:ilvl w:val="0"/>
          <w:numId w:val="32"/>
        </w:numPr>
        <w:rPr>
          <w:rFonts w:eastAsia="Times New Roman"/>
        </w:rPr>
      </w:pPr>
      <w:r w:rsidRPr="00000CC6">
        <w:rPr>
          <w:rFonts w:eastAsia="Times New Roman"/>
        </w:rPr>
        <w:t xml:space="preserve">State and territory public health websites. </w:t>
      </w:r>
    </w:p>
    <w:p w14:paraId="62394C2A" w14:textId="77777777" w:rsidR="000C6F82" w:rsidRDefault="000C6F82" w:rsidP="00000CC6">
      <w:r>
        <w:rPr>
          <w:rStyle w:val="Strong"/>
        </w:rPr>
        <w:t xml:space="preserve">Q: Why have the reports changed from weekly to fortnightly? </w:t>
      </w:r>
    </w:p>
    <w:p w14:paraId="62394C2B" w14:textId="3FFB1E12" w:rsidR="000C6F82" w:rsidRDefault="000C6F82" w:rsidP="00000CC6">
      <w:r>
        <w:t xml:space="preserve">A: With the number of new cases in Australia slowing, this report has moved from a weekly to a fortnightly </w:t>
      </w:r>
      <w:r w:rsidR="008A7FCD">
        <w:t xml:space="preserve">reporting </w:t>
      </w:r>
      <w:r>
        <w:t xml:space="preserve">schedule. The change to fortnightly reporting is to allow more time for an in-depth analysis of the NNDSS data, therefore enhancing the contents of the report. </w:t>
      </w:r>
    </w:p>
    <w:p w14:paraId="62394C2C" w14:textId="77777777" w:rsidR="000C6F82" w:rsidRDefault="000C6F82" w:rsidP="00000CC6">
      <w:r>
        <w:rPr>
          <w:rStyle w:val="Strong"/>
        </w:rPr>
        <w:t xml:space="preserve">Q: Can I request access to data at post-code level of confirmed cases? </w:t>
      </w:r>
    </w:p>
    <w:p w14:paraId="62394C2D" w14:textId="77777777" w:rsidR="000C6F82" w:rsidRDefault="000C6F82" w:rsidP="00000CC6">
      <w:r>
        <w:t xml:space="preserve">A: Data at this level cannot be released without ethics approval and permission would need to be sought from all states and territories via the Communicable Diseases Network Australia. As noted above, specific requests for NNDSS data are currently on hold. </w:t>
      </w:r>
    </w:p>
    <w:p w14:paraId="62394C2E" w14:textId="54561FB7" w:rsidR="000C6F82" w:rsidRDefault="001167F8" w:rsidP="00000CC6">
      <w:r>
        <w:t>Where current or recent reported case numbers are high enough to justify it, a</w:t>
      </w:r>
      <w:r w:rsidR="000C6F82">
        <w:t xml:space="preserve"> GIS/mapping analysis of cases will be included in </w:t>
      </w:r>
      <w:r>
        <w:t xml:space="preserve">the </w:t>
      </w:r>
      <w:r w:rsidR="000C6F82" w:rsidRPr="00C27DFA">
        <w:rPr>
          <w:rStyle w:val="Emphasis"/>
          <w:b w:val="0"/>
        </w:rPr>
        <w:t>Communicable Diseases Intelligence</w:t>
      </w:r>
      <w:r w:rsidR="000C6F82">
        <w:t xml:space="preserve"> COVID-19 epidemiology report. In order to protect privacy of confirmed cases, data in this map will be presented at SA3 level. </w:t>
      </w:r>
    </w:p>
    <w:p w14:paraId="62394C2F" w14:textId="77777777" w:rsidR="000C6F82" w:rsidRDefault="000C6F82" w:rsidP="00000CC6">
      <w:r>
        <w:rPr>
          <w:rStyle w:val="Strong"/>
        </w:rPr>
        <w:t xml:space="preserve">Q: Where can I find more detailed data on COVID-19 cases? </w:t>
      </w:r>
    </w:p>
    <w:p w14:paraId="3447C2EF" w14:textId="77777777" w:rsidR="00497D6C" w:rsidRDefault="000C6F82" w:rsidP="00000CC6">
      <w:pPr>
        <w:sectPr w:rsidR="00497D6C" w:rsidSect="00A30C37">
          <w:pgSz w:w="11906" w:h="16838"/>
          <w:pgMar w:top="720" w:right="720" w:bottom="1134" w:left="720" w:header="709" w:footer="284" w:gutter="0"/>
          <w:cols w:space="708"/>
          <w:titlePg/>
          <w:docGrid w:linePitch="360"/>
        </w:sectPr>
      </w:pPr>
      <w:r>
        <w:t xml:space="preserve">A: We are currently looking into ways to provide more in-depth epidemiological analyses of COVID-19 cases, with regard to transmission and severity, including hospitalisation. These analyses will continue to be built upon in future iterations of the </w:t>
      </w:r>
      <w:r w:rsidRPr="00C27DFA">
        <w:rPr>
          <w:rStyle w:val="Emphasis"/>
          <w:b w:val="0"/>
        </w:rPr>
        <w:t>Communicable Diseases Intelligence</w:t>
      </w:r>
      <w:r>
        <w:t xml:space="preserve"> report.</w:t>
      </w:r>
    </w:p>
    <w:p w14:paraId="62394C31" w14:textId="23813967" w:rsidR="000C6F82" w:rsidRPr="00C27DFA" w:rsidRDefault="000C6F82" w:rsidP="00C27DFA">
      <w:pPr>
        <w:pStyle w:val="Heading1"/>
      </w:pPr>
      <w:r w:rsidRPr="00C27DFA">
        <w:t>Appendix B: Supplementary figures and tables</w:t>
      </w:r>
    </w:p>
    <w:p w14:paraId="62394C32" w14:textId="4F892B62" w:rsidR="000C6F82" w:rsidRDefault="000C6F82" w:rsidP="00C27DFA">
      <w:pPr>
        <w:pStyle w:val="CDIFigures"/>
        <w:rPr>
          <w:rFonts w:eastAsia="Times New Roman"/>
        </w:rPr>
      </w:pPr>
      <w:r>
        <w:rPr>
          <w:rFonts w:eastAsia="Times New Roman"/>
        </w:rPr>
        <w:t>Table B.1: COVID-19 case notifications and rate per 100,000 population in Australia</w:t>
      </w:r>
      <w:r w:rsidR="001F62C0">
        <w:rPr>
          <w:rFonts w:eastAsia="Times New Roman"/>
        </w:rPr>
        <w:t xml:space="preserve"> as at 7 June 2020</w:t>
      </w:r>
      <w:r>
        <w:rPr>
          <w:rFonts w:eastAsia="Times New Roman"/>
        </w:rPr>
        <w:t>,</w:t>
      </w:r>
      <w:r w:rsidR="001167F8">
        <w:rPr>
          <w:rFonts w:eastAsia="Times New Roman"/>
          <w:vertAlign w:val="superscript"/>
        </w:rPr>
        <w:t>a</w:t>
      </w:r>
      <w:r>
        <w:rPr>
          <w:rFonts w:eastAsia="Times New Roman"/>
        </w:rPr>
        <w:t xml:space="preserve"> by age group and gender</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Figure B.1: Variation in combinations of COVID-19 symptoms in confirmed cases, Australia&#10;This figure shows the variation in combinations of symptoms observed in reported cases for the five most frequently observed symptoms (cough, fever, sore throat, headache,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symptoms."/>
      </w:tblPr>
      <w:tblGrid>
        <w:gridCol w:w="1491"/>
        <w:gridCol w:w="1491"/>
        <w:gridCol w:w="498"/>
        <w:gridCol w:w="994"/>
        <w:gridCol w:w="1491"/>
        <w:gridCol w:w="995"/>
        <w:gridCol w:w="497"/>
        <w:gridCol w:w="1491"/>
        <w:gridCol w:w="1492"/>
      </w:tblGrid>
      <w:tr w:rsidR="00BC026E" w:rsidRPr="00CA18D3" w14:paraId="62394C36" w14:textId="77777777" w:rsidTr="00BC026E">
        <w:trPr>
          <w:cnfStyle w:val="100000000000" w:firstRow="1" w:lastRow="0" w:firstColumn="0" w:lastColumn="0" w:oddVBand="0" w:evenVBand="0" w:oddHBand="0" w:evenHBand="0" w:firstRowFirstColumn="0" w:firstRowLastColumn="0" w:lastRowFirstColumn="0" w:lastRowLastColumn="0"/>
          <w:tblHeader/>
        </w:trPr>
        <w:tc>
          <w:tcPr>
            <w:tcW w:w="3480" w:type="dxa"/>
            <w:gridSpan w:val="3"/>
            <w:hideMark/>
          </w:tcPr>
          <w:p w14:paraId="62394C33" w14:textId="77777777" w:rsidR="000C6F82" w:rsidRPr="00CA18D3" w:rsidRDefault="000C6F82" w:rsidP="00F945D0">
            <w:pPr>
              <w:rPr>
                <w:rFonts w:ascii="Calibri Light" w:eastAsia="Times New Roman" w:hAnsi="Calibri Light" w:cs="Calibri Light"/>
                <w:color w:val="FFFFFF" w:themeColor="background1"/>
                <w:szCs w:val="18"/>
              </w:rPr>
            </w:pPr>
          </w:p>
        </w:tc>
        <w:tc>
          <w:tcPr>
            <w:tcW w:w="3480" w:type="dxa"/>
            <w:gridSpan w:val="3"/>
            <w:hideMark/>
          </w:tcPr>
          <w:p w14:paraId="62394C34" w14:textId="79CCBAB5" w:rsidR="000C6F82" w:rsidRPr="00CA18D3" w:rsidRDefault="000C6F82" w:rsidP="00154FE9">
            <w:pPr>
              <w:pStyle w:val="NormalWeb"/>
              <w:rPr>
                <w:rFonts w:ascii="Calibri Light" w:hAnsi="Calibri Light" w:cs="Calibri Light"/>
                <w:color w:val="FFFFFF" w:themeColor="background1"/>
                <w:szCs w:val="18"/>
                <w:vertAlign w:val="superscript"/>
              </w:rPr>
            </w:pPr>
            <w:r w:rsidRPr="00CA18D3">
              <w:rPr>
                <w:rFonts w:ascii="Calibri Light" w:hAnsi="Calibri Light" w:cs="Calibri Light"/>
                <w:color w:val="FFFFFF" w:themeColor="background1"/>
                <w:szCs w:val="18"/>
              </w:rPr>
              <w:t>Cases</w:t>
            </w:r>
            <w:r w:rsidR="001167F8" w:rsidRPr="00CA18D3">
              <w:rPr>
                <w:rFonts w:ascii="Calibri Light" w:hAnsi="Calibri Light" w:cs="Calibri Light"/>
                <w:color w:val="FFFFFF" w:themeColor="background1"/>
                <w:szCs w:val="18"/>
                <w:vertAlign w:val="superscript"/>
              </w:rPr>
              <w:t>b</w:t>
            </w:r>
          </w:p>
        </w:tc>
        <w:tc>
          <w:tcPr>
            <w:tcW w:w="3480" w:type="dxa"/>
            <w:gridSpan w:val="3"/>
            <w:hideMark/>
          </w:tcPr>
          <w:p w14:paraId="62394C35" w14:textId="62F5AE9B" w:rsidR="000C6F82" w:rsidRPr="00CA18D3" w:rsidRDefault="000C6F82" w:rsidP="00860D7E">
            <w:pPr>
              <w:pStyle w:val="NormalWeb"/>
              <w:jc w:val="center"/>
              <w:rPr>
                <w:rFonts w:ascii="Calibri Light" w:hAnsi="Calibri Light" w:cs="Calibri Light"/>
                <w:color w:val="FFFFFF" w:themeColor="background1"/>
                <w:szCs w:val="18"/>
                <w:vertAlign w:val="superscript"/>
              </w:rPr>
            </w:pPr>
            <w:r w:rsidRPr="00CA18D3">
              <w:rPr>
                <w:rFonts w:ascii="Calibri Light" w:hAnsi="Calibri Light" w:cs="Calibri Light"/>
                <w:color w:val="FFFFFF" w:themeColor="background1"/>
                <w:szCs w:val="18"/>
              </w:rPr>
              <w:t>Rate (per 100,000 population)</w:t>
            </w:r>
            <w:r w:rsidR="001167F8" w:rsidRPr="00CA18D3">
              <w:rPr>
                <w:rFonts w:ascii="Calibri Light" w:hAnsi="Calibri Light" w:cs="Calibri Light"/>
                <w:color w:val="FFFFFF" w:themeColor="background1"/>
                <w:szCs w:val="18"/>
                <w:vertAlign w:val="superscript"/>
              </w:rPr>
              <w:t>b</w:t>
            </w:r>
          </w:p>
        </w:tc>
      </w:tr>
      <w:tr w:rsidR="00BC026E" w:rsidRPr="00CA18D3" w14:paraId="62394C3E" w14:textId="77777777" w:rsidTr="00BC026E">
        <w:trPr>
          <w:cnfStyle w:val="100000000000" w:firstRow="1" w:lastRow="0" w:firstColumn="0" w:lastColumn="0" w:oddVBand="0" w:evenVBand="0" w:oddHBand="0" w:evenHBand="0" w:firstRowFirstColumn="0" w:firstRowLastColumn="0" w:lastRowFirstColumn="0" w:lastRowLastColumn="0"/>
          <w:tblHeader/>
        </w:trPr>
        <w:tc>
          <w:tcPr>
            <w:tcW w:w="1491" w:type="dxa"/>
            <w:hideMark/>
          </w:tcPr>
          <w:p w14:paraId="62394C37" w14:textId="77777777" w:rsidR="000C6F82" w:rsidRPr="00CA18D3" w:rsidRDefault="000C6F82" w:rsidP="00F945D0">
            <w:pPr>
              <w:rPr>
                <w:rFonts w:ascii="Calibri Light" w:hAnsi="Calibri Light" w:cs="Calibri Light"/>
                <w:szCs w:val="18"/>
              </w:rPr>
            </w:pPr>
          </w:p>
        </w:tc>
        <w:tc>
          <w:tcPr>
            <w:tcW w:w="1491" w:type="dxa"/>
            <w:hideMark/>
          </w:tcPr>
          <w:p w14:paraId="62394C38" w14:textId="77777777" w:rsidR="000C6F82" w:rsidRPr="00CA18D3" w:rsidRDefault="000C6F82" w:rsidP="00860D7E">
            <w:pPr>
              <w:pStyle w:val="NormalWeb"/>
              <w:jc w:val="center"/>
              <w:rPr>
                <w:rFonts w:ascii="Calibri Light" w:hAnsi="Calibri Light" w:cs="Calibri Light"/>
                <w:color w:val="FFFFFF" w:themeColor="background1"/>
                <w:szCs w:val="18"/>
              </w:rPr>
            </w:pPr>
            <w:r w:rsidRPr="00CA18D3">
              <w:rPr>
                <w:rFonts w:ascii="Calibri Light" w:hAnsi="Calibri Light" w:cs="Calibri Light"/>
                <w:color w:val="FFFFFF" w:themeColor="background1"/>
                <w:szCs w:val="18"/>
              </w:rPr>
              <w:t>Male</w:t>
            </w:r>
          </w:p>
        </w:tc>
        <w:tc>
          <w:tcPr>
            <w:tcW w:w="1492" w:type="dxa"/>
            <w:gridSpan w:val="2"/>
            <w:hideMark/>
          </w:tcPr>
          <w:p w14:paraId="62394C39" w14:textId="77777777" w:rsidR="000C6F82" w:rsidRPr="00CA18D3" w:rsidRDefault="000C6F82" w:rsidP="00860D7E">
            <w:pPr>
              <w:pStyle w:val="NormalWeb"/>
              <w:jc w:val="center"/>
              <w:rPr>
                <w:rFonts w:ascii="Calibri Light" w:hAnsi="Calibri Light" w:cs="Calibri Light"/>
                <w:color w:val="FFFFFF" w:themeColor="background1"/>
                <w:szCs w:val="18"/>
              </w:rPr>
            </w:pPr>
            <w:r w:rsidRPr="00CA18D3">
              <w:rPr>
                <w:rFonts w:ascii="Calibri Light" w:hAnsi="Calibri Light" w:cs="Calibri Light"/>
                <w:color w:val="FFFFFF" w:themeColor="background1"/>
                <w:szCs w:val="18"/>
              </w:rPr>
              <w:t>Female</w:t>
            </w:r>
          </w:p>
        </w:tc>
        <w:tc>
          <w:tcPr>
            <w:tcW w:w="1491" w:type="dxa"/>
            <w:hideMark/>
          </w:tcPr>
          <w:p w14:paraId="62394C3A" w14:textId="77777777" w:rsidR="000C6F82" w:rsidRPr="00CA18D3" w:rsidRDefault="000C6F82" w:rsidP="00860D7E">
            <w:pPr>
              <w:pStyle w:val="NormalWeb"/>
              <w:jc w:val="center"/>
              <w:rPr>
                <w:rFonts w:ascii="Calibri Light" w:hAnsi="Calibri Light" w:cs="Calibri Light"/>
                <w:color w:val="FFFFFF" w:themeColor="background1"/>
                <w:szCs w:val="18"/>
              </w:rPr>
            </w:pPr>
            <w:r w:rsidRPr="00CA18D3">
              <w:rPr>
                <w:rFonts w:ascii="Calibri Light" w:hAnsi="Calibri Light" w:cs="Calibri Light"/>
                <w:color w:val="FFFFFF" w:themeColor="background1"/>
                <w:szCs w:val="18"/>
              </w:rPr>
              <w:t>Persons</w:t>
            </w:r>
          </w:p>
        </w:tc>
        <w:tc>
          <w:tcPr>
            <w:tcW w:w="1492" w:type="dxa"/>
            <w:gridSpan w:val="2"/>
            <w:hideMark/>
          </w:tcPr>
          <w:p w14:paraId="62394C3B" w14:textId="77777777" w:rsidR="000C6F82" w:rsidRPr="00CA18D3" w:rsidRDefault="000C6F82" w:rsidP="00860D7E">
            <w:pPr>
              <w:pStyle w:val="NormalWeb"/>
              <w:jc w:val="center"/>
              <w:rPr>
                <w:rFonts w:ascii="Calibri Light" w:hAnsi="Calibri Light" w:cs="Calibri Light"/>
                <w:color w:val="FFFFFF" w:themeColor="background1"/>
                <w:szCs w:val="18"/>
              </w:rPr>
            </w:pPr>
            <w:r w:rsidRPr="00CA18D3">
              <w:rPr>
                <w:rFonts w:ascii="Calibri Light" w:hAnsi="Calibri Light" w:cs="Calibri Light"/>
                <w:color w:val="FFFFFF" w:themeColor="background1"/>
                <w:szCs w:val="18"/>
              </w:rPr>
              <w:t>Male</w:t>
            </w:r>
          </w:p>
        </w:tc>
        <w:tc>
          <w:tcPr>
            <w:tcW w:w="1491" w:type="dxa"/>
            <w:hideMark/>
          </w:tcPr>
          <w:p w14:paraId="62394C3C" w14:textId="77777777" w:rsidR="000C6F82" w:rsidRPr="00CA18D3" w:rsidRDefault="000C6F82" w:rsidP="00860D7E">
            <w:pPr>
              <w:pStyle w:val="NormalWeb"/>
              <w:jc w:val="center"/>
              <w:rPr>
                <w:rFonts w:ascii="Calibri Light" w:hAnsi="Calibri Light" w:cs="Calibri Light"/>
                <w:color w:val="FFFFFF" w:themeColor="background1"/>
                <w:szCs w:val="18"/>
              </w:rPr>
            </w:pPr>
            <w:r w:rsidRPr="00CA18D3">
              <w:rPr>
                <w:rFonts w:ascii="Calibri Light" w:hAnsi="Calibri Light" w:cs="Calibri Light"/>
                <w:color w:val="FFFFFF" w:themeColor="background1"/>
                <w:szCs w:val="18"/>
              </w:rPr>
              <w:t>Female</w:t>
            </w:r>
          </w:p>
        </w:tc>
        <w:tc>
          <w:tcPr>
            <w:tcW w:w="1492" w:type="dxa"/>
            <w:hideMark/>
          </w:tcPr>
          <w:p w14:paraId="62394C3D" w14:textId="77777777" w:rsidR="000C6F82" w:rsidRPr="00CA18D3" w:rsidRDefault="000C6F82" w:rsidP="00860D7E">
            <w:pPr>
              <w:pStyle w:val="NormalWeb"/>
              <w:jc w:val="center"/>
              <w:rPr>
                <w:rFonts w:ascii="Calibri Light" w:hAnsi="Calibri Light" w:cs="Calibri Light"/>
                <w:color w:val="FFFFFF" w:themeColor="background1"/>
                <w:szCs w:val="18"/>
              </w:rPr>
            </w:pPr>
            <w:r w:rsidRPr="00CA18D3">
              <w:rPr>
                <w:rFonts w:ascii="Calibri Light" w:hAnsi="Calibri Light" w:cs="Calibri Light"/>
                <w:color w:val="FFFFFF" w:themeColor="background1"/>
                <w:szCs w:val="18"/>
              </w:rPr>
              <w:t>Persons</w:t>
            </w:r>
          </w:p>
        </w:tc>
      </w:tr>
      <w:tr w:rsidR="00154FE9" w:rsidRPr="00CA18D3" w14:paraId="62394C46" w14:textId="77777777" w:rsidTr="007B00A5">
        <w:tc>
          <w:tcPr>
            <w:tcW w:w="1491" w:type="dxa"/>
            <w:hideMark/>
          </w:tcPr>
          <w:p w14:paraId="62394C3F" w14:textId="4B0010CF" w:rsidR="00154FE9" w:rsidRPr="00CA18D3" w:rsidRDefault="00154FE9" w:rsidP="00154FE9">
            <w:pPr>
              <w:pStyle w:val="NormalWeb"/>
              <w:rPr>
                <w:rFonts w:ascii="Calibri Light" w:hAnsi="Calibri Light" w:cs="Calibri Light"/>
                <w:szCs w:val="18"/>
              </w:rPr>
            </w:pPr>
            <w:r w:rsidRPr="00CA18D3">
              <w:rPr>
                <w:rFonts w:ascii="Calibri Light" w:hAnsi="Calibri Light" w:cs="Calibri Light"/>
                <w:szCs w:val="18"/>
              </w:rPr>
              <w:t>Under 5</w:t>
            </w:r>
          </w:p>
        </w:tc>
        <w:tc>
          <w:tcPr>
            <w:tcW w:w="1491" w:type="dxa"/>
            <w:hideMark/>
          </w:tcPr>
          <w:p w14:paraId="62394C40" w14:textId="23BDD5B3"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38</w:t>
            </w:r>
          </w:p>
        </w:tc>
        <w:tc>
          <w:tcPr>
            <w:tcW w:w="1492" w:type="dxa"/>
            <w:gridSpan w:val="2"/>
            <w:vAlign w:val="bottom"/>
            <w:hideMark/>
          </w:tcPr>
          <w:p w14:paraId="62394C41" w14:textId="7BC92100"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33</w:t>
            </w:r>
          </w:p>
        </w:tc>
        <w:tc>
          <w:tcPr>
            <w:tcW w:w="1491" w:type="dxa"/>
            <w:vAlign w:val="bottom"/>
            <w:hideMark/>
          </w:tcPr>
          <w:p w14:paraId="62394C42" w14:textId="67A17720"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71</w:t>
            </w:r>
          </w:p>
        </w:tc>
        <w:tc>
          <w:tcPr>
            <w:tcW w:w="1492" w:type="dxa"/>
            <w:gridSpan w:val="2"/>
            <w:vAlign w:val="bottom"/>
            <w:hideMark/>
          </w:tcPr>
          <w:p w14:paraId="62394C43" w14:textId="796EC2ED"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4.7</w:t>
            </w:r>
          </w:p>
        </w:tc>
        <w:tc>
          <w:tcPr>
            <w:tcW w:w="1491" w:type="dxa"/>
            <w:vAlign w:val="bottom"/>
            <w:hideMark/>
          </w:tcPr>
          <w:p w14:paraId="62394C44" w14:textId="09C63596"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4.3</w:t>
            </w:r>
          </w:p>
        </w:tc>
        <w:tc>
          <w:tcPr>
            <w:tcW w:w="1492" w:type="dxa"/>
            <w:vAlign w:val="bottom"/>
            <w:hideMark/>
          </w:tcPr>
          <w:p w14:paraId="62394C45" w14:textId="4B7E6546"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4.5</w:t>
            </w:r>
          </w:p>
        </w:tc>
      </w:tr>
      <w:tr w:rsidR="00154FE9" w:rsidRPr="00CA18D3" w14:paraId="62394C4E" w14:textId="77777777" w:rsidTr="007B00A5">
        <w:trPr>
          <w:cnfStyle w:val="000000010000" w:firstRow="0" w:lastRow="0" w:firstColumn="0" w:lastColumn="0" w:oddVBand="0" w:evenVBand="0" w:oddHBand="0" w:evenHBand="1" w:firstRowFirstColumn="0" w:firstRowLastColumn="0" w:lastRowFirstColumn="0" w:lastRowLastColumn="0"/>
        </w:trPr>
        <w:tc>
          <w:tcPr>
            <w:tcW w:w="1491" w:type="dxa"/>
            <w:hideMark/>
          </w:tcPr>
          <w:p w14:paraId="62394C47" w14:textId="0D212468" w:rsidR="00154FE9" w:rsidRPr="00CA18D3" w:rsidRDefault="00154FE9" w:rsidP="00154FE9">
            <w:pPr>
              <w:pStyle w:val="NormalWeb"/>
              <w:rPr>
                <w:rFonts w:ascii="Calibri Light" w:hAnsi="Calibri Light" w:cs="Calibri Light"/>
                <w:szCs w:val="18"/>
              </w:rPr>
            </w:pPr>
            <w:r w:rsidRPr="00CA18D3">
              <w:rPr>
                <w:rFonts w:ascii="Calibri Light" w:hAnsi="Calibri Light" w:cs="Calibri Light"/>
                <w:szCs w:val="18"/>
              </w:rPr>
              <w:t>5 to 17</w:t>
            </w:r>
          </w:p>
        </w:tc>
        <w:tc>
          <w:tcPr>
            <w:tcW w:w="1491" w:type="dxa"/>
            <w:hideMark/>
          </w:tcPr>
          <w:p w14:paraId="62394C48" w14:textId="751FA81F"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83</w:t>
            </w:r>
          </w:p>
        </w:tc>
        <w:tc>
          <w:tcPr>
            <w:tcW w:w="1492" w:type="dxa"/>
            <w:gridSpan w:val="2"/>
            <w:vAlign w:val="bottom"/>
            <w:hideMark/>
          </w:tcPr>
          <w:p w14:paraId="62394C49" w14:textId="27582532"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77</w:t>
            </w:r>
          </w:p>
        </w:tc>
        <w:tc>
          <w:tcPr>
            <w:tcW w:w="1491" w:type="dxa"/>
            <w:vAlign w:val="bottom"/>
            <w:hideMark/>
          </w:tcPr>
          <w:p w14:paraId="62394C4A" w14:textId="6F081476"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160</w:t>
            </w:r>
          </w:p>
        </w:tc>
        <w:tc>
          <w:tcPr>
            <w:tcW w:w="1492" w:type="dxa"/>
            <w:gridSpan w:val="2"/>
            <w:vAlign w:val="bottom"/>
            <w:hideMark/>
          </w:tcPr>
          <w:p w14:paraId="62394C4B" w14:textId="1FD94FB5"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4</w:t>
            </w:r>
            <w:r w:rsidR="00BB7EF3" w:rsidRPr="00CA18D3">
              <w:rPr>
                <w:rFonts w:ascii="Calibri Light" w:hAnsi="Calibri Light" w:cs="Calibri Light"/>
                <w:szCs w:val="18"/>
              </w:rPr>
              <w:t>.0</w:t>
            </w:r>
          </w:p>
        </w:tc>
        <w:tc>
          <w:tcPr>
            <w:tcW w:w="1491" w:type="dxa"/>
            <w:vAlign w:val="bottom"/>
            <w:hideMark/>
          </w:tcPr>
          <w:p w14:paraId="62394C4C" w14:textId="3B81FC1D"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3.9</w:t>
            </w:r>
          </w:p>
        </w:tc>
        <w:tc>
          <w:tcPr>
            <w:tcW w:w="1492" w:type="dxa"/>
            <w:vAlign w:val="bottom"/>
            <w:hideMark/>
          </w:tcPr>
          <w:p w14:paraId="62394C4D" w14:textId="197CE0AA"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4</w:t>
            </w:r>
            <w:r w:rsidR="00BB7EF3" w:rsidRPr="00CA18D3">
              <w:rPr>
                <w:rFonts w:ascii="Calibri Light" w:hAnsi="Calibri Light" w:cs="Calibri Light"/>
                <w:szCs w:val="18"/>
              </w:rPr>
              <w:t>.0</w:t>
            </w:r>
          </w:p>
        </w:tc>
      </w:tr>
      <w:tr w:rsidR="00154FE9" w:rsidRPr="00CA18D3" w14:paraId="62394C56" w14:textId="77777777" w:rsidTr="007B00A5">
        <w:tc>
          <w:tcPr>
            <w:tcW w:w="1491" w:type="dxa"/>
            <w:hideMark/>
          </w:tcPr>
          <w:p w14:paraId="62394C4F" w14:textId="097CD9D2" w:rsidR="00154FE9" w:rsidRPr="00CA18D3" w:rsidRDefault="00154FE9" w:rsidP="00154FE9">
            <w:pPr>
              <w:pStyle w:val="NormalWeb"/>
              <w:rPr>
                <w:rFonts w:ascii="Calibri Light" w:hAnsi="Calibri Light" w:cs="Calibri Light"/>
                <w:szCs w:val="18"/>
              </w:rPr>
            </w:pPr>
            <w:r w:rsidRPr="00CA18D3">
              <w:rPr>
                <w:rFonts w:ascii="Calibri Light" w:hAnsi="Calibri Light" w:cs="Calibri Light"/>
                <w:szCs w:val="18"/>
              </w:rPr>
              <w:t>18 to 64</w:t>
            </w:r>
          </w:p>
        </w:tc>
        <w:tc>
          <w:tcPr>
            <w:tcW w:w="1491" w:type="dxa"/>
            <w:hideMark/>
          </w:tcPr>
          <w:p w14:paraId="62394C50" w14:textId="33352582"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2</w:t>
            </w:r>
            <w:r w:rsidR="001167F8" w:rsidRPr="00CA18D3">
              <w:rPr>
                <w:rFonts w:ascii="Calibri Light" w:hAnsi="Calibri Light" w:cs="Calibri Light"/>
                <w:szCs w:val="18"/>
              </w:rPr>
              <w:t>,</w:t>
            </w:r>
            <w:r w:rsidR="00A66350" w:rsidRPr="00CA18D3">
              <w:rPr>
                <w:rFonts w:ascii="Calibri Light" w:hAnsi="Calibri Light" w:cs="Calibri Light"/>
                <w:szCs w:val="18"/>
              </w:rPr>
              <w:t>747</w:t>
            </w:r>
          </w:p>
        </w:tc>
        <w:tc>
          <w:tcPr>
            <w:tcW w:w="1492" w:type="dxa"/>
            <w:gridSpan w:val="2"/>
            <w:vAlign w:val="bottom"/>
            <w:hideMark/>
          </w:tcPr>
          <w:p w14:paraId="62394C51" w14:textId="7D3AC65B"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2</w:t>
            </w:r>
            <w:r w:rsidR="001167F8" w:rsidRPr="00CA18D3">
              <w:rPr>
                <w:rFonts w:ascii="Calibri Light" w:hAnsi="Calibri Light" w:cs="Calibri Light"/>
                <w:szCs w:val="18"/>
              </w:rPr>
              <w:t>,</w:t>
            </w:r>
            <w:r w:rsidRPr="00CA18D3">
              <w:rPr>
                <w:rFonts w:ascii="Calibri Light" w:hAnsi="Calibri Light" w:cs="Calibri Light"/>
                <w:szCs w:val="18"/>
              </w:rPr>
              <w:t>7</w:t>
            </w:r>
            <w:r w:rsidR="00A66350" w:rsidRPr="00CA18D3">
              <w:rPr>
                <w:rFonts w:ascii="Calibri Light" w:hAnsi="Calibri Light" w:cs="Calibri Light"/>
                <w:szCs w:val="18"/>
              </w:rPr>
              <w:t>66</w:t>
            </w:r>
          </w:p>
        </w:tc>
        <w:tc>
          <w:tcPr>
            <w:tcW w:w="1491" w:type="dxa"/>
            <w:vAlign w:val="bottom"/>
            <w:hideMark/>
          </w:tcPr>
          <w:p w14:paraId="62394C52" w14:textId="6D7614B9"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5</w:t>
            </w:r>
            <w:r w:rsidR="001167F8" w:rsidRPr="00CA18D3">
              <w:rPr>
                <w:rFonts w:ascii="Calibri Light" w:hAnsi="Calibri Light" w:cs="Calibri Light"/>
                <w:szCs w:val="18"/>
              </w:rPr>
              <w:t>,</w:t>
            </w:r>
            <w:r w:rsidR="00A66350" w:rsidRPr="00CA18D3">
              <w:rPr>
                <w:rFonts w:ascii="Calibri Light" w:hAnsi="Calibri Light" w:cs="Calibri Light"/>
                <w:szCs w:val="18"/>
              </w:rPr>
              <w:t>513</w:t>
            </w:r>
          </w:p>
        </w:tc>
        <w:tc>
          <w:tcPr>
            <w:tcW w:w="1492" w:type="dxa"/>
            <w:gridSpan w:val="2"/>
            <w:vAlign w:val="bottom"/>
            <w:hideMark/>
          </w:tcPr>
          <w:p w14:paraId="62394C53" w14:textId="65F1948F" w:rsidR="00154FE9" w:rsidRPr="00CA18D3" w:rsidRDefault="00A66350" w:rsidP="00154FE9">
            <w:pPr>
              <w:pStyle w:val="NormalWeb"/>
              <w:jc w:val="center"/>
              <w:rPr>
                <w:rFonts w:ascii="Calibri Light" w:hAnsi="Calibri Light" w:cs="Calibri Light"/>
                <w:szCs w:val="18"/>
              </w:rPr>
            </w:pPr>
            <w:r w:rsidRPr="00CA18D3">
              <w:rPr>
                <w:rFonts w:ascii="Calibri Light" w:hAnsi="Calibri Light" w:cs="Calibri Light"/>
                <w:szCs w:val="18"/>
              </w:rPr>
              <w:t>35.2</w:t>
            </w:r>
          </w:p>
        </w:tc>
        <w:tc>
          <w:tcPr>
            <w:tcW w:w="1491" w:type="dxa"/>
            <w:vAlign w:val="bottom"/>
            <w:hideMark/>
          </w:tcPr>
          <w:p w14:paraId="62394C54" w14:textId="5B889993"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35.</w:t>
            </w:r>
            <w:r w:rsidR="00A66350" w:rsidRPr="00CA18D3">
              <w:rPr>
                <w:rFonts w:ascii="Calibri Light" w:hAnsi="Calibri Light" w:cs="Calibri Light"/>
                <w:szCs w:val="18"/>
              </w:rPr>
              <w:t>0</w:t>
            </w:r>
          </w:p>
        </w:tc>
        <w:tc>
          <w:tcPr>
            <w:tcW w:w="1492" w:type="dxa"/>
            <w:vAlign w:val="bottom"/>
            <w:hideMark/>
          </w:tcPr>
          <w:p w14:paraId="62394C55" w14:textId="3C65A654" w:rsidR="00154FE9" w:rsidRPr="00CA18D3" w:rsidRDefault="00A66350" w:rsidP="00154FE9">
            <w:pPr>
              <w:pStyle w:val="NormalWeb"/>
              <w:jc w:val="center"/>
              <w:rPr>
                <w:rFonts w:ascii="Calibri Light" w:hAnsi="Calibri Light" w:cs="Calibri Light"/>
                <w:szCs w:val="18"/>
              </w:rPr>
            </w:pPr>
            <w:r w:rsidRPr="00CA18D3">
              <w:rPr>
                <w:rFonts w:ascii="Calibri Light" w:hAnsi="Calibri Light" w:cs="Calibri Light"/>
                <w:szCs w:val="18"/>
              </w:rPr>
              <w:t>35.1</w:t>
            </w:r>
          </w:p>
        </w:tc>
      </w:tr>
      <w:tr w:rsidR="00154FE9" w:rsidRPr="00CA18D3" w14:paraId="62394C5E" w14:textId="77777777" w:rsidTr="007B00A5">
        <w:trPr>
          <w:cnfStyle w:val="000000010000" w:firstRow="0" w:lastRow="0" w:firstColumn="0" w:lastColumn="0" w:oddVBand="0" w:evenVBand="0" w:oddHBand="0" w:evenHBand="1" w:firstRowFirstColumn="0" w:firstRowLastColumn="0" w:lastRowFirstColumn="0" w:lastRowLastColumn="0"/>
        </w:trPr>
        <w:tc>
          <w:tcPr>
            <w:tcW w:w="1491" w:type="dxa"/>
            <w:hideMark/>
          </w:tcPr>
          <w:p w14:paraId="62394C57" w14:textId="1A82BFC2" w:rsidR="00154FE9" w:rsidRPr="00CA18D3" w:rsidRDefault="00154FE9" w:rsidP="00154FE9">
            <w:pPr>
              <w:pStyle w:val="NormalWeb"/>
              <w:rPr>
                <w:rFonts w:ascii="Calibri Light" w:hAnsi="Calibri Light" w:cs="Calibri Light"/>
                <w:szCs w:val="18"/>
              </w:rPr>
            </w:pPr>
            <w:r w:rsidRPr="00CA18D3">
              <w:rPr>
                <w:rFonts w:ascii="Calibri Light" w:hAnsi="Calibri Light" w:cs="Calibri Light"/>
                <w:szCs w:val="18"/>
              </w:rPr>
              <w:t>65 to 79</w:t>
            </w:r>
          </w:p>
        </w:tc>
        <w:tc>
          <w:tcPr>
            <w:tcW w:w="1491" w:type="dxa"/>
            <w:hideMark/>
          </w:tcPr>
          <w:p w14:paraId="62394C58" w14:textId="635A64D8" w:rsidR="00154FE9" w:rsidRPr="00CA18D3" w:rsidRDefault="00A66350" w:rsidP="00154FE9">
            <w:pPr>
              <w:pStyle w:val="NormalWeb"/>
              <w:jc w:val="center"/>
              <w:rPr>
                <w:rFonts w:ascii="Calibri Light" w:hAnsi="Calibri Light" w:cs="Calibri Light"/>
                <w:szCs w:val="18"/>
              </w:rPr>
            </w:pPr>
            <w:r w:rsidRPr="00CA18D3">
              <w:rPr>
                <w:rFonts w:ascii="Calibri Light" w:hAnsi="Calibri Light" w:cs="Calibri Light"/>
                <w:szCs w:val="18"/>
              </w:rPr>
              <w:t>700</w:t>
            </w:r>
          </w:p>
        </w:tc>
        <w:tc>
          <w:tcPr>
            <w:tcW w:w="1492" w:type="dxa"/>
            <w:gridSpan w:val="2"/>
            <w:vAlign w:val="bottom"/>
            <w:hideMark/>
          </w:tcPr>
          <w:p w14:paraId="62394C59" w14:textId="7AD2B049"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589</w:t>
            </w:r>
          </w:p>
        </w:tc>
        <w:tc>
          <w:tcPr>
            <w:tcW w:w="1491" w:type="dxa"/>
            <w:vAlign w:val="bottom"/>
            <w:hideMark/>
          </w:tcPr>
          <w:p w14:paraId="62394C5A" w14:textId="004FEEAA"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1</w:t>
            </w:r>
            <w:r w:rsidR="001167F8" w:rsidRPr="00CA18D3">
              <w:rPr>
                <w:rFonts w:ascii="Calibri Light" w:hAnsi="Calibri Light" w:cs="Calibri Light"/>
                <w:szCs w:val="18"/>
              </w:rPr>
              <w:t>,</w:t>
            </w:r>
            <w:r w:rsidRPr="00CA18D3">
              <w:rPr>
                <w:rFonts w:ascii="Calibri Light" w:hAnsi="Calibri Light" w:cs="Calibri Light"/>
                <w:szCs w:val="18"/>
              </w:rPr>
              <w:t>2</w:t>
            </w:r>
            <w:r w:rsidR="00A66350" w:rsidRPr="00CA18D3">
              <w:rPr>
                <w:rFonts w:ascii="Calibri Light" w:hAnsi="Calibri Light" w:cs="Calibri Light"/>
                <w:szCs w:val="18"/>
              </w:rPr>
              <w:t>89</w:t>
            </w:r>
          </w:p>
        </w:tc>
        <w:tc>
          <w:tcPr>
            <w:tcW w:w="1492" w:type="dxa"/>
            <w:gridSpan w:val="2"/>
            <w:vAlign w:val="bottom"/>
            <w:hideMark/>
          </w:tcPr>
          <w:p w14:paraId="62394C5B" w14:textId="242A4EF7"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47.8</w:t>
            </w:r>
          </w:p>
        </w:tc>
        <w:tc>
          <w:tcPr>
            <w:tcW w:w="1491" w:type="dxa"/>
            <w:vAlign w:val="bottom"/>
            <w:hideMark/>
          </w:tcPr>
          <w:p w14:paraId="62394C5C" w14:textId="3879AF9C"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38</w:t>
            </w:r>
            <w:r w:rsidR="001167F8" w:rsidRPr="00CA18D3">
              <w:rPr>
                <w:rFonts w:ascii="Calibri Light" w:hAnsi="Calibri Light" w:cs="Calibri Light"/>
                <w:szCs w:val="18"/>
              </w:rPr>
              <w:t>.0</w:t>
            </w:r>
          </w:p>
        </w:tc>
        <w:tc>
          <w:tcPr>
            <w:tcW w:w="1492" w:type="dxa"/>
            <w:vAlign w:val="bottom"/>
            <w:hideMark/>
          </w:tcPr>
          <w:p w14:paraId="62394C5D" w14:textId="03A613F1"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42.</w:t>
            </w:r>
            <w:r w:rsidR="00A66350" w:rsidRPr="00CA18D3">
              <w:rPr>
                <w:rFonts w:ascii="Calibri Light" w:hAnsi="Calibri Light" w:cs="Calibri Light"/>
                <w:szCs w:val="18"/>
              </w:rPr>
              <w:t>7</w:t>
            </w:r>
          </w:p>
        </w:tc>
      </w:tr>
      <w:tr w:rsidR="00154FE9" w:rsidRPr="00CA18D3" w14:paraId="62394C66" w14:textId="77777777" w:rsidTr="007B00A5">
        <w:tc>
          <w:tcPr>
            <w:tcW w:w="1491" w:type="dxa"/>
            <w:hideMark/>
          </w:tcPr>
          <w:p w14:paraId="62394C5F" w14:textId="7A086632" w:rsidR="00154FE9" w:rsidRPr="00CA18D3" w:rsidRDefault="00154FE9" w:rsidP="00154FE9">
            <w:pPr>
              <w:pStyle w:val="NormalWeb"/>
              <w:rPr>
                <w:rFonts w:ascii="Calibri Light" w:hAnsi="Calibri Light" w:cs="Calibri Light"/>
                <w:szCs w:val="18"/>
              </w:rPr>
            </w:pPr>
            <w:r w:rsidRPr="00CA18D3">
              <w:rPr>
                <w:rFonts w:ascii="Calibri Light" w:hAnsi="Calibri Light" w:cs="Calibri Light"/>
                <w:szCs w:val="18"/>
              </w:rPr>
              <w:t>80 and over</w:t>
            </w:r>
          </w:p>
        </w:tc>
        <w:tc>
          <w:tcPr>
            <w:tcW w:w="1491" w:type="dxa"/>
            <w:hideMark/>
          </w:tcPr>
          <w:p w14:paraId="62394C60" w14:textId="35ECB353"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128</w:t>
            </w:r>
          </w:p>
        </w:tc>
        <w:tc>
          <w:tcPr>
            <w:tcW w:w="1492" w:type="dxa"/>
            <w:gridSpan w:val="2"/>
            <w:vAlign w:val="bottom"/>
            <w:hideMark/>
          </w:tcPr>
          <w:p w14:paraId="62394C61" w14:textId="4889D0FA"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116</w:t>
            </w:r>
          </w:p>
        </w:tc>
        <w:tc>
          <w:tcPr>
            <w:tcW w:w="1491" w:type="dxa"/>
            <w:vAlign w:val="bottom"/>
            <w:hideMark/>
          </w:tcPr>
          <w:p w14:paraId="62394C62" w14:textId="7768978B"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244</w:t>
            </w:r>
          </w:p>
        </w:tc>
        <w:tc>
          <w:tcPr>
            <w:tcW w:w="1492" w:type="dxa"/>
            <w:gridSpan w:val="2"/>
            <w:vAlign w:val="bottom"/>
            <w:hideMark/>
          </w:tcPr>
          <w:p w14:paraId="62394C63" w14:textId="06E60225"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30</w:t>
            </w:r>
            <w:r w:rsidR="001167F8" w:rsidRPr="00CA18D3">
              <w:rPr>
                <w:rFonts w:ascii="Calibri Light" w:hAnsi="Calibri Light" w:cs="Calibri Light"/>
                <w:szCs w:val="18"/>
              </w:rPr>
              <w:t>.0</w:t>
            </w:r>
          </w:p>
        </w:tc>
        <w:tc>
          <w:tcPr>
            <w:tcW w:w="1491" w:type="dxa"/>
            <w:vAlign w:val="bottom"/>
            <w:hideMark/>
          </w:tcPr>
          <w:p w14:paraId="62394C64" w14:textId="7D8185B7"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19.5</w:t>
            </w:r>
          </w:p>
        </w:tc>
        <w:tc>
          <w:tcPr>
            <w:tcW w:w="1492" w:type="dxa"/>
            <w:vAlign w:val="bottom"/>
            <w:hideMark/>
          </w:tcPr>
          <w:p w14:paraId="62394C65" w14:textId="1DDE73AD" w:rsidR="00154FE9" w:rsidRPr="00CA18D3" w:rsidRDefault="00154FE9" w:rsidP="00154FE9">
            <w:pPr>
              <w:pStyle w:val="NormalWeb"/>
              <w:jc w:val="center"/>
              <w:rPr>
                <w:rFonts w:ascii="Calibri Light" w:hAnsi="Calibri Light" w:cs="Calibri Light"/>
                <w:szCs w:val="18"/>
              </w:rPr>
            </w:pPr>
            <w:r w:rsidRPr="00CA18D3">
              <w:rPr>
                <w:rFonts w:ascii="Calibri Light" w:hAnsi="Calibri Light" w:cs="Calibri Light"/>
                <w:szCs w:val="18"/>
              </w:rPr>
              <w:t>23.9</w:t>
            </w:r>
          </w:p>
        </w:tc>
      </w:tr>
    </w:tbl>
    <w:p w14:paraId="62394C67" w14:textId="43CF111A" w:rsidR="000C6F82" w:rsidRDefault="000C6F82" w:rsidP="00154FE9">
      <w:pPr>
        <w:pStyle w:val="CDIfootnotes"/>
        <w:numPr>
          <w:ilvl w:val="0"/>
          <w:numId w:val="24"/>
        </w:numPr>
      </w:pPr>
      <w:r w:rsidRPr="00D149BC">
        <w:t>The age group 5–17 years was selected to broadly represent school students in Australia. The cut-off of 17 years was selected due to a sharp increase in cases seen among those aged 18 and 19 that is associated with overseas travel and likely to be people who have left school.</w:t>
      </w:r>
    </w:p>
    <w:p w14:paraId="79CFFD97" w14:textId="2D4DDB18" w:rsidR="00154FE9" w:rsidRPr="00D149BC" w:rsidRDefault="00356F7E" w:rsidP="00154FE9">
      <w:pPr>
        <w:pStyle w:val="CDIfootnotes"/>
        <w:numPr>
          <w:ilvl w:val="0"/>
          <w:numId w:val="24"/>
        </w:numPr>
      </w:pPr>
      <w:r>
        <w:t>Cases and rates for persons include</w:t>
      </w:r>
      <w:r w:rsidR="00154FE9">
        <w:t xml:space="preserve"> 68 cases with </w:t>
      </w:r>
      <w:r w:rsidR="00A00B0D">
        <w:t>unknown</w:t>
      </w:r>
      <w:r w:rsidR="00154FE9">
        <w:t xml:space="preserve"> gender.</w:t>
      </w:r>
    </w:p>
    <w:p w14:paraId="62394C69" w14:textId="43862717" w:rsidR="000C6F82" w:rsidRDefault="000C6F82" w:rsidP="00D149BC">
      <w:pPr>
        <w:pStyle w:val="CDIFigures"/>
      </w:pPr>
      <w:r>
        <w:t>Figure B.1: COVID-19 rates per 100,000 population of all cases notified in Australia</w:t>
      </w:r>
      <w:r w:rsidR="001F62C0">
        <w:t xml:space="preserve"> as at 7 June 2020</w:t>
      </w:r>
      <w:r>
        <w:t>, by age group and gender</w:t>
      </w:r>
    </w:p>
    <w:p w14:paraId="0C967C25" w14:textId="2318001C" w:rsidR="001803B1" w:rsidRDefault="001803B1" w:rsidP="00D149BC">
      <w:pPr>
        <w:pStyle w:val="CDIFigures"/>
      </w:pPr>
      <w:r>
        <w:rPr>
          <w:noProof/>
        </w:rPr>
        <w:drawing>
          <wp:inline distT="0" distB="0" distL="0" distR="0" wp14:anchorId="180EEFD3" wp14:editId="1B936C72">
            <wp:extent cx="6554362" cy="3734100"/>
            <wp:effectExtent l="0" t="0" r="0" b="0"/>
            <wp:docPr id="22" name="Picture 22" descr="Figure B.1: Variation in combinations of COVID-19 symptoms in confirmed cases, Australia&#10;This figure shows the variation in combinations of symptoms observed in reported cases for the five most frequently observed symptoms (cough, fever, sore throat, headache,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symptom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4436" r="6893" b="1635"/>
                    <a:stretch/>
                  </pic:blipFill>
                  <pic:spPr bwMode="auto">
                    <a:xfrm>
                      <a:off x="0" y="0"/>
                      <a:ext cx="6569690" cy="3742833"/>
                    </a:xfrm>
                    <a:prstGeom prst="rect">
                      <a:avLst/>
                    </a:prstGeom>
                    <a:noFill/>
                    <a:ln>
                      <a:noFill/>
                    </a:ln>
                    <a:extLst>
                      <a:ext uri="{53640926-AAD7-44D8-BBD7-CCE9431645EC}">
                        <a14:shadowObscured xmlns:a14="http://schemas.microsoft.com/office/drawing/2010/main"/>
                      </a:ext>
                    </a:extLst>
                  </pic:spPr>
                </pic:pic>
              </a:graphicData>
            </a:graphic>
          </wp:inline>
        </w:drawing>
      </w:r>
    </w:p>
    <w:p w14:paraId="62394C6B" w14:textId="48674D04" w:rsidR="00D149BC" w:rsidRDefault="00D149BC" w:rsidP="00D149BC">
      <w:pPr>
        <w:pStyle w:val="CDIFigures"/>
        <w:sectPr w:rsidR="00D149BC" w:rsidSect="00A30C37">
          <w:pgSz w:w="11906" w:h="16838"/>
          <w:pgMar w:top="720" w:right="720" w:bottom="1134" w:left="720" w:header="709" w:footer="284" w:gutter="0"/>
          <w:cols w:space="708"/>
          <w:titlePg/>
          <w:docGrid w:linePitch="360"/>
        </w:sectPr>
      </w:pPr>
    </w:p>
    <w:p w14:paraId="62394C6C" w14:textId="25DE6EE5" w:rsidR="000C6F82" w:rsidRDefault="000C6F82" w:rsidP="00E802B3">
      <w:pPr>
        <w:pStyle w:val="CDIFigures"/>
        <w:spacing w:before="0" w:beforeAutospacing="0" w:after="0" w:afterAutospacing="0"/>
      </w:pPr>
      <w:r>
        <w:t>Figure B.</w:t>
      </w:r>
      <w:r w:rsidR="00D8516D">
        <w:t>2</w:t>
      </w:r>
      <w:r>
        <w:t>: Variation in combinations of COVID-19 symptoms in confirmed cases</w:t>
      </w:r>
      <w:r w:rsidR="001F62C0">
        <w:t xml:space="preserve"> as at 24 May 2020</w:t>
      </w:r>
      <w:r>
        <w:t>, Australia</w:t>
      </w:r>
      <w:r w:rsidRPr="004E2F32">
        <w:rPr>
          <w:vertAlign w:val="superscript"/>
        </w:rPr>
        <w:t>a</w:t>
      </w:r>
    </w:p>
    <w:p w14:paraId="62394C6D" w14:textId="77777777" w:rsidR="000C6F82" w:rsidRDefault="000C6F82" w:rsidP="00E802B3">
      <w:pPr>
        <w:pStyle w:val="NormalWeb"/>
        <w:spacing w:before="0" w:beforeAutospacing="0" w:line="240" w:lineRule="auto"/>
      </w:pPr>
      <w:r>
        <w:rPr>
          <w:noProof/>
        </w:rPr>
        <w:drawing>
          <wp:inline distT="0" distB="0" distL="0" distR="0" wp14:anchorId="62394CFC" wp14:editId="117E9A16">
            <wp:extent cx="9144000" cy="5143500"/>
            <wp:effectExtent l="0" t="0" r="0" b="0"/>
            <wp:docPr id="10" name="Picture 10" descr="Figure B.2: COVID-19 rates per 100,000 population of all cases notified in Australia, by age group and gender &#10;Bar chart showing COVID-19 rate per 100,000 population in Australia, by age group and gender. It is apparent that the incidence of illness is highest in the 65–79 year age group, with a much lower rate of illness recorded for those aged 17 and below. Among cases of age 65 and over, a majority are male; among cases younger than this, there are approximatel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r chart showing the frequency of different combinations of the five most-commonly reported symptoms of COVID-19: cough, fever, sore throat, headache, and runny nose."/>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9144000" cy="5143500"/>
                    </a:xfrm>
                    <a:prstGeom prst="rect">
                      <a:avLst/>
                    </a:prstGeom>
                  </pic:spPr>
                </pic:pic>
              </a:graphicData>
            </a:graphic>
          </wp:inline>
        </w:drawing>
      </w:r>
    </w:p>
    <w:p w14:paraId="62394C6E" w14:textId="77777777" w:rsidR="00914E25" w:rsidRDefault="000C6F82" w:rsidP="00E802B3">
      <w:pPr>
        <w:pStyle w:val="CDIfootnotes"/>
        <w:ind w:left="284" w:hanging="284"/>
        <w:sectPr w:rsidR="00914E25" w:rsidSect="00D149BC">
          <w:pgSz w:w="16838" w:h="11906" w:orient="landscape"/>
          <w:pgMar w:top="720" w:right="720" w:bottom="720" w:left="1134" w:header="709" w:footer="284" w:gutter="0"/>
          <w:cols w:space="708"/>
          <w:titlePg/>
          <w:docGrid w:linePitch="360"/>
        </w:sectPr>
      </w:pPr>
      <w:r>
        <w:t>a</w:t>
      </w:r>
      <w:r>
        <w:tab/>
        <w:t>This figure shows the variation in combinations of symptoms observed in reported cases (n = 6,657) for the five most frequently observed symptoms (cough, fever, sore throat, headache,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symptoms.</w:t>
      </w:r>
    </w:p>
    <w:p w14:paraId="62394CC1"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62394CC2"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2394CC3" w14:textId="77777777" w:rsidR="000A5F42" w:rsidRPr="000606CC" w:rsidRDefault="000A5F42" w:rsidP="000A5F42">
      <w:pPr>
        <w:pStyle w:val="NoSpacing"/>
        <w:rPr>
          <w:rStyle w:val="URI"/>
          <w:rFonts w:cstheme="minorHAnsi"/>
          <w:sz w:val="20"/>
          <w:szCs w:val="18"/>
        </w:rPr>
      </w:pPr>
    </w:p>
    <w:p w14:paraId="62394CC4"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62394CC5" w14:textId="77777777" w:rsidR="000A5F42" w:rsidRPr="000606CC" w:rsidRDefault="000A5F42" w:rsidP="000A5F42">
      <w:pPr>
        <w:pStyle w:val="NoSpacing"/>
        <w:rPr>
          <w:rStyle w:val="Strong"/>
          <w:rFonts w:cstheme="minorHAnsi"/>
          <w:sz w:val="20"/>
          <w:szCs w:val="18"/>
        </w:rPr>
      </w:pPr>
    </w:p>
    <w:p w14:paraId="62394CC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62394CC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2394CC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2394CC9"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62394CCA" w14:textId="77777777" w:rsidR="000A5F42" w:rsidRPr="000606CC" w:rsidRDefault="000A5F42" w:rsidP="000A5F42">
      <w:pPr>
        <w:pStyle w:val="NoSpacing"/>
        <w:rPr>
          <w:rStyle w:val="Strong"/>
          <w:rFonts w:cstheme="minorHAnsi"/>
          <w:sz w:val="20"/>
          <w:szCs w:val="18"/>
        </w:rPr>
      </w:pPr>
    </w:p>
    <w:p w14:paraId="62394CCB" w14:textId="5E246F4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2394CCC" w14:textId="77777777" w:rsidR="000A5F42" w:rsidRPr="000606CC" w:rsidRDefault="000A5F42" w:rsidP="000A5F42">
      <w:pPr>
        <w:pStyle w:val="NoSpacing"/>
        <w:rPr>
          <w:rStyle w:val="Strong"/>
          <w:rFonts w:cstheme="minorHAnsi"/>
          <w:sz w:val="20"/>
          <w:szCs w:val="18"/>
        </w:rPr>
      </w:pPr>
    </w:p>
    <w:p w14:paraId="62394CC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2394CCE" w14:textId="77777777" w:rsidR="000A5F42" w:rsidRPr="000606CC" w:rsidRDefault="000A5F42" w:rsidP="000A5F42">
      <w:pPr>
        <w:pStyle w:val="NoSpacing"/>
        <w:rPr>
          <w:rStyle w:val="Strong"/>
          <w:rFonts w:cstheme="minorHAnsi"/>
          <w:sz w:val="20"/>
          <w:szCs w:val="18"/>
        </w:rPr>
      </w:pPr>
    </w:p>
    <w:p w14:paraId="62394CCF" w14:textId="238DDD9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2394CD0" w14:textId="77777777" w:rsidR="000A5F42" w:rsidRPr="000606CC" w:rsidRDefault="000A5F42" w:rsidP="000A5F42">
      <w:pPr>
        <w:pStyle w:val="NoSpacing"/>
        <w:rPr>
          <w:rStyle w:val="Strong"/>
          <w:rFonts w:cstheme="minorHAnsi"/>
          <w:sz w:val="20"/>
          <w:szCs w:val="18"/>
        </w:rPr>
      </w:pPr>
    </w:p>
    <w:p w14:paraId="62394CD1" w14:textId="48EC4053"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2394CD2" w14:textId="2F79550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7" w:history="1">
        <w:r w:rsidRPr="000606CC">
          <w:rPr>
            <w:rStyle w:val="Hyperlink"/>
            <w:rFonts w:cstheme="minorHAnsi"/>
            <w:sz w:val="20"/>
            <w:szCs w:val="18"/>
          </w:rPr>
          <w:t>cdi.editor@health.gov.au</w:t>
        </w:r>
      </w:hyperlink>
      <w:r w:rsidRPr="000606CC">
        <w:rPr>
          <w:rFonts w:cstheme="minorHAnsi"/>
          <w:sz w:val="20"/>
          <w:szCs w:val="18"/>
        </w:rPr>
        <w:t>.</w:t>
      </w:r>
    </w:p>
    <w:p w14:paraId="62394CD3" w14:textId="77777777" w:rsidR="000A5F42" w:rsidRPr="000606CC" w:rsidRDefault="000A5F42" w:rsidP="000A5F42">
      <w:pPr>
        <w:pStyle w:val="NoSpacing"/>
        <w:pBdr>
          <w:bottom w:val="single" w:sz="6" w:space="1" w:color="auto"/>
        </w:pBdr>
        <w:rPr>
          <w:rStyle w:val="Strong"/>
          <w:rFonts w:cstheme="minorHAnsi"/>
          <w:sz w:val="12"/>
          <w:szCs w:val="18"/>
        </w:rPr>
      </w:pPr>
    </w:p>
    <w:p w14:paraId="62394CD4" w14:textId="77777777" w:rsidR="000A5F42" w:rsidRPr="000606CC" w:rsidRDefault="000A5F42" w:rsidP="000A5F42">
      <w:pPr>
        <w:pStyle w:val="NoSpacing"/>
        <w:rPr>
          <w:rFonts w:cstheme="minorHAnsi"/>
          <w:sz w:val="20"/>
          <w:szCs w:val="18"/>
        </w:rPr>
      </w:pPr>
    </w:p>
    <w:p w14:paraId="62394CD5"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62394CD6" w14:textId="77777777" w:rsidR="000A5F42" w:rsidRPr="000606CC" w:rsidRDefault="000A5F42" w:rsidP="000A5F42">
      <w:pPr>
        <w:pStyle w:val="NoSpacing"/>
        <w:rPr>
          <w:rFonts w:cstheme="minorHAnsi"/>
          <w:sz w:val="20"/>
          <w:szCs w:val="18"/>
        </w:rPr>
      </w:pPr>
    </w:p>
    <w:p w14:paraId="62394CD7"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62394CD8"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62394CD9" w14:textId="03214798"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2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2394CDA" w14:textId="77777777" w:rsidR="000A5F42" w:rsidRPr="000606CC" w:rsidRDefault="000A5F42" w:rsidP="000A5F42">
      <w:pPr>
        <w:pStyle w:val="NoSpacing"/>
        <w:rPr>
          <w:rFonts w:cstheme="minorHAnsi"/>
          <w:sz w:val="20"/>
          <w:szCs w:val="18"/>
        </w:rPr>
      </w:pPr>
    </w:p>
    <w:p w14:paraId="62394CD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2394CDC" w14:textId="7E5F2719"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2394CD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62394CD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62394CD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2394CE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2394CE1" w14:textId="77777777" w:rsidR="000A5F42" w:rsidRPr="000606CC" w:rsidRDefault="000A5F42" w:rsidP="000A5F42">
      <w:pPr>
        <w:pStyle w:val="NoSpacing"/>
        <w:rPr>
          <w:rStyle w:val="Strong"/>
          <w:rFonts w:cstheme="minorHAnsi"/>
          <w:sz w:val="20"/>
          <w:szCs w:val="18"/>
        </w:rPr>
      </w:pPr>
    </w:p>
    <w:p w14:paraId="62394CE2"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2394CE3" w14:textId="77777777" w:rsidR="000A5F42" w:rsidRPr="000606CC" w:rsidRDefault="000A5F42" w:rsidP="000A5F42">
      <w:pPr>
        <w:pStyle w:val="NoSpacing"/>
        <w:rPr>
          <w:rStyle w:val="Strong"/>
          <w:rFonts w:cstheme="minorHAnsi"/>
          <w:sz w:val="20"/>
          <w:szCs w:val="18"/>
        </w:rPr>
      </w:pPr>
    </w:p>
    <w:p w14:paraId="62394CE4" w14:textId="46E78C5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3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2394CE5" w14:textId="77777777" w:rsidR="000A5F42" w:rsidRPr="000606CC" w:rsidRDefault="000A5F42" w:rsidP="000A5F42">
      <w:pPr>
        <w:pStyle w:val="NoSpacing"/>
        <w:rPr>
          <w:rStyle w:val="URI"/>
          <w:rFonts w:cstheme="minorHAnsi"/>
          <w:sz w:val="20"/>
          <w:szCs w:val="18"/>
        </w:rPr>
      </w:pPr>
    </w:p>
    <w:p w14:paraId="62394CE6" w14:textId="55F69C87"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1" w:tooltip="Communicable Diseases Network Australia website" w:history="1">
        <w:r w:rsidRPr="000606CC">
          <w:rPr>
            <w:rStyle w:val="Hyperlink"/>
            <w:rFonts w:cstheme="minorHAnsi"/>
            <w:sz w:val="20"/>
            <w:szCs w:val="18"/>
          </w:rPr>
          <w:t>http://www.health.gov.au/cdna</w:t>
        </w:r>
      </w:hyperlink>
    </w:p>
    <w:p w14:paraId="62394CE7" w14:textId="77777777" w:rsidR="001B37B8" w:rsidRPr="00E92237" w:rsidRDefault="001B37B8" w:rsidP="001B37B8">
      <w:pPr>
        <w:rPr>
          <w:rFonts w:cs="Myriad Pro"/>
          <w:color w:val="211D1E"/>
          <w:sz w:val="20"/>
          <w:szCs w:val="20"/>
        </w:rPr>
      </w:pPr>
    </w:p>
    <w:sectPr w:rsidR="001B37B8" w:rsidRPr="00E92237" w:rsidSect="002B75A9">
      <w:headerReference w:type="default" r:id="rId3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4597B" w14:textId="77777777" w:rsidR="00F87DF0" w:rsidRDefault="00F87DF0" w:rsidP="00E54DBA">
      <w:r>
        <w:separator/>
      </w:r>
    </w:p>
    <w:p w14:paraId="474984CC" w14:textId="77777777" w:rsidR="00F87DF0" w:rsidRDefault="00F87DF0"/>
    <w:p w14:paraId="6A785A07" w14:textId="77777777" w:rsidR="00F87DF0" w:rsidRDefault="00F87DF0" w:rsidP="008714B0"/>
  </w:endnote>
  <w:endnote w:type="continuationSeparator" w:id="0">
    <w:p w14:paraId="1AC09C4F" w14:textId="77777777" w:rsidR="00F87DF0" w:rsidRDefault="00F87DF0" w:rsidP="00E54DBA">
      <w:r>
        <w:continuationSeparator/>
      </w:r>
    </w:p>
    <w:p w14:paraId="6A393353" w14:textId="77777777" w:rsidR="00F87DF0" w:rsidRDefault="00F87DF0"/>
    <w:p w14:paraId="2F72F2EF" w14:textId="77777777" w:rsidR="00F87DF0" w:rsidRDefault="00F87DF0" w:rsidP="008714B0"/>
  </w:endnote>
  <w:endnote w:type="continuationNotice" w:id="1">
    <w:p w14:paraId="61618AC6" w14:textId="77777777" w:rsidR="00F87DF0" w:rsidRDefault="00F87D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94D08" w14:textId="4BE757FD" w:rsidR="00C37967" w:rsidRPr="0042435E" w:rsidRDefault="00C37967"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338BA">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5338BA">
      <w:rPr>
        <w:noProof/>
        <w:sz w:val="18"/>
      </w:rPr>
      <w:t>28</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C27DFA">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5338BA">
      <w:rPr>
        <w:sz w:val="18"/>
      </w:rPr>
      <w:t>https://doi.org/10.33321/cdi.2020.44.52</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CA10F5">
      <w:rPr>
        <w:sz w:val="18"/>
      </w:rPr>
      <w:t>17/06/2020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94D09" w14:textId="2F3B3801" w:rsidR="00C37967" w:rsidRPr="00BB5378" w:rsidRDefault="00C37967"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F87DF0">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F87DF0">
      <w:rPr>
        <w:noProof/>
        <w:sz w:val="18"/>
      </w:rPr>
      <w:t>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C27DFA">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5338BA">
      <w:rPr>
        <w:sz w:val="18"/>
      </w:rPr>
      <w:t>https://doi.org/10.33321/cdi.2020.44.52</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CA10F5">
      <w:rPr>
        <w:sz w:val="18"/>
      </w:rPr>
      <w:t>17/06/2020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07264" w14:textId="77777777" w:rsidR="00F87DF0" w:rsidRDefault="00F87DF0" w:rsidP="00E54DBA">
      <w:r>
        <w:separator/>
      </w:r>
    </w:p>
  </w:footnote>
  <w:footnote w:type="continuationSeparator" w:id="0">
    <w:p w14:paraId="15C2CCDE" w14:textId="77777777" w:rsidR="00F87DF0" w:rsidRDefault="00F87DF0" w:rsidP="00E54DBA">
      <w:r>
        <w:continuationSeparator/>
      </w:r>
    </w:p>
  </w:footnote>
  <w:footnote w:type="continuationNotice" w:id="1">
    <w:p w14:paraId="67C6E56F" w14:textId="77777777" w:rsidR="00F87DF0" w:rsidRPr="00224EFF" w:rsidRDefault="00F87DF0" w:rsidP="00224EFF">
      <w:pPr>
        <w:pStyle w:val="Footer"/>
      </w:pPr>
    </w:p>
  </w:footnote>
  <w:footnote w:id="2">
    <w:p w14:paraId="51667F8E" w14:textId="52C287D1" w:rsidR="00C37967" w:rsidRPr="00F47DCD" w:rsidRDefault="00C37967" w:rsidP="00873AC7">
      <w:pPr>
        <w:pStyle w:val="CDIfootnotes"/>
      </w:pPr>
      <w:r w:rsidRPr="00873AC7">
        <w:rPr>
          <w:rStyle w:val="FootnoteReference"/>
          <w:i/>
        </w:rPr>
        <w:footnoteRef/>
      </w:r>
      <w:r w:rsidRPr="00873AC7">
        <w:t xml:space="preserve"> </w:t>
      </w:r>
      <w:r>
        <w:tab/>
      </w:r>
      <w:r w:rsidRPr="00873AC7">
        <w:t>This report has been prepared ahead of usual reporting timelines in order to ensure departmental publications using the same fortnightly reporting periods are published in a timely manner. In advancing the availability of these data, reporting periods for departmental outputs align and may be used to provide a comprehensive overview of the health response to the COVID-19 pandemic. This condensed production timeline has resulted in a succinct report that includes sections that have not been updated for this data collection period. Where applicable, these sections are clearly marked. The next fortnightly report (Report 19) will provide the usual comprehensive analysis.</w:t>
      </w:r>
      <w:r w:rsidRPr="00F47DCD">
        <w:t xml:space="preserve"> </w:t>
      </w:r>
    </w:p>
    <w:p w14:paraId="69716938" w14:textId="77777777" w:rsidR="00C37967" w:rsidRDefault="00C3796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94D07" w14:textId="77777777" w:rsidR="00C37967" w:rsidRPr="00A153B6" w:rsidRDefault="00C8269C" w:rsidP="00A153B6">
    <w:pPr>
      <w:pStyle w:val="Header"/>
      <w:pBdr>
        <w:bottom w:val="single" w:sz="6" w:space="1" w:color="auto"/>
      </w:pBdr>
    </w:pPr>
    <w:sdt>
      <w:sdtPr>
        <w:alias w:val="Category"/>
        <w:tag w:val=""/>
        <w:id w:val="-564252892"/>
        <w:dataBinding w:prefixMappings="xmlns:ns0='http://purl.org/dc/elements/1.1/' xmlns:ns1='http://schemas.openxmlformats.org/package/2006/metadata/core-properties' " w:xpath="/ns1:coreProperties[1]/ns1:category[1]" w:storeItemID="{6C3C8BC8-F283-45AE-878A-BAB7291924A1}"/>
        <w:text/>
      </w:sdtPr>
      <w:sdtEndPr/>
      <w:sdtContent>
        <w:r w:rsidR="00C37967">
          <w:t>Fortnightly epidemiological report</w:t>
        </w:r>
      </w:sdtContent>
    </w:sdt>
    <w:r w:rsidR="00C37967">
      <w:ptab w:relativeTo="margin" w:alignment="right" w:leader="none"/>
    </w:r>
    <w:r w:rsidR="00C37967"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94D0A" w14:textId="77777777" w:rsidR="00C37967" w:rsidRPr="000A5F42" w:rsidRDefault="00C37967" w:rsidP="000A5F42">
    <w:pPr>
      <w:pStyle w:val="Header"/>
      <w:jc w:val="center"/>
      <w:rPr>
        <w:b/>
      </w:rPr>
    </w:pPr>
    <w:r w:rsidRPr="00E810C5">
      <w:rPr>
        <w:rFonts w:cs="Myriad Pro"/>
        <w:noProof/>
        <w:color w:val="211D1E"/>
        <w:sz w:val="16"/>
      </w:rPr>
      <w:drawing>
        <wp:inline distT="0" distB="0" distL="0" distR="0" wp14:anchorId="62394D0B" wp14:editId="62394D0C">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7B3B"/>
    <w:multiLevelType w:val="multilevel"/>
    <w:tmpl w:val="9F0E8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71B5A"/>
    <w:multiLevelType w:val="multilevel"/>
    <w:tmpl w:val="F8CC68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FE36F6A"/>
    <w:multiLevelType w:val="multilevel"/>
    <w:tmpl w:val="E4203E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E50843"/>
    <w:multiLevelType w:val="multilevel"/>
    <w:tmpl w:val="212E6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1715E9"/>
    <w:multiLevelType w:val="hybridMultilevel"/>
    <w:tmpl w:val="5DCE07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A402360"/>
    <w:multiLevelType w:val="hybridMultilevel"/>
    <w:tmpl w:val="818A0D36"/>
    <w:lvl w:ilvl="0" w:tplc="74EAC26E">
      <w:start w:val="1"/>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E64001"/>
    <w:multiLevelType w:val="hybridMultilevel"/>
    <w:tmpl w:val="5A94589E"/>
    <w:lvl w:ilvl="0" w:tplc="0C090001">
      <w:start w:val="1"/>
      <w:numFmt w:val="bullet"/>
      <w:lvlText w:val=""/>
      <w:lvlJc w:val="left"/>
      <w:pPr>
        <w:ind w:left="363" w:hanging="360"/>
      </w:pPr>
      <w:rPr>
        <w:rFonts w:ascii="Symbol" w:hAnsi="Symbol"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9" w15:restartNumberingAfterBreak="0">
    <w:nsid w:val="2DE725A6"/>
    <w:multiLevelType w:val="hybridMultilevel"/>
    <w:tmpl w:val="2B70E5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E4963F7"/>
    <w:multiLevelType w:val="multilevel"/>
    <w:tmpl w:val="796ED4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2923D3E"/>
    <w:multiLevelType w:val="hybridMultilevel"/>
    <w:tmpl w:val="71DC7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E4534F"/>
    <w:multiLevelType w:val="hybridMultilevel"/>
    <w:tmpl w:val="76F41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015C21"/>
    <w:multiLevelType w:val="multilevel"/>
    <w:tmpl w:val="65549C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461F48DD"/>
    <w:multiLevelType w:val="hybridMultilevel"/>
    <w:tmpl w:val="330C9C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70258FD"/>
    <w:multiLevelType w:val="multilevel"/>
    <w:tmpl w:val="422A9C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AB01859"/>
    <w:multiLevelType w:val="hybridMultilevel"/>
    <w:tmpl w:val="988CCE16"/>
    <w:lvl w:ilvl="0" w:tplc="74EAC26E">
      <w:start w:val="1"/>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1654A77"/>
    <w:multiLevelType w:val="multilevel"/>
    <w:tmpl w:val="D334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8D3A46"/>
    <w:multiLevelType w:val="multilevel"/>
    <w:tmpl w:val="9DAA11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5E6F1778"/>
    <w:multiLevelType w:val="multilevel"/>
    <w:tmpl w:val="29F27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506DA0"/>
    <w:multiLevelType w:val="multilevel"/>
    <w:tmpl w:val="CC9C0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CE4DA8"/>
    <w:multiLevelType w:val="multilevel"/>
    <w:tmpl w:val="D4DC77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03E5C9A"/>
    <w:multiLevelType w:val="hybridMultilevel"/>
    <w:tmpl w:val="843C8D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43A13CB"/>
    <w:multiLevelType w:val="multilevel"/>
    <w:tmpl w:val="016A9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52A1AFB"/>
    <w:multiLevelType w:val="hybridMultilevel"/>
    <w:tmpl w:val="A24EF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AF4481F"/>
    <w:multiLevelType w:val="hybridMultilevel"/>
    <w:tmpl w:val="1C6EFFEC"/>
    <w:lvl w:ilvl="0" w:tplc="13E47500">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BB63545"/>
    <w:multiLevelType w:val="hybridMultilevel"/>
    <w:tmpl w:val="4874FC16"/>
    <w:lvl w:ilvl="0" w:tplc="2CC603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E44495E"/>
    <w:multiLevelType w:val="hybridMultilevel"/>
    <w:tmpl w:val="A0F424E6"/>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32" w15:restartNumberingAfterBreak="0">
    <w:nsid w:val="7EB9515E"/>
    <w:multiLevelType w:val="multilevel"/>
    <w:tmpl w:val="845895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693729659">
    <w:abstractNumId w:val="5"/>
  </w:num>
  <w:num w:numId="2" w16cid:durableId="1031300908">
    <w:abstractNumId w:val="15"/>
  </w:num>
  <w:num w:numId="3" w16cid:durableId="281771228">
    <w:abstractNumId w:val="17"/>
  </w:num>
  <w:num w:numId="4" w16cid:durableId="284896138">
    <w:abstractNumId w:val="3"/>
  </w:num>
  <w:num w:numId="5" w16cid:durableId="1056899254">
    <w:abstractNumId w:val="24"/>
  </w:num>
  <w:num w:numId="6" w16cid:durableId="196965401">
    <w:abstractNumId w:val="25"/>
  </w:num>
  <w:num w:numId="7" w16cid:durableId="1293555032">
    <w:abstractNumId w:val="23"/>
  </w:num>
  <w:num w:numId="8" w16cid:durableId="1396784078">
    <w:abstractNumId w:val="13"/>
  </w:num>
  <w:num w:numId="9" w16cid:durableId="798230537">
    <w:abstractNumId w:val="2"/>
  </w:num>
  <w:num w:numId="10" w16cid:durableId="2098094881">
    <w:abstractNumId w:val="10"/>
  </w:num>
  <w:num w:numId="11" w16cid:durableId="1246384077">
    <w:abstractNumId w:val="20"/>
  </w:num>
  <w:num w:numId="12" w16cid:durableId="10379540">
    <w:abstractNumId w:val="16"/>
  </w:num>
  <w:num w:numId="13" w16cid:durableId="1488787999">
    <w:abstractNumId w:val="1"/>
  </w:num>
  <w:num w:numId="14" w16cid:durableId="2122454604">
    <w:abstractNumId w:val="32"/>
  </w:num>
  <w:num w:numId="15" w16cid:durableId="815071605">
    <w:abstractNumId w:val="27"/>
  </w:num>
  <w:num w:numId="16" w16cid:durableId="1390882889">
    <w:abstractNumId w:val="19"/>
  </w:num>
  <w:num w:numId="17" w16cid:durableId="1133713634">
    <w:abstractNumId w:val="26"/>
  </w:num>
  <w:num w:numId="18" w16cid:durableId="1175993672">
    <w:abstractNumId w:val="11"/>
  </w:num>
  <w:num w:numId="19" w16cid:durableId="504783024">
    <w:abstractNumId w:val="22"/>
  </w:num>
  <w:num w:numId="20" w16cid:durableId="465588055">
    <w:abstractNumId w:val="21"/>
  </w:num>
  <w:num w:numId="21" w16cid:durableId="1378121381">
    <w:abstractNumId w:val="4"/>
  </w:num>
  <w:num w:numId="22" w16cid:durableId="1197962757">
    <w:abstractNumId w:val="0"/>
  </w:num>
  <w:num w:numId="23" w16cid:durableId="1025600891">
    <w:abstractNumId w:val="8"/>
  </w:num>
  <w:num w:numId="24" w16cid:durableId="1035959330">
    <w:abstractNumId w:val="30"/>
  </w:num>
  <w:num w:numId="25" w16cid:durableId="466819002">
    <w:abstractNumId w:val="31"/>
  </w:num>
  <w:num w:numId="26" w16cid:durableId="445076018">
    <w:abstractNumId w:val="7"/>
  </w:num>
  <w:num w:numId="27" w16cid:durableId="645206631">
    <w:abstractNumId w:val="18"/>
  </w:num>
  <w:num w:numId="28" w16cid:durableId="1069112395">
    <w:abstractNumId w:val="9"/>
  </w:num>
  <w:num w:numId="29" w16cid:durableId="906458698">
    <w:abstractNumId w:val="12"/>
  </w:num>
  <w:num w:numId="30" w16cid:durableId="419445918">
    <w:abstractNumId w:val="6"/>
  </w:num>
  <w:num w:numId="31" w16cid:durableId="338655312">
    <w:abstractNumId w:val="29"/>
  </w:num>
  <w:num w:numId="32" w16cid:durableId="172956503">
    <w:abstractNumId w:val="28"/>
  </w:num>
  <w:num w:numId="33" w16cid:durableId="20205477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documentProtection w:edit="readOnly" w:enforcement="0"/>
  <w:defaultTabStop w:val="720"/>
  <w:noPunctuationKerning/>
  <w:characterSpacingControl w:val="doNotCompress"/>
  <w:hdrShapeDefaults>
    <o:shapedefaults v:ext="edit" spidmax="4097"/>
  </w:hdrShapeDefaults>
  <w:footnotePr>
    <w:numFmt w:val="lowerRoman"/>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85E"/>
    <w:rsid w:val="0000089F"/>
    <w:rsid w:val="00000B5B"/>
    <w:rsid w:val="00000CC6"/>
    <w:rsid w:val="00000D60"/>
    <w:rsid w:val="00001611"/>
    <w:rsid w:val="00007FC0"/>
    <w:rsid w:val="00010067"/>
    <w:rsid w:val="000104A8"/>
    <w:rsid w:val="0001246E"/>
    <w:rsid w:val="000124B1"/>
    <w:rsid w:val="00016FE6"/>
    <w:rsid w:val="00022619"/>
    <w:rsid w:val="00025059"/>
    <w:rsid w:val="00031064"/>
    <w:rsid w:val="00031692"/>
    <w:rsid w:val="00032029"/>
    <w:rsid w:val="00032531"/>
    <w:rsid w:val="00033BD3"/>
    <w:rsid w:val="00034FE0"/>
    <w:rsid w:val="00035413"/>
    <w:rsid w:val="000370F8"/>
    <w:rsid w:val="00037FDD"/>
    <w:rsid w:val="00041210"/>
    <w:rsid w:val="0004180B"/>
    <w:rsid w:val="00044B67"/>
    <w:rsid w:val="000460CD"/>
    <w:rsid w:val="000469D2"/>
    <w:rsid w:val="000471BF"/>
    <w:rsid w:val="00047B68"/>
    <w:rsid w:val="00052600"/>
    <w:rsid w:val="00055EBF"/>
    <w:rsid w:val="0005643C"/>
    <w:rsid w:val="000601BA"/>
    <w:rsid w:val="00060424"/>
    <w:rsid w:val="0006264A"/>
    <w:rsid w:val="000631B3"/>
    <w:rsid w:val="00066D65"/>
    <w:rsid w:val="00071A43"/>
    <w:rsid w:val="000721C3"/>
    <w:rsid w:val="00073D77"/>
    <w:rsid w:val="00077127"/>
    <w:rsid w:val="00077F02"/>
    <w:rsid w:val="00081132"/>
    <w:rsid w:val="00081655"/>
    <w:rsid w:val="000825A2"/>
    <w:rsid w:val="0008370B"/>
    <w:rsid w:val="00084DE8"/>
    <w:rsid w:val="000864E0"/>
    <w:rsid w:val="00087AEF"/>
    <w:rsid w:val="000969B3"/>
    <w:rsid w:val="000A150B"/>
    <w:rsid w:val="000A5F42"/>
    <w:rsid w:val="000B2127"/>
    <w:rsid w:val="000B4124"/>
    <w:rsid w:val="000C01F8"/>
    <w:rsid w:val="000C5F07"/>
    <w:rsid w:val="000C6F82"/>
    <w:rsid w:val="000D2B2D"/>
    <w:rsid w:val="000D4B4D"/>
    <w:rsid w:val="000E2118"/>
    <w:rsid w:val="000F3103"/>
    <w:rsid w:val="000F54AA"/>
    <w:rsid w:val="000F7009"/>
    <w:rsid w:val="00111264"/>
    <w:rsid w:val="001122EC"/>
    <w:rsid w:val="00113D58"/>
    <w:rsid w:val="001147CC"/>
    <w:rsid w:val="001167F8"/>
    <w:rsid w:val="001200CB"/>
    <w:rsid w:val="00121EFF"/>
    <w:rsid w:val="00127722"/>
    <w:rsid w:val="0013368B"/>
    <w:rsid w:val="001365D6"/>
    <w:rsid w:val="001378A3"/>
    <w:rsid w:val="00141AF9"/>
    <w:rsid w:val="001424C7"/>
    <w:rsid w:val="00142ACC"/>
    <w:rsid w:val="00152214"/>
    <w:rsid w:val="00154708"/>
    <w:rsid w:val="00154FE9"/>
    <w:rsid w:val="00155582"/>
    <w:rsid w:val="00156C14"/>
    <w:rsid w:val="00160729"/>
    <w:rsid w:val="00161590"/>
    <w:rsid w:val="00163008"/>
    <w:rsid w:val="0017191A"/>
    <w:rsid w:val="00171CC0"/>
    <w:rsid w:val="00175494"/>
    <w:rsid w:val="00175629"/>
    <w:rsid w:val="001803B1"/>
    <w:rsid w:val="001830EC"/>
    <w:rsid w:val="00183534"/>
    <w:rsid w:val="001876D5"/>
    <w:rsid w:val="001A4A96"/>
    <w:rsid w:val="001A4E40"/>
    <w:rsid w:val="001A5D05"/>
    <w:rsid w:val="001A6B3B"/>
    <w:rsid w:val="001A6C01"/>
    <w:rsid w:val="001A796C"/>
    <w:rsid w:val="001B2614"/>
    <w:rsid w:val="001B37B8"/>
    <w:rsid w:val="001B552F"/>
    <w:rsid w:val="001C0716"/>
    <w:rsid w:val="001C0893"/>
    <w:rsid w:val="001C1303"/>
    <w:rsid w:val="001C3BF1"/>
    <w:rsid w:val="001C4297"/>
    <w:rsid w:val="001C70B2"/>
    <w:rsid w:val="001D235E"/>
    <w:rsid w:val="001D37C7"/>
    <w:rsid w:val="001D3C61"/>
    <w:rsid w:val="001D6888"/>
    <w:rsid w:val="001D6CF9"/>
    <w:rsid w:val="001E2C6C"/>
    <w:rsid w:val="001E5ACE"/>
    <w:rsid w:val="001F62C0"/>
    <w:rsid w:val="001F74F6"/>
    <w:rsid w:val="00205421"/>
    <w:rsid w:val="002107A0"/>
    <w:rsid w:val="00211402"/>
    <w:rsid w:val="002148CB"/>
    <w:rsid w:val="0022207B"/>
    <w:rsid w:val="00224EFF"/>
    <w:rsid w:val="002276DC"/>
    <w:rsid w:val="00227E00"/>
    <w:rsid w:val="002307CB"/>
    <w:rsid w:val="00231046"/>
    <w:rsid w:val="00232540"/>
    <w:rsid w:val="00232D8A"/>
    <w:rsid w:val="00234F21"/>
    <w:rsid w:val="0024086E"/>
    <w:rsid w:val="002422FB"/>
    <w:rsid w:val="00242659"/>
    <w:rsid w:val="002428F7"/>
    <w:rsid w:val="00242953"/>
    <w:rsid w:val="0024315F"/>
    <w:rsid w:val="002441E3"/>
    <w:rsid w:val="002458C1"/>
    <w:rsid w:val="00247AAD"/>
    <w:rsid w:val="00252BC4"/>
    <w:rsid w:val="00252C9A"/>
    <w:rsid w:val="00254FFF"/>
    <w:rsid w:val="00256309"/>
    <w:rsid w:val="00257484"/>
    <w:rsid w:val="00260636"/>
    <w:rsid w:val="002606BD"/>
    <w:rsid w:val="00271573"/>
    <w:rsid w:val="00271C08"/>
    <w:rsid w:val="002723EF"/>
    <w:rsid w:val="00275C78"/>
    <w:rsid w:val="00280594"/>
    <w:rsid w:val="00281EE3"/>
    <w:rsid w:val="00284E4A"/>
    <w:rsid w:val="00290688"/>
    <w:rsid w:val="00291A86"/>
    <w:rsid w:val="00295729"/>
    <w:rsid w:val="00297BB0"/>
    <w:rsid w:val="002A079E"/>
    <w:rsid w:val="002A0F30"/>
    <w:rsid w:val="002A3799"/>
    <w:rsid w:val="002A3BCC"/>
    <w:rsid w:val="002A4516"/>
    <w:rsid w:val="002A569F"/>
    <w:rsid w:val="002A7066"/>
    <w:rsid w:val="002B001E"/>
    <w:rsid w:val="002B09B7"/>
    <w:rsid w:val="002B75A9"/>
    <w:rsid w:val="002C21B0"/>
    <w:rsid w:val="002C23A8"/>
    <w:rsid w:val="002C3BE1"/>
    <w:rsid w:val="002C653C"/>
    <w:rsid w:val="002D3EF7"/>
    <w:rsid w:val="002E266D"/>
    <w:rsid w:val="002E2FB3"/>
    <w:rsid w:val="002E513A"/>
    <w:rsid w:val="002E5211"/>
    <w:rsid w:val="002F24A8"/>
    <w:rsid w:val="002F2A84"/>
    <w:rsid w:val="002F327B"/>
    <w:rsid w:val="002F714F"/>
    <w:rsid w:val="00301626"/>
    <w:rsid w:val="003059EC"/>
    <w:rsid w:val="00306B49"/>
    <w:rsid w:val="0031002D"/>
    <w:rsid w:val="00313100"/>
    <w:rsid w:val="003145DE"/>
    <w:rsid w:val="0031469C"/>
    <w:rsid w:val="00316CCD"/>
    <w:rsid w:val="003172D5"/>
    <w:rsid w:val="00324F7E"/>
    <w:rsid w:val="00331145"/>
    <w:rsid w:val="00331BB7"/>
    <w:rsid w:val="003323BC"/>
    <w:rsid w:val="00333DF1"/>
    <w:rsid w:val="00337218"/>
    <w:rsid w:val="00345C8C"/>
    <w:rsid w:val="00346D42"/>
    <w:rsid w:val="00346E11"/>
    <w:rsid w:val="00352B89"/>
    <w:rsid w:val="003553D8"/>
    <w:rsid w:val="00356F7E"/>
    <w:rsid w:val="003601C0"/>
    <w:rsid w:val="00360970"/>
    <w:rsid w:val="0036326D"/>
    <w:rsid w:val="003635F5"/>
    <w:rsid w:val="003639EB"/>
    <w:rsid w:val="00364174"/>
    <w:rsid w:val="0036795C"/>
    <w:rsid w:val="00372A88"/>
    <w:rsid w:val="00373B7F"/>
    <w:rsid w:val="00377639"/>
    <w:rsid w:val="00381A0F"/>
    <w:rsid w:val="00395248"/>
    <w:rsid w:val="00395F74"/>
    <w:rsid w:val="003A1B3A"/>
    <w:rsid w:val="003A40F5"/>
    <w:rsid w:val="003A686D"/>
    <w:rsid w:val="003B5B8C"/>
    <w:rsid w:val="003B6744"/>
    <w:rsid w:val="003C006B"/>
    <w:rsid w:val="003C0F17"/>
    <w:rsid w:val="003C1F18"/>
    <w:rsid w:val="003C21C2"/>
    <w:rsid w:val="003C6867"/>
    <w:rsid w:val="003D6F20"/>
    <w:rsid w:val="003D79B1"/>
    <w:rsid w:val="003E6EF3"/>
    <w:rsid w:val="003E74EE"/>
    <w:rsid w:val="003F0552"/>
    <w:rsid w:val="003F0708"/>
    <w:rsid w:val="003F0BAC"/>
    <w:rsid w:val="003F3B87"/>
    <w:rsid w:val="003F3BC2"/>
    <w:rsid w:val="003F4628"/>
    <w:rsid w:val="003F71CE"/>
    <w:rsid w:val="00401ED1"/>
    <w:rsid w:val="0040224C"/>
    <w:rsid w:val="00413EE1"/>
    <w:rsid w:val="00415FDD"/>
    <w:rsid w:val="004164BB"/>
    <w:rsid w:val="00416DDF"/>
    <w:rsid w:val="00421ECE"/>
    <w:rsid w:val="00422FEB"/>
    <w:rsid w:val="00423BEE"/>
    <w:rsid w:val="0042435E"/>
    <w:rsid w:val="004248FF"/>
    <w:rsid w:val="004261B9"/>
    <w:rsid w:val="004315F5"/>
    <w:rsid w:val="0043213D"/>
    <w:rsid w:val="00433456"/>
    <w:rsid w:val="00433DFA"/>
    <w:rsid w:val="00435D67"/>
    <w:rsid w:val="00437125"/>
    <w:rsid w:val="00444F27"/>
    <w:rsid w:val="004465D1"/>
    <w:rsid w:val="00446E5B"/>
    <w:rsid w:val="00456093"/>
    <w:rsid w:val="0046085E"/>
    <w:rsid w:val="00464A58"/>
    <w:rsid w:val="00464CB8"/>
    <w:rsid w:val="00472721"/>
    <w:rsid w:val="00473D2D"/>
    <w:rsid w:val="004740DF"/>
    <w:rsid w:val="0047630E"/>
    <w:rsid w:val="0048340A"/>
    <w:rsid w:val="00490187"/>
    <w:rsid w:val="004950F3"/>
    <w:rsid w:val="004975C3"/>
    <w:rsid w:val="00497D6C"/>
    <w:rsid w:val="004A1776"/>
    <w:rsid w:val="004A2125"/>
    <w:rsid w:val="004A38F6"/>
    <w:rsid w:val="004B4EB6"/>
    <w:rsid w:val="004C083C"/>
    <w:rsid w:val="004C67C6"/>
    <w:rsid w:val="004C7E06"/>
    <w:rsid w:val="004D20B0"/>
    <w:rsid w:val="004D29DE"/>
    <w:rsid w:val="004D5928"/>
    <w:rsid w:val="004D6D83"/>
    <w:rsid w:val="004E2940"/>
    <w:rsid w:val="004E2F32"/>
    <w:rsid w:val="004E37C5"/>
    <w:rsid w:val="004E57C1"/>
    <w:rsid w:val="004E5E64"/>
    <w:rsid w:val="004F4BBF"/>
    <w:rsid w:val="00500B73"/>
    <w:rsid w:val="005041FE"/>
    <w:rsid w:val="00506E87"/>
    <w:rsid w:val="00510EAC"/>
    <w:rsid w:val="005146C9"/>
    <w:rsid w:val="00524283"/>
    <w:rsid w:val="00525E2E"/>
    <w:rsid w:val="005338BA"/>
    <w:rsid w:val="00540611"/>
    <w:rsid w:val="00542A57"/>
    <w:rsid w:val="00545C3C"/>
    <w:rsid w:val="00550FD1"/>
    <w:rsid w:val="00553EAF"/>
    <w:rsid w:val="00565974"/>
    <w:rsid w:val="00570EFC"/>
    <w:rsid w:val="005732C0"/>
    <w:rsid w:val="0057336D"/>
    <w:rsid w:val="0057489A"/>
    <w:rsid w:val="00574ACF"/>
    <w:rsid w:val="00574FF7"/>
    <w:rsid w:val="00575E9B"/>
    <w:rsid w:val="00577FBA"/>
    <w:rsid w:val="00581588"/>
    <w:rsid w:val="005824CC"/>
    <w:rsid w:val="0058540B"/>
    <w:rsid w:val="00585481"/>
    <w:rsid w:val="00587C87"/>
    <w:rsid w:val="00590B80"/>
    <w:rsid w:val="005914E8"/>
    <w:rsid w:val="00592DCA"/>
    <w:rsid w:val="005B037B"/>
    <w:rsid w:val="005B3134"/>
    <w:rsid w:val="005B4E61"/>
    <w:rsid w:val="005B595A"/>
    <w:rsid w:val="005B66C2"/>
    <w:rsid w:val="005C107E"/>
    <w:rsid w:val="005C5E58"/>
    <w:rsid w:val="005C7DB6"/>
    <w:rsid w:val="005D2465"/>
    <w:rsid w:val="005D2540"/>
    <w:rsid w:val="005D442A"/>
    <w:rsid w:val="005E0B29"/>
    <w:rsid w:val="005E0F7D"/>
    <w:rsid w:val="005E33DD"/>
    <w:rsid w:val="005E4229"/>
    <w:rsid w:val="005E540E"/>
    <w:rsid w:val="005E55FB"/>
    <w:rsid w:val="005F0ECF"/>
    <w:rsid w:val="005F16BB"/>
    <w:rsid w:val="005F1779"/>
    <w:rsid w:val="005F3D4C"/>
    <w:rsid w:val="005F44BF"/>
    <w:rsid w:val="005F4BD3"/>
    <w:rsid w:val="005F5C6E"/>
    <w:rsid w:val="0060657B"/>
    <w:rsid w:val="00607115"/>
    <w:rsid w:val="006076BD"/>
    <w:rsid w:val="006116B5"/>
    <w:rsid w:val="0061251E"/>
    <w:rsid w:val="00613C1F"/>
    <w:rsid w:val="006148D9"/>
    <w:rsid w:val="006148E0"/>
    <w:rsid w:val="006157B9"/>
    <w:rsid w:val="00620768"/>
    <w:rsid w:val="00621C8D"/>
    <w:rsid w:val="0062594B"/>
    <w:rsid w:val="00625AE7"/>
    <w:rsid w:val="00626D67"/>
    <w:rsid w:val="00631406"/>
    <w:rsid w:val="006324FF"/>
    <w:rsid w:val="00633383"/>
    <w:rsid w:val="00634057"/>
    <w:rsid w:val="006351D6"/>
    <w:rsid w:val="00636E0D"/>
    <w:rsid w:val="006408B0"/>
    <w:rsid w:val="00640AE1"/>
    <w:rsid w:val="00640DA0"/>
    <w:rsid w:val="00640F29"/>
    <w:rsid w:val="0064142F"/>
    <w:rsid w:val="00643CB4"/>
    <w:rsid w:val="00651A02"/>
    <w:rsid w:val="0065368C"/>
    <w:rsid w:val="00654224"/>
    <w:rsid w:val="00654656"/>
    <w:rsid w:val="00656427"/>
    <w:rsid w:val="00660255"/>
    <w:rsid w:val="006632D7"/>
    <w:rsid w:val="006636BF"/>
    <w:rsid w:val="00666CC1"/>
    <w:rsid w:val="00670D4B"/>
    <w:rsid w:val="00671C8E"/>
    <w:rsid w:val="006868B8"/>
    <w:rsid w:val="00686EF9"/>
    <w:rsid w:val="0068719E"/>
    <w:rsid w:val="00690897"/>
    <w:rsid w:val="00693793"/>
    <w:rsid w:val="00693DDE"/>
    <w:rsid w:val="006971F3"/>
    <w:rsid w:val="006A04EB"/>
    <w:rsid w:val="006A1991"/>
    <w:rsid w:val="006B0D5D"/>
    <w:rsid w:val="006B5D7B"/>
    <w:rsid w:val="006C1788"/>
    <w:rsid w:val="006C5A94"/>
    <w:rsid w:val="006C73B5"/>
    <w:rsid w:val="006C74A3"/>
    <w:rsid w:val="006D0CB4"/>
    <w:rsid w:val="006D1381"/>
    <w:rsid w:val="006D30BD"/>
    <w:rsid w:val="006D31BC"/>
    <w:rsid w:val="006D38F4"/>
    <w:rsid w:val="006E7943"/>
    <w:rsid w:val="006E7BAE"/>
    <w:rsid w:val="006F0557"/>
    <w:rsid w:val="006F24B7"/>
    <w:rsid w:val="006F24EA"/>
    <w:rsid w:val="006F686E"/>
    <w:rsid w:val="00704B57"/>
    <w:rsid w:val="00704CA9"/>
    <w:rsid w:val="0071048D"/>
    <w:rsid w:val="00710F86"/>
    <w:rsid w:val="007111A8"/>
    <w:rsid w:val="00712417"/>
    <w:rsid w:val="0071298A"/>
    <w:rsid w:val="00712EB9"/>
    <w:rsid w:val="00720657"/>
    <w:rsid w:val="0072289B"/>
    <w:rsid w:val="00731BC3"/>
    <w:rsid w:val="007341FE"/>
    <w:rsid w:val="00734A2B"/>
    <w:rsid w:val="0073763E"/>
    <w:rsid w:val="00740EAF"/>
    <w:rsid w:val="00741192"/>
    <w:rsid w:val="00741831"/>
    <w:rsid w:val="00742A4C"/>
    <w:rsid w:val="0074315F"/>
    <w:rsid w:val="00743A33"/>
    <w:rsid w:val="007454B8"/>
    <w:rsid w:val="00746080"/>
    <w:rsid w:val="0075144A"/>
    <w:rsid w:val="00771481"/>
    <w:rsid w:val="007718C0"/>
    <w:rsid w:val="0077271C"/>
    <w:rsid w:val="007827CD"/>
    <w:rsid w:val="007830DC"/>
    <w:rsid w:val="00786329"/>
    <w:rsid w:val="007879A2"/>
    <w:rsid w:val="0079052E"/>
    <w:rsid w:val="00792C7D"/>
    <w:rsid w:val="00793079"/>
    <w:rsid w:val="00794A4D"/>
    <w:rsid w:val="007A1064"/>
    <w:rsid w:val="007A5234"/>
    <w:rsid w:val="007A6D5F"/>
    <w:rsid w:val="007B00A5"/>
    <w:rsid w:val="007B7854"/>
    <w:rsid w:val="007B7C7E"/>
    <w:rsid w:val="007C0B8B"/>
    <w:rsid w:val="007C55FF"/>
    <w:rsid w:val="007C56A1"/>
    <w:rsid w:val="007C6454"/>
    <w:rsid w:val="007E01E0"/>
    <w:rsid w:val="007E16FA"/>
    <w:rsid w:val="007E2C5A"/>
    <w:rsid w:val="007E3650"/>
    <w:rsid w:val="007F0B93"/>
    <w:rsid w:val="007F2ECA"/>
    <w:rsid w:val="007F5653"/>
    <w:rsid w:val="007F7FCE"/>
    <w:rsid w:val="0080073F"/>
    <w:rsid w:val="008026DD"/>
    <w:rsid w:val="00802EF6"/>
    <w:rsid w:val="00803BA3"/>
    <w:rsid w:val="00803D44"/>
    <w:rsid w:val="008044EE"/>
    <w:rsid w:val="00811708"/>
    <w:rsid w:val="00811CD8"/>
    <w:rsid w:val="00814F20"/>
    <w:rsid w:val="00816B90"/>
    <w:rsid w:val="00817799"/>
    <w:rsid w:val="00817D6B"/>
    <w:rsid w:val="00822F5F"/>
    <w:rsid w:val="00824150"/>
    <w:rsid w:val="00824FD3"/>
    <w:rsid w:val="008259BC"/>
    <w:rsid w:val="00826589"/>
    <w:rsid w:val="00834BCC"/>
    <w:rsid w:val="0084287C"/>
    <w:rsid w:val="00843916"/>
    <w:rsid w:val="0084484B"/>
    <w:rsid w:val="00847071"/>
    <w:rsid w:val="00850D54"/>
    <w:rsid w:val="00852AF7"/>
    <w:rsid w:val="00856966"/>
    <w:rsid w:val="00860D7E"/>
    <w:rsid w:val="0086381E"/>
    <w:rsid w:val="008714B0"/>
    <w:rsid w:val="00873AC7"/>
    <w:rsid w:val="00876331"/>
    <w:rsid w:val="00877746"/>
    <w:rsid w:val="00880726"/>
    <w:rsid w:val="00884DF7"/>
    <w:rsid w:val="008857AA"/>
    <w:rsid w:val="00887408"/>
    <w:rsid w:val="00895749"/>
    <w:rsid w:val="008A0F1B"/>
    <w:rsid w:val="008A3544"/>
    <w:rsid w:val="008A7ACB"/>
    <w:rsid w:val="008A7FCD"/>
    <w:rsid w:val="008B48B8"/>
    <w:rsid w:val="008B5348"/>
    <w:rsid w:val="008B58F8"/>
    <w:rsid w:val="008B62C1"/>
    <w:rsid w:val="008C0712"/>
    <w:rsid w:val="008C2D41"/>
    <w:rsid w:val="008C4520"/>
    <w:rsid w:val="008C5C7A"/>
    <w:rsid w:val="008C5F09"/>
    <w:rsid w:val="008D17B2"/>
    <w:rsid w:val="008D470F"/>
    <w:rsid w:val="008D618B"/>
    <w:rsid w:val="008D7A55"/>
    <w:rsid w:val="008E1F8F"/>
    <w:rsid w:val="008E2502"/>
    <w:rsid w:val="008E4768"/>
    <w:rsid w:val="008E761E"/>
    <w:rsid w:val="008F34F2"/>
    <w:rsid w:val="008F775D"/>
    <w:rsid w:val="008F77B3"/>
    <w:rsid w:val="009008F5"/>
    <w:rsid w:val="00904CC1"/>
    <w:rsid w:val="009066AF"/>
    <w:rsid w:val="00907CA0"/>
    <w:rsid w:val="00911D5B"/>
    <w:rsid w:val="00912050"/>
    <w:rsid w:val="00912E48"/>
    <w:rsid w:val="00914E25"/>
    <w:rsid w:val="00914FF4"/>
    <w:rsid w:val="00923E5D"/>
    <w:rsid w:val="0092746F"/>
    <w:rsid w:val="00927A8F"/>
    <w:rsid w:val="00930419"/>
    <w:rsid w:val="0093075A"/>
    <w:rsid w:val="00933AAD"/>
    <w:rsid w:val="00934B53"/>
    <w:rsid w:val="00935DC9"/>
    <w:rsid w:val="00941D0A"/>
    <w:rsid w:val="0094223D"/>
    <w:rsid w:val="00942D0F"/>
    <w:rsid w:val="00942D6A"/>
    <w:rsid w:val="009446C0"/>
    <w:rsid w:val="00944DD4"/>
    <w:rsid w:val="00944F9F"/>
    <w:rsid w:val="00946722"/>
    <w:rsid w:val="00951171"/>
    <w:rsid w:val="00951236"/>
    <w:rsid w:val="009513CD"/>
    <w:rsid w:val="009528F5"/>
    <w:rsid w:val="00955E4E"/>
    <w:rsid w:val="0096082E"/>
    <w:rsid w:val="00961347"/>
    <w:rsid w:val="009624AA"/>
    <w:rsid w:val="00963419"/>
    <w:rsid w:val="009663FD"/>
    <w:rsid w:val="00967410"/>
    <w:rsid w:val="00967D73"/>
    <w:rsid w:val="0097101F"/>
    <w:rsid w:val="00973CE2"/>
    <w:rsid w:val="009755B5"/>
    <w:rsid w:val="009810C9"/>
    <w:rsid w:val="0098119A"/>
    <w:rsid w:val="00984AAF"/>
    <w:rsid w:val="00985C85"/>
    <w:rsid w:val="009863CD"/>
    <w:rsid w:val="0098741E"/>
    <w:rsid w:val="009875D2"/>
    <w:rsid w:val="00991B09"/>
    <w:rsid w:val="00993CB2"/>
    <w:rsid w:val="00996B64"/>
    <w:rsid w:val="0099730A"/>
    <w:rsid w:val="009A5166"/>
    <w:rsid w:val="009A76F8"/>
    <w:rsid w:val="009B2B83"/>
    <w:rsid w:val="009C0FE9"/>
    <w:rsid w:val="009C49F8"/>
    <w:rsid w:val="009C6451"/>
    <w:rsid w:val="009C7F9A"/>
    <w:rsid w:val="009D41E8"/>
    <w:rsid w:val="009D77CC"/>
    <w:rsid w:val="009E000F"/>
    <w:rsid w:val="009E2423"/>
    <w:rsid w:val="009E3FFF"/>
    <w:rsid w:val="009E55D7"/>
    <w:rsid w:val="009F2895"/>
    <w:rsid w:val="009F4150"/>
    <w:rsid w:val="009F5665"/>
    <w:rsid w:val="009F5DAD"/>
    <w:rsid w:val="00A00AC9"/>
    <w:rsid w:val="00A00B0D"/>
    <w:rsid w:val="00A01BCA"/>
    <w:rsid w:val="00A064BC"/>
    <w:rsid w:val="00A10458"/>
    <w:rsid w:val="00A11051"/>
    <w:rsid w:val="00A1286E"/>
    <w:rsid w:val="00A14382"/>
    <w:rsid w:val="00A153B6"/>
    <w:rsid w:val="00A164D5"/>
    <w:rsid w:val="00A16A04"/>
    <w:rsid w:val="00A22744"/>
    <w:rsid w:val="00A273C3"/>
    <w:rsid w:val="00A30C37"/>
    <w:rsid w:val="00A362A6"/>
    <w:rsid w:val="00A36C65"/>
    <w:rsid w:val="00A41BBE"/>
    <w:rsid w:val="00A45BDD"/>
    <w:rsid w:val="00A46A0A"/>
    <w:rsid w:val="00A5009E"/>
    <w:rsid w:val="00A513EE"/>
    <w:rsid w:val="00A52DBE"/>
    <w:rsid w:val="00A553F8"/>
    <w:rsid w:val="00A574BB"/>
    <w:rsid w:val="00A63AAB"/>
    <w:rsid w:val="00A66350"/>
    <w:rsid w:val="00A6708F"/>
    <w:rsid w:val="00A71BF6"/>
    <w:rsid w:val="00A747EE"/>
    <w:rsid w:val="00A81493"/>
    <w:rsid w:val="00A83B80"/>
    <w:rsid w:val="00A83DB1"/>
    <w:rsid w:val="00A86F9A"/>
    <w:rsid w:val="00A876E3"/>
    <w:rsid w:val="00A9422A"/>
    <w:rsid w:val="00AA0016"/>
    <w:rsid w:val="00AA35E6"/>
    <w:rsid w:val="00AA3E97"/>
    <w:rsid w:val="00AA4841"/>
    <w:rsid w:val="00AA50B6"/>
    <w:rsid w:val="00AB3472"/>
    <w:rsid w:val="00AB4429"/>
    <w:rsid w:val="00AB6D74"/>
    <w:rsid w:val="00AC57CC"/>
    <w:rsid w:val="00AC600A"/>
    <w:rsid w:val="00AC7FDF"/>
    <w:rsid w:val="00AD0762"/>
    <w:rsid w:val="00AD0D7A"/>
    <w:rsid w:val="00AD106A"/>
    <w:rsid w:val="00AD7BF6"/>
    <w:rsid w:val="00AE0F81"/>
    <w:rsid w:val="00AE4452"/>
    <w:rsid w:val="00AE7C38"/>
    <w:rsid w:val="00AF6418"/>
    <w:rsid w:val="00B0046A"/>
    <w:rsid w:val="00B01F99"/>
    <w:rsid w:val="00B02B37"/>
    <w:rsid w:val="00B05276"/>
    <w:rsid w:val="00B0789E"/>
    <w:rsid w:val="00B132DB"/>
    <w:rsid w:val="00B217C7"/>
    <w:rsid w:val="00B24C64"/>
    <w:rsid w:val="00B2644B"/>
    <w:rsid w:val="00B30B67"/>
    <w:rsid w:val="00B31427"/>
    <w:rsid w:val="00B33861"/>
    <w:rsid w:val="00B3510B"/>
    <w:rsid w:val="00B40DE2"/>
    <w:rsid w:val="00B41109"/>
    <w:rsid w:val="00B465C2"/>
    <w:rsid w:val="00B50210"/>
    <w:rsid w:val="00B509B9"/>
    <w:rsid w:val="00B51758"/>
    <w:rsid w:val="00B53896"/>
    <w:rsid w:val="00B53955"/>
    <w:rsid w:val="00B55090"/>
    <w:rsid w:val="00B61027"/>
    <w:rsid w:val="00B61AF7"/>
    <w:rsid w:val="00B636DB"/>
    <w:rsid w:val="00B6408A"/>
    <w:rsid w:val="00B66D0C"/>
    <w:rsid w:val="00B67609"/>
    <w:rsid w:val="00B714B8"/>
    <w:rsid w:val="00B7789C"/>
    <w:rsid w:val="00B77D5C"/>
    <w:rsid w:val="00B809FA"/>
    <w:rsid w:val="00B819EF"/>
    <w:rsid w:val="00B82C2C"/>
    <w:rsid w:val="00B8720B"/>
    <w:rsid w:val="00B876EF"/>
    <w:rsid w:val="00B92273"/>
    <w:rsid w:val="00B9575B"/>
    <w:rsid w:val="00B96827"/>
    <w:rsid w:val="00BA4697"/>
    <w:rsid w:val="00BB039D"/>
    <w:rsid w:val="00BB3FDA"/>
    <w:rsid w:val="00BB428F"/>
    <w:rsid w:val="00BB5378"/>
    <w:rsid w:val="00BB7EF3"/>
    <w:rsid w:val="00BC026E"/>
    <w:rsid w:val="00BC0537"/>
    <w:rsid w:val="00BC0BD3"/>
    <w:rsid w:val="00BD0107"/>
    <w:rsid w:val="00BD6E54"/>
    <w:rsid w:val="00BD752F"/>
    <w:rsid w:val="00BE0C33"/>
    <w:rsid w:val="00BE1FFF"/>
    <w:rsid w:val="00BE262C"/>
    <w:rsid w:val="00BE5E30"/>
    <w:rsid w:val="00BE6C3D"/>
    <w:rsid w:val="00BF00D8"/>
    <w:rsid w:val="00BF1B56"/>
    <w:rsid w:val="00BF1EAD"/>
    <w:rsid w:val="00C019F1"/>
    <w:rsid w:val="00C06280"/>
    <w:rsid w:val="00C07606"/>
    <w:rsid w:val="00C07EBD"/>
    <w:rsid w:val="00C12542"/>
    <w:rsid w:val="00C24725"/>
    <w:rsid w:val="00C27DFA"/>
    <w:rsid w:val="00C30BA9"/>
    <w:rsid w:val="00C3541E"/>
    <w:rsid w:val="00C3599C"/>
    <w:rsid w:val="00C36A8F"/>
    <w:rsid w:val="00C37967"/>
    <w:rsid w:val="00C42175"/>
    <w:rsid w:val="00C42834"/>
    <w:rsid w:val="00C42FFA"/>
    <w:rsid w:val="00C446CE"/>
    <w:rsid w:val="00C4572D"/>
    <w:rsid w:val="00C468CC"/>
    <w:rsid w:val="00C47A2A"/>
    <w:rsid w:val="00C507D8"/>
    <w:rsid w:val="00C50A9F"/>
    <w:rsid w:val="00C50B00"/>
    <w:rsid w:val="00C53281"/>
    <w:rsid w:val="00C62EAC"/>
    <w:rsid w:val="00C63F9F"/>
    <w:rsid w:val="00C65AC2"/>
    <w:rsid w:val="00C65BBD"/>
    <w:rsid w:val="00C6618E"/>
    <w:rsid w:val="00C71461"/>
    <w:rsid w:val="00C7723C"/>
    <w:rsid w:val="00C77683"/>
    <w:rsid w:val="00C81B98"/>
    <w:rsid w:val="00C8269C"/>
    <w:rsid w:val="00C838F5"/>
    <w:rsid w:val="00C856C7"/>
    <w:rsid w:val="00C86645"/>
    <w:rsid w:val="00C95EDC"/>
    <w:rsid w:val="00C96695"/>
    <w:rsid w:val="00CA10F5"/>
    <w:rsid w:val="00CA163F"/>
    <w:rsid w:val="00CA18D3"/>
    <w:rsid w:val="00CA1AF4"/>
    <w:rsid w:val="00CA6068"/>
    <w:rsid w:val="00CB0B02"/>
    <w:rsid w:val="00CB15E1"/>
    <w:rsid w:val="00CB3D46"/>
    <w:rsid w:val="00CB7861"/>
    <w:rsid w:val="00CC03E2"/>
    <w:rsid w:val="00CC0B4F"/>
    <w:rsid w:val="00CC3920"/>
    <w:rsid w:val="00CC71A9"/>
    <w:rsid w:val="00CD1A87"/>
    <w:rsid w:val="00CD35F3"/>
    <w:rsid w:val="00CD5C93"/>
    <w:rsid w:val="00CE25BF"/>
    <w:rsid w:val="00CE342B"/>
    <w:rsid w:val="00CE4ABD"/>
    <w:rsid w:val="00CE6026"/>
    <w:rsid w:val="00CF320C"/>
    <w:rsid w:val="00CF3A4B"/>
    <w:rsid w:val="00CF4001"/>
    <w:rsid w:val="00D03C18"/>
    <w:rsid w:val="00D042EE"/>
    <w:rsid w:val="00D05837"/>
    <w:rsid w:val="00D12D8A"/>
    <w:rsid w:val="00D13E0C"/>
    <w:rsid w:val="00D14681"/>
    <w:rsid w:val="00D149BC"/>
    <w:rsid w:val="00D14A34"/>
    <w:rsid w:val="00D20718"/>
    <w:rsid w:val="00D22969"/>
    <w:rsid w:val="00D25896"/>
    <w:rsid w:val="00D25C2B"/>
    <w:rsid w:val="00D35A05"/>
    <w:rsid w:val="00D373A1"/>
    <w:rsid w:val="00D37C0F"/>
    <w:rsid w:val="00D4183B"/>
    <w:rsid w:val="00D44C58"/>
    <w:rsid w:val="00D450F8"/>
    <w:rsid w:val="00D45661"/>
    <w:rsid w:val="00D45943"/>
    <w:rsid w:val="00D47D22"/>
    <w:rsid w:val="00D51865"/>
    <w:rsid w:val="00D51D0C"/>
    <w:rsid w:val="00D54399"/>
    <w:rsid w:val="00D608F2"/>
    <w:rsid w:val="00D63A2A"/>
    <w:rsid w:val="00D63CD9"/>
    <w:rsid w:val="00D644AB"/>
    <w:rsid w:val="00D64B02"/>
    <w:rsid w:val="00D65E9A"/>
    <w:rsid w:val="00D74140"/>
    <w:rsid w:val="00D76134"/>
    <w:rsid w:val="00D764A7"/>
    <w:rsid w:val="00D80627"/>
    <w:rsid w:val="00D80EE5"/>
    <w:rsid w:val="00D82299"/>
    <w:rsid w:val="00D82CE0"/>
    <w:rsid w:val="00D84D99"/>
    <w:rsid w:val="00D8516D"/>
    <w:rsid w:val="00D90376"/>
    <w:rsid w:val="00D904C1"/>
    <w:rsid w:val="00D9641B"/>
    <w:rsid w:val="00D9764E"/>
    <w:rsid w:val="00DA3332"/>
    <w:rsid w:val="00DA337E"/>
    <w:rsid w:val="00DA3380"/>
    <w:rsid w:val="00DA6E56"/>
    <w:rsid w:val="00DB022A"/>
    <w:rsid w:val="00DB1CE7"/>
    <w:rsid w:val="00DB219E"/>
    <w:rsid w:val="00DB2744"/>
    <w:rsid w:val="00DB3B04"/>
    <w:rsid w:val="00DB6337"/>
    <w:rsid w:val="00DB7D09"/>
    <w:rsid w:val="00DC2952"/>
    <w:rsid w:val="00DC46FD"/>
    <w:rsid w:val="00DC6705"/>
    <w:rsid w:val="00DC7C6E"/>
    <w:rsid w:val="00DD2D36"/>
    <w:rsid w:val="00DD2DE8"/>
    <w:rsid w:val="00DD37F0"/>
    <w:rsid w:val="00DD40A3"/>
    <w:rsid w:val="00DE19DA"/>
    <w:rsid w:val="00DE38B4"/>
    <w:rsid w:val="00DE4FA5"/>
    <w:rsid w:val="00DE5D02"/>
    <w:rsid w:val="00DF09AF"/>
    <w:rsid w:val="00DF56B0"/>
    <w:rsid w:val="00DF7711"/>
    <w:rsid w:val="00E005A9"/>
    <w:rsid w:val="00E03393"/>
    <w:rsid w:val="00E04173"/>
    <w:rsid w:val="00E1166E"/>
    <w:rsid w:val="00E123A4"/>
    <w:rsid w:val="00E133EC"/>
    <w:rsid w:val="00E15D5A"/>
    <w:rsid w:val="00E16D23"/>
    <w:rsid w:val="00E22100"/>
    <w:rsid w:val="00E22ABB"/>
    <w:rsid w:val="00E2470D"/>
    <w:rsid w:val="00E24DC0"/>
    <w:rsid w:val="00E2519C"/>
    <w:rsid w:val="00E25AF2"/>
    <w:rsid w:val="00E25F2A"/>
    <w:rsid w:val="00E30F17"/>
    <w:rsid w:val="00E41455"/>
    <w:rsid w:val="00E42AD2"/>
    <w:rsid w:val="00E45D69"/>
    <w:rsid w:val="00E470D3"/>
    <w:rsid w:val="00E47E99"/>
    <w:rsid w:val="00E50856"/>
    <w:rsid w:val="00E511CA"/>
    <w:rsid w:val="00E538CC"/>
    <w:rsid w:val="00E54469"/>
    <w:rsid w:val="00E54DBA"/>
    <w:rsid w:val="00E55B67"/>
    <w:rsid w:val="00E62FB1"/>
    <w:rsid w:val="00E63D7C"/>
    <w:rsid w:val="00E640D5"/>
    <w:rsid w:val="00E642E4"/>
    <w:rsid w:val="00E64355"/>
    <w:rsid w:val="00E66E2E"/>
    <w:rsid w:val="00E67691"/>
    <w:rsid w:val="00E67BE2"/>
    <w:rsid w:val="00E67C56"/>
    <w:rsid w:val="00E7232A"/>
    <w:rsid w:val="00E802B3"/>
    <w:rsid w:val="00E8190A"/>
    <w:rsid w:val="00E85B33"/>
    <w:rsid w:val="00E90964"/>
    <w:rsid w:val="00E92237"/>
    <w:rsid w:val="00E951EF"/>
    <w:rsid w:val="00E974A7"/>
    <w:rsid w:val="00EA3D54"/>
    <w:rsid w:val="00EA56D9"/>
    <w:rsid w:val="00EA56FA"/>
    <w:rsid w:val="00EA5CE3"/>
    <w:rsid w:val="00EA7843"/>
    <w:rsid w:val="00EB0BB7"/>
    <w:rsid w:val="00EB278E"/>
    <w:rsid w:val="00EB29DD"/>
    <w:rsid w:val="00EB2A8A"/>
    <w:rsid w:val="00EB51C1"/>
    <w:rsid w:val="00EB5AE1"/>
    <w:rsid w:val="00EB5E0B"/>
    <w:rsid w:val="00EB6EE5"/>
    <w:rsid w:val="00EC00CF"/>
    <w:rsid w:val="00EC2171"/>
    <w:rsid w:val="00ED094B"/>
    <w:rsid w:val="00ED442D"/>
    <w:rsid w:val="00ED70C2"/>
    <w:rsid w:val="00EE18FF"/>
    <w:rsid w:val="00EE4664"/>
    <w:rsid w:val="00EE489F"/>
    <w:rsid w:val="00EE5608"/>
    <w:rsid w:val="00EE5FE9"/>
    <w:rsid w:val="00EE6FEF"/>
    <w:rsid w:val="00EE7A21"/>
    <w:rsid w:val="00EF02DD"/>
    <w:rsid w:val="00EF275A"/>
    <w:rsid w:val="00F036F7"/>
    <w:rsid w:val="00F0647F"/>
    <w:rsid w:val="00F06C34"/>
    <w:rsid w:val="00F10CE3"/>
    <w:rsid w:val="00F13DCC"/>
    <w:rsid w:val="00F14F3B"/>
    <w:rsid w:val="00F16362"/>
    <w:rsid w:val="00F207C7"/>
    <w:rsid w:val="00F31D81"/>
    <w:rsid w:val="00F35CE6"/>
    <w:rsid w:val="00F36B6D"/>
    <w:rsid w:val="00F37904"/>
    <w:rsid w:val="00F43FA3"/>
    <w:rsid w:val="00F44DF6"/>
    <w:rsid w:val="00F47DCD"/>
    <w:rsid w:val="00F529C1"/>
    <w:rsid w:val="00F55648"/>
    <w:rsid w:val="00F63629"/>
    <w:rsid w:val="00F70046"/>
    <w:rsid w:val="00F71196"/>
    <w:rsid w:val="00F72663"/>
    <w:rsid w:val="00F734A1"/>
    <w:rsid w:val="00F748C2"/>
    <w:rsid w:val="00F76C5C"/>
    <w:rsid w:val="00F81EF3"/>
    <w:rsid w:val="00F84496"/>
    <w:rsid w:val="00F85DCB"/>
    <w:rsid w:val="00F86F9C"/>
    <w:rsid w:val="00F870E8"/>
    <w:rsid w:val="00F87DF0"/>
    <w:rsid w:val="00F90D76"/>
    <w:rsid w:val="00F93069"/>
    <w:rsid w:val="00F945D0"/>
    <w:rsid w:val="00FA3E07"/>
    <w:rsid w:val="00FA5C41"/>
    <w:rsid w:val="00FB095D"/>
    <w:rsid w:val="00FB289C"/>
    <w:rsid w:val="00FB3FE3"/>
    <w:rsid w:val="00FC002E"/>
    <w:rsid w:val="00FC075A"/>
    <w:rsid w:val="00FC4C23"/>
    <w:rsid w:val="00FC50C3"/>
    <w:rsid w:val="00FC5692"/>
    <w:rsid w:val="00FC642E"/>
    <w:rsid w:val="00FC6E01"/>
    <w:rsid w:val="00FD6757"/>
    <w:rsid w:val="00FE168B"/>
    <w:rsid w:val="00FE2AE4"/>
    <w:rsid w:val="00FE689F"/>
    <w:rsid w:val="00FE7809"/>
    <w:rsid w:val="00FF14F7"/>
    <w:rsid w:val="00FF408B"/>
    <w:rsid w:val="00FF44A3"/>
    <w:rsid w:val="00FF7A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2394971"/>
  <w15:docId w15:val="{315387B0-5C5F-4360-84C9-142D8FF23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0C6F82"/>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037FDD"/>
    <w:rPr>
      <w:sz w:val="16"/>
      <w:szCs w:val="16"/>
    </w:rPr>
  </w:style>
  <w:style w:type="paragraph" w:styleId="CommentText">
    <w:name w:val="annotation text"/>
    <w:basedOn w:val="Normal"/>
    <w:link w:val="CommentTextChar"/>
    <w:uiPriority w:val="99"/>
    <w:semiHidden/>
    <w:unhideWhenUsed/>
    <w:rsid w:val="00037FDD"/>
    <w:pPr>
      <w:spacing w:line="240" w:lineRule="auto"/>
    </w:pPr>
    <w:rPr>
      <w:sz w:val="20"/>
      <w:szCs w:val="20"/>
    </w:rPr>
  </w:style>
  <w:style w:type="character" w:customStyle="1" w:styleId="CommentTextChar">
    <w:name w:val="Comment Text Char"/>
    <w:basedOn w:val="DefaultParagraphFont"/>
    <w:link w:val="CommentText"/>
    <w:uiPriority w:val="99"/>
    <w:semiHidden/>
    <w:rsid w:val="00037FDD"/>
    <w:rPr>
      <w:sz w:val="20"/>
      <w:szCs w:val="20"/>
    </w:rPr>
  </w:style>
  <w:style w:type="paragraph" w:styleId="CommentSubject">
    <w:name w:val="annotation subject"/>
    <w:basedOn w:val="CommentText"/>
    <w:next w:val="CommentText"/>
    <w:link w:val="CommentSubjectChar"/>
    <w:uiPriority w:val="99"/>
    <w:semiHidden/>
    <w:unhideWhenUsed/>
    <w:rsid w:val="00037FDD"/>
    <w:rPr>
      <w:b/>
      <w:bCs/>
    </w:rPr>
  </w:style>
  <w:style w:type="character" w:customStyle="1" w:styleId="CommentSubjectChar">
    <w:name w:val="Comment Subject Char"/>
    <w:basedOn w:val="CommentTextChar"/>
    <w:link w:val="CommentSubject"/>
    <w:uiPriority w:val="99"/>
    <w:semiHidden/>
    <w:rsid w:val="00037FDD"/>
    <w:rPr>
      <w:b/>
      <w:bCs/>
      <w:sz w:val="20"/>
      <w:szCs w:val="20"/>
    </w:rPr>
  </w:style>
  <w:style w:type="paragraph" w:customStyle="1" w:styleId="Default">
    <w:name w:val="Default"/>
    <w:rsid w:val="007C55FF"/>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BodyText">
    <w:name w:val="Body Text"/>
    <w:link w:val="BodyTextChar"/>
    <w:uiPriority w:val="99"/>
    <w:qFormat/>
    <w:rsid w:val="007B00A5"/>
    <w:pPr>
      <w:spacing w:before="60" w:after="0" w:line="250" w:lineRule="atLeast"/>
    </w:pPr>
    <w:rPr>
      <w:rFonts w:ascii="Arial" w:eastAsia="Times New Roman" w:hAnsi="Arial" w:cs="Times New Roman"/>
      <w:lang w:eastAsia="en-US"/>
    </w:rPr>
  </w:style>
  <w:style w:type="character" w:customStyle="1" w:styleId="BodyTextChar">
    <w:name w:val="Body Text Char"/>
    <w:basedOn w:val="DefaultParagraphFont"/>
    <w:link w:val="BodyText"/>
    <w:uiPriority w:val="99"/>
    <w:rsid w:val="007B00A5"/>
    <w:rPr>
      <w:rFonts w:ascii="Arial" w:eastAsia="Times New Roman" w:hAnsi="Arial" w:cs="Times New Roman"/>
      <w:lang w:eastAsia="en-US"/>
    </w:rPr>
  </w:style>
  <w:style w:type="character" w:styleId="FollowedHyperlink">
    <w:name w:val="FollowedHyperlink"/>
    <w:basedOn w:val="DefaultParagraphFont"/>
    <w:uiPriority w:val="99"/>
    <w:semiHidden/>
    <w:unhideWhenUsed/>
    <w:rsid w:val="009C7F9A"/>
    <w:rPr>
      <w:color w:val="800080" w:themeColor="followedHyperlink"/>
      <w:u w:val="single"/>
    </w:rPr>
  </w:style>
  <w:style w:type="paragraph" w:styleId="Revision">
    <w:name w:val="Revision"/>
    <w:hidden/>
    <w:uiPriority w:val="99"/>
    <w:semiHidden/>
    <w:rsid w:val="00232D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749469847">
      <w:bodyDiv w:val="1"/>
      <w:marLeft w:val="0"/>
      <w:marRight w:val="0"/>
      <w:marTop w:val="0"/>
      <w:marBottom w:val="0"/>
      <w:divBdr>
        <w:top w:val="none" w:sz="0" w:space="0" w:color="auto"/>
        <w:left w:val="none" w:sz="0" w:space="0" w:color="auto"/>
        <w:bottom w:val="none" w:sz="0" w:space="0" w:color="auto"/>
        <w:right w:val="none" w:sz="0" w:space="0" w:color="auto"/>
      </w:divBdr>
    </w:div>
    <w:div w:id="1838375839">
      <w:bodyDiv w:val="1"/>
      <w:marLeft w:val="0"/>
      <w:marRight w:val="0"/>
      <w:marTop w:val="0"/>
      <w:marBottom w:val="0"/>
      <w:divBdr>
        <w:top w:val="none" w:sz="0" w:space="0" w:color="auto"/>
        <w:left w:val="none" w:sz="0" w:space="0" w:color="auto"/>
        <w:bottom w:val="none" w:sz="0" w:space="0" w:color="auto"/>
        <w:right w:val="none" w:sz="0" w:space="0" w:color="auto"/>
      </w:divBdr>
    </w:div>
    <w:div w:id="205222351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health.gov.au/cdi"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yperlink" Target="mailto:cdi.editor@health.gov.a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health.gov.au/cdi" TargetMode="External"/><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9.jpg"/><Relationship Id="rId28" Type="http://schemas.openxmlformats.org/officeDocument/2006/relationships/hyperlink" Target="https://creativecommons.org/licenses/by-nc-nd/4.0/legalcode" TargetMode="Externa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hyperlink" Target="http://www.health.gov.au/cdn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hyperlink" Target="mailto:cdi.editor@health.gov.au" TargetMode="External"/><Relationship Id="rId30"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EEE40FD1050C43A469B268097324FE" ma:contentTypeVersion="0" ma:contentTypeDescription="Create a new document." ma:contentTypeScope="" ma:versionID="be357aba92c57a0172bdcedb70318eb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0B6383D-8150-45E4-8F44-3DED2D6C1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611CF6A-A21B-41D4-BF13-E750C59C8D1A}">
  <ds:schemaRefs>
    <ds:schemaRef ds:uri="http://schemas.openxmlformats.org/officeDocument/2006/bibliography"/>
  </ds:schemaRefs>
</ds:datastoreItem>
</file>

<file path=customXml/itemProps4.xml><?xml version="1.0" encoding="utf-8"?>
<ds:datastoreItem xmlns:ds="http://schemas.openxmlformats.org/officeDocument/2006/customXml" ds:itemID="{151F24EB-7B06-4F8C-9C0A-36EADF27F857}">
  <ds:schemaRefs>
    <ds:schemaRef ds:uri="http://schemas.microsoft.com/sharepoint/v3/contenttype/forms"/>
  </ds:schemaRefs>
</ds:datastoreItem>
</file>

<file path=customXml/itemProps5.xml><?xml version="1.0" encoding="utf-8"?>
<ds:datastoreItem xmlns:ds="http://schemas.openxmlformats.org/officeDocument/2006/customXml" ds:itemID="{05F8FFD4-451A-47AF-B307-A56180CA93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10031</Words>
  <Characters>57181</Characters>
  <Application>Microsoft Office Word</Application>
  <DocSecurity>0</DocSecurity>
  <Lines>476</Lines>
  <Paragraphs>134</Paragraphs>
  <ScaleCrop>false</ScaleCrop>
  <HeadingPairs>
    <vt:vector size="4" baseType="variant">
      <vt:variant>
        <vt:lpstr>Title</vt:lpstr>
      </vt:variant>
      <vt:variant>
        <vt:i4>1</vt:i4>
      </vt:variant>
      <vt:variant>
        <vt:lpstr>Headings</vt:lpstr>
      </vt:variant>
      <vt:variant>
        <vt:i4>37</vt:i4>
      </vt:variant>
    </vt:vector>
  </HeadingPairs>
  <TitlesOfParts>
    <vt:vector size="38" baseType="lpstr">
      <vt:lpstr>COVID-19, Australia: Epidemiology Report 18: Fortnightly reporting period ending 7 June 2020</vt:lpstr>
      <vt:lpstr>Summary </vt:lpstr>
      <vt:lpstr>Australian cases: descriptive epidemiology </vt:lpstr>
      <vt:lpstr>    National trends </vt:lpstr>
      <vt:lpstr>    Testing</vt:lpstr>
      <vt:lpstr>    Comparison with international data </vt:lpstr>
      <vt:lpstr>    Source of acquisition </vt:lpstr>
      <vt:lpstr>Demographics of cases </vt:lpstr>
      <vt:lpstr>    Severity </vt:lpstr>
      <vt:lpstr>    Comorbidities </vt:lpstr>
      <vt:lpstr>    Symptom profile </vt:lpstr>
      <vt:lpstr>    Populations of Interest </vt:lpstr>
      <vt:lpstr>        Aboriginal and Torres Strait Islander persons </vt:lpstr>
      <vt:lpstr>        School-aged children and older populations </vt:lpstr>
      <vt:lpstr>    Cluster and outbreak investigations</vt:lpstr>
      <vt:lpstr>    Public health response measures </vt:lpstr>
      <vt:lpstr/>
      <vt:lpstr>International situation26 </vt:lpstr>
      <vt:lpstr>    Global </vt:lpstr>
      <vt:lpstr>    Americas </vt:lpstr>
      <vt:lpstr>    Europe </vt:lpstr>
      <vt:lpstr>    Eastern Mediterranean </vt:lpstr>
      <vt:lpstr>    Africa </vt:lpstr>
      <vt:lpstr>    South East Asia </vt:lpstr>
      <vt:lpstr>    Pacific </vt:lpstr>
      <vt:lpstr>Background </vt:lpstr>
      <vt:lpstr>    Transmission </vt:lpstr>
      <vt:lpstr>    Incubation period </vt:lpstr>
      <vt:lpstr>    Molecular epidemiology </vt:lpstr>
      <vt:lpstr>    Clinical features </vt:lpstr>
      <vt:lpstr>    Treatment </vt:lpstr>
      <vt:lpstr>Data considerations </vt:lpstr>
      <vt:lpstr>Acknowledgements </vt:lpstr>
      <vt:lpstr>Author details </vt:lpstr>
      <vt:lpstr>    Corresponding author </vt:lpstr>
      <vt:lpstr>References </vt:lpstr>
      <vt:lpstr>Appendix A: Frequently asked questions </vt:lpstr>
      <vt:lpstr>Appendix B: Supplementary figures and tables</vt:lpstr>
    </vt:vector>
  </TitlesOfParts>
  <Manager/>
  <Company>Australian Government, Department of Health</Company>
  <LinksUpToDate>false</LinksUpToDate>
  <CharactersWithSpaces>67078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Australia: Epidemiology Report 18: Fortnightly reporting period ending 7 June 2020</dc:title>
  <dc:subject>This is the eighteenth epidemiological report for coronavirus disease 2019 (COVID-19), reported in Australia as at 23:59 Australian Eastern Standard Time [AEST] 7 June 2020. It includes data on COVID-19 cases diagnosed in Australia, the international situation and a review of current evidence.</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Printed>2018-05-10T02:19:00Z</cp:lastPrinted>
  <dcterms:created xsi:type="dcterms:W3CDTF">2024-08-29T01:41:00Z</dcterms:created>
  <dcterms:modified xsi:type="dcterms:W3CDTF">2024-08-29T01:41:00Z</dcterms:modified>
  <cp:category>Fortnightly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17/06/2020</vt:lpwstr>
  </property>
  <property fmtid="{D5CDD505-2E9C-101B-9397-08002B2CF9AE}" pid="5" name="DOI">
    <vt:lpwstr>https://doi.org/10.33321/cdi.2020.44.52</vt:lpwstr>
  </property>
</Properties>
</file>