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D2B0" w14:textId="77777777" w:rsidR="00980DDE" w:rsidRPr="007C17F7" w:rsidRDefault="00E4281B" w:rsidP="004D44DA">
      <w:pPr>
        <w:pStyle w:val="Title"/>
        <w:spacing w:after="100"/>
        <w:rPr>
          <w:sz w:val="30"/>
          <w:szCs w:val="30"/>
        </w:rPr>
      </w:pPr>
      <w:r w:rsidRPr="007C17F7">
        <w:rPr>
          <w:sz w:val="30"/>
          <w:szCs w:val="30"/>
        </w:rPr>
        <w:t>COVID-19, Australia: Epidemiology Report 1</w:t>
      </w:r>
      <w:r w:rsidR="00E01BA2" w:rsidRPr="007C17F7">
        <w:rPr>
          <w:sz w:val="30"/>
          <w:szCs w:val="30"/>
        </w:rPr>
        <w:t>5</w:t>
      </w:r>
      <w:r w:rsidRPr="007C17F7">
        <w:rPr>
          <w:sz w:val="30"/>
          <w:szCs w:val="30"/>
        </w:rPr>
        <w:t xml:space="preserve">: Reporting week ending 23:59 AEST </w:t>
      </w:r>
      <w:r w:rsidR="00365F3D" w:rsidRPr="007C17F7">
        <w:rPr>
          <w:sz w:val="30"/>
          <w:szCs w:val="30"/>
        </w:rPr>
        <w:t>10</w:t>
      </w:r>
      <w:r w:rsidR="0026096E" w:rsidRPr="007C17F7">
        <w:rPr>
          <w:sz w:val="30"/>
          <w:szCs w:val="30"/>
        </w:rPr>
        <w:t xml:space="preserve"> May</w:t>
      </w:r>
      <w:r w:rsidRPr="007C17F7">
        <w:rPr>
          <w:sz w:val="30"/>
          <w:szCs w:val="30"/>
        </w:rPr>
        <w:t xml:space="preserve"> 2020 </w:t>
      </w:r>
    </w:p>
    <w:p w14:paraId="245DDE96" w14:textId="77777777" w:rsidR="00980DDE" w:rsidRDefault="00E4281B" w:rsidP="004D44DA">
      <w:pPr>
        <w:spacing w:after="100"/>
      </w:pPr>
      <w:r w:rsidRPr="009C206E">
        <w:t>COVID-19 National Incident Room Surveillance Team</w:t>
      </w:r>
    </w:p>
    <w:p w14:paraId="44242285" w14:textId="6A1AD483" w:rsidR="000D48B8" w:rsidRPr="00980DDE" w:rsidRDefault="00E4281B" w:rsidP="004D44DA">
      <w:pPr>
        <w:spacing w:after="100"/>
        <w:rPr>
          <w:i/>
          <w:sz w:val="28"/>
        </w:rPr>
      </w:pPr>
      <w:r w:rsidRPr="00980DDE">
        <w:rPr>
          <w:i/>
        </w:rPr>
        <w:t xml:space="preserve">Notified cases of COVID-19 and associated deaths reported to the National Notifiable Diseases Surveillance System (NNDSS) to </w:t>
      </w:r>
      <w:r w:rsidR="00365F3D" w:rsidRPr="00980DDE">
        <w:rPr>
          <w:i/>
        </w:rPr>
        <w:t>10</w:t>
      </w:r>
      <w:r w:rsidR="0026096E" w:rsidRPr="00980DDE">
        <w:rPr>
          <w:i/>
        </w:rPr>
        <w:t xml:space="preserve"> May 2020</w:t>
      </w:r>
      <w:r w:rsidRPr="00980DDE">
        <w:rPr>
          <w:i/>
        </w:rPr>
        <w:t>.</w:t>
      </w:r>
      <w:r w:rsidR="000D48B8" w:rsidRPr="00980DDE">
        <w:rPr>
          <w:i/>
        </w:rPr>
        <w:t xml:space="preserve"> </w:t>
      </w:r>
    </w:p>
    <w:p w14:paraId="394D3064" w14:textId="77777777" w:rsidR="00E4281B" w:rsidRPr="000938CC" w:rsidRDefault="00E4281B" w:rsidP="00980DDE">
      <w:pPr>
        <w:pStyle w:val="Heading1"/>
        <w:spacing w:before="20" w:after="60" w:line="240" w:lineRule="auto"/>
      </w:pPr>
      <w:r w:rsidRPr="000938CC">
        <w:t>Summary</w:t>
      </w:r>
    </w:p>
    <w:tbl>
      <w:tblPr>
        <w:tblStyle w:val="CDI-StandardTable"/>
        <w:tblW w:w="0" w:type="auto"/>
        <w:tblCellMar>
          <w:left w:w="284" w:type="dxa"/>
          <w:right w:w="284" w:type="dxa"/>
        </w:tblCellMar>
        <w:tblLook w:val="01E0" w:firstRow="1" w:lastRow="1" w:firstColumn="1" w:lastColumn="1" w:noHBand="0" w:noVBand="0"/>
        <w:tblDescription w:val="Confirmed cases in Australia notified up to 10 May 2020 &#10;Notifications 6,971&#10;Deaths 98&#10;"/>
      </w:tblPr>
      <w:tblGrid>
        <w:gridCol w:w="2694"/>
        <w:gridCol w:w="2835"/>
      </w:tblGrid>
      <w:tr w:rsidR="00E4281B" w:rsidRPr="008007D8" w14:paraId="61B67D81" w14:textId="77777777" w:rsidTr="00B4165A">
        <w:trPr>
          <w:cnfStyle w:val="100000000000" w:firstRow="1" w:lastRow="0" w:firstColumn="0" w:lastColumn="0" w:oddVBand="0" w:evenVBand="0" w:oddHBand="0" w:evenHBand="0" w:firstRowFirstColumn="0" w:firstRowLastColumn="0" w:lastRowFirstColumn="0" w:lastRowLastColumn="0"/>
          <w:trHeight w:hRule="exact" w:val="361"/>
          <w:tblHeader/>
        </w:trPr>
        <w:tc>
          <w:tcPr>
            <w:tcW w:w="5529" w:type="dxa"/>
            <w:gridSpan w:val="2"/>
            <w:vAlign w:val="center"/>
          </w:tcPr>
          <w:p w14:paraId="614651A1" w14:textId="5825D3AF" w:rsidR="00E4281B" w:rsidRPr="008007D8" w:rsidRDefault="00E4281B" w:rsidP="00B4165A">
            <w:pPr>
              <w:contextualSpacing/>
              <w:rPr>
                <w:b w:val="0"/>
                <w:color w:val="FFFFFF" w:themeColor="background1"/>
                <w:sz w:val="18"/>
                <w:szCs w:val="18"/>
              </w:rPr>
            </w:pPr>
            <w:r w:rsidRPr="008007D8">
              <w:rPr>
                <w:color w:val="FFFFFF" w:themeColor="background1"/>
                <w:w w:val="115"/>
                <w:sz w:val="18"/>
                <w:szCs w:val="18"/>
              </w:rPr>
              <w:t xml:space="preserve">Confirmed cases in Australia notified up to </w:t>
            </w:r>
            <w:r w:rsidR="00203DFA" w:rsidRPr="008007D8">
              <w:rPr>
                <w:color w:val="FFFFFF" w:themeColor="background1"/>
                <w:w w:val="115"/>
                <w:sz w:val="18"/>
                <w:szCs w:val="18"/>
              </w:rPr>
              <w:t>10</w:t>
            </w:r>
            <w:r w:rsidRPr="008007D8">
              <w:rPr>
                <w:color w:val="FFFFFF" w:themeColor="background1"/>
                <w:w w:val="115"/>
                <w:sz w:val="18"/>
                <w:szCs w:val="18"/>
              </w:rPr>
              <w:t xml:space="preserve"> </w:t>
            </w:r>
            <w:r w:rsidR="00F85BDE" w:rsidRPr="008007D8">
              <w:rPr>
                <w:color w:val="FFFFFF" w:themeColor="background1"/>
                <w:w w:val="115"/>
                <w:sz w:val="18"/>
                <w:szCs w:val="18"/>
              </w:rPr>
              <w:t>May</w:t>
            </w:r>
            <w:r w:rsidRPr="008007D8">
              <w:rPr>
                <w:color w:val="FFFFFF" w:themeColor="background1"/>
                <w:w w:val="115"/>
                <w:sz w:val="18"/>
                <w:szCs w:val="18"/>
              </w:rPr>
              <w:t xml:space="preserve"> 2020</w:t>
            </w:r>
            <w:r w:rsidRPr="008007D8">
              <w:rPr>
                <w:rStyle w:val="FootnoteReference"/>
                <w:b w:val="0"/>
                <w:color w:val="FFFFFF" w:themeColor="background1"/>
                <w:sz w:val="18"/>
                <w:szCs w:val="18"/>
              </w:rPr>
              <w:footnoteReference w:id="2"/>
            </w:r>
          </w:p>
        </w:tc>
      </w:tr>
      <w:tr w:rsidR="001D3534" w:rsidRPr="008007D8" w14:paraId="29EF9C43" w14:textId="77777777" w:rsidTr="00B4165A">
        <w:tblPrEx>
          <w:tblCellMar>
            <w:top w:w="0" w:type="dxa"/>
            <w:bottom w:w="0" w:type="dxa"/>
          </w:tblCellMar>
        </w:tblPrEx>
        <w:trPr>
          <w:trHeight w:hRule="exact" w:val="284"/>
        </w:trPr>
        <w:tc>
          <w:tcPr>
            <w:tcW w:w="2694" w:type="dxa"/>
            <w:vAlign w:val="center"/>
          </w:tcPr>
          <w:p w14:paraId="30F9ACE9" w14:textId="77777777" w:rsidR="00A740CC" w:rsidRPr="008007D8" w:rsidRDefault="00A740CC" w:rsidP="00B4165A">
            <w:pPr>
              <w:contextualSpacing/>
              <w:rPr>
                <w:color w:val="000000" w:themeColor="text1"/>
                <w:sz w:val="18"/>
                <w:szCs w:val="18"/>
              </w:rPr>
            </w:pPr>
            <w:r w:rsidRPr="008007D8">
              <w:rPr>
                <w:color w:val="000000" w:themeColor="text1"/>
                <w:w w:val="115"/>
                <w:sz w:val="18"/>
                <w:szCs w:val="18"/>
              </w:rPr>
              <w:t>Notifications</w:t>
            </w:r>
          </w:p>
        </w:tc>
        <w:tc>
          <w:tcPr>
            <w:tcW w:w="2835" w:type="dxa"/>
            <w:vAlign w:val="center"/>
          </w:tcPr>
          <w:p w14:paraId="756B2176" w14:textId="3F8894C2" w:rsidR="00A740CC" w:rsidRPr="008007D8" w:rsidRDefault="00870C02" w:rsidP="0007738A">
            <w:pPr>
              <w:contextualSpacing/>
              <w:jc w:val="right"/>
              <w:rPr>
                <w:sz w:val="18"/>
                <w:szCs w:val="18"/>
              </w:rPr>
            </w:pPr>
            <w:r w:rsidRPr="008007D8">
              <w:rPr>
                <w:w w:val="115"/>
                <w:sz w:val="18"/>
                <w:szCs w:val="18"/>
              </w:rPr>
              <w:t>6,971</w:t>
            </w:r>
          </w:p>
        </w:tc>
      </w:tr>
      <w:tr w:rsidR="001D3534" w:rsidRPr="008007D8" w14:paraId="59398D2B" w14:textId="77777777" w:rsidTr="00B4165A">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hRule="exact" w:val="284"/>
        </w:trPr>
        <w:tc>
          <w:tcPr>
            <w:tcW w:w="2694" w:type="dxa"/>
            <w:vAlign w:val="center"/>
          </w:tcPr>
          <w:p w14:paraId="684A7B7F" w14:textId="77777777" w:rsidR="00A740CC" w:rsidRPr="008007D8" w:rsidRDefault="00A740CC" w:rsidP="00B4165A">
            <w:pPr>
              <w:contextualSpacing/>
              <w:rPr>
                <w:color w:val="000000" w:themeColor="text1"/>
                <w:sz w:val="18"/>
                <w:szCs w:val="18"/>
              </w:rPr>
            </w:pPr>
            <w:r w:rsidRPr="008007D8">
              <w:rPr>
                <w:color w:val="000000" w:themeColor="text1"/>
                <w:w w:val="115"/>
                <w:sz w:val="18"/>
                <w:szCs w:val="18"/>
              </w:rPr>
              <w:t>Deaths</w:t>
            </w:r>
          </w:p>
        </w:tc>
        <w:tc>
          <w:tcPr>
            <w:tcW w:w="2835" w:type="dxa"/>
            <w:vAlign w:val="center"/>
          </w:tcPr>
          <w:p w14:paraId="0C70AA15" w14:textId="79DF8CFB" w:rsidR="00A740CC" w:rsidRPr="008007D8" w:rsidRDefault="00870C02" w:rsidP="0007738A">
            <w:pPr>
              <w:contextualSpacing/>
              <w:jc w:val="right"/>
              <w:rPr>
                <w:sz w:val="18"/>
                <w:szCs w:val="18"/>
              </w:rPr>
            </w:pPr>
            <w:r w:rsidRPr="008007D8">
              <w:rPr>
                <w:w w:val="115"/>
                <w:sz w:val="18"/>
                <w:szCs w:val="18"/>
              </w:rPr>
              <w:t>98</w:t>
            </w:r>
          </w:p>
        </w:tc>
      </w:tr>
    </w:tbl>
    <w:p w14:paraId="009BD8F2" w14:textId="2854893F" w:rsidR="00365F3D" w:rsidRDefault="00365F3D" w:rsidP="009C206E">
      <w:pPr>
        <w:spacing w:before="120"/>
      </w:pPr>
      <w:r w:rsidRPr="00CB2662">
        <w:t xml:space="preserve">The </w:t>
      </w:r>
      <w:r>
        <w:t xml:space="preserve">incidence of new cases of COVID-19 has reduced dramatically since a peak in mid-march. The reduction in international travel, social distancing measures and public health action have likely been effective in slowing the spread of the disease, in the Australian community. </w:t>
      </w:r>
    </w:p>
    <w:p w14:paraId="30D83087" w14:textId="2E11C571" w:rsidR="00A241CC" w:rsidRDefault="00A241CC" w:rsidP="0025679A">
      <w:r>
        <w:t xml:space="preserve">Cases of COVID-19 continue to be notified by jurisdictions, albeit at a slowed rate. Testing rates over the past week have increased markedly, with </w:t>
      </w:r>
      <w:r w:rsidR="00E742A0">
        <w:t>a very low</w:t>
      </w:r>
      <w:r>
        <w:t xml:space="preserve"> proportion of people </w:t>
      </w:r>
      <w:r w:rsidR="00E742A0">
        <w:t xml:space="preserve">testing </w:t>
      </w:r>
      <w:r>
        <w:t xml:space="preserve">positive. These low rates of detection are indicative of low levels of COVID-19 transmission. It </w:t>
      </w:r>
      <w:r w:rsidR="00E742A0">
        <w:t>is</w:t>
      </w:r>
      <w:r>
        <w:t xml:space="preserve"> important that testing rates and community adherence to</w:t>
      </w:r>
      <w:r w:rsidR="00E742A0">
        <w:t xml:space="preserve"> </w:t>
      </w:r>
      <w:r>
        <w:t>public health measures remain high to support the continued suppression of the virus, particularly in</w:t>
      </w:r>
      <w:r w:rsidR="00E742A0">
        <w:t xml:space="preserve"> </w:t>
      </w:r>
      <w:r>
        <w:t>vulnerable high</w:t>
      </w:r>
      <w:r w:rsidR="00E742A0">
        <w:t>-</w:t>
      </w:r>
      <w:r>
        <w:t xml:space="preserve">risk groups and settings. </w:t>
      </w:r>
    </w:p>
    <w:p w14:paraId="73722955" w14:textId="21D73EF0" w:rsidR="00365F3D" w:rsidRDefault="00365F3D" w:rsidP="0025679A">
      <w:r>
        <w:t xml:space="preserve">In the past reporting week new cases in Australia </w:t>
      </w:r>
      <w:r w:rsidR="00203DFA">
        <w:t xml:space="preserve">are </w:t>
      </w:r>
      <w:r>
        <w:t>mostly considered to be locally acquired, consistent with the drop in international travel. Most locally</w:t>
      </w:r>
      <w:r w:rsidR="00203DFA">
        <w:t>-</w:t>
      </w:r>
      <w:r>
        <w:t>acquired cases can be linked back to a known case or cluster. Although the proportion of locally</w:t>
      </w:r>
      <w:r w:rsidR="00203DFA">
        <w:t>-</w:t>
      </w:r>
      <w:r>
        <w:t>acquired cases has increased, the overall rate of cases, regardless of place of acquisition</w:t>
      </w:r>
      <w:r w:rsidR="00203DFA">
        <w:t>,</w:t>
      </w:r>
      <w:r>
        <w:t xml:space="preserve"> </w:t>
      </w:r>
      <w:r w:rsidRPr="005458F0">
        <w:t>continues to decrease.</w:t>
      </w:r>
    </w:p>
    <w:p w14:paraId="7DA893FE" w14:textId="5CA03FC9" w:rsidR="00365F3D" w:rsidRPr="00937FEE" w:rsidRDefault="00365F3D" w:rsidP="0025679A">
      <w:r w:rsidRPr="00937FEE">
        <w:t>The crude case fatality ra</w:t>
      </w:r>
      <w:r w:rsidR="00E72624" w:rsidRPr="00937FEE">
        <w:t>te in Australia remains low (1.4</w:t>
      </w:r>
      <w:r w:rsidRPr="00937FEE">
        <w:t>%), compared with t</w:t>
      </w:r>
      <w:r w:rsidR="00EE3145" w:rsidRPr="00937FEE">
        <w:t>he WHO reported global rate (6.9</w:t>
      </w:r>
      <w:r w:rsidRPr="00937FEE">
        <w:t>%)</w:t>
      </w:r>
      <w:r w:rsidR="00A241CC" w:rsidRPr="00937FEE">
        <w:t>.</w:t>
      </w:r>
      <w:r w:rsidRPr="00937FEE">
        <w:t xml:space="preserve"> The low case fatality rate is likely reflective of high case detection and high quality of health care services in Australia.</w:t>
      </w:r>
      <w:r w:rsidR="00E742A0" w:rsidRPr="00937FEE">
        <w:t xml:space="preserve"> </w:t>
      </w:r>
      <w:r w:rsidRPr="00937FEE">
        <w:t>Deaths from COVID-19 in Australia have occurred predominantly among the elderly and those with comorbidities, with no deaths occurring in those under 40 years.</w:t>
      </w:r>
    </w:p>
    <w:p w14:paraId="474269B0" w14:textId="4836CD1E" w:rsidR="00365F3D" w:rsidRDefault="00365F3D" w:rsidP="0025679A">
      <w:r>
        <w:t xml:space="preserve">The highest rate of COVID-19 continues to be among </w:t>
      </w:r>
      <w:r w:rsidR="00071C89">
        <w:t>people aged 60</w:t>
      </w:r>
      <w:r w:rsidR="00721537">
        <w:t>–</w:t>
      </w:r>
      <w:r w:rsidR="00071C89">
        <w:t>79 years, with a third of these cases associated with</w:t>
      </w:r>
      <w:r>
        <w:t xml:space="preserve"> several outbreaks linked to cruise ships. The lowest rate of disease is in young children, a pattern reflected in international reports.</w:t>
      </w:r>
    </w:p>
    <w:p w14:paraId="59DD6CDD" w14:textId="6C081CAA" w:rsidR="00365F3D" w:rsidRDefault="00365F3D" w:rsidP="0025679A">
      <w:r>
        <w:t xml:space="preserve">Internationally, cases continue to increase, with some areas such as Brazil and India showing a dramatic rise in reported cases. Although some low-income </w:t>
      </w:r>
      <w:r w:rsidR="00257EDF">
        <w:t xml:space="preserve">countries </w:t>
      </w:r>
      <w:r>
        <w:t>have currently reported few cases, it is possible that this is due to limited diagnostic and public health capacity, and may not be reflective of disease occurrence.</w:t>
      </w:r>
      <w:r w:rsidR="00E742A0">
        <w:t xml:space="preserve"> </w:t>
      </w:r>
    </w:p>
    <w:p w14:paraId="0E40945B" w14:textId="675BED4F" w:rsidR="00CB439C" w:rsidRDefault="00CB439C" w:rsidP="0025679A">
      <w:r w:rsidRPr="00CB439C">
        <w:t>Keywords: SARS-CoV-2; novel coronavirus; 2019-nCoV; coronavirus disease 2019; COVID-19; acute respiratory disease; epidemiology; Australia</w:t>
      </w:r>
    </w:p>
    <w:p w14:paraId="374286A2" w14:textId="13E8DD16" w:rsidR="00525B38" w:rsidRDefault="006A5591" w:rsidP="00980DDE">
      <w:pPr>
        <w:spacing w:after="0" w:line="240" w:lineRule="auto"/>
        <w:jc w:val="center"/>
        <w:rPr>
          <w:noProof/>
        </w:rPr>
      </w:pPr>
      <w:r>
        <w:rPr>
          <w:noProof/>
        </w:rPr>
        <w:lastRenderedPageBreak/>
        <w:drawing>
          <wp:inline distT="0" distB="0" distL="0" distR="0" wp14:anchorId="6776501C" wp14:editId="791120B3">
            <wp:extent cx="5015865" cy="1612637"/>
            <wp:effectExtent l="0" t="0" r="0" b="6985"/>
            <wp:docPr id="8" name="Picture 8" descr="Bar chart showing COVID-19 notifications by date of illness onset, for the 6,971 Australian cases. Notifications for the cases shown have onset dates ranging from 13 January 2020 to 10 May 2020. The chart also shows the curve of cumulative cases, which rises most steeply between 15 and 25 March before levelling off to a much more gradual rise throughout April and the start of M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sl_figures.png"/>
                    <pic:cNvPicPr/>
                  </pic:nvPicPr>
                  <pic:blipFill rotWithShape="1">
                    <a:blip r:embed="rId9" cstate="print">
                      <a:extLst>
                        <a:ext uri="{28A0092B-C50C-407E-A947-70E740481C1C}">
                          <a14:useLocalDpi xmlns:a14="http://schemas.microsoft.com/office/drawing/2010/main" val="0"/>
                        </a:ext>
                      </a:extLst>
                    </a:blip>
                    <a:srcRect t="12671"/>
                    <a:stretch/>
                  </pic:blipFill>
                  <pic:spPr bwMode="auto">
                    <a:xfrm>
                      <a:off x="0" y="0"/>
                      <a:ext cx="5021973" cy="1614601"/>
                    </a:xfrm>
                    <a:prstGeom prst="rect">
                      <a:avLst/>
                    </a:prstGeom>
                    <a:ln>
                      <a:noFill/>
                    </a:ln>
                    <a:extLst>
                      <a:ext uri="{53640926-AAD7-44D8-BBD7-CCE9431645EC}">
                        <a14:shadowObscured xmlns:a14="http://schemas.microsoft.com/office/drawing/2010/main"/>
                      </a:ext>
                    </a:extLst>
                  </pic:spPr>
                </pic:pic>
              </a:graphicData>
            </a:graphic>
          </wp:inline>
        </w:drawing>
      </w:r>
    </w:p>
    <w:p w14:paraId="56C1B1FA" w14:textId="2F3245AA" w:rsidR="00E4281B" w:rsidRPr="009D3309" w:rsidRDefault="00E4281B" w:rsidP="009D3309">
      <w:pPr>
        <w:pStyle w:val="Heading1"/>
      </w:pPr>
      <w:r w:rsidRPr="009D3309">
        <w:t xml:space="preserve">Australian cases: descriptive epidemiology </w:t>
      </w:r>
    </w:p>
    <w:p w14:paraId="1C093B84" w14:textId="77777777" w:rsidR="00AE0DD3" w:rsidRPr="00331EAA" w:rsidRDefault="00AE0DD3" w:rsidP="00331EAA">
      <w:pPr>
        <w:pStyle w:val="Heading2"/>
      </w:pPr>
      <w:bookmarkStart w:id="0" w:name="_Ref512339903"/>
      <w:bookmarkStart w:id="1" w:name="_Ref525049417"/>
      <w:r w:rsidRPr="00331EAA">
        <w:t xml:space="preserve">National trends and geographical distribution </w:t>
      </w:r>
    </w:p>
    <w:p w14:paraId="293D0A0D" w14:textId="2F00AC66" w:rsidR="00AE0DD3" w:rsidRPr="00331EAA" w:rsidRDefault="00AE0DD3" w:rsidP="00331EAA">
      <w:r w:rsidRPr="00331EAA">
        <w:t>Following the national peak in cases during the week 16</w:t>
      </w:r>
      <w:r w:rsidR="00257EDF" w:rsidRPr="00331EAA">
        <w:t>–</w:t>
      </w:r>
      <w:r w:rsidRPr="00331EAA">
        <w:t>22 March</w:t>
      </w:r>
      <w:r w:rsidR="00257EDF" w:rsidRPr="00331EAA">
        <w:t>,</w:t>
      </w:r>
      <w:r w:rsidRPr="00331EAA">
        <w:t xml:space="preserve"> the incidence of new cases has continued to decrease, indicative of a</w:t>
      </w:r>
      <w:r w:rsidR="00071C89" w:rsidRPr="00331EAA">
        <w:t xml:space="preserve"> steady</w:t>
      </w:r>
      <w:r w:rsidRPr="00331EAA">
        <w:t xml:space="preserve"> reduction in transmission. The incidence of new cases continues to decline or remain steady in all jurisdictions.</w:t>
      </w:r>
    </w:p>
    <w:p w14:paraId="29601112" w14:textId="33773E3C" w:rsidR="00CB439C" w:rsidRDefault="00AE0DD3" w:rsidP="00331EAA">
      <w:r w:rsidRPr="00331EAA">
        <w:t>At the jurisdictional level NSW, Vic, Qld, SA, and ACT reported their highest rates of new cases during the week 16–22 March (Figure 1). The majority of cases continue to be notified from major metropolitan areas with very few cases for remote or very remote areas</w:t>
      </w:r>
      <w:r w:rsidR="00B27548" w:rsidRPr="00331EAA">
        <w:t xml:space="preserve"> (Figure</w:t>
      </w:r>
      <w:r w:rsidR="00DC6186" w:rsidRPr="00331EAA">
        <w:t>s</w:t>
      </w:r>
      <w:r w:rsidR="00B27548" w:rsidRPr="00331EAA">
        <w:t xml:space="preserve"> 2 and 3)</w:t>
      </w:r>
      <w:r w:rsidRPr="00331EAA">
        <w:t>.</w:t>
      </w:r>
      <w:r w:rsidR="00071C89" w:rsidRPr="00331EAA">
        <w:t xml:space="preserve"> The highest cumulative rates of COVID-19 have been reported f</w:t>
      </w:r>
      <w:r w:rsidR="00B264E9">
        <w:t>rom NSW and Tasmania (Table 1).</w:t>
      </w:r>
      <w:r w:rsidR="00CB439C">
        <w:t xml:space="preserve"> </w:t>
      </w:r>
      <w:r w:rsidR="00071C89" w:rsidRPr="00331EAA">
        <w:t>The high rates in these states have likely been driven by outbreaks or large clusters, including cruise</w:t>
      </w:r>
      <w:r w:rsidR="00A14D5F" w:rsidRPr="00331EAA">
        <w:t>-</w:t>
      </w:r>
      <w:r w:rsidR="00071C89" w:rsidRPr="00331EAA">
        <w:t>ship</w:t>
      </w:r>
      <w:r w:rsidR="00A14D5F" w:rsidRPr="00331EAA">
        <w:t>-</w:t>
      </w:r>
      <w:r w:rsidR="00071C89" w:rsidRPr="00331EAA">
        <w:t xml:space="preserve">related outbreaks in NSW and </w:t>
      </w:r>
      <w:r w:rsidR="00A14D5F" w:rsidRPr="00331EAA">
        <w:t xml:space="preserve">a </w:t>
      </w:r>
      <w:r w:rsidR="00071C89" w:rsidRPr="00331EAA">
        <w:t>recent large outbreak in North West Tasmania.</w:t>
      </w:r>
      <w:r w:rsidR="00331EAA">
        <w:t xml:space="preserve"> </w:t>
      </w:r>
    </w:p>
    <w:p w14:paraId="0BF9F552" w14:textId="4455C47F" w:rsidR="00AE0DD3" w:rsidRPr="00331EAA" w:rsidRDefault="00AE0DD3" w:rsidP="00331EAA">
      <w:r w:rsidRPr="00331EAA">
        <w:t>Across all cases, the median time between onset of symptoms and laboratory testing was 3 days (</w:t>
      </w:r>
      <w:r w:rsidR="00A14D5F" w:rsidRPr="00331EAA">
        <w:t xml:space="preserve">interquartile range, </w:t>
      </w:r>
      <w:r w:rsidRPr="00331EAA">
        <w:t xml:space="preserve">IQR: 1–6 days). This reflects an increase from </w:t>
      </w:r>
      <w:r w:rsidR="00B32AA5" w:rsidRPr="00331EAA">
        <w:t xml:space="preserve">a median of </w:t>
      </w:r>
      <w:r w:rsidRPr="00331EAA">
        <w:t xml:space="preserve">2 days in the week </w:t>
      </w:r>
      <w:r w:rsidR="00B32AA5" w:rsidRPr="00331EAA">
        <w:t xml:space="preserve">of 13–19 April </w:t>
      </w:r>
      <w:r w:rsidRPr="00331EAA">
        <w:t>but is still lower th</w:t>
      </w:r>
      <w:r w:rsidR="00257EDF" w:rsidRPr="00331EAA">
        <w:t>a</w:t>
      </w:r>
      <w:r w:rsidRPr="00331EAA">
        <w:t xml:space="preserve">n at the beginning of the epidemic. </w:t>
      </w:r>
    </w:p>
    <w:p w14:paraId="3F0F5B0F" w14:textId="77777777" w:rsidR="00206365" w:rsidRDefault="00206365" w:rsidP="00206365">
      <w:pPr>
        <w:pStyle w:val="CDIFigures"/>
      </w:pPr>
      <w:r>
        <w:t>Table 1: Notifications and rates of COVID-19 and diagnostic tests performed, Australia, by jurisdiction</w:t>
      </w:r>
    </w:p>
    <w:tbl>
      <w:tblPr>
        <w:tblStyle w:val="CDI-StandardTable"/>
        <w:tblW w:w="10440" w:type="dxa"/>
        <w:tblLayout w:type="fixed"/>
        <w:tblCellMar>
          <w:top w:w="57" w:type="dxa"/>
          <w:left w:w="57" w:type="dxa"/>
          <w:bottom w:w="57" w:type="dxa"/>
          <w:right w:w="57" w:type="dxa"/>
        </w:tblCellMar>
        <w:tblLook w:val="04A0" w:firstRow="1" w:lastRow="0" w:firstColumn="1" w:lastColumn="0" w:noHBand="0" w:noVBand="1"/>
        <w:tblDescription w:val="Table 1 shows weekly COVID-19 notifications per 100,000 population by jurisdiction, for the two most recent reporting weeks. The rate of COVID-19 notifications is declining or static in all jurisdictions.&#10;"/>
      </w:tblPr>
      <w:tblGrid>
        <w:gridCol w:w="1800"/>
        <w:gridCol w:w="1319"/>
        <w:gridCol w:w="1276"/>
        <w:gridCol w:w="1134"/>
        <w:gridCol w:w="1701"/>
        <w:gridCol w:w="3210"/>
      </w:tblGrid>
      <w:tr w:rsidR="00AB17BA" w14:paraId="08E29F02" w14:textId="77777777" w:rsidTr="004A16B9">
        <w:trPr>
          <w:cnfStyle w:val="100000000000" w:firstRow="1" w:lastRow="0" w:firstColumn="0" w:lastColumn="0" w:oddVBand="0" w:evenVBand="0" w:oddHBand="0" w:evenHBand="0" w:firstRowFirstColumn="0" w:firstRowLastColumn="0" w:lastRowFirstColumn="0" w:lastRowLastColumn="0"/>
          <w:tblHeader/>
        </w:trPr>
        <w:tc>
          <w:tcPr>
            <w:tcW w:w="1800" w:type="dxa"/>
            <w:vMerge w:val="restart"/>
            <w:tcBorders>
              <w:right w:val="single" w:sz="2" w:space="0" w:color="FFFFFF" w:themeColor="background1"/>
            </w:tcBorders>
            <w:hideMark/>
          </w:tcPr>
          <w:p w14:paraId="4B2531E1" w14:textId="77777777" w:rsidR="00AB17BA" w:rsidRDefault="00AB17BA" w:rsidP="004A16B9">
            <w:pPr>
              <w:ind w:right="425"/>
              <w:rPr>
                <w:rFonts w:cstheme="minorHAnsi"/>
                <w:b w:val="0"/>
                <w:color w:val="FFFFFF" w:themeColor="background1"/>
              </w:rPr>
            </w:pPr>
            <w:r>
              <w:rPr>
                <w:rFonts w:cstheme="minorHAnsi"/>
                <w:color w:val="FFFFFF" w:themeColor="background1"/>
              </w:rPr>
              <w:t>Jurisdiction</w:t>
            </w:r>
          </w:p>
        </w:tc>
        <w:tc>
          <w:tcPr>
            <w:tcW w:w="2595" w:type="dxa"/>
            <w:gridSpan w:val="2"/>
            <w:tcBorders>
              <w:left w:val="single" w:sz="2" w:space="0" w:color="FFFFFF" w:themeColor="background1"/>
              <w:bottom w:val="single" w:sz="2" w:space="0" w:color="FFFFFF" w:themeColor="background1"/>
              <w:right w:val="single" w:sz="2" w:space="0" w:color="FFFFFF" w:themeColor="background1"/>
            </w:tcBorders>
            <w:hideMark/>
          </w:tcPr>
          <w:p w14:paraId="6CF76000" w14:textId="77777777" w:rsidR="00AB17BA" w:rsidRDefault="00AB17BA" w:rsidP="004A16B9">
            <w:pPr>
              <w:jc w:val="center"/>
              <w:rPr>
                <w:rFonts w:cstheme="minorHAnsi"/>
                <w:color w:val="FFFFFF" w:themeColor="background1"/>
              </w:rPr>
            </w:pPr>
            <w:r>
              <w:rPr>
                <w:rFonts w:cstheme="minorHAnsi"/>
                <w:color w:val="FFFFFF" w:themeColor="background1"/>
              </w:rPr>
              <w:t>Cases per 100,000 population</w:t>
            </w:r>
          </w:p>
        </w:tc>
        <w:tc>
          <w:tcPr>
            <w:tcW w:w="1134" w:type="dxa"/>
            <w:vMerge w:val="restart"/>
            <w:tcBorders>
              <w:left w:val="single" w:sz="2" w:space="0" w:color="FFFFFF" w:themeColor="background1"/>
              <w:bottom w:val="single" w:sz="2" w:space="0" w:color="FFFFFF" w:themeColor="background1"/>
              <w:right w:val="single" w:sz="2" w:space="0" w:color="FFFFFF" w:themeColor="background1"/>
            </w:tcBorders>
          </w:tcPr>
          <w:p w14:paraId="692AC2FA" w14:textId="77777777" w:rsidR="00AB17BA" w:rsidRDefault="00AB17BA" w:rsidP="004A16B9">
            <w:pPr>
              <w:jc w:val="center"/>
              <w:rPr>
                <w:rFonts w:cstheme="minorHAnsi"/>
                <w:b w:val="0"/>
                <w:color w:val="FFFFFF" w:themeColor="background1"/>
              </w:rPr>
            </w:pPr>
            <w:r>
              <w:rPr>
                <w:rFonts w:cstheme="minorHAnsi"/>
                <w:color w:val="FFFFFF" w:themeColor="background1"/>
              </w:rPr>
              <w:t>Total cases</w:t>
            </w:r>
          </w:p>
          <w:p w14:paraId="2886EF14" w14:textId="77777777" w:rsidR="00AB17BA" w:rsidRDefault="00AB17BA" w:rsidP="004A16B9">
            <w:pPr>
              <w:jc w:val="center"/>
              <w:rPr>
                <w:rFonts w:cstheme="minorHAnsi"/>
                <w:b w:val="0"/>
                <w:color w:val="FFFFFF" w:themeColor="background1"/>
              </w:rPr>
            </w:pPr>
          </w:p>
        </w:tc>
        <w:tc>
          <w:tcPr>
            <w:tcW w:w="17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B8E8836" w14:textId="77777777" w:rsidR="00AB17BA" w:rsidRDefault="00AB17BA" w:rsidP="004A16B9">
            <w:pPr>
              <w:jc w:val="center"/>
              <w:rPr>
                <w:rFonts w:cstheme="minorHAnsi"/>
                <w:b w:val="0"/>
                <w:color w:val="FFFFFF" w:themeColor="background1"/>
              </w:rPr>
            </w:pPr>
            <w:r>
              <w:rPr>
                <w:rFonts w:cstheme="minorHAnsi"/>
                <w:color w:val="FFFFFF" w:themeColor="background1"/>
              </w:rPr>
              <w:t>Cumulative rate</w:t>
            </w:r>
          </w:p>
          <w:p w14:paraId="060C776E" w14:textId="77777777" w:rsidR="00AB17BA" w:rsidRDefault="00AB17BA" w:rsidP="004A16B9">
            <w:pPr>
              <w:jc w:val="center"/>
              <w:rPr>
                <w:rFonts w:cstheme="minorHAnsi"/>
                <w:b w:val="0"/>
                <w:color w:val="FFFFFF" w:themeColor="background1"/>
              </w:rPr>
            </w:pPr>
            <w:r>
              <w:rPr>
                <w:rFonts w:cstheme="minorHAnsi"/>
                <w:color w:val="FFFFFF" w:themeColor="background1"/>
              </w:rPr>
              <w:t>(per 100,000 population)</w:t>
            </w:r>
          </w:p>
        </w:tc>
        <w:tc>
          <w:tcPr>
            <w:tcW w:w="3210" w:type="dxa"/>
            <w:vMerge w:val="restart"/>
            <w:tcBorders>
              <w:left w:val="single" w:sz="2" w:space="0" w:color="FFFFFF" w:themeColor="background1"/>
              <w:bottom w:val="single" w:sz="2" w:space="0" w:color="FFFFFF" w:themeColor="background1"/>
            </w:tcBorders>
            <w:hideMark/>
          </w:tcPr>
          <w:p w14:paraId="274E7B72" w14:textId="77777777" w:rsidR="00AB17BA" w:rsidRDefault="00AB17BA" w:rsidP="004A16B9">
            <w:pPr>
              <w:jc w:val="center"/>
              <w:rPr>
                <w:rFonts w:cstheme="minorHAnsi"/>
                <w:b w:val="0"/>
                <w:color w:val="FFFFFF" w:themeColor="background1"/>
              </w:rPr>
            </w:pPr>
            <w:r>
              <w:rPr>
                <w:rFonts w:cstheme="minorHAnsi"/>
                <w:color w:val="FFFFFF" w:themeColor="background1"/>
              </w:rPr>
              <w:t>Cumulative number of tests performed (proportion of tests positive %)</w:t>
            </w:r>
          </w:p>
        </w:tc>
      </w:tr>
      <w:tr w:rsidR="00AB17BA" w14:paraId="021AD058" w14:textId="77777777" w:rsidTr="004A16B9">
        <w:trPr>
          <w:cnfStyle w:val="100000000000" w:firstRow="1" w:lastRow="0" w:firstColumn="0" w:lastColumn="0" w:oddVBand="0" w:evenVBand="0" w:oddHBand="0" w:evenHBand="0" w:firstRowFirstColumn="0" w:firstRowLastColumn="0" w:lastRowFirstColumn="0" w:lastRowLastColumn="0"/>
          <w:tblHeader/>
        </w:trPr>
        <w:tc>
          <w:tcPr>
            <w:tcW w:w="1800" w:type="dxa"/>
            <w:vMerge/>
            <w:tcBorders>
              <w:right w:val="single" w:sz="2" w:space="0" w:color="FFFFFF" w:themeColor="background1"/>
            </w:tcBorders>
          </w:tcPr>
          <w:p w14:paraId="78FAB3FD" w14:textId="77777777" w:rsidR="00AB17BA" w:rsidRDefault="00AB17BA" w:rsidP="004A16B9">
            <w:pPr>
              <w:ind w:right="425"/>
              <w:rPr>
                <w:rFonts w:cstheme="minorHAnsi"/>
                <w:color w:val="FFFFFF" w:themeColor="background1"/>
              </w:rPr>
            </w:pPr>
          </w:p>
        </w:tc>
        <w:tc>
          <w:tcPr>
            <w:tcW w:w="1319" w:type="dxa"/>
            <w:tcBorders>
              <w:top w:val="single" w:sz="2" w:space="0" w:color="FFFFFF" w:themeColor="background1"/>
              <w:left w:val="single" w:sz="2" w:space="0" w:color="FFFFFF" w:themeColor="background1"/>
              <w:right w:val="single" w:sz="2" w:space="0" w:color="FFFFFF" w:themeColor="background1"/>
            </w:tcBorders>
          </w:tcPr>
          <w:p w14:paraId="44D7EDD1" w14:textId="77777777" w:rsidR="00AB17BA" w:rsidRPr="00CD156E" w:rsidRDefault="00AB17BA" w:rsidP="004A16B9">
            <w:pPr>
              <w:jc w:val="center"/>
              <w:rPr>
                <w:rFonts w:cstheme="minorHAnsi"/>
                <w:color w:val="FFFFFF" w:themeColor="background1"/>
              </w:rPr>
            </w:pPr>
            <w:r>
              <w:rPr>
                <w:rFonts w:cstheme="minorHAnsi"/>
                <w:color w:val="FFFFFF" w:themeColor="background1"/>
              </w:rPr>
              <w:t>4–10 May</w:t>
            </w:r>
          </w:p>
        </w:tc>
        <w:tc>
          <w:tcPr>
            <w:tcW w:w="1276" w:type="dxa"/>
            <w:tcBorders>
              <w:top w:val="single" w:sz="2" w:space="0" w:color="FFFFFF" w:themeColor="background1"/>
              <w:left w:val="single" w:sz="2" w:space="0" w:color="FFFFFF" w:themeColor="background1"/>
              <w:right w:val="single" w:sz="2" w:space="0" w:color="FFFFFF" w:themeColor="background1"/>
            </w:tcBorders>
          </w:tcPr>
          <w:p w14:paraId="2ACB3CF9" w14:textId="77777777" w:rsidR="00AB17BA" w:rsidRDefault="00AB17BA" w:rsidP="004A16B9">
            <w:pPr>
              <w:jc w:val="center"/>
              <w:rPr>
                <w:rFonts w:cstheme="minorHAnsi"/>
                <w:color w:val="FFFFFF" w:themeColor="background1"/>
              </w:rPr>
            </w:pPr>
            <w:r w:rsidRPr="00CD156E">
              <w:rPr>
                <w:rFonts w:cstheme="minorHAnsi"/>
                <w:color w:val="FFFFFF" w:themeColor="background1"/>
              </w:rPr>
              <w:t>27 April – 3 May</w:t>
            </w:r>
          </w:p>
        </w:tc>
        <w:tc>
          <w:tcPr>
            <w:tcW w:w="1134" w:type="dxa"/>
            <w:vMerge/>
            <w:tcBorders>
              <w:top w:val="single" w:sz="2" w:space="0" w:color="FFFFFF" w:themeColor="background1"/>
              <w:left w:val="single" w:sz="2" w:space="0" w:color="FFFFFF" w:themeColor="background1"/>
              <w:right w:val="single" w:sz="2" w:space="0" w:color="FFFFFF" w:themeColor="background1"/>
            </w:tcBorders>
          </w:tcPr>
          <w:p w14:paraId="51EEF253" w14:textId="77777777" w:rsidR="00AB17BA" w:rsidRDefault="00AB17BA" w:rsidP="004A16B9">
            <w:pPr>
              <w:jc w:val="center"/>
              <w:rPr>
                <w:rFonts w:cstheme="minorHAnsi"/>
                <w:color w:val="FFFFFF" w:themeColor="background1"/>
              </w:rPr>
            </w:pPr>
          </w:p>
        </w:tc>
        <w:tc>
          <w:tcPr>
            <w:tcW w:w="1701" w:type="dxa"/>
            <w:vMerge/>
            <w:tcBorders>
              <w:top w:val="single" w:sz="2" w:space="0" w:color="FFFFFF" w:themeColor="background1"/>
              <w:left w:val="single" w:sz="2" w:space="0" w:color="FFFFFF" w:themeColor="background1"/>
              <w:right w:val="single" w:sz="2" w:space="0" w:color="FFFFFF" w:themeColor="background1"/>
            </w:tcBorders>
          </w:tcPr>
          <w:p w14:paraId="56D33A22" w14:textId="77777777" w:rsidR="00AB17BA" w:rsidRDefault="00AB17BA" w:rsidP="004A16B9">
            <w:pPr>
              <w:jc w:val="center"/>
              <w:rPr>
                <w:rFonts w:cstheme="minorHAnsi"/>
                <w:color w:val="FFFFFF" w:themeColor="background1"/>
              </w:rPr>
            </w:pPr>
          </w:p>
        </w:tc>
        <w:tc>
          <w:tcPr>
            <w:tcW w:w="3210" w:type="dxa"/>
            <w:vMerge/>
            <w:tcBorders>
              <w:top w:val="single" w:sz="2" w:space="0" w:color="FFFFFF" w:themeColor="background1"/>
              <w:left w:val="single" w:sz="2" w:space="0" w:color="FFFFFF" w:themeColor="background1"/>
            </w:tcBorders>
          </w:tcPr>
          <w:p w14:paraId="006A1E58" w14:textId="77777777" w:rsidR="00AB17BA" w:rsidRDefault="00AB17BA" w:rsidP="004A16B9">
            <w:pPr>
              <w:jc w:val="center"/>
              <w:rPr>
                <w:rFonts w:cstheme="minorHAnsi"/>
                <w:color w:val="FFFFFF" w:themeColor="background1"/>
              </w:rPr>
            </w:pPr>
          </w:p>
        </w:tc>
      </w:tr>
      <w:tr w:rsidR="00206365" w14:paraId="3BFA9A6D" w14:textId="77777777" w:rsidTr="005C6A9B">
        <w:trPr>
          <w:trHeight w:val="382"/>
        </w:trPr>
        <w:tc>
          <w:tcPr>
            <w:tcW w:w="1800" w:type="dxa"/>
            <w:vAlign w:val="center"/>
            <w:hideMark/>
          </w:tcPr>
          <w:p w14:paraId="59B76030" w14:textId="77777777" w:rsidR="00206365" w:rsidRDefault="00206365" w:rsidP="004A16B9">
            <w:pPr>
              <w:ind w:right="424"/>
              <w:rPr>
                <w:rFonts w:asciiTheme="minorHAnsi" w:hAnsiTheme="minorHAnsi" w:cstheme="minorHAnsi"/>
                <w:b/>
              </w:rPr>
            </w:pPr>
            <w:r>
              <w:rPr>
                <w:rFonts w:asciiTheme="minorHAnsi" w:hAnsiTheme="minorHAnsi" w:cstheme="minorHAnsi"/>
                <w:b/>
              </w:rPr>
              <w:t>NSW</w:t>
            </w:r>
          </w:p>
        </w:tc>
        <w:tc>
          <w:tcPr>
            <w:tcW w:w="1319" w:type="dxa"/>
          </w:tcPr>
          <w:p w14:paraId="6AF1FAD2" w14:textId="77777777" w:rsidR="00206365" w:rsidRPr="007632F9" w:rsidRDefault="00206365" w:rsidP="004A16B9">
            <w:pPr>
              <w:jc w:val="center"/>
            </w:pPr>
            <w:r w:rsidRPr="007632F9">
              <w:t>0.16</w:t>
            </w:r>
          </w:p>
        </w:tc>
        <w:tc>
          <w:tcPr>
            <w:tcW w:w="1276" w:type="dxa"/>
          </w:tcPr>
          <w:p w14:paraId="603032AA" w14:textId="77777777" w:rsidR="00206365" w:rsidRPr="007632F9" w:rsidRDefault="00206365" w:rsidP="004A16B9">
            <w:pPr>
              <w:jc w:val="center"/>
            </w:pPr>
            <w:r w:rsidRPr="007632F9">
              <w:t>0.35</w:t>
            </w:r>
          </w:p>
        </w:tc>
        <w:tc>
          <w:tcPr>
            <w:tcW w:w="1134" w:type="dxa"/>
          </w:tcPr>
          <w:p w14:paraId="34147EA6" w14:textId="77777777" w:rsidR="00206365" w:rsidRPr="007632F9" w:rsidRDefault="00206365" w:rsidP="004A16B9">
            <w:pPr>
              <w:jc w:val="center"/>
            </w:pPr>
            <w:r w:rsidRPr="007632F9">
              <w:t>3,085</w:t>
            </w:r>
          </w:p>
        </w:tc>
        <w:tc>
          <w:tcPr>
            <w:tcW w:w="1701" w:type="dxa"/>
          </w:tcPr>
          <w:p w14:paraId="114B6672" w14:textId="77777777" w:rsidR="00206365" w:rsidRPr="007632F9" w:rsidRDefault="00206365" w:rsidP="004A16B9">
            <w:pPr>
              <w:jc w:val="center"/>
            </w:pPr>
            <w:r w:rsidRPr="007632F9">
              <w:t>38.1</w:t>
            </w:r>
          </w:p>
        </w:tc>
        <w:tc>
          <w:tcPr>
            <w:tcW w:w="3210" w:type="dxa"/>
          </w:tcPr>
          <w:p w14:paraId="14A5E97A" w14:textId="77777777" w:rsidR="00206365" w:rsidRPr="007632F9" w:rsidRDefault="00206365" w:rsidP="004A16B9">
            <w:pPr>
              <w:jc w:val="center"/>
            </w:pPr>
            <w:r w:rsidRPr="007632F9">
              <w:t>304</w:t>
            </w:r>
            <w:r>
              <w:t>,</w:t>
            </w:r>
            <w:r w:rsidRPr="007632F9">
              <w:t>464</w:t>
            </w:r>
            <w:r>
              <w:t xml:space="preserve"> </w:t>
            </w:r>
            <w:r w:rsidRPr="007632F9">
              <w:t>(1.01)</w:t>
            </w:r>
          </w:p>
        </w:tc>
      </w:tr>
      <w:tr w:rsidR="00206365" w14:paraId="42E9E7AD" w14:textId="77777777" w:rsidTr="005C6A9B">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18032EC7" w14:textId="77777777" w:rsidR="00206365" w:rsidRDefault="00206365" w:rsidP="004A16B9">
            <w:pPr>
              <w:ind w:right="424"/>
              <w:rPr>
                <w:rFonts w:asciiTheme="minorHAnsi" w:hAnsiTheme="minorHAnsi" w:cstheme="minorHAnsi"/>
                <w:b/>
              </w:rPr>
            </w:pPr>
            <w:r>
              <w:rPr>
                <w:rFonts w:asciiTheme="minorHAnsi" w:hAnsiTheme="minorHAnsi" w:cstheme="minorHAnsi"/>
                <w:b/>
              </w:rPr>
              <w:t>Vic</w:t>
            </w:r>
          </w:p>
        </w:tc>
        <w:tc>
          <w:tcPr>
            <w:tcW w:w="1319" w:type="dxa"/>
          </w:tcPr>
          <w:p w14:paraId="4D264057" w14:textId="77777777" w:rsidR="00206365" w:rsidRPr="007632F9" w:rsidRDefault="00206365" w:rsidP="004A16B9">
            <w:pPr>
              <w:jc w:val="center"/>
            </w:pPr>
            <w:r w:rsidRPr="007632F9">
              <w:t>0.58</w:t>
            </w:r>
          </w:p>
        </w:tc>
        <w:tc>
          <w:tcPr>
            <w:tcW w:w="1276" w:type="dxa"/>
          </w:tcPr>
          <w:p w14:paraId="4F7F1E59" w14:textId="77777777" w:rsidR="00206365" w:rsidRPr="007632F9" w:rsidRDefault="00206365" w:rsidP="004A16B9">
            <w:pPr>
              <w:jc w:val="center"/>
            </w:pPr>
            <w:r w:rsidRPr="007632F9">
              <w:t>1.17</w:t>
            </w:r>
          </w:p>
        </w:tc>
        <w:tc>
          <w:tcPr>
            <w:tcW w:w="1134" w:type="dxa"/>
          </w:tcPr>
          <w:p w14:paraId="5ABC26E1" w14:textId="77777777" w:rsidR="00206365" w:rsidRPr="007632F9" w:rsidRDefault="00206365" w:rsidP="004A16B9">
            <w:pPr>
              <w:jc w:val="center"/>
            </w:pPr>
            <w:r w:rsidRPr="007632F9">
              <w:t>1,497</w:t>
            </w:r>
          </w:p>
        </w:tc>
        <w:tc>
          <w:tcPr>
            <w:tcW w:w="1701" w:type="dxa"/>
          </w:tcPr>
          <w:p w14:paraId="7F2C6AD0" w14:textId="77777777" w:rsidR="00206365" w:rsidRPr="007632F9" w:rsidRDefault="00206365" w:rsidP="004A16B9">
            <w:pPr>
              <w:jc w:val="center"/>
            </w:pPr>
            <w:r w:rsidRPr="007632F9">
              <w:t>22.7</w:t>
            </w:r>
          </w:p>
        </w:tc>
        <w:tc>
          <w:tcPr>
            <w:tcW w:w="3210" w:type="dxa"/>
          </w:tcPr>
          <w:p w14:paraId="660AAF09" w14:textId="77777777" w:rsidR="00206365" w:rsidRPr="007632F9" w:rsidRDefault="00206365" w:rsidP="004A16B9">
            <w:pPr>
              <w:jc w:val="center"/>
            </w:pPr>
            <w:r w:rsidRPr="007632F9">
              <w:t>226</w:t>
            </w:r>
            <w:r>
              <w:t>,</w:t>
            </w:r>
            <w:r w:rsidRPr="007632F9">
              <w:t>889</w:t>
            </w:r>
            <w:r>
              <w:t xml:space="preserve"> </w:t>
            </w:r>
            <w:r w:rsidRPr="007632F9">
              <w:t>(0.66)</w:t>
            </w:r>
          </w:p>
        </w:tc>
      </w:tr>
      <w:tr w:rsidR="00206365" w14:paraId="60AEAF54" w14:textId="77777777" w:rsidTr="005C6A9B">
        <w:trPr>
          <w:trHeight w:val="382"/>
        </w:trPr>
        <w:tc>
          <w:tcPr>
            <w:tcW w:w="1800" w:type="dxa"/>
            <w:vAlign w:val="center"/>
            <w:hideMark/>
          </w:tcPr>
          <w:p w14:paraId="2269B7E8" w14:textId="77777777" w:rsidR="00206365" w:rsidRDefault="00206365" w:rsidP="004A16B9">
            <w:pPr>
              <w:ind w:right="424"/>
              <w:rPr>
                <w:rFonts w:asciiTheme="minorHAnsi" w:hAnsiTheme="minorHAnsi" w:cstheme="minorHAnsi"/>
                <w:b/>
              </w:rPr>
            </w:pPr>
            <w:r>
              <w:rPr>
                <w:rFonts w:asciiTheme="minorHAnsi" w:hAnsiTheme="minorHAnsi" w:cstheme="minorHAnsi"/>
                <w:b/>
              </w:rPr>
              <w:t>Qld</w:t>
            </w:r>
          </w:p>
        </w:tc>
        <w:tc>
          <w:tcPr>
            <w:tcW w:w="1319" w:type="dxa"/>
          </w:tcPr>
          <w:p w14:paraId="4CC113E0" w14:textId="77777777" w:rsidR="00206365" w:rsidRPr="007632F9" w:rsidRDefault="00206365" w:rsidP="004A16B9">
            <w:pPr>
              <w:jc w:val="center"/>
            </w:pPr>
            <w:r w:rsidRPr="007632F9">
              <w:t>0.04</w:t>
            </w:r>
          </w:p>
        </w:tc>
        <w:tc>
          <w:tcPr>
            <w:tcW w:w="1276" w:type="dxa"/>
          </w:tcPr>
          <w:p w14:paraId="262454FD" w14:textId="77777777" w:rsidR="00206365" w:rsidRPr="007632F9" w:rsidRDefault="00206365" w:rsidP="004A16B9">
            <w:pPr>
              <w:jc w:val="center"/>
            </w:pPr>
            <w:r w:rsidRPr="007632F9">
              <w:t>0.1</w:t>
            </w:r>
            <w:r>
              <w:t>0</w:t>
            </w:r>
          </w:p>
        </w:tc>
        <w:tc>
          <w:tcPr>
            <w:tcW w:w="1134" w:type="dxa"/>
          </w:tcPr>
          <w:p w14:paraId="5ADD34DE" w14:textId="77777777" w:rsidR="00206365" w:rsidRPr="007632F9" w:rsidRDefault="00206365" w:rsidP="004A16B9">
            <w:pPr>
              <w:jc w:val="center"/>
            </w:pPr>
            <w:r w:rsidRPr="007632F9">
              <w:t>1,051</w:t>
            </w:r>
          </w:p>
        </w:tc>
        <w:tc>
          <w:tcPr>
            <w:tcW w:w="1701" w:type="dxa"/>
          </w:tcPr>
          <w:p w14:paraId="73420302" w14:textId="77777777" w:rsidR="00206365" w:rsidRPr="007632F9" w:rsidRDefault="00206365" w:rsidP="004A16B9">
            <w:pPr>
              <w:jc w:val="center"/>
            </w:pPr>
            <w:r w:rsidRPr="007632F9">
              <w:t>20.6</w:t>
            </w:r>
          </w:p>
        </w:tc>
        <w:tc>
          <w:tcPr>
            <w:tcW w:w="3210" w:type="dxa"/>
          </w:tcPr>
          <w:p w14:paraId="467A662D" w14:textId="77777777" w:rsidR="00206365" w:rsidRPr="007632F9" w:rsidRDefault="00206365" w:rsidP="004A16B9">
            <w:pPr>
              <w:jc w:val="center"/>
            </w:pPr>
            <w:r w:rsidRPr="007632F9">
              <w:t>135</w:t>
            </w:r>
            <w:r>
              <w:t>,</w:t>
            </w:r>
            <w:r w:rsidRPr="007632F9">
              <w:t>806</w:t>
            </w:r>
            <w:r>
              <w:t xml:space="preserve"> (0.77</w:t>
            </w:r>
            <w:r w:rsidRPr="007632F9">
              <w:t>)</w:t>
            </w:r>
          </w:p>
        </w:tc>
      </w:tr>
      <w:tr w:rsidR="00206365" w14:paraId="294B71DB" w14:textId="77777777" w:rsidTr="005C6A9B">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28890155" w14:textId="77777777" w:rsidR="00206365" w:rsidRDefault="00206365" w:rsidP="004A16B9">
            <w:pPr>
              <w:ind w:right="424"/>
              <w:rPr>
                <w:rFonts w:asciiTheme="minorHAnsi" w:hAnsiTheme="minorHAnsi" w:cstheme="minorHAnsi"/>
                <w:b/>
              </w:rPr>
            </w:pPr>
            <w:r>
              <w:rPr>
                <w:rFonts w:asciiTheme="minorHAnsi" w:hAnsiTheme="minorHAnsi" w:cstheme="minorHAnsi"/>
                <w:b/>
              </w:rPr>
              <w:t>WA</w:t>
            </w:r>
          </w:p>
        </w:tc>
        <w:tc>
          <w:tcPr>
            <w:tcW w:w="1319" w:type="dxa"/>
          </w:tcPr>
          <w:p w14:paraId="2B04EF39" w14:textId="77777777" w:rsidR="00206365" w:rsidRPr="007632F9" w:rsidRDefault="00206365" w:rsidP="004A16B9">
            <w:pPr>
              <w:jc w:val="center"/>
            </w:pPr>
            <w:r w:rsidRPr="007632F9">
              <w:t>0.04</w:t>
            </w:r>
          </w:p>
        </w:tc>
        <w:tc>
          <w:tcPr>
            <w:tcW w:w="1276" w:type="dxa"/>
          </w:tcPr>
          <w:p w14:paraId="775A3346" w14:textId="77777777" w:rsidR="00206365" w:rsidRPr="007632F9" w:rsidRDefault="00206365" w:rsidP="004A16B9">
            <w:pPr>
              <w:jc w:val="center"/>
            </w:pPr>
            <w:r w:rsidRPr="007632F9">
              <w:t>0.04</w:t>
            </w:r>
          </w:p>
        </w:tc>
        <w:tc>
          <w:tcPr>
            <w:tcW w:w="1134" w:type="dxa"/>
          </w:tcPr>
          <w:p w14:paraId="5A6DEEE7" w14:textId="77777777" w:rsidR="00206365" w:rsidRPr="007632F9" w:rsidRDefault="00206365" w:rsidP="004A16B9">
            <w:pPr>
              <w:jc w:val="center"/>
            </w:pPr>
            <w:r w:rsidRPr="007632F9">
              <w:t>536</w:t>
            </w:r>
          </w:p>
        </w:tc>
        <w:tc>
          <w:tcPr>
            <w:tcW w:w="1701" w:type="dxa"/>
          </w:tcPr>
          <w:p w14:paraId="4672F21A" w14:textId="77777777" w:rsidR="00206365" w:rsidRPr="007632F9" w:rsidRDefault="00206365" w:rsidP="004A16B9">
            <w:pPr>
              <w:jc w:val="center"/>
            </w:pPr>
            <w:r w:rsidRPr="007632F9">
              <w:t>20.4</w:t>
            </w:r>
          </w:p>
        </w:tc>
        <w:tc>
          <w:tcPr>
            <w:tcW w:w="3210" w:type="dxa"/>
          </w:tcPr>
          <w:p w14:paraId="42BEB5A6" w14:textId="77777777" w:rsidR="00206365" w:rsidRPr="007632F9" w:rsidRDefault="00206365" w:rsidP="004A16B9">
            <w:pPr>
              <w:jc w:val="center"/>
            </w:pPr>
            <w:r w:rsidRPr="007632F9">
              <w:t>55</w:t>
            </w:r>
            <w:r>
              <w:t>,</w:t>
            </w:r>
            <w:r w:rsidRPr="007632F9">
              <w:t>758</w:t>
            </w:r>
            <w:r>
              <w:t xml:space="preserve"> (0.96</w:t>
            </w:r>
            <w:r w:rsidRPr="007632F9">
              <w:t>)</w:t>
            </w:r>
          </w:p>
        </w:tc>
      </w:tr>
      <w:tr w:rsidR="00206365" w14:paraId="2C0FAFB8" w14:textId="77777777" w:rsidTr="005C6A9B">
        <w:trPr>
          <w:trHeight w:val="382"/>
        </w:trPr>
        <w:tc>
          <w:tcPr>
            <w:tcW w:w="1800" w:type="dxa"/>
            <w:vAlign w:val="center"/>
            <w:hideMark/>
          </w:tcPr>
          <w:p w14:paraId="4E5B9C26" w14:textId="77777777" w:rsidR="00206365" w:rsidRDefault="00206365" w:rsidP="004A16B9">
            <w:pPr>
              <w:ind w:right="424"/>
              <w:rPr>
                <w:rFonts w:asciiTheme="minorHAnsi" w:hAnsiTheme="minorHAnsi" w:cstheme="minorHAnsi"/>
                <w:b/>
              </w:rPr>
            </w:pPr>
            <w:r>
              <w:rPr>
                <w:rFonts w:asciiTheme="minorHAnsi" w:hAnsiTheme="minorHAnsi" w:cstheme="minorHAnsi"/>
                <w:b/>
              </w:rPr>
              <w:t>SA</w:t>
            </w:r>
          </w:p>
        </w:tc>
        <w:tc>
          <w:tcPr>
            <w:tcW w:w="1319" w:type="dxa"/>
          </w:tcPr>
          <w:p w14:paraId="2B82437C" w14:textId="77777777" w:rsidR="00206365" w:rsidRPr="007632F9" w:rsidRDefault="00206365" w:rsidP="004A16B9">
            <w:pPr>
              <w:jc w:val="center"/>
            </w:pPr>
            <w:r w:rsidRPr="00FA3AA3">
              <w:rPr>
                <w:rFonts w:cstheme="minorHAnsi"/>
              </w:rPr>
              <w:t>–</w:t>
            </w:r>
          </w:p>
        </w:tc>
        <w:tc>
          <w:tcPr>
            <w:tcW w:w="1276" w:type="dxa"/>
          </w:tcPr>
          <w:p w14:paraId="3F63B22E" w14:textId="77777777" w:rsidR="00206365" w:rsidRPr="007632F9" w:rsidRDefault="00206365" w:rsidP="004A16B9">
            <w:pPr>
              <w:jc w:val="center"/>
            </w:pPr>
            <w:r w:rsidRPr="00FA3AA3">
              <w:rPr>
                <w:rFonts w:cstheme="minorHAnsi"/>
              </w:rPr>
              <w:t>–</w:t>
            </w:r>
          </w:p>
        </w:tc>
        <w:tc>
          <w:tcPr>
            <w:tcW w:w="1134" w:type="dxa"/>
          </w:tcPr>
          <w:p w14:paraId="6EB76926" w14:textId="77777777" w:rsidR="00206365" w:rsidRPr="007632F9" w:rsidRDefault="00206365" w:rsidP="004A16B9">
            <w:pPr>
              <w:jc w:val="center"/>
            </w:pPr>
            <w:r w:rsidRPr="007632F9">
              <w:t>439</w:t>
            </w:r>
          </w:p>
        </w:tc>
        <w:tc>
          <w:tcPr>
            <w:tcW w:w="1701" w:type="dxa"/>
          </w:tcPr>
          <w:p w14:paraId="0D49B9DD" w14:textId="77777777" w:rsidR="00206365" w:rsidRPr="007632F9" w:rsidRDefault="00206365" w:rsidP="004A16B9">
            <w:pPr>
              <w:jc w:val="center"/>
            </w:pPr>
            <w:r w:rsidRPr="007632F9">
              <w:t>25.1</w:t>
            </w:r>
          </w:p>
        </w:tc>
        <w:tc>
          <w:tcPr>
            <w:tcW w:w="3210" w:type="dxa"/>
          </w:tcPr>
          <w:p w14:paraId="606C0BDB" w14:textId="77777777" w:rsidR="00206365" w:rsidRPr="007632F9" w:rsidRDefault="00206365" w:rsidP="004A16B9">
            <w:pPr>
              <w:jc w:val="center"/>
            </w:pPr>
            <w:r w:rsidRPr="007632F9">
              <w:t>69</w:t>
            </w:r>
            <w:r>
              <w:t>,</w:t>
            </w:r>
            <w:r w:rsidRPr="007632F9">
              <w:t>178</w:t>
            </w:r>
            <w:r>
              <w:t xml:space="preserve"> </w:t>
            </w:r>
            <w:r w:rsidRPr="007632F9">
              <w:t>(0.63)</w:t>
            </w:r>
          </w:p>
        </w:tc>
      </w:tr>
      <w:tr w:rsidR="00206365" w14:paraId="27279751" w14:textId="77777777" w:rsidTr="005C6A9B">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70D4F38B" w14:textId="77777777" w:rsidR="00206365" w:rsidRDefault="00206365" w:rsidP="004A16B9">
            <w:pPr>
              <w:ind w:right="424"/>
              <w:rPr>
                <w:rFonts w:asciiTheme="minorHAnsi" w:hAnsiTheme="minorHAnsi" w:cstheme="minorHAnsi"/>
                <w:b/>
              </w:rPr>
            </w:pPr>
            <w:r>
              <w:rPr>
                <w:rFonts w:asciiTheme="minorHAnsi" w:hAnsiTheme="minorHAnsi" w:cstheme="minorHAnsi"/>
                <w:b/>
              </w:rPr>
              <w:t>Tas</w:t>
            </w:r>
          </w:p>
        </w:tc>
        <w:tc>
          <w:tcPr>
            <w:tcW w:w="1319" w:type="dxa"/>
          </w:tcPr>
          <w:p w14:paraId="34900333" w14:textId="77777777" w:rsidR="00206365" w:rsidRPr="007632F9" w:rsidRDefault="00206365" w:rsidP="004A16B9">
            <w:pPr>
              <w:jc w:val="center"/>
            </w:pPr>
            <w:r w:rsidRPr="007632F9">
              <w:t>0.19</w:t>
            </w:r>
          </w:p>
        </w:tc>
        <w:tc>
          <w:tcPr>
            <w:tcW w:w="1276" w:type="dxa"/>
          </w:tcPr>
          <w:p w14:paraId="13D77DFE" w14:textId="77777777" w:rsidR="00206365" w:rsidRPr="007632F9" w:rsidRDefault="00206365" w:rsidP="004A16B9">
            <w:pPr>
              <w:jc w:val="center"/>
            </w:pPr>
            <w:r w:rsidRPr="007632F9">
              <w:t>0.56</w:t>
            </w:r>
          </w:p>
        </w:tc>
        <w:tc>
          <w:tcPr>
            <w:tcW w:w="1134" w:type="dxa"/>
          </w:tcPr>
          <w:p w14:paraId="4D09312B" w14:textId="77777777" w:rsidR="00206365" w:rsidRPr="007632F9" w:rsidRDefault="00206365" w:rsidP="004A16B9">
            <w:pPr>
              <w:jc w:val="center"/>
            </w:pPr>
            <w:r w:rsidRPr="007632F9">
              <w:t>227</w:t>
            </w:r>
          </w:p>
        </w:tc>
        <w:tc>
          <w:tcPr>
            <w:tcW w:w="1701" w:type="dxa"/>
          </w:tcPr>
          <w:p w14:paraId="74B02BCA" w14:textId="77777777" w:rsidR="00206365" w:rsidRPr="007632F9" w:rsidRDefault="00206365" w:rsidP="004A16B9">
            <w:pPr>
              <w:jc w:val="center"/>
            </w:pPr>
            <w:r w:rsidRPr="007632F9">
              <w:t>42.5</w:t>
            </w:r>
          </w:p>
        </w:tc>
        <w:tc>
          <w:tcPr>
            <w:tcW w:w="3210" w:type="dxa"/>
          </w:tcPr>
          <w:p w14:paraId="258CD72D" w14:textId="77777777" w:rsidR="00206365" w:rsidRPr="007632F9" w:rsidRDefault="00206365" w:rsidP="004A16B9">
            <w:pPr>
              <w:jc w:val="center"/>
            </w:pPr>
            <w:r w:rsidRPr="007632F9">
              <w:t>18</w:t>
            </w:r>
            <w:r>
              <w:t>,</w:t>
            </w:r>
            <w:r w:rsidRPr="007632F9">
              <w:t>545</w:t>
            </w:r>
            <w:r>
              <w:t xml:space="preserve"> </w:t>
            </w:r>
            <w:r w:rsidRPr="007632F9">
              <w:t>(1.22)</w:t>
            </w:r>
          </w:p>
        </w:tc>
      </w:tr>
      <w:tr w:rsidR="00206365" w14:paraId="05BC28B2" w14:textId="77777777" w:rsidTr="005C6A9B">
        <w:trPr>
          <w:trHeight w:val="382"/>
        </w:trPr>
        <w:tc>
          <w:tcPr>
            <w:tcW w:w="1800" w:type="dxa"/>
            <w:vAlign w:val="center"/>
            <w:hideMark/>
          </w:tcPr>
          <w:p w14:paraId="34E4BA38" w14:textId="77777777" w:rsidR="00206365" w:rsidRDefault="00206365" w:rsidP="004A16B9">
            <w:pPr>
              <w:ind w:right="424"/>
              <w:rPr>
                <w:rFonts w:asciiTheme="minorHAnsi" w:hAnsiTheme="minorHAnsi" w:cstheme="minorHAnsi"/>
                <w:b/>
              </w:rPr>
            </w:pPr>
            <w:r>
              <w:rPr>
                <w:rFonts w:asciiTheme="minorHAnsi" w:hAnsiTheme="minorHAnsi" w:cstheme="minorHAnsi"/>
                <w:b/>
              </w:rPr>
              <w:t>NT</w:t>
            </w:r>
          </w:p>
        </w:tc>
        <w:tc>
          <w:tcPr>
            <w:tcW w:w="1319" w:type="dxa"/>
          </w:tcPr>
          <w:p w14:paraId="45C8CE3C" w14:textId="77777777" w:rsidR="00206365" w:rsidRPr="007632F9" w:rsidRDefault="00206365" w:rsidP="004A16B9">
            <w:pPr>
              <w:jc w:val="center"/>
            </w:pPr>
            <w:r w:rsidRPr="00FA3AA3">
              <w:rPr>
                <w:rFonts w:cstheme="minorHAnsi"/>
              </w:rPr>
              <w:t>–</w:t>
            </w:r>
          </w:p>
        </w:tc>
        <w:tc>
          <w:tcPr>
            <w:tcW w:w="1276" w:type="dxa"/>
          </w:tcPr>
          <w:p w14:paraId="439CB01C" w14:textId="77777777" w:rsidR="00206365" w:rsidRPr="007632F9" w:rsidRDefault="00206365" w:rsidP="004A16B9">
            <w:pPr>
              <w:jc w:val="center"/>
            </w:pPr>
            <w:r w:rsidRPr="00FA3AA3">
              <w:rPr>
                <w:rFonts w:cstheme="minorHAnsi"/>
              </w:rPr>
              <w:t>–</w:t>
            </w:r>
          </w:p>
        </w:tc>
        <w:tc>
          <w:tcPr>
            <w:tcW w:w="1134" w:type="dxa"/>
          </w:tcPr>
          <w:p w14:paraId="6D1CF39E" w14:textId="77777777" w:rsidR="00206365" w:rsidRPr="007632F9" w:rsidRDefault="00206365" w:rsidP="004A16B9">
            <w:pPr>
              <w:jc w:val="center"/>
            </w:pPr>
            <w:r w:rsidRPr="007632F9">
              <w:t>29</w:t>
            </w:r>
          </w:p>
        </w:tc>
        <w:tc>
          <w:tcPr>
            <w:tcW w:w="1701" w:type="dxa"/>
          </w:tcPr>
          <w:p w14:paraId="0ABADF40" w14:textId="77777777" w:rsidR="00206365" w:rsidRPr="007632F9" w:rsidRDefault="00206365" w:rsidP="004A16B9">
            <w:pPr>
              <w:jc w:val="center"/>
            </w:pPr>
            <w:r w:rsidRPr="007632F9">
              <w:t>11.8</w:t>
            </w:r>
          </w:p>
        </w:tc>
        <w:tc>
          <w:tcPr>
            <w:tcW w:w="3210" w:type="dxa"/>
          </w:tcPr>
          <w:p w14:paraId="3E134EA0" w14:textId="77777777" w:rsidR="00206365" w:rsidRPr="007632F9" w:rsidRDefault="00206365" w:rsidP="004A16B9">
            <w:pPr>
              <w:jc w:val="center"/>
            </w:pPr>
            <w:r w:rsidRPr="007632F9">
              <w:t>5</w:t>
            </w:r>
            <w:r>
              <w:t>,</w:t>
            </w:r>
            <w:r w:rsidRPr="007632F9">
              <w:t>495</w:t>
            </w:r>
            <w:r>
              <w:t xml:space="preserve"> </w:t>
            </w:r>
            <w:r w:rsidRPr="007632F9">
              <w:t>(0.5</w:t>
            </w:r>
            <w:r>
              <w:t>3</w:t>
            </w:r>
            <w:r w:rsidRPr="007632F9">
              <w:t>)</w:t>
            </w:r>
          </w:p>
        </w:tc>
      </w:tr>
      <w:tr w:rsidR="00206365" w14:paraId="71CB3BD8" w14:textId="77777777" w:rsidTr="005C6A9B">
        <w:trPr>
          <w:cnfStyle w:val="000000010000" w:firstRow="0" w:lastRow="0" w:firstColumn="0" w:lastColumn="0" w:oddVBand="0" w:evenVBand="0" w:oddHBand="0" w:evenHBand="1" w:firstRowFirstColumn="0" w:firstRowLastColumn="0" w:lastRowFirstColumn="0" w:lastRowLastColumn="0"/>
          <w:trHeight w:val="382"/>
        </w:trPr>
        <w:tc>
          <w:tcPr>
            <w:tcW w:w="1800" w:type="dxa"/>
            <w:vAlign w:val="center"/>
            <w:hideMark/>
          </w:tcPr>
          <w:p w14:paraId="1E71DC9A" w14:textId="77777777" w:rsidR="00206365" w:rsidRDefault="00206365" w:rsidP="004A16B9">
            <w:pPr>
              <w:ind w:right="424"/>
              <w:rPr>
                <w:rFonts w:asciiTheme="minorHAnsi" w:hAnsiTheme="minorHAnsi" w:cstheme="minorHAnsi"/>
                <w:b/>
              </w:rPr>
            </w:pPr>
            <w:r>
              <w:rPr>
                <w:rFonts w:asciiTheme="minorHAnsi" w:hAnsiTheme="minorHAnsi" w:cstheme="minorHAnsi"/>
                <w:b/>
              </w:rPr>
              <w:t>ACT</w:t>
            </w:r>
          </w:p>
        </w:tc>
        <w:tc>
          <w:tcPr>
            <w:tcW w:w="1319" w:type="dxa"/>
          </w:tcPr>
          <w:p w14:paraId="1128D2AB" w14:textId="77777777" w:rsidR="00206365" w:rsidRPr="007632F9" w:rsidRDefault="00206365" w:rsidP="004A16B9">
            <w:pPr>
              <w:jc w:val="center"/>
            </w:pPr>
            <w:r w:rsidRPr="00FA3AA3">
              <w:rPr>
                <w:rFonts w:cstheme="minorHAnsi"/>
              </w:rPr>
              <w:t>–</w:t>
            </w:r>
          </w:p>
        </w:tc>
        <w:tc>
          <w:tcPr>
            <w:tcW w:w="1276" w:type="dxa"/>
          </w:tcPr>
          <w:p w14:paraId="6626B1FA" w14:textId="77777777" w:rsidR="00206365" w:rsidRPr="007632F9" w:rsidRDefault="00206365" w:rsidP="004A16B9">
            <w:pPr>
              <w:jc w:val="center"/>
            </w:pPr>
            <w:r w:rsidRPr="00FA3AA3">
              <w:rPr>
                <w:rFonts w:cstheme="minorHAnsi"/>
              </w:rPr>
              <w:t>–</w:t>
            </w:r>
          </w:p>
        </w:tc>
        <w:tc>
          <w:tcPr>
            <w:tcW w:w="1134" w:type="dxa"/>
          </w:tcPr>
          <w:p w14:paraId="7586A513" w14:textId="77777777" w:rsidR="00206365" w:rsidRPr="007632F9" w:rsidRDefault="00206365" w:rsidP="004A16B9">
            <w:pPr>
              <w:jc w:val="center"/>
            </w:pPr>
            <w:r w:rsidRPr="007632F9">
              <w:t>107</w:t>
            </w:r>
          </w:p>
        </w:tc>
        <w:tc>
          <w:tcPr>
            <w:tcW w:w="1701" w:type="dxa"/>
          </w:tcPr>
          <w:p w14:paraId="4977C143" w14:textId="77777777" w:rsidR="00206365" w:rsidRPr="007632F9" w:rsidRDefault="00206365" w:rsidP="004A16B9">
            <w:pPr>
              <w:jc w:val="center"/>
            </w:pPr>
            <w:r w:rsidRPr="007632F9">
              <w:t>25.1</w:t>
            </w:r>
          </w:p>
        </w:tc>
        <w:tc>
          <w:tcPr>
            <w:tcW w:w="3210" w:type="dxa"/>
          </w:tcPr>
          <w:p w14:paraId="123E0ED2" w14:textId="77777777" w:rsidR="00206365" w:rsidRPr="007632F9" w:rsidRDefault="00206365" w:rsidP="004A16B9">
            <w:pPr>
              <w:jc w:val="center"/>
            </w:pPr>
            <w:r w:rsidRPr="007632F9">
              <w:t>11</w:t>
            </w:r>
            <w:r>
              <w:t>,</w:t>
            </w:r>
            <w:r w:rsidRPr="007632F9">
              <w:t>737</w:t>
            </w:r>
            <w:r>
              <w:t xml:space="preserve"> (0.91)</w:t>
            </w:r>
          </w:p>
        </w:tc>
      </w:tr>
      <w:tr w:rsidR="00206365" w14:paraId="4D77F477" w14:textId="77777777" w:rsidTr="005C6A9B">
        <w:trPr>
          <w:trHeight w:val="382"/>
        </w:trPr>
        <w:tc>
          <w:tcPr>
            <w:tcW w:w="1800" w:type="dxa"/>
            <w:shd w:val="clear" w:color="auto" w:fill="FDE9D9" w:themeFill="accent6" w:themeFillTint="33"/>
            <w:vAlign w:val="center"/>
            <w:hideMark/>
          </w:tcPr>
          <w:p w14:paraId="1CC3B818" w14:textId="77777777" w:rsidR="00206365" w:rsidRDefault="00206365" w:rsidP="004A16B9">
            <w:pPr>
              <w:ind w:right="424"/>
              <w:rPr>
                <w:rFonts w:asciiTheme="minorHAnsi" w:hAnsiTheme="minorHAnsi" w:cstheme="minorHAnsi"/>
                <w:b/>
              </w:rPr>
            </w:pPr>
            <w:r>
              <w:rPr>
                <w:rFonts w:asciiTheme="minorHAnsi" w:hAnsiTheme="minorHAnsi" w:cstheme="minorHAnsi"/>
                <w:b/>
              </w:rPr>
              <w:t>Australia</w:t>
            </w:r>
          </w:p>
        </w:tc>
        <w:tc>
          <w:tcPr>
            <w:tcW w:w="1319" w:type="dxa"/>
            <w:shd w:val="clear" w:color="auto" w:fill="FDE9D9" w:themeFill="accent6" w:themeFillTint="33"/>
          </w:tcPr>
          <w:p w14:paraId="1B7A367B" w14:textId="77777777" w:rsidR="00206365" w:rsidRPr="007632F9" w:rsidRDefault="00206365" w:rsidP="004A16B9">
            <w:pPr>
              <w:jc w:val="center"/>
            </w:pPr>
            <w:r>
              <w:t>0.22</w:t>
            </w:r>
          </w:p>
        </w:tc>
        <w:tc>
          <w:tcPr>
            <w:tcW w:w="1276" w:type="dxa"/>
            <w:shd w:val="clear" w:color="auto" w:fill="FDE9D9" w:themeFill="accent6" w:themeFillTint="33"/>
          </w:tcPr>
          <w:p w14:paraId="3A88C448" w14:textId="77777777" w:rsidR="00206365" w:rsidRPr="007632F9" w:rsidRDefault="00206365" w:rsidP="004A16B9">
            <w:pPr>
              <w:jc w:val="center"/>
            </w:pPr>
            <w:r>
              <w:t>0.45</w:t>
            </w:r>
          </w:p>
        </w:tc>
        <w:tc>
          <w:tcPr>
            <w:tcW w:w="1134" w:type="dxa"/>
            <w:shd w:val="clear" w:color="auto" w:fill="FDE9D9" w:themeFill="accent6" w:themeFillTint="33"/>
          </w:tcPr>
          <w:p w14:paraId="2BDECF74" w14:textId="77777777" w:rsidR="00206365" w:rsidRPr="007632F9" w:rsidRDefault="00206365" w:rsidP="004A16B9">
            <w:pPr>
              <w:jc w:val="center"/>
            </w:pPr>
            <w:r w:rsidRPr="007632F9">
              <w:t>6,971</w:t>
            </w:r>
          </w:p>
        </w:tc>
        <w:tc>
          <w:tcPr>
            <w:tcW w:w="1701" w:type="dxa"/>
            <w:shd w:val="clear" w:color="auto" w:fill="FDE9D9" w:themeFill="accent6" w:themeFillTint="33"/>
          </w:tcPr>
          <w:p w14:paraId="1DC9720E" w14:textId="77777777" w:rsidR="00206365" w:rsidRPr="007632F9" w:rsidRDefault="00206365" w:rsidP="004A16B9">
            <w:pPr>
              <w:jc w:val="center"/>
            </w:pPr>
            <w:r w:rsidRPr="007632F9">
              <w:t>27.5</w:t>
            </w:r>
          </w:p>
        </w:tc>
        <w:tc>
          <w:tcPr>
            <w:tcW w:w="3210" w:type="dxa"/>
            <w:shd w:val="clear" w:color="auto" w:fill="FDE9D9" w:themeFill="accent6" w:themeFillTint="33"/>
          </w:tcPr>
          <w:p w14:paraId="54293F8D" w14:textId="77777777" w:rsidR="00206365" w:rsidRDefault="00206365" w:rsidP="004A16B9">
            <w:pPr>
              <w:jc w:val="center"/>
            </w:pPr>
            <w:r w:rsidRPr="007632F9">
              <w:t>827</w:t>
            </w:r>
            <w:r>
              <w:t>,</w:t>
            </w:r>
            <w:r w:rsidRPr="007632F9">
              <w:t>872</w:t>
            </w:r>
            <w:r>
              <w:t xml:space="preserve"> (0.84</w:t>
            </w:r>
            <w:r w:rsidRPr="007632F9">
              <w:t>)</w:t>
            </w:r>
          </w:p>
        </w:tc>
      </w:tr>
    </w:tbl>
    <w:p w14:paraId="089A0E2C" w14:textId="77777777" w:rsidR="00AE0DD3" w:rsidRDefault="00AE0DD3" w:rsidP="00AE0DD3">
      <w:pPr>
        <w:rPr>
          <w:color w:val="FF0000"/>
        </w:rPr>
      </w:pPr>
    </w:p>
    <w:p w14:paraId="191E67FB" w14:textId="77777777" w:rsidR="00AE0DD3" w:rsidRDefault="00AE0DD3" w:rsidP="00AE0DD3">
      <w:pPr>
        <w:spacing w:after="0"/>
        <w:rPr>
          <w:b/>
        </w:rPr>
        <w:sectPr w:rsidR="00AE0DD3" w:rsidSect="00980DDE">
          <w:footerReference w:type="default" r:id="rId10"/>
          <w:footerReference w:type="first" r:id="rId11"/>
          <w:footnotePr>
            <w:numFmt w:val="lowerRoman"/>
          </w:footnotePr>
          <w:pgSz w:w="11906" w:h="16838"/>
          <w:pgMar w:top="720" w:right="720" w:bottom="720" w:left="720" w:header="708" w:footer="708" w:gutter="0"/>
          <w:cols w:space="720"/>
          <w:docGrid w:linePitch="299"/>
        </w:sectPr>
      </w:pPr>
    </w:p>
    <w:p w14:paraId="3E87D24A" w14:textId="77777777" w:rsidR="00AE0DD3" w:rsidRDefault="00AE0DD3" w:rsidP="00AE0DD3">
      <w:pPr>
        <w:pStyle w:val="CDIFigures"/>
        <w:spacing w:before="0" w:beforeAutospacing="0" w:after="0" w:afterAutospacing="0" w:line="240" w:lineRule="auto"/>
        <w:rPr>
          <w:vertAlign w:val="superscript"/>
        </w:rPr>
      </w:pPr>
      <w:r>
        <w:lastRenderedPageBreak/>
        <w:t>Figure 1: Weekly COVID-19 new case notifications per 100,000 population, as at 10 May 2020, by jurisdiction</w:t>
      </w:r>
    </w:p>
    <w:p w14:paraId="7B9B2D02" w14:textId="72858E8C" w:rsidR="00AE0DD3" w:rsidRDefault="006A5591" w:rsidP="00AE0DD3">
      <w:pPr>
        <w:rPr>
          <w:color w:val="FF0000"/>
        </w:rPr>
      </w:pPr>
      <w:r>
        <w:rPr>
          <w:noProof/>
          <w:color w:val="FF0000"/>
        </w:rPr>
        <w:drawing>
          <wp:inline distT="0" distB="0" distL="0" distR="0" wp14:anchorId="08BA7FD5" wp14:editId="37F97BDA">
            <wp:extent cx="8948013" cy="5457825"/>
            <wp:effectExtent l="0" t="0" r="5715" b="0"/>
            <wp:docPr id="10" name="Picture 10" descr="Line graph showing weekly COVID-19 notifications per 100,000 population by jurisdiction, from 13 January 2020 to 10 May 2020. Weekly notifications in most jurisdictions (NSW, Victoria, Queensland, South Australia and the ACT) peaked during the week 16 to 22 March, with Western Australia and the NT peaking the following week; peak notifications for Tasmania occurred markedly later, during the week 6 to 12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sl_figures3.png"/>
                    <pic:cNvPicPr/>
                  </pic:nvPicPr>
                  <pic:blipFill rotWithShape="1">
                    <a:blip r:embed="rId12" cstate="print">
                      <a:extLst>
                        <a:ext uri="{28A0092B-C50C-407E-A947-70E740481C1C}">
                          <a14:useLocalDpi xmlns:a14="http://schemas.microsoft.com/office/drawing/2010/main" val="0"/>
                        </a:ext>
                      </a:extLst>
                    </a:blip>
                    <a:srcRect t="7755"/>
                    <a:stretch/>
                  </pic:blipFill>
                  <pic:spPr bwMode="auto">
                    <a:xfrm>
                      <a:off x="0" y="0"/>
                      <a:ext cx="8955827" cy="5462591"/>
                    </a:xfrm>
                    <a:prstGeom prst="rect">
                      <a:avLst/>
                    </a:prstGeom>
                    <a:ln>
                      <a:noFill/>
                    </a:ln>
                    <a:extLst>
                      <a:ext uri="{53640926-AAD7-44D8-BBD7-CCE9431645EC}">
                        <a14:shadowObscured xmlns:a14="http://schemas.microsoft.com/office/drawing/2010/main"/>
                      </a:ext>
                    </a:extLst>
                  </pic:spPr>
                </pic:pic>
              </a:graphicData>
            </a:graphic>
          </wp:inline>
        </w:drawing>
      </w:r>
    </w:p>
    <w:p w14:paraId="0B1A948D" w14:textId="77777777" w:rsidR="00AE0DD3" w:rsidRDefault="00AE0DD3" w:rsidP="00AE0DD3">
      <w:pPr>
        <w:spacing w:after="0"/>
        <w:rPr>
          <w:color w:val="FF0000"/>
        </w:rPr>
        <w:sectPr w:rsidR="00AE0DD3">
          <w:footnotePr>
            <w:numFmt w:val="lowerRoman"/>
          </w:footnotePr>
          <w:pgSz w:w="16838" w:h="11906" w:orient="landscape"/>
          <w:pgMar w:top="1440" w:right="1440" w:bottom="1440" w:left="1440" w:header="709" w:footer="709" w:gutter="0"/>
          <w:cols w:space="720"/>
        </w:sectPr>
      </w:pPr>
    </w:p>
    <w:bookmarkEnd w:id="0"/>
    <w:p w14:paraId="76EE5568" w14:textId="77777777" w:rsidR="00AE0DD3" w:rsidRDefault="00AE0DD3" w:rsidP="00AE0DD3">
      <w:pPr>
        <w:pStyle w:val="CDIFigures"/>
        <w:spacing w:before="0" w:beforeAutospacing="0" w:after="0" w:afterAutospacing="0" w:line="240" w:lineRule="auto"/>
        <w:rPr>
          <w:vertAlign w:val="superscript"/>
        </w:rPr>
      </w:pPr>
      <w:r>
        <w:lastRenderedPageBreak/>
        <w:t>Figure 2: Number of cumulative new confirmed cases of COVID-19, Australia, by location of usual residence and statistical area level 3 (SA3),</w:t>
      </w:r>
      <w:r>
        <w:rPr>
          <w:vertAlign w:val="superscript"/>
        </w:rPr>
        <w:t>a</w:t>
      </w:r>
      <w:r>
        <w:t xml:space="preserve"> 7 day heat maps for the four most recent weekly reporting periods</w:t>
      </w:r>
      <w:r>
        <w:rPr>
          <w:vertAlign w:val="superscript"/>
        </w:rPr>
        <w:t>b</w:t>
      </w:r>
    </w:p>
    <w:p w14:paraId="304F78A2" w14:textId="77777777" w:rsidR="00AE0DD3" w:rsidRDefault="00AE0DD3" w:rsidP="00AE0DD3">
      <w:pPr>
        <w:pStyle w:val="CDIFigures"/>
        <w:spacing w:after="0" w:afterAutospacing="0"/>
        <w:jc w:val="center"/>
        <w:rPr>
          <w:vertAlign w:val="superscript"/>
        </w:rPr>
      </w:pPr>
      <w:r>
        <w:rPr>
          <w:noProof/>
          <w:vertAlign w:val="superscript"/>
        </w:rPr>
        <w:drawing>
          <wp:inline distT="0" distB="0" distL="0" distR="0" wp14:anchorId="66278E61" wp14:editId="1A9CC045">
            <wp:extent cx="6419850" cy="4392982"/>
            <wp:effectExtent l="0" t="0" r="0" b="7620"/>
            <wp:docPr id="2" name="Picture 2" descr="Heat maps of Australia showing the location of residence, aggregated at Statistical Area Level 3, of confirmed cases of COVID-19 notified between 4 and 10 May 2020, as well as during the three most recent previous weeks.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ustralia Compare - 4 weeks.jpg"/>
                    <pic:cNvPicPr/>
                  </pic:nvPicPr>
                  <pic:blipFill rotWithShape="1">
                    <a:blip r:embed="rId13" cstate="print">
                      <a:extLst>
                        <a:ext uri="{28A0092B-C50C-407E-A947-70E740481C1C}">
                          <a14:useLocalDpi xmlns:a14="http://schemas.microsoft.com/office/drawing/2010/main" val="0"/>
                        </a:ext>
                      </a:extLst>
                    </a:blip>
                    <a:srcRect t="1753" b="1455"/>
                    <a:stretch/>
                  </pic:blipFill>
                  <pic:spPr bwMode="auto">
                    <a:xfrm>
                      <a:off x="0" y="0"/>
                      <a:ext cx="6436307" cy="4404243"/>
                    </a:xfrm>
                    <a:prstGeom prst="rect">
                      <a:avLst/>
                    </a:prstGeom>
                    <a:ln>
                      <a:noFill/>
                    </a:ln>
                    <a:extLst>
                      <a:ext uri="{53640926-AAD7-44D8-BBD7-CCE9431645EC}">
                        <a14:shadowObscured xmlns:a14="http://schemas.microsoft.com/office/drawing/2010/main"/>
                      </a:ext>
                    </a:extLst>
                  </pic:spPr>
                </pic:pic>
              </a:graphicData>
            </a:graphic>
          </wp:inline>
        </w:drawing>
      </w:r>
    </w:p>
    <w:p w14:paraId="73D3B072" w14:textId="77777777" w:rsidR="00AE0DD3" w:rsidRDefault="00AE0DD3" w:rsidP="00AE0DD3">
      <w:pPr>
        <w:pStyle w:val="CDIfootnotes"/>
        <w:rPr>
          <w:b/>
        </w:rPr>
      </w:pPr>
      <w:r>
        <w:t>a</w:t>
      </w:r>
      <w:r>
        <w:tab/>
        <w:t>Represents the usual location of residence of a case, which does not necessarily mean that this is the place where they acquired their infection or were diagnosed. Overseas residents who do not have a usual place of residence in Australia are not shown.</w:t>
      </w:r>
    </w:p>
    <w:p w14:paraId="1B24FE33" w14:textId="77777777" w:rsidR="00AE0DD3" w:rsidRDefault="00AE0DD3" w:rsidP="00AE0DD3">
      <w:pPr>
        <w:pStyle w:val="CDIfootnotes"/>
        <w:rPr>
          <w:b/>
        </w:rPr>
      </w:pPr>
      <w:r>
        <w:t>b</w:t>
      </w:r>
      <w:r>
        <w:tab/>
        <w:t>Based on diagnosis date from NNDSS reporting period up to 23:59 AEST 10 May 2020.</w:t>
      </w:r>
    </w:p>
    <w:p w14:paraId="7538BCDF" w14:textId="77777777" w:rsidR="00AE0DD3" w:rsidRDefault="00AE0DD3" w:rsidP="00AE0DD3">
      <w:pPr>
        <w:spacing w:after="0"/>
        <w:rPr>
          <w:b/>
        </w:rPr>
        <w:sectPr w:rsidR="00AE0DD3">
          <w:footnotePr>
            <w:numFmt w:val="lowerRoman"/>
          </w:footnotePr>
          <w:pgSz w:w="16838" w:h="11906" w:orient="landscape"/>
          <w:pgMar w:top="1440" w:right="1440" w:bottom="1440" w:left="1440" w:header="709" w:footer="709" w:gutter="0"/>
          <w:cols w:space="720"/>
        </w:sectPr>
      </w:pPr>
    </w:p>
    <w:p w14:paraId="1CB2A8C1" w14:textId="4413D176" w:rsidR="00AE0DD3" w:rsidRDefault="00AE0DD3" w:rsidP="00AE0DD3">
      <w:pPr>
        <w:pStyle w:val="CDIFigures"/>
        <w:spacing w:after="0" w:afterAutospacing="0"/>
        <w:rPr>
          <w:vertAlign w:val="superscript"/>
        </w:rPr>
      </w:pPr>
      <w:r>
        <w:lastRenderedPageBreak/>
        <w:t>Figure 3</w:t>
      </w:r>
      <w:r w:rsidR="00215BBB">
        <w:t>:</w:t>
      </w:r>
      <w:r>
        <w:t xml:space="preserve"> Number of cumulative new confirmed cases of COVID-19, Australia, by location of usual residence and selected areas,</w:t>
      </w:r>
      <w:r>
        <w:rPr>
          <w:vertAlign w:val="superscript"/>
        </w:rPr>
        <w:t>a</w:t>
      </w:r>
      <w:r>
        <w:t xml:space="preserve"> 7 day heat maps for the four most recent weekly reporting periods</w:t>
      </w:r>
      <w:r>
        <w:rPr>
          <w:vertAlign w:val="superscript"/>
        </w:rPr>
        <w:t>b</w:t>
      </w:r>
    </w:p>
    <w:p w14:paraId="0D00C3C4" w14:textId="77777777" w:rsidR="00AE0DD3" w:rsidRDefault="00AE0DD3" w:rsidP="00A32295">
      <w:pPr>
        <w:pStyle w:val="CDIFigures"/>
        <w:spacing w:line="240" w:lineRule="auto"/>
        <w:jc w:val="center"/>
      </w:pPr>
      <w:r>
        <w:rPr>
          <w:noProof/>
        </w:rPr>
        <w:drawing>
          <wp:inline distT="0" distB="0" distL="0" distR="0" wp14:anchorId="6228A873" wp14:editId="2B38D3BD">
            <wp:extent cx="5705475" cy="7857662"/>
            <wp:effectExtent l="0" t="0" r="0" b="0"/>
            <wp:docPr id="13" name="Picture 13" descr="Heat maps of Sydney, Melbourne, Brisbane, Perth, Adelaide and Tasmania showing the location of residence, aggregated at Statistical Area Level 3, of confirmed cases of COVID-19 notified between 4 and 10 May 2020, as well as during the three most recent previous weeks. Outbreaks in north-western Tasmania and western Sydney have both ebbed in the current reporting week.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ties Compare - 4 weeks.jpg"/>
                    <pic:cNvPicPr/>
                  </pic:nvPicPr>
                  <pic:blipFill rotWithShape="1">
                    <a:blip r:embed="rId14" cstate="print">
                      <a:extLst>
                        <a:ext uri="{28A0092B-C50C-407E-A947-70E740481C1C}">
                          <a14:useLocalDpi xmlns:a14="http://schemas.microsoft.com/office/drawing/2010/main" val="0"/>
                        </a:ext>
                      </a:extLst>
                    </a:blip>
                    <a:srcRect t="1619" b="1031"/>
                    <a:stretch/>
                  </pic:blipFill>
                  <pic:spPr bwMode="auto">
                    <a:xfrm>
                      <a:off x="0" y="0"/>
                      <a:ext cx="5712698" cy="7867609"/>
                    </a:xfrm>
                    <a:prstGeom prst="rect">
                      <a:avLst/>
                    </a:prstGeom>
                    <a:ln>
                      <a:noFill/>
                    </a:ln>
                    <a:extLst>
                      <a:ext uri="{53640926-AAD7-44D8-BBD7-CCE9431645EC}">
                        <a14:shadowObscured xmlns:a14="http://schemas.microsoft.com/office/drawing/2010/main"/>
                      </a:ext>
                    </a:extLst>
                  </pic:spPr>
                </pic:pic>
              </a:graphicData>
            </a:graphic>
          </wp:inline>
        </w:drawing>
      </w:r>
    </w:p>
    <w:p w14:paraId="7162ECE6" w14:textId="77777777" w:rsidR="00AE0DD3" w:rsidRPr="00331EAA" w:rsidRDefault="00AE0DD3" w:rsidP="00331EAA">
      <w:pPr>
        <w:pStyle w:val="CDIfootnotes"/>
      </w:pPr>
      <w:r w:rsidRPr="00331EAA">
        <w:t>a</w:t>
      </w:r>
      <w:r w:rsidRPr="00331EAA">
        <w:tab/>
        <w:t>Represents the usual location of residence of a case, which does not necessarily mean that this is the place where they acquired their infection or were diagnosed. Overseas residents who do not have a usual place of residence in Australia are not shown.</w:t>
      </w:r>
    </w:p>
    <w:p w14:paraId="7B272452" w14:textId="77777777" w:rsidR="00AE0DD3" w:rsidRPr="00331EAA" w:rsidRDefault="00AE0DD3" w:rsidP="00331EAA">
      <w:pPr>
        <w:pStyle w:val="CDIfootnotes"/>
      </w:pPr>
      <w:r w:rsidRPr="00331EAA">
        <w:t>b</w:t>
      </w:r>
      <w:r w:rsidRPr="00331EAA">
        <w:tab/>
        <w:t>Based on diagnosis date from NNDSS reporting period up to 23:59 AEST 10 May 2020.</w:t>
      </w:r>
    </w:p>
    <w:p w14:paraId="004E7D03" w14:textId="77777777" w:rsidR="00F01B35" w:rsidRPr="00331EAA" w:rsidRDefault="00F01B35" w:rsidP="00331EAA">
      <w:pPr>
        <w:pStyle w:val="Heading2"/>
      </w:pPr>
      <w:r w:rsidRPr="00331EAA">
        <w:lastRenderedPageBreak/>
        <w:t>Aboriginal and Torres Strait Islander persons</w:t>
      </w:r>
    </w:p>
    <w:p w14:paraId="5E1E93C3" w14:textId="77777777" w:rsidR="00F01B35" w:rsidRPr="00702299" w:rsidRDefault="00F01B35" w:rsidP="00331EAA">
      <w:r w:rsidRPr="00702299">
        <w:t>Fifty-nine cases (0.8%) have been reported in Aboriginal and Torres Strait Islander persons since the start of the epidemic in Australia. These cases were reported across several jurisdictions, with the majority reported in areas classified as ‘Major cities of Australia’ based on the case’s usual place of residence (Table 2). No cases among Aboriginal and Torres Strait Islander persons have been notified from remote or very remote areas of Australia.</w:t>
      </w:r>
    </w:p>
    <w:p w14:paraId="5617781B" w14:textId="77777777" w:rsidR="00F01B35" w:rsidRPr="00702299" w:rsidRDefault="00F01B35" w:rsidP="00331EAA">
      <w:r w:rsidRPr="00702299">
        <w:t>Across all Australian cases, completeness of the Indigenous status field was approximately 95%.</w:t>
      </w:r>
    </w:p>
    <w:p w14:paraId="5D678AFC" w14:textId="7B051DB0" w:rsidR="00F01B35" w:rsidRPr="001D3534" w:rsidRDefault="00F01B35" w:rsidP="00F01B35">
      <w:pPr>
        <w:pStyle w:val="CDIFigures"/>
        <w:rPr>
          <w:color w:val="000000" w:themeColor="text1"/>
        </w:rPr>
      </w:pPr>
      <w:r w:rsidRPr="001D3534">
        <w:rPr>
          <w:color w:val="000000" w:themeColor="text1"/>
        </w:rPr>
        <w:t xml:space="preserve">Table </w:t>
      </w:r>
      <w:r>
        <w:rPr>
          <w:color w:val="000000" w:themeColor="text1"/>
        </w:rPr>
        <w:t>2</w:t>
      </w:r>
      <w:r w:rsidRPr="001D3534">
        <w:rPr>
          <w:color w:val="000000" w:themeColor="text1"/>
        </w:rPr>
        <w:t>: COVID-19 cases</w:t>
      </w:r>
      <w:r w:rsidR="00502325">
        <w:rPr>
          <w:color w:val="000000" w:themeColor="text1"/>
        </w:rPr>
        <w:t>, Australia,</w:t>
      </w:r>
      <w:r w:rsidRPr="001D3534">
        <w:rPr>
          <w:color w:val="000000" w:themeColor="text1"/>
        </w:rPr>
        <w:t xml:space="preserve"> notified among persons by remoteness classification</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Table 2 shows the notifications among Aboriginal and Torres Strait Islander people, as well as among all persons within Australia, by remoteness classification. There have been 59 notifications in Aboriginal and Torres Strait Islander people. Nationwide, most notifications among Aboriginal and Torres Strait Islander people have occurred within major cities of Australia (39 cases) rather than in inner regional Australia (13 cases) or outer regional Australia (7 cases). A similar pattern holds among all persons within Australia. Of 37 cases within remote or very remote Australia, none are among Aboriginal and Torres Strait Islander persons.&#10;"/>
      </w:tblPr>
      <w:tblGrid>
        <w:gridCol w:w="2689"/>
        <w:gridCol w:w="1477"/>
        <w:gridCol w:w="1477"/>
        <w:gridCol w:w="1477"/>
        <w:gridCol w:w="1477"/>
        <w:gridCol w:w="1478"/>
      </w:tblGrid>
      <w:tr w:rsidR="00F01B35" w:rsidRPr="00624836" w14:paraId="0D19F257" w14:textId="77777777" w:rsidTr="006370C8">
        <w:trPr>
          <w:cnfStyle w:val="100000000000" w:firstRow="1" w:lastRow="0" w:firstColumn="0" w:lastColumn="0" w:oddVBand="0" w:evenVBand="0" w:oddHBand="0" w:evenHBand="0" w:firstRowFirstColumn="0" w:firstRowLastColumn="0" w:lastRowFirstColumn="0" w:lastRowLastColumn="0"/>
          <w:tblHeader/>
        </w:trPr>
        <w:tc>
          <w:tcPr>
            <w:tcW w:w="2689" w:type="dxa"/>
            <w:tcBorders>
              <w:bottom w:val="nil"/>
              <w:right w:val="single" w:sz="2" w:space="0" w:color="FFFFFF" w:themeColor="background1"/>
            </w:tcBorders>
          </w:tcPr>
          <w:p w14:paraId="684BC3F4" w14:textId="77777777" w:rsidR="00F01B35" w:rsidRPr="003A3BF8" w:rsidRDefault="00F01B35" w:rsidP="004B572A">
            <w:pPr>
              <w:jc w:val="center"/>
              <w:rPr>
                <w:rFonts w:cstheme="minorHAnsi"/>
                <w:color w:val="FFFFFF" w:themeColor="background1"/>
              </w:rPr>
            </w:pPr>
            <w:r w:rsidRPr="003A3BF8">
              <w:rPr>
                <w:rFonts w:cstheme="minorHAnsi"/>
                <w:color w:val="FFFFFF" w:themeColor="background1"/>
              </w:rPr>
              <w:t>Population</w:t>
            </w:r>
          </w:p>
        </w:tc>
        <w:tc>
          <w:tcPr>
            <w:tcW w:w="1477" w:type="dxa"/>
            <w:tcBorders>
              <w:left w:val="single" w:sz="2" w:space="0" w:color="FFFFFF" w:themeColor="background1"/>
              <w:bottom w:val="nil"/>
              <w:right w:val="single" w:sz="2" w:space="0" w:color="FFFFFF" w:themeColor="background1"/>
            </w:tcBorders>
          </w:tcPr>
          <w:p w14:paraId="3DA962C0" w14:textId="77777777" w:rsidR="00F01B35" w:rsidRDefault="00F01B35" w:rsidP="004B572A">
            <w:pPr>
              <w:jc w:val="center"/>
              <w:rPr>
                <w:rFonts w:cstheme="minorHAnsi"/>
                <w:color w:val="FFFFFF" w:themeColor="background1"/>
              </w:rPr>
            </w:pPr>
            <w:r>
              <w:rPr>
                <w:rFonts w:cstheme="minorHAnsi"/>
                <w:color w:val="FFFFFF" w:themeColor="background1"/>
              </w:rPr>
              <w:t>Major cities of Australia</w:t>
            </w:r>
          </w:p>
        </w:tc>
        <w:tc>
          <w:tcPr>
            <w:tcW w:w="1477" w:type="dxa"/>
            <w:tcBorders>
              <w:left w:val="single" w:sz="2" w:space="0" w:color="FFFFFF" w:themeColor="background1"/>
              <w:bottom w:val="nil"/>
              <w:right w:val="single" w:sz="2" w:space="0" w:color="FFFFFF" w:themeColor="background1"/>
            </w:tcBorders>
          </w:tcPr>
          <w:p w14:paraId="263E23F0" w14:textId="77777777" w:rsidR="00F01B35" w:rsidRPr="00624836" w:rsidRDefault="00F01B35" w:rsidP="004B572A">
            <w:pPr>
              <w:jc w:val="center"/>
              <w:rPr>
                <w:rFonts w:cstheme="minorHAnsi"/>
                <w:b w:val="0"/>
                <w:color w:val="FFFFFF" w:themeColor="background1"/>
              </w:rPr>
            </w:pPr>
            <w:r>
              <w:rPr>
                <w:rFonts w:cstheme="minorHAnsi"/>
                <w:color w:val="FFFFFF" w:themeColor="background1"/>
              </w:rPr>
              <w:t>Inner regional Australia</w:t>
            </w:r>
          </w:p>
        </w:tc>
        <w:tc>
          <w:tcPr>
            <w:tcW w:w="1477" w:type="dxa"/>
            <w:tcBorders>
              <w:left w:val="single" w:sz="2" w:space="0" w:color="FFFFFF" w:themeColor="background1"/>
              <w:bottom w:val="nil"/>
              <w:right w:val="single" w:sz="2" w:space="0" w:color="FFFFFF" w:themeColor="background1"/>
            </w:tcBorders>
          </w:tcPr>
          <w:p w14:paraId="38F56CE7" w14:textId="77777777" w:rsidR="00F01B35" w:rsidRPr="00624836" w:rsidRDefault="00F01B35" w:rsidP="004B572A">
            <w:pPr>
              <w:jc w:val="center"/>
              <w:rPr>
                <w:rFonts w:cstheme="minorHAnsi"/>
                <w:b w:val="0"/>
                <w:color w:val="FFFFFF" w:themeColor="background1"/>
              </w:rPr>
            </w:pPr>
            <w:r>
              <w:rPr>
                <w:rFonts w:cstheme="minorHAnsi"/>
                <w:color w:val="FFFFFF" w:themeColor="background1"/>
              </w:rPr>
              <w:t>Outer regional Australia</w:t>
            </w:r>
          </w:p>
        </w:tc>
        <w:tc>
          <w:tcPr>
            <w:tcW w:w="1477" w:type="dxa"/>
            <w:tcBorders>
              <w:left w:val="single" w:sz="2" w:space="0" w:color="FFFFFF" w:themeColor="background1"/>
              <w:bottom w:val="nil"/>
              <w:right w:val="single" w:sz="2" w:space="0" w:color="FFFFFF" w:themeColor="background1"/>
            </w:tcBorders>
          </w:tcPr>
          <w:p w14:paraId="3A5FB508" w14:textId="77777777" w:rsidR="00F01B35" w:rsidRDefault="00F01B35" w:rsidP="004B572A">
            <w:pPr>
              <w:jc w:val="center"/>
              <w:rPr>
                <w:rFonts w:cstheme="minorHAnsi"/>
                <w:color w:val="FFFFFF" w:themeColor="background1"/>
              </w:rPr>
            </w:pPr>
            <w:r w:rsidRPr="000E0243">
              <w:rPr>
                <w:rFonts w:cstheme="minorHAnsi"/>
                <w:color w:val="FFFFFF" w:themeColor="background1"/>
              </w:rPr>
              <w:t>Remote/</w:t>
            </w:r>
            <w:r>
              <w:rPr>
                <w:rFonts w:cstheme="minorHAnsi"/>
                <w:color w:val="FFFFFF" w:themeColor="background1"/>
              </w:rPr>
              <w:t>v</w:t>
            </w:r>
            <w:r w:rsidRPr="000E0243">
              <w:rPr>
                <w:rFonts w:cstheme="minorHAnsi"/>
                <w:color w:val="FFFFFF" w:themeColor="background1"/>
              </w:rPr>
              <w:t xml:space="preserve">ery </w:t>
            </w:r>
            <w:r>
              <w:rPr>
                <w:rFonts w:cstheme="minorHAnsi"/>
                <w:color w:val="FFFFFF" w:themeColor="background1"/>
              </w:rPr>
              <w:t>r</w:t>
            </w:r>
            <w:r w:rsidRPr="000E0243">
              <w:rPr>
                <w:rFonts w:cstheme="minorHAnsi"/>
                <w:color w:val="FFFFFF" w:themeColor="background1"/>
              </w:rPr>
              <w:t>emote Australia</w:t>
            </w:r>
          </w:p>
        </w:tc>
        <w:tc>
          <w:tcPr>
            <w:tcW w:w="1478" w:type="dxa"/>
            <w:tcBorders>
              <w:left w:val="single" w:sz="2" w:space="0" w:color="FFFFFF" w:themeColor="background1"/>
              <w:bottom w:val="nil"/>
            </w:tcBorders>
          </w:tcPr>
          <w:p w14:paraId="04B0C8F4" w14:textId="77777777" w:rsidR="00F01B35" w:rsidRDefault="00F01B35" w:rsidP="004B572A">
            <w:pPr>
              <w:jc w:val="center"/>
              <w:rPr>
                <w:rFonts w:cstheme="minorHAnsi"/>
                <w:color w:val="FFFFFF" w:themeColor="background1"/>
              </w:rPr>
            </w:pPr>
            <w:r>
              <w:rPr>
                <w:rFonts w:cstheme="minorHAnsi"/>
                <w:color w:val="FFFFFF" w:themeColor="background1"/>
              </w:rPr>
              <w:t>Total</w:t>
            </w:r>
          </w:p>
        </w:tc>
      </w:tr>
      <w:tr w:rsidR="00331EAA" w:rsidRPr="00331EAA" w14:paraId="7C8FB243" w14:textId="77777777" w:rsidTr="007E3E37">
        <w:trPr>
          <w:trHeight w:val="397"/>
        </w:trPr>
        <w:tc>
          <w:tcPr>
            <w:tcW w:w="2689" w:type="dxa"/>
            <w:tcBorders>
              <w:top w:val="nil"/>
              <w:left w:val="nil"/>
              <w:bottom w:val="nil"/>
              <w:right w:val="nil"/>
            </w:tcBorders>
            <w:shd w:val="clear" w:color="auto" w:fill="FFFFFF" w:themeFill="background1"/>
            <w:vAlign w:val="center"/>
          </w:tcPr>
          <w:p w14:paraId="3772A1D6" w14:textId="77777777" w:rsidR="00F01B35" w:rsidRPr="00331EAA" w:rsidRDefault="00F01B35" w:rsidP="004B572A">
            <w:pPr>
              <w:rPr>
                <w:rFonts w:cstheme="minorHAnsi"/>
              </w:rPr>
            </w:pPr>
            <w:r w:rsidRPr="00331EAA">
              <w:t>Aboriginal and Torres Strait Islander persons</w:t>
            </w:r>
          </w:p>
        </w:tc>
        <w:tc>
          <w:tcPr>
            <w:tcW w:w="1477" w:type="dxa"/>
            <w:tcBorders>
              <w:top w:val="nil"/>
              <w:left w:val="nil"/>
              <w:bottom w:val="nil"/>
              <w:right w:val="nil"/>
            </w:tcBorders>
            <w:shd w:val="clear" w:color="auto" w:fill="FFFFFF" w:themeFill="background1"/>
            <w:vAlign w:val="center"/>
          </w:tcPr>
          <w:p w14:paraId="43B76B5B" w14:textId="77777777" w:rsidR="00F01B35" w:rsidRPr="00331EAA" w:rsidRDefault="00F01B35" w:rsidP="004B572A">
            <w:pPr>
              <w:jc w:val="center"/>
              <w:rPr>
                <w:rFonts w:cstheme="minorHAnsi"/>
              </w:rPr>
            </w:pPr>
            <w:r w:rsidRPr="00331EAA">
              <w:rPr>
                <w:rFonts w:cstheme="minorHAnsi"/>
              </w:rPr>
              <w:t>39</w:t>
            </w:r>
          </w:p>
        </w:tc>
        <w:tc>
          <w:tcPr>
            <w:tcW w:w="1477" w:type="dxa"/>
            <w:tcBorders>
              <w:top w:val="nil"/>
              <w:left w:val="nil"/>
              <w:bottom w:val="nil"/>
              <w:right w:val="nil"/>
            </w:tcBorders>
            <w:shd w:val="clear" w:color="auto" w:fill="FFFFFF" w:themeFill="background1"/>
            <w:vAlign w:val="center"/>
          </w:tcPr>
          <w:p w14:paraId="6E9E4903" w14:textId="77777777" w:rsidR="00F01B35" w:rsidRPr="00331EAA" w:rsidRDefault="00F01B35" w:rsidP="004B572A">
            <w:pPr>
              <w:jc w:val="center"/>
              <w:rPr>
                <w:rFonts w:cstheme="minorHAnsi"/>
              </w:rPr>
            </w:pPr>
            <w:r w:rsidRPr="00331EAA">
              <w:rPr>
                <w:rFonts w:cstheme="minorHAnsi"/>
              </w:rPr>
              <w:t>13</w:t>
            </w:r>
          </w:p>
        </w:tc>
        <w:tc>
          <w:tcPr>
            <w:tcW w:w="1477" w:type="dxa"/>
            <w:tcBorders>
              <w:top w:val="nil"/>
              <w:left w:val="nil"/>
              <w:bottom w:val="nil"/>
              <w:right w:val="nil"/>
            </w:tcBorders>
            <w:shd w:val="clear" w:color="auto" w:fill="FFFFFF" w:themeFill="background1"/>
            <w:vAlign w:val="center"/>
          </w:tcPr>
          <w:p w14:paraId="4963F8D1" w14:textId="77777777" w:rsidR="00F01B35" w:rsidRPr="00331EAA" w:rsidRDefault="00F01B35" w:rsidP="004B572A">
            <w:pPr>
              <w:jc w:val="center"/>
              <w:rPr>
                <w:rFonts w:cstheme="minorHAnsi"/>
              </w:rPr>
            </w:pPr>
            <w:r w:rsidRPr="00331EAA">
              <w:rPr>
                <w:rFonts w:cstheme="minorHAnsi"/>
              </w:rPr>
              <w:t>7</w:t>
            </w:r>
          </w:p>
        </w:tc>
        <w:tc>
          <w:tcPr>
            <w:tcW w:w="1477" w:type="dxa"/>
            <w:tcBorders>
              <w:top w:val="nil"/>
              <w:left w:val="nil"/>
              <w:bottom w:val="nil"/>
              <w:right w:val="nil"/>
            </w:tcBorders>
            <w:shd w:val="clear" w:color="auto" w:fill="FFFFFF" w:themeFill="background1"/>
            <w:vAlign w:val="center"/>
          </w:tcPr>
          <w:p w14:paraId="1B4D462A" w14:textId="77777777" w:rsidR="00F01B35" w:rsidRPr="00331EAA" w:rsidRDefault="00F01B35" w:rsidP="004B572A">
            <w:pPr>
              <w:jc w:val="center"/>
              <w:rPr>
                <w:rFonts w:cstheme="minorHAnsi"/>
              </w:rPr>
            </w:pPr>
            <w:r w:rsidRPr="00331EAA">
              <w:rPr>
                <w:rFonts w:cstheme="minorHAnsi"/>
              </w:rPr>
              <w:t>0</w:t>
            </w:r>
          </w:p>
        </w:tc>
        <w:tc>
          <w:tcPr>
            <w:tcW w:w="1478" w:type="dxa"/>
            <w:tcBorders>
              <w:top w:val="nil"/>
              <w:left w:val="nil"/>
              <w:bottom w:val="nil"/>
              <w:right w:val="nil"/>
            </w:tcBorders>
            <w:shd w:val="clear" w:color="auto" w:fill="FFFFFF" w:themeFill="background1"/>
            <w:vAlign w:val="center"/>
          </w:tcPr>
          <w:p w14:paraId="7E8983BC" w14:textId="77777777" w:rsidR="00F01B35" w:rsidRPr="00331EAA" w:rsidRDefault="00F01B35" w:rsidP="004B572A">
            <w:pPr>
              <w:jc w:val="center"/>
              <w:rPr>
                <w:rFonts w:cstheme="minorHAnsi"/>
              </w:rPr>
            </w:pPr>
            <w:r w:rsidRPr="00331EAA">
              <w:rPr>
                <w:rFonts w:cstheme="minorHAnsi"/>
              </w:rPr>
              <w:t>59</w:t>
            </w:r>
          </w:p>
        </w:tc>
      </w:tr>
      <w:tr w:rsidR="00331EAA" w:rsidRPr="00331EAA" w14:paraId="02755DA8" w14:textId="77777777" w:rsidTr="007E3E37">
        <w:trPr>
          <w:cnfStyle w:val="000000010000" w:firstRow="0" w:lastRow="0" w:firstColumn="0" w:lastColumn="0" w:oddVBand="0" w:evenVBand="0" w:oddHBand="0" w:evenHBand="1" w:firstRowFirstColumn="0" w:firstRowLastColumn="0" w:lastRowFirstColumn="0" w:lastRowLastColumn="0"/>
          <w:trHeight w:val="397"/>
        </w:trPr>
        <w:tc>
          <w:tcPr>
            <w:tcW w:w="2689" w:type="dxa"/>
            <w:tcBorders>
              <w:top w:val="nil"/>
              <w:left w:val="nil"/>
              <w:bottom w:val="nil"/>
              <w:right w:val="nil"/>
            </w:tcBorders>
            <w:vAlign w:val="center"/>
          </w:tcPr>
          <w:p w14:paraId="2FB6B4FE" w14:textId="77777777" w:rsidR="00F01B35" w:rsidRPr="00331EAA" w:rsidRDefault="00F01B35" w:rsidP="004B572A">
            <w:pPr>
              <w:rPr>
                <w:rFonts w:cstheme="minorHAnsi"/>
              </w:rPr>
            </w:pPr>
            <w:r w:rsidRPr="00331EAA">
              <w:rPr>
                <w:rFonts w:cstheme="minorHAnsi"/>
              </w:rPr>
              <w:t>All persons</w:t>
            </w:r>
          </w:p>
        </w:tc>
        <w:tc>
          <w:tcPr>
            <w:tcW w:w="1477" w:type="dxa"/>
            <w:tcBorders>
              <w:top w:val="nil"/>
              <w:left w:val="nil"/>
              <w:bottom w:val="nil"/>
              <w:right w:val="nil"/>
            </w:tcBorders>
            <w:vAlign w:val="center"/>
          </w:tcPr>
          <w:p w14:paraId="0F4A4978" w14:textId="77777777" w:rsidR="00F01B35" w:rsidRPr="00331EAA" w:rsidRDefault="00F01B35" w:rsidP="004B572A">
            <w:pPr>
              <w:jc w:val="center"/>
              <w:rPr>
                <w:rFonts w:cstheme="minorHAnsi"/>
              </w:rPr>
            </w:pPr>
            <w:r w:rsidRPr="00331EAA">
              <w:rPr>
                <w:rFonts w:cstheme="minorHAnsi"/>
              </w:rPr>
              <w:t>5,437</w:t>
            </w:r>
          </w:p>
        </w:tc>
        <w:tc>
          <w:tcPr>
            <w:tcW w:w="1477" w:type="dxa"/>
            <w:tcBorders>
              <w:top w:val="nil"/>
              <w:left w:val="nil"/>
              <w:bottom w:val="nil"/>
              <w:right w:val="nil"/>
            </w:tcBorders>
            <w:vAlign w:val="center"/>
          </w:tcPr>
          <w:p w14:paraId="2FF1483A" w14:textId="77777777" w:rsidR="00F01B35" w:rsidRPr="00331EAA" w:rsidRDefault="00F01B35" w:rsidP="004B572A">
            <w:pPr>
              <w:jc w:val="center"/>
              <w:rPr>
                <w:rFonts w:cstheme="minorHAnsi"/>
              </w:rPr>
            </w:pPr>
            <w:r w:rsidRPr="00331EAA">
              <w:rPr>
                <w:rFonts w:cstheme="minorHAnsi"/>
              </w:rPr>
              <w:t>829</w:t>
            </w:r>
          </w:p>
        </w:tc>
        <w:tc>
          <w:tcPr>
            <w:tcW w:w="1477" w:type="dxa"/>
            <w:tcBorders>
              <w:top w:val="nil"/>
              <w:left w:val="nil"/>
              <w:bottom w:val="nil"/>
              <w:right w:val="nil"/>
            </w:tcBorders>
            <w:vAlign w:val="center"/>
          </w:tcPr>
          <w:p w14:paraId="566CA56C" w14:textId="77777777" w:rsidR="00F01B35" w:rsidRPr="00331EAA" w:rsidRDefault="00F01B35" w:rsidP="004B572A">
            <w:pPr>
              <w:jc w:val="center"/>
              <w:rPr>
                <w:rFonts w:cstheme="minorHAnsi"/>
              </w:rPr>
            </w:pPr>
            <w:r w:rsidRPr="00331EAA">
              <w:rPr>
                <w:rFonts w:cstheme="minorHAnsi"/>
              </w:rPr>
              <w:t>380</w:t>
            </w:r>
          </w:p>
        </w:tc>
        <w:tc>
          <w:tcPr>
            <w:tcW w:w="1477" w:type="dxa"/>
            <w:tcBorders>
              <w:top w:val="nil"/>
              <w:left w:val="nil"/>
              <w:bottom w:val="nil"/>
              <w:right w:val="nil"/>
            </w:tcBorders>
            <w:vAlign w:val="center"/>
          </w:tcPr>
          <w:p w14:paraId="2112FD99" w14:textId="77777777" w:rsidR="00F01B35" w:rsidRPr="00331EAA" w:rsidRDefault="00F01B35" w:rsidP="004B572A">
            <w:pPr>
              <w:jc w:val="center"/>
              <w:rPr>
                <w:rFonts w:cstheme="minorHAnsi"/>
              </w:rPr>
            </w:pPr>
            <w:r w:rsidRPr="00331EAA">
              <w:rPr>
                <w:rFonts w:cstheme="minorHAnsi"/>
              </w:rPr>
              <w:t>37</w:t>
            </w:r>
          </w:p>
        </w:tc>
        <w:tc>
          <w:tcPr>
            <w:tcW w:w="1478" w:type="dxa"/>
            <w:tcBorders>
              <w:top w:val="nil"/>
              <w:left w:val="nil"/>
              <w:bottom w:val="nil"/>
              <w:right w:val="nil"/>
            </w:tcBorders>
            <w:vAlign w:val="center"/>
          </w:tcPr>
          <w:p w14:paraId="7097967E" w14:textId="77777777" w:rsidR="00F01B35" w:rsidRPr="00331EAA" w:rsidRDefault="00F01B35" w:rsidP="004B572A">
            <w:pPr>
              <w:jc w:val="center"/>
              <w:rPr>
                <w:rFonts w:cstheme="minorHAnsi"/>
              </w:rPr>
            </w:pPr>
            <w:r w:rsidRPr="00331EAA">
              <w:rPr>
                <w:rFonts w:cstheme="minorHAnsi"/>
              </w:rPr>
              <w:t>6,971</w:t>
            </w:r>
            <w:r w:rsidRPr="00331EAA">
              <w:rPr>
                <w:rFonts w:cstheme="minorHAnsi"/>
                <w:vertAlign w:val="superscript"/>
              </w:rPr>
              <w:t>a</w:t>
            </w:r>
          </w:p>
        </w:tc>
      </w:tr>
    </w:tbl>
    <w:p w14:paraId="6B96AF80" w14:textId="036AD2D0" w:rsidR="00F01B35" w:rsidRPr="00331EAA" w:rsidRDefault="00F01B35" w:rsidP="00F01B35">
      <w:pPr>
        <w:pStyle w:val="CDIfootnotes"/>
      </w:pPr>
      <w:r w:rsidRPr="00331EAA">
        <w:t>a</w:t>
      </w:r>
      <w:r w:rsidRPr="00331EAA">
        <w:tab/>
        <w:t>Total includes 181 overseas residents and</w:t>
      </w:r>
      <w:r w:rsidR="00E742A0" w:rsidRPr="00331EAA">
        <w:t xml:space="preserve"> </w:t>
      </w:r>
      <w:r w:rsidRPr="00331EAA">
        <w:t>10</w:t>
      </w:r>
      <w:r w:rsidR="009C3614" w:rsidRPr="00331EAA">
        <w:t>7</w:t>
      </w:r>
      <w:r w:rsidRPr="00331EAA">
        <w:t xml:space="preserve"> persons with unknown remoteness classification. </w:t>
      </w:r>
    </w:p>
    <w:p w14:paraId="0ED7A78F" w14:textId="77777777" w:rsidR="00F01B35" w:rsidRPr="00331EAA" w:rsidRDefault="00F01B35" w:rsidP="00F01B35">
      <w:r w:rsidRPr="00331EAA">
        <w:t xml:space="preserve">Thirty-six percent (n = 21) of cases in Aboriginal and Torres Strait Islander persons acquired their infection overseas, while 51% (n = 30) of cases acquired their infection domestically. Eight (14%) were still under investigation at the time of this report. </w:t>
      </w:r>
    </w:p>
    <w:p w14:paraId="0243CC47" w14:textId="77777777" w:rsidR="00F01B35" w:rsidRPr="00331EAA" w:rsidRDefault="00F01B35" w:rsidP="00F01B35">
      <w:r w:rsidRPr="00331EAA">
        <w:t xml:space="preserve">The median age of COVID-19 cases among Aboriginal and Torres Strait Islander persons is 34 years (interquartile range: 21–55 years), which is lower than the median age of non-Indigenous COVID-19 cases. </w:t>
      </w:r>
    </w:p>
    <w:p w14:paraId="7E008386" w14:textId="1480E967" w:rsidR="00F01B35" w:rsidRPr="00331EAA" w:rsidRDefault="00F01B35" w:rsidP="00F01B35">
      <w:r w:rsidRPr="00331EAA">
        <w:t>Of the cases notified amongst Aboriginal and Torres Strait Islander persons, 10% were admitted to hospital, which is similar to the proportion of all cases hospitalised (</w:t>
      </w:r>
      <w:r w:rsidR="00174A4C" w:rsidRPr="00331EAA">
        <w:t>a</w:t>
      </w:r>
      <w:r w:rsidRPr="00331EAA">
        <w:t>ll cases = 12%). Of cases in Aboriginal and Torres Strait Islander persons, no</w:t>
      </w:r>
      <w:r w:rsidR="00174A4C" w:rsidRPr="00331EAA">
        <w:t>ne</w:t>
      </w:r>
      <w:r w:rsidRPr="00331EAA">
        <w:t xml:space="preserve"> were reported as being admitted to ICU.</w:t>
      </w:r>
    </w:p>
    <w:p w14:paraId="22C62B12" w14:textId="77777777" w:rsidR="00F32847" w:rsidRPr="00884804" w:rsidRDefault="00F32847" w:rsidP="00F32847">
      <w:pPr>
        <w:pStyle w:val="Heading2"/>
      </w:pPr>
      <w:r w:rsidRPr="00884804">
        <w:t xml:space="preserve">Age and gender distribution </w:t>
      </w:r>
    </w:p>
    <w:p w14:paraId="42285845" w14:textId="330F0692" w:rsidR="00D756EC" w:rsidRPr="00331EAA" w:rsidRDefault="00D756EC" w:rsidP="00D756EC">
      <w:bookmarkStart w:id="2" w:name="_Ref521066527"/>
      <w:r w:rsidRPr="00331EAA">
        <w:t xml:space="preserve">The highest rate of disease was among those in the 60–69 years age group, followed closely by the 70–79 years age group, with </w:t>
      </w:r>
      <w:r w:rsidR="0074301A" w:rsidRPr="00331EAA">
        <w:t>44</w:t>
      </w:r>
      <w:r w:rsidRPr="00331EAA">
        <w:t xml:space="preserve"> cases and 4</w:t>
      </w:r>
      <w:r w:rsidR="0074301A" w:rsidRPr="00331EAA">
        <w:t>1</w:t>
      </w:r>
      <w:r w:rsidRPr="00331EAA">
        <w:t xml:space="preserve"> cases per 100,000 population respectively (Figure </w:t>
      </w:r>
      <w:r w:rsidR="00E26653" w:rsidRPr="00331EAA">
        <w:t>4</w:t>
      </w:r>
      <w:r w:rsidRPr="00331EAA">
        <w:t>).</w:t>
      </w:r>
      <w:r w:rsidR="00E742A0" w:rsidRPr="00331EAA">
        <w:t xml:space="preserve"> </w:t>
      </w:r>
      <w:r w:rsidRPr="00331EAA">
        <w:t>The high rate amongst those in the 60–69 and 70–79 years age groups is linked to outbreaks on cruise ships, with 29% of cases in the 60–69 years age group and 4</w:t>
      </w:r>
      <w:r w:rsidR="00B32AA5" w:rsidRPr="00331EAA">
        <w:t>3</w:t>
      </w:r>
      <w:r w:rsidRPr="00331EAA">
        <w:t>% in the 70–79 years age group acquiring their infection at sea.</w:t>
      </w:r>
    </w:p>
    <w:p w14:paraId="13DD2555" w14:textId="4B0C4D10" w:rsidR="00A45DE2" w:rsidRPr="00331EAA" w:rsidRDefault="00D756EC" w:rsidP="00D756EC">
      <w:pPr>
        <w:rPr>
          <w:vertAlign w:val="superscript"/>
        </w:rPr>
      </w:pPr>
      <w:r w:rsidRPr="00331EAA">
        <w:t>The lowest rate of disease was among children in the 0–9 years age group, with 2.</w:t>
      </w:r>
      <w:r w:rsidR="0074301A" w:rsidRPr="00331EAA">
        <w:t>6</w:t>
      </w:r>
      <w:r w:rsidRPr="00331EAA">
        <w:t xml:space="preserve"> cases per 100,000 population. Among those in the 10–19 years age group, the rate of disease was </w:t>
      </w:r>
      <w:r w:rsidR="0074301A" w:rsidRPr="00331EAA">
        <w:t>7.0</w:t>
      </w:r>
      <w:r w:rsidRPr="00331EAA">
        <w:t xml:space="preserve"> cases per 100,000 population. The number of cases among school-aged children aged 5–18 years was </w:t>
      </w:r>
      <w:r w:rsidR="005C521E" w:rsidRPr="00331EAA">
        <w:t>172</w:t>
      </w:r>
      <w:r w:rsidRPr="00331EAA">
        <w:t xml:space="preserve"> cases (2.</w:t>
      </w:r>
      <w:r w:rsidR="0074301A" w:rsidRPr="00331EAA">
        <w:t>5</w:t>
      </w:r>
      <w:r w:rsidRPr="00331EAA">
        <w:t>% of total cases). This is consistent with international reports</w:t>
      </w:r>
      <w:r w:rsidR="00753D25" w:rsidRPr="00331EAA">
        <w:t>, which indicate</w:t>
      </w:r>
      <w:r w:rsidR="00B52FD7" w:rsidRPr="00331EAA">
        <w:t xml:space="preserve"> a</w:t>
      </w:r>
      <w:r w:rsidR="00753D25" w:rsidRPr="00331EAA">
        <w:t xml:space="preserve"> low rat</w:t>
      </w:r>
      <w:r w:rsidR="0074301A" w:rsidRPr="00331EAA">
        <w:t>e of infection among children</w:t>
      </w:r>
      <w:r w:rsidR="005C521E" w:rsidRPr="00331EAA">
        <w:t>.</w:t>
      </w:r>
      <w:r w:rsidR="0074301A" w:rsidRPr="00331EAA">
        <w:t xml:space="preserve"> </w:t>
      </w:r>
      <w:r w:rsidR="005C521E" w:rsidRPr="00331EAA">
        <w:t>A</w:t>
      </w:r>
      <w:r w:rsidR="00753D25" w:rsidRPr="00331EAA">
        <w:t xml:space="preserve"> similar pattern was observed with other coronaviruses such as SARS and MERS</w:t>
      </w:r>
      <w:r w:rsidR="00F9189F" w:rsidRPr="00331EAA">
        <w:t xml:space="preserve"> with low rates of infection in children</w:t>
      </w:r>
      <w:r w:rsidRPr="00331EAA">
        <w:t>.</w:t>
      </w:r>
      <w:r w:rsidR="00BA217C" w:rsidRPr="00331EAA">
        <w:rPr>
          <w:vertAlign w:val="superscript"/>
        </w:rPr>
        <w:t>1</w:t>
      </w:r>
    </w:p>
    <w:p w14:paraId="75CA9911" w14:textId="7AB8F62C" w:rsidR="00F01B35" w:rsidRPr="00331EAA" w:rsidRDefault="00D756EC" w:rsidP="00F32847">
      <w:r w:rsidRPr="00331EAA">
        <w:t xml:space="preserve">Notifications by gender differed by age group with a higher rate of notifications in females in the 20–29 age group and a higher rate in males in the 40–49 years age group, as well as in those aged over 60 years (Figure </w:t>
      </w:r>
      <w:r w:rsidR="00E26653" w:rsidRPr="00331EAA">
        <w:t>4</w:t>
      </w:r>
      <w:r w:rsidRPr="00331EAA">
        <w:t>). It is unlikely that this disparity reflects differences in underlying susceptibility to COVID-19; instead, it is more likely linked to transmission and possibly to differences in travel patterns.</w:t>
      </w:r>
    </w:p>
    <w:bookmarkEnd w:id="2"/>
    <w:p w14:paraId="6137B57D" w14:textId="77777777" w:rsidR="00F32847" w:rsidRDefault="00F32847" w:rsidP="00F32847"/>
    <w:p w14:paraId="590076AA" w14:textId="77777777" w:rsidR="00645958" w:rsidRDefault="00645958">
      <w:pPr>
        <w:rPr>
          <w:b/>
          <w:szCs w:val="24"/>
        </w:rPr>
      </w:pPr>
      <w:r>
        <w:rPr>
          <w:b/>
          <w:szCs w:val="24"/>
        </w:rPr>
        <w:br w:type="page"/>
      </w:r>
    </w:p>
    <w:p w14:paraId="0407D131" w14:textId="65C0652B" w:rsidR="00E4281B" w:rsidRPr="00884804" w:rsidRDefault="00E4281B" w:rsidP="00884804">
      <w:pPr>
        <w:pStyle w:val="CDIFigures"/>
      </w:pPr>
      <w:r w:rsidRPr="00884804">
        <w:lastRenderedPageBreak/>
        <w:t>Figur</w:t>
      </w:r>
      <w:r w:rsidR="008D5C3E" w:rsidRPr="00884804">
        <w:t xml:space="preserve">e </w:t>
      </w:r>
      <w:r w:rsidR="00723088">
        <w:t>4</w:t>
      </w:r>
      <w:r w:rsidR="008D5C3E" w:rsidRPr="00884804">
        <w:t xml:space="preserve">: </w:t>
      </w:r>
      <w:r w:rsidRPr="00884804">
        <w:t>COVID-19</w:t>
      </w:r>
      <w:r w:rsidR="0062641D" w:rsidRPr="00884804">
        <w:t xml:space="preserve"> rates per 100,000</w:t>
      </w:r>
      <w:r w:rsidR="0098734B" w:rsidRPr="00884804">
        <w:t xml:space="preserve"> population of all cases notified in</w:t>
      </w:r>
      <w:r w:rsidRPr="00884804">
        <w:t xml:space="preserve"> Australia, by age group and </w:t>
      </w:r>
      <w:r w:rsidR="006D12F5" w:rsidRPr="00884804">
        <w:t>gender</w:t>
      </w:r>
    </w:p>
    <w:bookmarkEnd w:id="1"/>
    <w:p w14:paraId="19020976" w14:textId="77777777" w:rsidR="009B2128" w:rsidRDefault="009B2128" w:rsidP="008C3639">
      <w:r>
        <w:rPr>
          <w:noProof/>
        </w:rPr>
        <w:drawing>
          <wp:inline distT="0" distB="0" distL="0" distR="0" wp14:anchorId="0EFF75D7" wp14:editId="5C8D68C7">
            <wp:extent cx="6245225" cy="4105275"/>
            <wp:effectExtent l="0" t="0" r="3175" b="9525"/>
            <wp:docPr id="6" name="Picture 6" descr="Bar chart showing age-specific COVID-19 notification rates, in Australia, for males and females. The male:female ratio is approximately 1:1. Reported case rates per 100,000 are highest in the 60–69 and 70–69  age group for males, whereas in females, the highest rate was among the 20–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sl_figures2.png"/>
                    <pic:cNvPicPr/>
                  </pic:nvPicPr>
                  <pic:blipFill rotWithShape="1">
                    <a:blip r:embed="rId15" cstate="print">
                      <a:extLst>
                        <a:ext uri="{28A0092B-C50C-407E-A947-70E740481C1C}">
                          <a14:useLocalDpi xmlns:a14="http://schemas.microsoft.com/office/drawing/2010/main" val="0"/>
                        </a:ext>
                      </a:extLst>
                    </a:blip>
                    <a:srcRect b="1447"/>
                    <a:stretch/>
                  </pic:blipFill>
                  <pic:spPr bwMode="auto">
                    <a:xfrm>
                      <a:off x="0" y="0"/>
                      <a:ext cx="6245991" cy="4105779"/>
                    </a:xfrm>
                    <a:prstGeom prst="rect">
                      <a:avLst/>
                    </a:prstGeom>
                    <a:ln>
                      <a:noFill/>
                    </a:ln>
                    <a:extLst>
                      <a:ext uri="{53640926-AAD7-44D8-BBD7-CCE9431645EC}">
                        <a14:shadowObscured xmlns:a14="http://schemas.microsoft.com/office/drawing/2010/main"/>
                      </a:ext>
                    </a:extLst>
                  </pic:spPr>
                </pic:pic>
              </a:graphicData>
            </a:graphic>
          </wp:inline>
        </w:drawing>
      </w:r>
    </w:p>
    <w:p w14:paraId="2CE22D21" w14:textId="7E31AE62" w:rsidR="00505FEF" w:rsidRPr="001D3534" w:rsidRDefault="00505FEF" w:rsidP="00505FEF">
      <w:pPr>
        <w:pStyle w:val="Heading2"/>
        <w:rPr>
          <w:color w:val="000000" w:themeColor="text1"/>
        </w:rPr>
      </w:pPr>
      <w:r w:rsidRPr="001D3534">
        <w:rPr>
          <w:color w:val="000000" w:themeColor="text1"/>
        </w:rPr>
        <w:t>Source of infection</w:t>
      </w:r>
    </w:p>
    <w:p w14:paraId="6E9E8383" w14:textId="7D491D25" w:rsidR="00C62601" w:rsidRPr="00331EAA" w:rsidRDefault="00C62601" w:rsidP="00C62601">
      <w:r w:rsidRPr="00331EAA">
        <w:t>Most cases of COVID-19 notified in Australia</w:t>
      </w:r>
      <w:r w:rsidR="00A76148" w:rsidRPr="00331EAA">
        <w:t xml:space="preserve"> in this reporting week were</w:t>
      </w:r>
      <w:r w:rsidRPr="00331EAA">
        <w:t xml:space="preserve"> considered to be locally acquired, likely due to the reduction in international travel. However the rate of new cases continues to be low, irrespective of place of acquisition, with a decrease in rate observed for all places of acquisition. Of the cases considered to be locally acquired most are associated with contacts of confirmed cases or are associated with known outbreaks.</w:t>
      </w:r>
    </w:p>
    <w:p w14:paraId="5F3ABA34" w14:textId="650B645D" w:rsidR="00505FEF" w:rsidRPr="00331EAA" w:rsidRDefault="00505FEF" w:rsidP="00505FEF">
      <w:r w:rsidRPr="00331EAA">
        <w:t>Of</w:t>
      </w:r>
      <w:r w:rsidR="00503EBA" w:rsidRPr="00331EAA">
        <w:t xml:space="preserve"> all</w:t>
      </w:r>
      <w:r w:rsidRPr="00331EAA">
        <w:t xml:space="preserve"> cases with a reported place of acquisition, </w:t>
      </w:r>
      <w:r w:rsidR="00F9189F" w:rsidRPr="00331EAA">
        <w:t>62</w:t>
      </w:r>
      <w:r w:rsidRPr="00331EAA">
        <w:t xml:space="preserve">% had a recent international travel history and </w:t>
      </w:r>
      <w:r w:rsidR="00F9189F" w:rsidRPr="00331EAA">
        <w:t>27</w:t>
      </w:r>
      <w:r w:rsidRPr="00331EAA">
        <w:t>% were considered to have been locally acquired from a confirmed case</w:t>
      </w:r>
      <w:r w:rsidR="00C16A67" w:rsidRPr="00331EAA">
        <w:t xml:space="preserve">. The rate of new cases has declined in all place of acquisition categories with the steepest decline observed in cases acquired overseas – likely due to the reduction </w:t>
      </w:r>
      <w:r w:rsidR="00B27548" w:rsidRPr="00331EAA">
        <w:t>in international travel (Table 3</w:t>
      </w:r>
      <w:r w:rsidR="00C16A67" w:rsidRPr="00331EAA">
        <w:t xml:space="preserve">, Figure </w:t>
      </w:r>
      <w:r w:rsidR="00723088" w:rsidRPr="00331EAA">
        <w:t>5</w:t>
      </w:r>
      <w:r w:rsidR="00C16A67" w:rsidRPr="00331EAA">
        <w:t>)</w:t>
      </w:r>
      <w:r w:rsidR="00753D25" w:rsidRPr="00331EAA">
        <w:t>.</w:t>
      </w:r>
      <w:r w:rsidRPr="00331EAA">
        <w:t xml:space="preserve"> Of the locally-acquired cases, most were considered to be contacts of a confirmed case, with a very small proportion of cases not able to be epidemiologically linked to a confirmed case. Cases where a place of acquisition has not been reported (</w:t>
      </w:r>
      <w:r w:rsidR="00F9189F" w:rsidRPr="00331EAA">
        <w:t>0.6</w:t>
      </w:r>
      <w:r w:rsidRPr="00331EAA">
        <w:t xml:space="preserve">%) are currently under public health investigation. </w:t>
      </w:r>
    </w:p>
    <w:p w14:paraId="402AC7DA" w14:textId="77777777" w:rsidR="00A258FD" w:rsidRPr="00A258FD" w:rsidRDefault="00BE1454" w:rsidP="00A258FD">
      <w:r w:rsidRPr="00A258FD">
        <w:t>In this reporting week, the overseas-acquired cases have reported travel history to the Southern and Central Asia, America</w:t>
      </w:r>
      <w:r w:rsidR="00B27548" w:rsidRPr="00A258FD">
        <w:t>s, and European region</w:t>
      </w:r>
      <w:r w:rsidR="00BA217C" w:rsidRPr="00A258FD">
        <w:t>s</w:t>
      </w:r>
      <w:r w:rsidR="00B27548" w:rsidRPr="00A258FD">
        <w:t xml:space="preserve"> (Figure </w:t>
      </w:r>
      <w:r w:rsidR="00723088" w:rsidRPr="00A258FD">
        <w:t>6</w:t>
      </w:r>
      <w:r w:rsidRPr="00A258FD">
        <w:t>).</w:t>
      </w:r>
      <w:r w:rsidR="00E742A0" w:rsidRPr="00A258FD">
        <w:t xml:space="preserve"> </w:t>
      </w:r>
      <w:r w:rsidRPr="00A258FD">
        <w:t xml:space="preserve">In the </w:t>
      </w:r>
      <w:r w:rsidR="00174A4C" w:rsidRPr="00A258FD">
        <w:t xml:space="preserve">previous reporting </w:t>
      </w:r>
      <w:r w:rsidRPr="00A258FD">
        <w:t>week</w:t>
      </w:r>
      <w:r w:rsidR="00174A4C" w:rsidRPr="00A258FD">
        <w:t>,</w:t>
      </w:r>
      <w:r w:rsidRPr="00A258FD">
        <w:t xml:space="preserve"> 27 March</w:t>
      </w:r>
      <w:r w:rsidR="00721537" w:rsidRPr="00A258FD">
        <w:t xml:space="preserve"> </w:t>
      </w:r>
      <w:r w:rsidRPr="00A258FD">
        <w:t>–</w:t>
      </w:r>
      <w:r w:rsidR="00721537" w:rsidRPr="00A258FD">
        <w:t xml:space="preserve"> </w:t>
      </w:r>
      <w:r w:rsidRPr="00A258FD">
        <w:t xml:space="preserve">3 May, the number of overseas-acquired cases </w:t>
      </w:r>
      <w:r w:rsidR="0079066B" w:rsidRPr="00A258FD">
        <w:t>was highest among those who</w:t>
      </w:r>
      <w:r w:rsidRPr="00A258FD">
        <w:t xml:space="preserve"> reported travel history to Southern </w:t>
      </w:r>
      <w:r w:rsidR="00840DC4" w:rsidRPr="00A258FD">
        <w:t>and Central Asia</w:t>
      </w:r>
      <w:r w:rsidR="0079066B" w:rsidRPr="00A258FD">
        <w:t>.</w:t>
      </w:r>
    </w:p>
    <w:p w14:paraId="41A69669" w14:textId="37BEB7FD" w:rsidR="00505FEF" w:rsidRPr="00A258FD" w:rsidRDefault="00505FEF" w:rsidP="00A258FD">
      <w:pPr>
        <w:rPr>
          <w:b/>
        </w:rPr>
        <w:sectPr w:rsidR="00505FEF" w:rsidRPr="00A258FD" w:rsidSect="00465E56">
          <w:footnotePr>
            <w:numFmt w:val="lowerRoman"/>
          </w:footnotePr>
          <w:pgSz w:w="11906" w:h="16838"/>
          <w:pgMar w:top="709" w:right="851" w:bottom="425" w:left="851" w:header="709" w:footer="709" w:gutter="0"/>
          <w:cols w:space="708"/>
          <w:docGrid w:linePitch="360"/>
        </w:sectPr>
      </w:pPr>
    </w:p>
    <w:p w14:paraId="2EE5237F" w14:textId="4D441BDF" w:rsidR="00505FEF" w:rsidRDefault="00505FEF" w:rsidP="00505FEF">
      <w:pPr>
        <w:pStyle w:val="CDIFigures"/>
      </w:pPr>
      <w:r>
        <w:lastRenderedPageBreak/>
        <w:t xml:space="preserve">Figure </w:t>
      </w:r>
      <w:r w:rsidR="00723088">
        <w:t>5</w:t>
      </w:r>
      <w:r>
        <w:t xml:space="preserve">: </w:t>
      </w:r>
      <w:r w:rsidRPr="000B4C1B">
        <w:t>Rate of weekly confirmed cases</w:t>
      </w:r>
      <w:r w:rsidR="00502325">
        <w:t xml:space="preserve"> in Australia</w:t>
      </w:r>
      <w:r w:rsidRPr="000B4C1B">
        <w:t xml:space="preserve"> by date of illness onset</w:t>
      </w:r>
      <w:r w:rsidRPr="000B4C1B">
        <w:rPr>
          <w:vertAlign w:val="superscript"/>
        </w:rPr>
        <w:t>a</w:t>
      </w:r>
      <w:r w:rsidRPr="000B4C1B">
        <w:t xml:space="preserve"> and place of acquisition</w:t>
      </w:r>
    </w:p>
    <w:p w14:paraId="7DB7462D" w14:textId="1A9297E5" w:rsidR="00525B38" w:rsidRDefault="006A5591" w:rsidP="0095072B">
      <w:pPr>
        <w:pStyle w:val="CDIFigures"/>
        <w:jc w:val="center"/>
      </w:pPr>
      <w:r>
        <w:rPr>
          <w:noProof/>
        </w:rPr>
        <w:drawing>
          <wp:inline distT="0" distB="0" distL="0" distR="0" wp14:anchorId="04D9FCAB" wp14:editId="3B198198">
            <wp:extent cx="8709660" cy="5364875"/>
            <wp:effectExtent l="0" t="0" r="0" b="7620"/>
            <wp:docPr id="11" name="Picture 11" descr="Line graph showing the weekly rate of COVID-19 cases by place of acquisition over time. The graph shows that the peak in new cases occurred during the week 16–22 March 2020, at a time when most new cases were acquired overs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sl_figures3.png"/>
                    <pic:cNvPicPr/>
                  </pic:nvPicPr>
                  <pic:blipFill rotWithShape="1">
                    <a:blip r:embed="rId16" cstate="print">
                      <a:extLst>
                        <a:ext uri="{28A0092B-C50C-407E-A947-70E740481C1C}">
                          <a14:useLocalDpi xmlns:a14="http://schemas.microsoft.com/office/drawing/2010/main" val="0"/>
                        </a:ext>
                      </a:extLst>
                    </a:blip>
                    <a:srcRect t="1227"/>
                    <a:stretch/>
                  </pic:blipFill>
                  <pic:spPr bwMode="auto">
                    <a:xfrm>
                      <a:off x="0" y="0"/>
                      <a:ext cx="8718458" cy="5370294"/>
                    </a:xfrm>
                    <a:prstGeom prst="rect">
                      <a:avLst/>
                    </a:prstGeom>
                    <a:ln>
                      <a:noFill/>
                    </a:ln>
                    <a:extLst>
                      <a:ext uri="{53640926-AAD7-44D8-BBD7-CCE9431645EC}">
                        <a14:shadowObscured xmlns:a14="http://schemas.microsoft.com/office/drawing/2010/main"/>
                      </a:ext>
                    </a:extLst>
                  </pic:spPr>
                </pic:pic>
              </a:graphicData>
            </a:graphic>
          </wp:inline>
        </w:drawing>
      </w:r>
    </w:p>
    <w:p w14:paraId="278F8173" w14:textId="448CBFFB" w:rsidR="00505FEF" w:rsidRDefault="00505FEF" w:rsidP="00505FEF">
      <w:pPr>
        <w:pStyle w:val="CDIfootnotes"/>
      </w:pPr>
      <w:r>
        <w:t>a</w:t>
      </w:r>
      <w:r>
        <w:tab/>
        <w:t>Note that this graph is from NNDSS where there is a data completeness lag compared to more current proportions presented in text.</w:t>
      </w:r>
    </w:p>
    <w:p w14:paraId="28CB21B2" w14:textId="77777777" w:rsidR="0029468C" w:rsidRDefault="0029468C">
      <w:pPr>
        <w:sectPr w:rsidR="0029468C" w:rsidSect="0029468C">
          <w:footnotePr>
            <w:numFmt w:val="lowerRoman"/>
          </w:footnotePr>
          <w:pgSz w:w="16838" w:h="11906" w:orient="landscape"/>
          <w:pgMar w:top="851" w:right="709" w:bottom="851" w:left="425" w:header="709" w:footer="709" w:gutter="0"/>
          <w:cols w:space="708"/>
          <w:docGrid w:linePitch="360"/>
        </w:sectPr>
      </w:pPr>
    </w:p>
    <w:p w14:paraId="38CFDD09" w14:textId="77777777" w:rsidR="0095072B" w:rsidRDefault="0095072B" w:rsidP="0095072B">
      <w:pPr>
        <w:pStyle w:val="CDIFigures"/>
      </w:pPr>
      <w:r w:rsidRPr="00E4281B">
        <w:lastRenderedPageBreak/>
        <w:t xml:space="preserve">Table </w:t>
      </w:r>
      <w:r>
        <w:t>3</w:t>
      </w:r>
      <w:r w:rsidRPr="00E4281B">
        <w:t xml:space="preserve">: </w:t>
      </w:r>
      <w:r>
        <w:t>Rate of weekly confirmed cases in Australia (per 100,000 population) by date of illness onset</w:t>
      </w:r>
      <w:r w:rsidRPr="003B37C6">
        <w:rPr>
          <w:vertAlign w:val="superscript"/>
        </w:rPr>
        <w:t>a</w:t>
      </w:r>
      <w:r>
        <w:t xml:space="preserve"> and place of acquisition</w:t>
      </w:r>
    </w:p>
    <w:tbl>
      <w:tblPr>
        <w:tblStyle w:val="CDI-StandardTable"/>
        <w:tblW w:w="10260" w:type="dxa"/>
        <w:tblLayout w:type="fixed"/>
        <w:tblCellMar>
          <w:top w:w="57" w:type="dxa"/>
          <w:left w:w="57" w:type="dxa"/>
          <w:bottom w:w="57" w:type="dxa"/>
          <w:right w:w="57" w:type="dxa"/>
        </w:tblCellMar>
        <w:tblLook w:val="04A0" w:firstRow="1" w:lastRow="0" w:firstColumn="1" w:lastColumn="0" w:noHBand="0" w:noVBand="1"/>
        <w:tblDescription w:val="Table 3 shows weekly COVID-19 notifications per 100,000 population by place of acquisition, for the four most recent reporting weeks. Both locally-acquired and overseas-acquired case notification rates are decreasing, with notification rates higher across the four most recent weeks for locally-acquired cases than for overseas-acquired cases. A high proportion of the most recently-reported cases remain under investigation at this time.&#10;"/>
      </w:tblPr>
      <w:tblGrid>
        <w:gridCol w:w="1985"/>
        <w:gridCol w:w="2068"/>
        <w:gridCol w:w="2069"/>
        <w:gridCol w:w="2069"/>
        <w:gridCol w:w="2069"/>
      </w:tblGrid>
      <w:tr w:rsidR="0095072B" w:rsidRPr="001677BC" w14:paraId="40282CFA" w14:textId="77777777" w:rsidTr="00B46EF5">
        <w:trPr>
          <w:cnfStyle w:val="100000000000" w:firstRow="1" w:lastRow="0" w:firstColumn="0" w:lastColumn="0" w:oddVBand="0" w:evenVBand="0" w:oddHBand="0" w:evenHBand="0" w:firstRowFirstColumn="0" w:firstRowLastColumn="0" w:lastRowFirstColumn="0" w:lastRowLastColumn="0"/>
          <w:trHeight w:val="300"/>
          <w:tblHeader/>
        </w:trPr>
        <w:tc>
          <w:tcPr>
            <w:tcW w:w="1985" w:type="dxa"/>
            <w:tcBorders>
              <w:right w:val="single" w:sz="2" w:space="0" w:color="FFFFFF" w:themeColor="background1"/>
            </w:tcBorders>
            <w:noWrap/>
            <w:hideMark/>
          </w:tcPr>
          <w:p w14:paraId="195F6748" w14:textId="77777777" w:rsidR="0095072B" w:rsidRPr="001677BC" w:rsidRDefault="0095072B" w:rsidP="004A16B9">
            <w:pPr>
              <w:pStyle w:val="CDIFigures"/>
              <w:rPr>
                <w:b/>
                <w:color w:val="FFFFFF" w:themeColor="background1"/>
                <w:sz w:val="20"/>
                <w:szCs w:val="20"/>
              </w:rPr>
            </w:pPr>
            <w:r w:rsidRPr="001677BC">
              <w:rPr>
                <w:b/>
                <w:color w:val="FFFFFF" w:themeColor="background1"/>
                <w:sz w:val="20"/>
                <w:szCs w:val="20"/>
              </w:rPr>
              <w:t>Week</w:t>
            </w:r>
          </w:p>
        </w:tc>
        <w:tc>
          <w:tcPr>
            <w:tcW w:w="2068" w:type="dxa"/>
            <w:tcBorders>
              <w:left w:val="single" w:sz="2" w:space="0" w:color="FFFFFF" w:themeColor="background1"/>
              <w:right w:val="single" w:sz="2" w:space="0" w:color="FFFFFF" w:themeColor="background1"/>
            </w:tcBorders>
            <w:noWrap/>
            <w:hideMark/>
          </w:tcPr>
          <w:p w14:paraId="7C09F3CB"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Overseas acquired</w:t>
            </w:r>
          </w:p>
        </w:tc>
        <w:tc>
          <w:tcPr>
            <w:tcW w:w="2069" w:type="dxa"/>
            <w:tcBorders>
              <w:left w:val="single" w:sz="2" w:space="0" w:color="FFFFFF" w:themeColor="background1"/>
              <w:right w:val="single" w:sz="2" w:space="0" w:color="FFFFFF" w:themeColor="background1"/>
            </w:tcBorders>
            <w:noWrap/>
            <w:hideMark/>
          </w:tcPr>
          <w:p w14:paraId="24DAAD41"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Locally acquired—close contact of a confirmed case</w:t>
            </w:r>
          </w:p>
        </w:tc>
        <w:tc>
          <w:tcPr>
            <w:tcW w:w="2069" w:type="dxa"/>
            <w:tcBorders>
              <w:left w:val="single" w:sz="2" w:space="0" w:color="FFFFFF" w:themeColor="background1"/>
              <w:right w:val="single" w:sz="2" w:space="0" w:color="FFFFFF" w:themeColor="background1"/>
            </w:tcBorders>
            <w:noWrap/>
            <w:hideMark/>
          </w:tcPr>
          <w:p w14:paraId="74356FDA"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Locally acquired, not epi linked</w:t>
            </w:r>
          </w:p>
        </w:tc>
        <w:tc>
          <w:tcPr>
            <w:tcW w:w="2069" w:type="dxa"/>
            <w:tcBorders>
              <w:left w:val="single" w:sz="2" w:space="0" w:color="FFFFFF" w:themeColor="background1"/>
            </w:tcBorders>
            <w:noWrap/>
            <w:hideMark/>
          </w:tcPr>
          <w:p w14:paraId="4110E4D9" w14:textId="77777777" w:rsidR="0095072B" w:rsidRPr="001677BC" w:rsidRDefault="0095072B" w:rsidP="004A16B9">
            <w:pPr>
              <w:pStyle w:val="CDIFigures"/>
              <w:jc w:val="center"/>
              <w:rPr>
                <w:b/>
                <w:color w:val="FFFFFF" w:themeColor="background1"/>
                <w:sz w:val="20"/>
                <w:szCs w:val="20"/>
              </w:rPr>
            </w:pPr>
            <w:r w:rsidRPr="001677BC">
              <w:rPr>
                <w:b/>
                <w:color w:val="FFFFFF" w:themeColor="background1"/>
                <w:sz w:val="20"/>
                <w:szCs w:val="20"/>
              </w:rPr>
              <w:t>Under investigation</w:t>
            </w:r>
          </w:p>
        </w:tc>
      </w:tr>
      <w:tr w:rsidR="0095072B" w:rsidRPr="00972635" w14:paraId="721EAF4D" w14:textId="77777777" w:rsidTr="006D2A0E">
        <w:trPr>
          <w:trHeight w:val="447"/>
        </w:trPr>
        <w:tc>
          <w:tcPr>
            <w:tcW w:w="1985" w:type="dxa"/>
            <w:noWrap/>
            <w:vAlign w:val="center"/>
            <w:hideMark/>
          </w:tcPr>
          <w:p w14:paraId="60524BFC" w14:textId="77777777" w:rsidR="0095072B" w:rsidRPr="00972635" w:rsidRDefault="0095072B" w:rsidP="004A16B9">
            <w:pPr>
              <w:pStyle w:val="CDIFigures"/>
              <w:rPr>
                <w:sz w:val="20"/>
                <w:szCs w:val="20"/>
              </w:rPr>
            </w:pPr>
            <w:r>
              <w:rPr>
                <w:sz w:val="20"/>
                <w:szCs w:val="20"/>
              </w:rPr>
              <w:t>13–19 April</w:t>
            </w:r>
          </w:p>
        </w:tc>
        <w:tc>
          <w:tcPr>
            <w:tcW w:w="2068" w:type="dxa"/>
            <w:noWrap/>
            <w:hideMark/>
          </w:tcPr>
          <w:p w14:paraId="5039E23B" w14:textId="77777777" w:rsidR="0095072B" w:rsidRPr="00570446" w:rsidRDefault="0095072B" w:rsidP="004A16B9">
            <w:pPr>
              <w:jc w:val="center"/>
            </w:pPr>
            <w:r w:rsidRPr="00570446">
              <w:t>0.11</w:t>
            </w:r>
          </w:p>
        </w:tc>
        <w:tc>
          <w:tcPr>
            <w:tcW w:w="2069" w:type="dxa"/>
            <w:noWrap/>
            <w:hideMark/>
          </w:tcPr>
          <w:p w14:paraId="57A8C98C" w14:textId="77777777" w:rsidR="0095072B" w:rsidRPr="00570446" w:rsidRDefault="0095072B" w:rsidP="004A16B9">
            <w:pPr>
              <w:jc w:val="center"/>
            </w:pPr>
            <w:r w:rsidRPr="00570446">
              <w:t>0.343</w:t>
            </w:r>
          </w:p>
        </w:tc>
        <w:tc>
          <w:tcPr>
            <w:tcW w:w="2069" w:type="dxa"/>
            <w:noWrap/>
            <w:hideMark/>
          </w:tcPr>
          <w:p w14:paraId="0148F115" w14:textId="77777777" w:rsidR="0095072B" w:rsidRPr="00570446" w:rsidRDefault="0095072B" w:rsidP="004A16B9">
            <w:pPr>
              <w:jc w:val="center"/>
            </w:pPr>
            <w:r>
              <w:rPr>
                <w:sz w:val="20"/>
                <w:szCs w:val="20"/>
              </w:rPr>
              <w:t>–</w:t>
            </w:r>
          </w:p>
        </w:tc>
        <w:tc>
          <w:tcPr>
            <w:tcW w:w="2069" w:type="dxa"/>
            <w:noWrap/>
            <w:hideMark/>
          </w:tcPr>
          <w:p w14:paraId="66555159" w14:textId="77777777" w:rsidR="0095072B" w:rsidRPr="00570446" w:rsidRDefault="0095072B" w:rsidP="004A16B9">
            <w:pPr>
              <w:jc w:val="center"/>
            </w:pPr>
            <w:r w:rsidRPr="00570446">
              <w:t>0.083</w:t>
            </w:r>
          </w:p>
        </w:tc>
      </w:tr>
      <w:tr w:rsidR="0095072B" w:rsidRPr="00972635" w14:paraId="0DBC9AFB" w14:textId="77777777" w:rsidTr="006D2A0E">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hideMark/>
          </w:tcPr>
          <w:p w14:paraId="1E381ED3" w14:textId="77777777" w:rsidR="0095072B" w:rsidRPr="00972635" w:rsidRDefault="0095072B" w:rsidP="004A16B9">
            <w:pPr>
              <w:pStyle w:val="CDIFigures"/>
              <w:rPr>
                <w:sz w:val="20"/>
                <w:szCs w:val="20"/>
              </w:rPr>
            </w:pPr>
            <w:r>
              <w:rPr>
                <w:sz w:val="20"/>
                <w:szCs w:val="20"/>
              </w:rPr>
              <w:t>20–26 April</w:t>
            </w:r>
          </w:p>
        </w:tc>
        <w:tc>
          <w:tcPr>
            <w:tcW w:w="2068" w:type="dxa"/>
            <w:noWrap/>
            <w:hideMark/>
          </w:tcPr>
          <w:p w14:paraId="6A03563F" w14:textId="77777777" w:rsidR="0095072B" w:rsidRPr="00570446" w:rsidRDefault="0095072B" w:rsidP="004A16B9">
            <w:pPr>
              <w:jc w:val="center"/>
            </w:pPr>
            <w:r w:rsidRPr="00570446">
              <w:t>0.012</w:t>
            </w:r>
          </w:p>
        </w:tc>
        <w:tc>
          <w:tcPr>
            <w:tcW w:w="2069" w:type="dxa"/>
            <w:noWrap/>
            <w:hideMark/>
          </w:tcPr>
          <w:p w14:paraId="1D10A7AC" w14:textId="77777777" w:rsidR="0095072B" w:rsidRPr="00570446" w:rsidRDefault="0095072B" w:rsidP="004A16B9">
            <w:pPr>
              <w:jc w:val="center"/>
            </w:pPr>
            <w:r w:rsidRPr="00570446">
              <w:t>0.146</w:t>
            </w:r>
          </w:p>
        </w:tc>
        <w:tc>
          <w:tcPr>
            <w:tcW w:w="2069" w:type="dxa"/>
            <w:noWrap/>
            <w:hideMark/>
          </w:tcPr>
          <w:p w14:paraId="22FD43D5" w14:textId="77777777" w:rsidR="0095072B" w:rsidRPr="00570446" w:rsidRDefault="0095072B" w:rsidP="004A16B9">
            <w:pPr>
              <w:jc w:val="center"/>
            </w:pPr>
            <w:r w:rsidRPr="00570446">
              <w:t>0.004</w:t>
            </w:r>
          </w:p>
        </w:tc>
        <w:tc>
          <w:tcPr>
            <w:tcW w:w="2069" w:type="dxa"/>
            <w:noWrap/>
            <w:hideMark/>
          </w:tcPr>
          <w:p w14:paraId="69200DC1" w14:textId="77777777" w:rsidR="0095072B" w:rsidRPr="00570446" w:rsidRDefault="0095072B" w:rsidP="004A16B9">
            <w:pPr>
              <w:jc w:val="center"/>
            </w:pPr>
            <w:r w:rsidRPr="00570446">
              <w:t>0.047</w:t>
            </w:r>
          </w:p>
        </w:tc>
      </w:tr>
      <w:tr w:rsidR="0095072B" w:rsidRPr="00972635" w14:paraId="5F7667D7" w14:textId="77777777" w:rsidTr="006D2A0E">
        <w:trPr>
          <w:trHeight w:val="447"/>
        </w:trPr>
        <w:tc>
          <w:tcPr>
            <w:tcW w:w="1985" w:type="dxa"/>
            <w:noWrap/>
            <w:vAlign w:val="center"/>
          </w:tcPr>
          <w:p w14:paraId="179237F3" w14:textId="77777777" w:rsidR="0095072B" w:rsidRDefault="0095072B" w:rsidP="004A16B9">
            <w:pPr>
              <w:pStyle w:val="CDIFigures"/>
              <w:rPr>
                <w:sz w:val="20"/>
                <w:szCs w:val="20"/>
              </w:rPr>
            </w:pPr>
            <w:r>
              <w:rPr>
                <w:sz w:val="20"/>
                <w:szCs w:val="20"/>
              </w:rPr>
              <w:t xml:space="preserve">27 April – 3 May </w:t>
            </w:r>
          </w:p>
        </w:tc>
        <w:tc>
          <w:tcPr>
            <w:tcW w:w="2068" w:type="dxa"/>
            <w:noWrap/>
          </w:tcPr>
          <w:p w14:paraId="5F79118F" w14:textId="77777777" w:rsidR="0095072B" w:rsidRPr="00570446" w:rsidRDefault="0095072B" w:rsidP="004A16B9">
            <w:pPr>
              <w:jc w:val="center"/>
            </w:pPr>
            <w:r w:rsidRPr="00570446">
              <w:t>0.032</w:t>
            </w:r>
          </w:p>
        </w:tc>
        <w:tc>
          <w:tcPr>
            <w:tcW w:w="2069" w:type="dxa"/>
            <w:noWrap/>
          </w:tcPr>
          <w:p w14:paraId="42A38233" w14:textId="77777777" w:rsidR="0095072B" w:rsidRPr="00570446" w:rsidRDefault="0095072B" w:rsidP="004A16B9">
            <w:pPr>
              <w:jc w:val="center"/>
            </w:pPr>
            <w:r w:rsidRPr="00570446">
              <w:t>0.051</w:t>
            </w:r>
          </w:p>
        </w:tc>
        <w:tc>
          <w:tcPr>
            <w:tcW w:w="2069" w:type="dxa"/>
            <w:noWrap/>
          </w:tcPr>
          <w:p w14:paraId="15C6C3E9" w14:textId="77777777" w:rsidR="0095072B" w:rsidRPr="00570446" w:rsidRDefault="0095072B" w:rsidP="004A16B9">
            <w:pPr>
              <w:jc w:val="center"/>
            </w:pPr>
            <w:r>
              <w:rPr>
                <w:sz w:val="20"/>
                <w:szCs w:val="20"/>
              </w:rPr>
              <w:t>–</w:t>
            </w:r>
          </w:p>
        </w:tc>
        <w:tc>
          <w:tcPr>
            <w:tcW w:w="2069" w:type="dxa"/>
            <w:noWrap/>
          </w:tcPr>
          <w:p w14:paraId="05566BE8" w14:textId="77777777" w:rsidR="0095072B" w:rsidRDefault="0095072B" w:rsidP="004A16B9">
            <w:pPr>
              <w:jc w:val="center"/>
            </w:pPr>
            <w:r w:rsidRPr="00570446">
              <w:t>0.032</w:t>
            </w:r>
          </w:p>
        </w:tc>
      </w:tr>
      <w:tr w:rsidR="0095072B" w:rsidRPr="00972635" w14:paraId="6E24448E" w14:textId="77777777" w:rsidTr="006D2A0E">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tcPr>
          <w:p w14:paraId="5C7A84A9" w14:textId="77777777" w:rsidR="0095072B" w:rsidRDefault="0095072B" w:rsidP="004A16B9">
            <w:pPr>
              <w:pStyle w:val="CDIFigures"/>
              <w:rPr>
                <w:sz w:val="20"/>
                <w:szCs w:val="20"/>
              </w:rPr>
            </w:pPr>
            <w:r>
              <w:rPr>
                <w:sz w:val="20"/>
                <w:szCs w:val="20"/>
              </w:rPr>
              <w:t xml:space="preserve">4–10 May </w:t>
            </w:r>
          </w:p>
        </w:tc>
        <w:tc>
          <w:tcPr>
            <w:tcW w:w="2068" w:type="dxa"/>
            <w:noWrap/>
          </w:tcPr>
          <w:p w14:paraId="63403443" w14:textId="77777777" w:rsidR="0095072B" w:rsidRPr="00570446" w:rsidRDefault="0095072B" w:rsidP="004A16B9">
            <w:pPr>
              <w:jc w:val="center"/>
            </w:pPr>
            <w:r>
              <w:t>0.02</w:t>
            </w:r>
          </w:p>
        </w:tc>
        <w:tc>
          <w:tcPr>
            <w:tcW w:w="2069" w:type="dxa"/>
            <w:noWrap/>
          </w:tcPr>
          <w:p w14:paraId="3121EB9F" w14:textId="77777777" w:rsidR="0095072B" w:rsidRPr="00570446" w:rsidRDefault="0095072B" w:rsidP="004A16B9">
            <w:pPr>
              <w:jc w:val="center"/>
            </w:pPr>
            <w:r>
              <w:t>0.039</w:t>
            </w:r>
          </w:p>
        </w:tc>
        <w:tc>
          <w:tcPr>
            <w:tcW w:w="2069" w:type="dxa"/>
            <w:noWrap/>
          </w:tcPr>
          <w:p w14:paraId="7D590135" w14:textId="77777777" w:rsidR="0095072B" w:rsidRDefault="0095072B" w:rsidP="004A16B9">
            <w:pPr>
              <w:jc w:val="center"/>
              <w:rPr>
                <w:sz w:val="20"/>
                <w:szCs w:val="20"/>
              </w:rPr>
            </w:pPr>
            <w:r>
              <w:rPr>
                <w:sz w:val="20"/>
                <w:szCs w:val="20"/>
              </w:rPr>
              <w:t>–</w:t>
            </w:r>
          </w:p>
        </w:tc>
        <w:tc>
          <w:tcPr>
            <w:tcW w:w="2069" w:type="dxa"/>
            <w:noWrap/>
          </w:tcPr>
          <w:p w14:paraId="5A905546" w14:textId="77777777" w:rsidR="0095072B" w:rsidRPr="00570446" w:rsidRDefault="0095072B" w:rsidP="004A16B9">
            <w:pPr>
              <w:jc w:val="center"/>
            </w:pPr>
            <w:r>
              <w:t>0.158</w:t>
            </w:r>
          </w:p>
        </w:tc>
      </w:tr>
    </w:tbl>
    <w:p w14:paraId="63677615" w14:textId="186303D1" w:rsidR="0095072B" w:rsidRPr="0082496F" w:rsidRDefault="0095072B" w:rsidP="0082496F">
      <w:pPr>
        <w:pStyle w:val="CDIfootnotes"/>
        <w:rPr>
          <w:rFonts w:ascii="Calibri" w:eastAsiaTheme="minorHAnsi" w:hAnsi="Calibri" w:cs="Calibri"/>
          <w:b/>
          <w:sz w:val="20"/>
          <w:szCs w:val="20"/>
        </w:rPr>
      </w:pPr>
      <w:r>
        <w:t>a</w:t>
      </w:r>
      <w:r>
        <w:tab/>
        <w:t>Based on diagnosis date from NNDSS reporting period up to 23:59 AEST 10</w:t>
      </w:r>
      <w:r w:rsidR="0082496F">
        <w:t xml:space="preserve"> May 2020</w:t>
      </w:r>
    </w:p>
    <w:p w14:paraId="69B72565" w14:textId="3F2601B3" w:rsidR="00B32AA5" w:rsidRDefault="00B32AA5" w:rsidP="0029468C">
      <w:pPr>
        <w:pStyle w:val="CDIFigures"/>
      </w:pPr>
      <w:r>
        <w:t xml:space="preserve">Figure </w:t>
      </w:r>
      <w:r w:rsidR="00723088">
        <w:t>6</w:t>
      </w:r>
      <w:r>
        <w:t xml:space="preserve">: </w:t>
      </w:r>
      <w:r w:rsidR="00BE1454">
        <w:t xml:space="preserve">Overseas-acquired </w:t>
      </w:r>
      <w:r w:rsidRPr="000B4C1B">
        <w:t xml:space="preserve">confirmed cases </w:t>
      </w:r>
      <w:r w:rsidR="00502325">
        <w:t xml:space="preserve">in Australia </w:t>
      </w:r>
      <w:r w:rsidRPr="000B4C1B">
        <w:t xml:space="preserve">by </w:t>
      </w:r>
      <w:r w:rsidR="00BE1454">
        <w:t>week of date of illness onset, by travel history</w:t>
      </w:r>
      <w:r w:rsidR="0082496F">
        <w:t> </w:t>
      </w:r>
      <w:r w:rsidR="00BE1454">
        <w:t>regions</w:t>
      </w:r>
    </w:p>
    <w:p w14:paraId="4765E91A" w14:textId="4EAE72FF" w:rsidR="00505FEF" w:rsidRDefault="006A5591" w:rsidP="00E4487D">
      <w:pPr>
        <w:pStyle w:val="CDIFigures"/>
        <w:rPr>
          <w:vertAlign w:val="superscript"/>
        </w:rPr>
      </w:pPr>
      <w:r>
        <w:rPr>
          <w:noProof/>
        </w:rPr>
        <w:drawing>
          <wp:inline distT="0" distB="0" distL="0" distR="0" wp14:anchorId="157E778E" wp14:editId="4B09B8D4">
            <wp:extent cx="6478270" cy="3943350"/>
            <wp:effectExtent l="0" t="0" r="0" b="0"/>
            <wp:docPr id="15" name="Picture 15" descr="Bar chart showing the weekly notifications of overseas-acquired COVID-19 cases by travel history regions, for each of the four most recent reporting weeks. For the current reporting week, overseas-acquired cases were reported from the Europe, Americas, and Southern and Central Asia reg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7.png"/>
                    <pic:cNvPicPr/>
                  </pic:nvPicPr>
                  <pic:blipFill rotWithShape="1">
                    <a:blip r:embed="rId17" cstate="print">
                      <a:extLst>
                        <a:ext uri="{28A0092B-C50C-407E-A947-70E740481C1C}">
                          <a14:useLocalDpi xmlns:a14="http://schemas.microsoft.com/office/drawing/2010/main" val="0"/>
                        </a:ext>
                      </a:extLst>
                    </a:blip>
                    <a:srcRect b="6490"/>
                    <a:stretch/>
                  </pic:blipFill>
                  <pic:spPr bwMode="auto">
                    <a:xfrm>
                      <a:off x="0" y="0"/>
                      <a:ext cx="6482749" cy="3946076"/>
                    </a:xfrm>
                    <a:prstGeom prst="rect">
                      <a:avLst/>
                    </a:prstGeom>
                    <a:ln>
                      <a:noFill/>
                    </a:ln>
                    <a:extLst>
                      <a:ext uri="{53640926-AAD7-44D8-BBD7-CCE9431645EC}">
                        <a14:shadowObscured xmlns:a14="http://schemas.microsoft.com/office/drawing/2010/main"/>
                      </a:ext>
                    </a:extLst>
                  </pic:spPr>
                </pic:pic>
              </a:graphicData>
            </a:graphic>
          </wp:inline>
        </w:drawing>
      </w:r>
      <w:r w:rsidR="00505FEF">
        <w:br w:type="page"/>
      </w:r>
    </w:p>
    <w:p w14:paraId="401453E9" w14:textId="134E386F" w:rsidR="009B2128" w:rsidRDefault="009B2128" w:rsidP="009B2128">
      <w:pPr>
        <w:pStyle w:val="CDIfootnotes"/>
        <w:ind w:left="284" w:firstLine="0"/>
        <w:jc w:val="center"/>
      </w:pPr>
    </w:p>
    <w:p w14:paraId="59075E62" w14:textId="77777777" w:rsidR="00E4281B" w:rsidRPr="009744D4" w:rsidRDefault="00E4281B" w:rsidP="009744D4">
      <w:pPr>
        <w:pStyle w:val="Heading2"/>
      </w:pPr>
      <w:r w:rsidRPr="009744D4">
        <w:t xml:space="preserve">Cluster and outbreak investigations </w:t>
      </w:r>
    </w:p>
    <w:p w14:paraId="0ABCCC71" w14:textId="77777777" w:rsidR="001F36D9" w:rsidRPr="008E576E" w:rsidRDefault="001F36D9" w:rsidP="001F36D9">
      <w:pPr>
        <w:pStyle w:val="Default"/>
        <w:spacing w:line="360" w:lineRule="auto"/>
        <w:jc w:val="both"/>
        <w:rPr>
          <w:rFonts w:asciiTheme="minorHAnsi" w:hAnsiTheme="minorHAnsi" w:cstheme="minorHAnsi"/>
          <w:b/>
          <w:sz w:val="22"/>
          <w:szCs w:val="32"/>
        </w:rPr>
      </w:pPr>
    </w:p>
    <w:p w14:paraId="3539DF0F" w14:textId="77777777" w:rsidR="00606972" w:rsidRPr="00606972" w:rsidRDefault="00606972" w:rsidP="00331EAA">
      <w:pPr>
        <w:rPr>
          <w:lang w:eastAsia="en-US"/>
        </w:rPr>
      </w:pPr>
      <w:r w:rsidRPr="00606972">
        <w:rPr>
          <w:lang w:eastAsia="en-US"/>
        </w:rPr>
        <w:t xml:space="preserve">Investigations are taking place in states and territories in relation to a number of clusters and outbreaks of COVID-19. To date the largest outbreaks have been associated with cruise ships, </w:t>
      </w:r>
      <w:r w:rsidRPr="00606972">
        <w:rPr>
          <w:rFonts w:eastAsiaTheme="minorHAnsi"/>
          <w:lang w:eastAsia="en-US"/>
        </w:rPr>
        <w:t>with some other large domestic clusters associated with aged care and healthcare facilities and private functions, such as weddings.</w:t>
      </w:r>
    </w:p>
    <w:p w14:paraId="082F206A" w14:textId="77777777" w:rsidR="00606972" w:rsidRPr="00606972" w:rsidRDefault="00606972" w:rsidP="00606972">
      <w:pPr>
        <w:autoSpaceDE w:val="0"/>
        <w:autoSpaceDN w:val="0"/>
        <w:adjustRightInd w:val="0"/>
        <w:spacing w:after="0"/>
        <w:jc w:val="both"/>
        <w:rPr>
          <w:rFonts w:ascii="Calibri" w:eastAsiaTheme="minorHAnsi" w:hAnsi="Calibri" w:cs="Calibri"/>
          <w:color w:val="000000"/>
          <w:sz w:val="24"/>
          <w:szCs w:val="24"/>
          <w:lang w:eastAsia="en-US"/>
        </w:rPr>
      </w:pPr>
    </w:p>
    <w:p w14:paraId="12FB2D72" w14:textId="77777777" w:rsidR="00606972" w:rsidRPr="00606972" w:rsidRDefault="00606972" w:rsidP="00606972">
      <w:pPr>
        <w:autoSpaceDE w:val="0"/>
        <w:autoSpaceDN w:val="0"/>
        <w:adjustRightInd w:val="0"/>
        <w:spacing w:after="0" w:line="360" w:lineRule="auto"/>
        <w:jc w:val="both"/>
        <w:rPr>
          <w:rFonts w:eastAsiaTheme="minorHAnsi" w:cstheme="minorHAnsi"/>
          <w:color w:val="000000"/>
          <w:sz w:val="24"/>
          <w:lang w:eastAsia="en-US"/>
        </w:rPr>
      </w:pPr>
      <w:r w:rsidRPr="00606972">
        <w:rPr>
          <w:rFonts w:eastAsiaTheme="majorEastAsia" w:cstheme="minorHAnsi"/>
          <w:b/>
          <w:bCs/>
          <w:noProof/>
          <w:color w:val="000000"/>
          <w:sz w:val="24"/>
          <w:szCs w:val="24"/>
        </w:rPr>
        <mc:AlternateContent>
          <mc:Choice Requires="wps">
            <w:drawing>
              <wp:inline distT="0" distB="0" distL="0" distR="0" wp14:anchorId="4DFA7268" wp14:editId="7C0763D8">
                <wp:extent cx="6398260" cy="2133600"/>
                <wp:effectExtent l="0" t="0" r="21590" b="19050"/>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2133600"/>
                        </a:xfrm>
                        <a:prstGeom prst="rect">
                          <a:avLst/>
                        </a:prstGeom>
                        <a:solidFill>
                          <a:sysClr val="window" lastClr="FFFFFF">
                            <a:lumMod val="95000"/>
                          </a:sysClr>
                        </a:solidFill>
                        <a:ln w="3175">
                          <a:solidFill>
                            <a:schemeClr val="bg1">
                              <a:lumMod val="75000"/>
                            </a:schemeClr>
                          </a:solidFill>
                          <a:miter lim="800000"/>
                          <a:headEnd/>
                          <a:tailEnd/>
                        </a:ln>
                      </wps:spPr>
                      <wps:txbx>
                        <w:txbxContent>
                          <w:p w14:paraId="682B4BAA" w14:textId="77777777" w:rsidR="008B1C4B" w:rsidRPr="00825806" w:rsidRDefault="008B1C4B" w:rsidP="00331EAA">
                            <w:pPr>
                              <w:rPr>
                                <w:rStyle w:val="Strong"/>
                                <w:rFonts w:cstheme="minorHAnsi"/>
                              </w:rPr>
                            </w:pPr>
                            <w:r>
                              <w:rPr>
                                <w:rStyle w:val="Strong"/>
                                <w:rFonts w:cstheme="minorHAnsi"/>
                              </w:rPr>
                              <w:t>Cluster</w:t>
                            </w:r>
                            <w:r w:rsidRPr="00825806">
                              <w:rPr>
                                <w:rStyle w:val="Strong"/>
                                <w:rFonts w:cstheme="minorHAnsi"/>
                              </w:rPr>
                              <w:t>:</w:t>
                            </w:r>
                          </w:p>
                          <w:p w14:paraId="6002AF98" w14:textId="77777777" w:rsidR="008B1C4B" w:rsidRPr="009465DE" w:rsidRDefault="008B1C4B" w:rsidP="00331EAA">
                            <w:pPr>
                              <w:rPr>
                                <w:rStyle w:val="Strong"/>
                                <w:rFonts w:cstheme="minorHAnsi"/>
                                <w:b w:val="0"/>
                                <w:bCs w:val="0"/>
                              </w:rPr>
                            </w:pPr>
                            <w:r w:rsidRPr="00825806">
                              <w:t xml:space="preserve">The term </w:t>
                            </w:r>
                            <w:r>
                              <w:t>‘</w:t>
                            </w:r>
                            <w:r w:rsidRPr="00825806">
                              <w:t>cluster</w:t>
                            </w:r>
                            <w:r>
                              <w:t>’ in relation to COVID-19</w:t>
                            </w:r>
                            <w:r w:rsidRPr="00825806">
                              <w:t xml:space="preserve"> refers to two or more cases </w:t>
                            </w:r>
                            <w:r>
                              <w:t xml:space="preserve">(who do not reside in the same household) </w:t>
                            </w:r>
                            <w:r w:rsidRPr="00825806">
                              <w:t>that are epidemiologically related in time, place or person where a common source (such as an event or within a community) of infection is suspected but not yet established.</w:t>
                            </w:r>
                          </w:p>
                          <w:p w14:paraId="62173734" w14:textId="77777777" w:rsidR="008B1C4B" w:rsidRPr="00825806" w:rsidRDefault="008B1C4B" w:rsidP="00331EAA">
                            <w:pPr>
                              <w:rPr>
                                <w:rStyle w:val="Strong"/>
                                <w:rFonts w:cstheme="minorHAnsi"/>
                              </w:rPr>
                            </w:pPr>
                            <w:r>
                              <w:rPr>
                                <w:rStyle w:val="Strong"/>
                                <w:rFonts w:cstheme="minorHAnsi"/>
                              </w:rPr>
                              <w:t>Outbreak:</w:t>
                            </w:r>
                          </w:p>
                          <w:p w14:paraId="2FADAFB1" w14:textId="77777777" w:rsidR="008B1C4B" w:rsidRPr="00825806" w:rsidRDefault="008B1C4B" w:rsidP="00331EAA">
                            <w:r w:rsidRPr="00825806">
                              <w:t>The term</w:t>
                            </w:r>
                            <w:r>
                              <w:t xml:space="preserve"> ‘outbreak’ in relation to COVID-19 </w:t>
                            </w:r>
                            <w:r w:rsidRPr="00825806">
                              <w:t>refers to two or more cases</w:t>
                            </w:r>
                            <w:r>
                              <w:t xml:space="preserve"> (who do not reside in the same household)</w:t>
                            </w:r>
                            <w:r w:rsidRPr="00825806">
                              <w:t xml:space="preserve"> among a specific group of people and/or over a specific period of time where illness is </w:t>
                            </w:r>
                            <w:r>
                              <w:t xml:space="preserve">associated with a common source </w:t>
                            </w:r>
                            <w:r w:rsidRPr="00825806">
                              <w:t xml:space="preserve">(such as an event or </w:t>
                            </w:r>
                            <w:r>
                              <w:t xml:space="preserve">within a </w:t>
                            </w:r>
                            <w:r w:rsidRPr="00825806">
                              <w:t>community).</w:t>
                            </w:r>
                          </w:p>
                        </w:txbxContent>
                      </wps:txbx>
                      <wps:bodyPr rot="0" vert="horz" wrap="square" lIns="91440" tIns="45720" rIns="91440" bIns="45720" anchor="t" anchorCtr="0">
                        <a:noAutofit/>
                      </wps:bodyPr>
                    </wps:wsp>
                  </a:graphicData>
                </a:graphic>
              </wp:inline>
            </w:drawing>
          </mc:Choice>
          <mc:Fallback>
            <w:pict>
              <v:shapetype w14:anchorId="4DFA7268"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style="width:503.8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tqdgMAAOQGAAAOAAAAZHJzL2Uyb0RvYy54bWysVdtu3DYQfS/QfyBYoGiBxtpd37eWA9eu&#10;iwBpUyBu3ymJWhGmOCyHWu32KZ+R/F6+pIfUertOgD4E9YOwMyTPnJk5M756uemtWOvAhlwp50cz&#10;KbSrqTFuVco/Hu5fXEjBUblGWXK6lFvN8uX1119djX6pF9SRbXQQAHG8HH0puxj9sii47nSv+Ii8&#10;djhsKfQqwgyroglqBHpvi8VsdlaMFBofqNbM8N5Nh/I647etruObtmUdhS0luMX8DflbpW9xfaWW&#10;q6B8Z+odDfUFLHplHILuoe5UVGII5jOo3tSBmNp4VFNfUNuaWucckM189kk2bzvldc4FxWG/LxP/&#10;f7D1b+vfgzBNKRfzcymc6tGkB72J4ifaiIUUjeYa9cquCi7Uem3gFCj8IyqOC61xJqL/LNAnETst&#10;og49i4/v3td2YBgf330Q0EDy0BCroNVjdrEYWDfCOLwyLIL2FOKReNhBfIKAa0FblUKJSOL2zZ+v&#10;7l7ML+FsIcDkiiMJUOgpaFErBsvYqSgUTO3BujdkaWVqZe12wtpFN73+QXirap3ee8AhxthpPFQC&#10;nephMg0B59/xUHdCMRISeq1dTC9GgwTc7u6Acmy/F9QisaTAxBfZ8cAeFiJWQxSOothClxrTUVnD&#10;nW6eJ35YqP/KUIHbCpETuIGcxCrQ4FN0r8lbJOCaAhQJU3p4DUkaatK9iOx3yRprHSYp0VXMVBuV&#10;+KbsvrgOR99+s7n5MQ3a6HkJvb31UFzcQF9YGHlo2L+m+pFRk9tOuZW+CYFQfNVA6PP0sjh4OuFw&#10;AqnGX6mBXtUQKQNt2tCnKcRcCaBj4Lf7IU+aruE8O768WJzhqMbZYn58fDbLa6BQy6fnPnD8RVMP&#10;sTM2RkDXMrxav+aY6Kjl05UUjcma5h6ly8aWb20Qa4WFgz3V0CiFVRzhLOV9/stYduhBfrp3eTrb&#10;c+D8Psd4hmuhx1Iez89Pp5I9i5m2pd6HrVZTWQ9DnB+GeLr+eZTeYFqFNX0pL8BpYqWWqRc/Q0Yp&#10;waiMnX6jDNbtmpP6MXUmbqrNrtkVNVu0KdC0diFA/Ogo/C3FiJVbSv5rwGyiQK8cWn05PzlJOzob&#10;J6fnCxjh8KQ6PFGuBlQpo4TC08/bCGuWq+PoBpJoTW5W0s7EZMcVqzRnvlv7aVcf2vnWv/+crv8B&#10;AAD//wMAUEsDBBQABgAIAAAAIQAD+ynR2wAAAAYBAAAPAAAAZHJzL2Rvd25yZXYueG1sTI/BasMw&#10;EETvhf6D2EJujdQYnNa1HOJAyKWXpoFeFWsrm0orY8mO8/dVemkvC8MMM2/Lzewsm3AInScJT0sB&#10;DKnxuiMj4fSxf3wGFqIirawnlHDFAJvq/q5UhfYXesfpGA1LJRQKJaGNsS84D02LToWl75GS9+UH&#10;p2KSg+F6UJdU7ixfCZFzpzpKC63qcddi830cnYRwOI3Xdb2zb9nnqnZNbV6m0Ui5eJi3r8AizvEv&#10;DDf8hA5VYjr7kXRgVkJ6JP7emyfEOgd2lpBluQBelfw/fvUDAAD//wMAUEsBAi0AFAAGAAgAAAAh&#10;ALaDOJL+AAAA4QEAABMAAAAAAAAAAAAAAAAAAAAAAFtDb250ZW50X1R5cGVzXS54bWxQSwECLQAU&#10;AAYACAAAACEAOP0h/9YAAACUAQAACwAAAAAAAAAAAAAAAAAvAQAAX3JlbHMvLnJlbHNQSwECLQAU&#10;AAYACAAAACEA1QILanYDAADkBgAADgAAAAAAAAAAAAAAAAAuAgAAZHJzL2Uyb0RvYy54bWxQSwEC&#10;LQAUAAYACAAAACEAA/sp0dsAAAAGAQAADwAAAAAAAAAAAAAAAADQBQAAZHJzL2Rvd25yZXYueG1s&#10;UEsFBgAAAAAEAAQA8wAAANgGAAAAAA==&#10;" fillcolor="#f2f2f2" strokecolor="#bfbfbf [2412]" strokeweight=".25pt">
                <v:textbox>
                  <w:txbxContent>
                    <w:p w14:paraId="682B4BAA" w14:textId="77777777" w:rsidR="008B1C4B" w:rsidRPr="00825806" w:rsidRDefault="008B1C4B" w:rsidP="00331EAA">
                      <w:pPr>
                        <w:rPr>
                          <w:rStyle w:val="Strong"/>
                          <w:rFonts w:cstheme="minorHAnsi"/>
                        </w:rPr>
                      </w:pPr>
                      <w:r>
                        <w:rPr>
                          <w:rStyle w:val="Strong"/>
                          <w:rFonts w:cstheme="minorHAnsi"/>
                        </w:rPr>
                        <w:t>Cluster</w:t>
                      </w:r>
                      <w:r w:rsidRPr="00825806">
                        <w:rPr>
                          <w:rStyle w:val="Strong"/>
                          <w:rFonts w:cstheme="minorHAnsi"/>
                        </w:rPr>
                        <w:t>:</w:t>
                      </w:r>
                    </w:p>
                    <w:p w14:paraId="6002AF98" w14:textId="77777777" w:rsidR="008B1C4B" w:rsidRPr="009465DE" w:rsidRDefault="008B1C4B" w:rsidP="00331EAA">
                      <w:pPr>
                        <w:rPr>
                          <w:rStyle w:val="Strong"/>
                          <w:rFonts w:cstheme="minorHAnsi"/>
                          <w:b w:val="0"/>
                          <w:bCs w:val="0"/>
                        </w:rPr>
                      </w:pPr>
                      <w:r w:rsidRPr="00825806">
                        <w:t xml:space="preserve">The term </w:t>
                      </w:r>
                      <w:r>
                        <w:t>‘</w:t>
                      </w:r>
                      <w:r w:rsidRPr="00825806">
                        <w:t>cluster</w:t>
                      </w:r>
                      <w:r>
                        <w:t>’ in relation to COVID-19</w:t>
                      </w:r>
                      <w:r w:rsidRPr="00825806">
                        <w:t xml:space="preserve"> refers to two or more cases </w:t>
                      </w:r>
                      <w:r>
                        <w:t xml:space="preserve">(who do not reside in the same household) </w:t>
                      </w:r>
                      <w:r w:rsidRPr="00825806">
                        <w:t>that are epidemiologically related in time, place or person where a common source (such as an event or within a community) of infection is suspected but not yet established.</w:t>
                      </w:r>
                    </w:p>
                    <w:p w14:paraId="62173734" w14:textId="77777777" w:rsidR="008B1C4B" w:rsidRPr="00825806" w:rsidRDefault="008B1C4B" w:rsidP="00331EAA">
                      <w:pPr>
                        <w:rPr>
                          <w:rStyle w:val="Strong"/>
                          <w:rFonts w:cstheme="minorHAnsi"/>
                        </w:rPr>
                      </w:pPr>
                      <w:r>
                        <w:rPr>
                          <w:rStyle w:val="Strong"/>
                          <w:rFonts w:cstheme="minorHAnsi"/>
                        </w:rPr>
                        <w:t>Outbreak:</w:t>
                      </w:r>
                    </w:p>
                    <w:p w14:paraId="2FADAFB1" w14:textId="77777777" w:rsidR="008B1C4B" w:rsidRPr="00825806" w:rsidRDefault="008B1C4B" w:rsidP="00331EAA">
                      <w:r w:rsidRPr="00825806">
                        <w:t>The term</w:t>
                      </w:r>
                      <w:r>
                        <w:t xml:space="preserve"> ‘outbreak’ in relation to COVID-19 </w:t>
                      </w:r>
                      <w:r w:rsidRPr="00825806">
                        <w:t>refers to two or more cases</w:t>
                      </w:r>
                      <w:r>
                        <w:t xml:space="preserve"> (who do not reside in the same household)</w:t>
                      </w:r>
                      <w:r w:rsidRPr="00825806">
                        <w:t xml:space="preserve"> among a specific group of people and/or over a specific period of time where illness is </w:t>
                      </w:r>
                      <w:r>
                        <w:t xml:space="preserve">associated with a common source </w:t>
                      </w:r>
                      <w:r w:rsidRPr="00825806">
                        <w:t xml:space="preserve">(such as an event or </w:t>
                      </w:r>
                      <w:r>
                        <w:t xml:space="preserve">within a </w:t>
                      </w:r>
                      <w:r w:rsidRPr="00825806">
                        <w:t>community).</w:t>
                      </w:r>
                    </w:p>
                  </w:txbxContent>
                </v:textbox>
                <w10:anchorlock/>
              </v:shape>
            </w:pict>
          </mc:Fallback>
        </mc:AlternateContent>
      </w:r>
    </w:p>
    <w:p w14:paraId="490B24F6" w14:textId="5822C2CD" w:rsidR="00606972" w:rsidRPr="00331EAA" w:rsidRDefault="00606972" w:rsidP="00331EAA">
      <w:pPr>
        <w:rPr>
          <w:rFonts w:eastAsiaTheme="minorHAnsi"/>
          <w:lang w:eastAsia="en-US"/>
        </w:rPr>
      </w:pPr>
      <w:r w:rsidRPr="00331EAA">
        <w:rPr>
          <w:rFonts w:eastAsiaTheme="minorHAnsi"/>
          <w:lang w:eastAsia="en-US"/>
        </w:rPr>
        <w:t>Cruise ships account for a substantial proportion of cases of COVID-19 in Australia. Of cases with a reported place of acquisition, 18% (n = 1</w:t>
      </w:r>
      <w:r w:rsidR="00BA217C" w:rsidRPr="00331EAA">
        <w:rPr>
          <w:rFonts w:eastAsiaTheme="minorHAnsi"/>
          <w:lang w:eastAsia="en-US"/>
        </w:rPr>
        <w:t>,</w:t>
      </w:r>
      <w:r w:rsidRPr="00331EAA">
        <w:rPr>
          <w:rFonts w:eastAsiaTheme="minorHAnsi"/>
          <w:lang w:eastAsia="en-US"/>
        </w:rPr>
        <w:t xml:space="preserve">107) were acquired at sea on a cruise ship. The number of new cases acquired at sea on cruise ships has decreased in comparison to previous weeks; this in part reflects the implementation of public health responses, in particular the cruise ship arrivals ban. There have been 25 deaths among cases acquired on cruise ships in Australia. </w:t>
      </w:r>
    </w:p>
    <w:p w14:paraId="4B5D64A1" w14:textId="4B95D432" w:rsidR="0089256A" w:rsidRPr="00331EAA" w:rsidRDefault="00606972" w:rsidP="00331EAA">
      <w:r w:rsidRPr="00331EAA">
        <w:rPr>
          <w:rFonts w:eastAsiaTheme="minorHAnsi"/>
        </w:rPr>
        <w:t>Residents of aged care facilities are at increased risk of COVID-19 infection due to the environment of communal living facilities and are more vulnerable to serious complications if they do become infected. As of 10 May 2020, there have been 121 cases of COVID-19 associated with 26 residential aged care facilities, with 39 recoveries and 26 deaths. Sixty-three of these cases occurred in aged care residents, with the remaining 58 cases occurring in care staff. In addition, there have been 41 cases associated with</w:t>
      </w:r>
      <w:r w:rsidRPr="00331EAA">
        <w:rPr>
          <w:rFonts w:eastAsiaTheme="minorHAnsi"/>
          <w:shd w:val="clear" w:color="auto" w:fill="FFFFFF" w:themeFill="background1"/>
        </w:rPr>
        <w:t xml:space="preserve"> 29</w:t>
      </w:r>
      <w:r w:rsidRPr="00331EAA">
        <w:rPr>
          <w:rFonts w:eastAsiaTheme="minorHAnsi"/>
        </w:rPr>
        <w:t xml:space="preserve"> in-home Commonwealth funded aged care services providing support to older Australians who live at home, with 27 recoveries and 3 deaths. Thirty-one of these cases occurred in care recipients, with the remaining 10 cases occurring in care staff. Advice and guidelines have been provided to aged care services, including the release of an outbreak management guide.</w:t>
      </w:r>
    </w:p>
    <w:p w14:paraId="114D397F" w14:textId="77777777" w:rsidR="00870C02" w:rsidRDefault="00870C02" w:rsidP="00870C02">
      <w:pPr>
        <w:pStyle w:val="Heading2"/>
      </w:pPr>
      <w:r w:rsidRPr="001D3534">
        <w:rPr>
          <w:color w:val="000000" w:themeColor="text1"/>
        </w:rPr>
        <w:t>Symptom profile</w:t>
      </w:r>
      <w:r>
        <w:t xml:space="preserve"> </w:t>
      </w:r>
    </w:p>
    <w:p w14:paraId="5AA36EE3" w14:textId="45F7B6D1" w:rsidR="00870C02" w:rsidRPr="00331EAA" w:rsidRDefault="00870C02" w:rsidP="00331EAA">
      <w:r w:rsidRPr="00331EAA">
        <w:t>The symptoms reported by COVID-19 cases in Australia are consistent with a mild respiratory infection in the majority of cases. The most common symptoms reported</w:t>
      </w:r>
      <w:r w:rsidR="00723088" w:rsidRPr="00331EAA">
        <w:t xml:space="preserve"> (Figure 7)</w:t>
      </w:r>
      <w:r w:rsidRPr="00331EAA">
        <w:t xml:space="preserve"> were cough (69%), fever (47%), sore throat (40%) and headache (36%).</w:t>
      </w:r>
      <w:r w:rsidR="00E742A0" w:rsidRPr="00331EAA">
        <w:t xml:space="preserve"> </w:t>
      </w:r>
      <w:r w:rsidRPr="00331EAA">
        <w:t xml:space="preserve">In addition, loss of smell was reported from 609 cases and loss of taste from 580 cases. These conditions were reported in approximately 12% of cases, noting that this is currently not a standard field in NNDSS, and is likely to under-represent those presenting with these symptoms. </w:t>
      </w:r>
    </w:p>
    <w:p w14:paraId="4AE1EBAE" w14:textId="71A14624" w:rsidR="00870C02" w:rsidRPr="00331EAA" w:rsidRDefault="00870C02" w:rsidP="00331EAA">
      <w:r w:rsidRPr="00331EAA">
        <w:t>In a minority of cases more severe complications are reported</w:t>
      </w:r>
      <w:r w:rsidR="00362FB7" w:rsidRPr="00331EAA">
        <w:t>,</w:t>
      </w:r>
      <w:r w:rsidRPr="00331EAA">
        <w:t xml:space="preserve"> with pneumonia and/or acute respiratory disease (ARD) reported in 3% of cases with symptoms.</w:t>
      </w:r>
    </w:p>
    <w:p w14:paraId="581B5DA8" w14:textId="341F2B06" w:rsidR="00870C02" w:rsidRPr="00331EAA" w:rsidRDefault="00870C02" w:rsidP="00331EAA">
      <w:r w:rsidRPr="00331EAA">
        <w:t>The symptom profile of Australian cases is broadly similar to the symptoms reported by COVID-19 cases internationally. Among EU/EEA countries, fever/chills, dry or productive cough and sore through were the most commonly reported symptoms.</w:t>
      </w:r>
      <w:r w:rsidR="00BA217C" w:rsidRPr="00331EAA">
        <w:rPr>
          <w:vertAlign w:val="superscript"/>
        </w:rPr>
        <w:t>2</w:t>
      </w:r>
      <w:r w:rsidRPr="00331EAA">
        <w:t xml:space="preserve"> Differences in reported symptoms will be influenced by differences in surveillance strategies and symptom reporting across countries.</w:t>
      </w:r>
    </w:p>
    <w:p w14:paraId="2B63EDA6" w14:textId="5C978814" w:rsidR="003F2282" w:rsidRDefault="003F2282" w:rsidP="00D06BF4">
      <w:pPr>
        <w:pStyle w:val="CDIFigures"/>
        <w:sectPr w:rsidR="003F2282" w:rsidSect="00D06BF4">
          <w:footnotePr>
            <w:numFmt w:val="lowerRoman"/>
          </w:footnotePr>
          <w:pgSz w:w="11906" w:h="16838"/>
          <w:pgMar w:top="709" w:right="851" w:bottom="425" w:left="851" w:header="709" w:footer="709" w:gutter="0"/>
          <w:cols w:space="708"/>
          <w:docGrid w:linePitch="360"/>
        </w:sectPr>
      </w:pPr>
    </w:p>
    <w:p w14:paraId="13471090" w14:textId="7B88D9F8" w:rsidR="00E4281B" w:rsidRPr="00911389" w:rsidRDefault="00E4281B" w:rsidP="00D06BF4">
      <w:pPr>
        <w:pStyle w:val="CDIFigures"/>
      </w:pPr>
      <w:r w:rsidRPr="00911389">
        <w:lastRenderedPageBreak/>
        <w:t xml:space="preserve">Figure </w:t>
      </w:r>
      <w:r w:rsidR="00723088">
        <w:t>7</w:t>
      </w:r>
      <w:r w:rsidRPr="00911389">
        <w:t>: Variation in combinations of COVID-19 symptoms in confirmed cases, Australia</w:t>
      </w:r>
      <w:r w:rsidRPr="00911389">
        <w:rPr>
          <w:vertAlign w:val="superscript"/>
        </w:rPr>
        <w:t>a</w:t>
      </w:r>
    </w:p>
    <w:p w14:paraId="28532F78" w14:textId="5CF022B4" w:rsidR="00E4281B" w:rsidRDefault="006A5591" w:rsidP="00473A06">
      <w:pPr>
        <w:spacing w:after="0" w:line="240" w:lineRule="auto"/>
        <w:ind w:left="66"/>
        <w:jc w:val="center"/>
        <w:rPr>
          <w:sz w:val="24"/>
          <w:szCs w:val="24"/>
        </w:rPr>
      </w:pPr>
      <w:r>
        <w:rPr>
          <w:noProof/>
          <w:sz w:val="24"/>
          <w:szCs w:val="24"/>
        </w:rPr>
        <w:drawing>
          <wp:inline distT="0" distB="0" distL="0" distR="0" wp14:anchorId="03702883" wp14:editId="12E37559">
            <wp:extent cx="7867650" cy="5109664"/>
            <wp:effectExtent l="0" t="0" r="0" b="0"/>
            <wp:docPr id="17" name="Picture 17" descr="Bar chart showing the frequency of different combinations of the five most-commonly reported symptoms of COVID-19: cough, fever, sore throat, headache, and runny n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7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879503" cy="5117362"/>
                    </a:xfrm>
                    <a:prstGeom prst="rect">
                      <a:avLst/>
                    </a:prstGeom>
                  </pic:spPr>
                </pic:pic>
              </a:graphicData>
            </a:graphic>
          </wp:inline>
        </w:drawing>
      </w:r>
    </w:p>
    <w:p w14:paraId="1A50C931" w14:textId="02BB15EE" w:rsidR="00E4281B" w:rsidRPr="00331EAA" w:rsidRDefault="00F72330" w:rsidP="00331EAA">
      <w:pPr>
        <w:pStyle w:val="CDIfootnotes"/>
      </w:pPr>
      <w:r w:rsidRPr="00331EAA">
        <w:t>a</w:t>
      </w:r>
      <w:r w:rsidRPr="00331EAA">
        <w:tab/>
      </w:r>
      <w:r w:rsidR="00E4281B" w:rsidRPr="00331EAA">
        <w:t>This figure shows the variation in combinations of symptoms observ</w:t>
      </w:r>
      <w:r w:rsidR="00A36421" w:rsidRPr="00331EAA">
        <w:t xml:space="preserve">ed in reported cases (n = </w:t>
      </w:r>
      <w:r w:rsidR="00442C9F" w:rsidRPr="00331EAA">
        <w:t>6,476</w:t>
      </w:r>
      <w:r w:rsidR="00C63241" w:rsidRPr="00331EAA">
        <w:t>)</w:t>
      </w:r>
      <w:r w:rsidR="00E4281B" w:rsidRPr="00331EAA">
        <w:t xml:space="preserve">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r w:rsidR="00387886" w:rsidRPr="00331EAA">
        <w:t>.</w:t>
      </w:r>
    </w:p>
    <w:p w14:paraId="284311ED" w14:textId="77777777" w:rsidR="00473A06" w:rsidRDefault="00473A06" w:rsidP="00650D81">
      <w:pPr>
        <w:spacing w:after="0" w:line="240" w:lineRule="auto"/>
        <w:ind w:left="66"/>
        <w:rPr>
          <w:sz w:val="24"/>
          <w:szCs w:val="24"/>
        </w:rPr>
        <w:sectPr w:rsidR="00473A06" w:rsidSect="00210B3A">
          <w:footnotePr>
            <w:numFmt w:val="lowerRoman"/>
          </w:footnotePr>
          <w:pgSz w:w="16838" w:h="11906" w:orient="landscape"/>
          <w:pgMar w:top="851" w:right="709" w:bottom="851" w:left="425" w:header="709" w:footer="709" w:gutter="0"/>
          <w:cols w:space="708"/>
          <w:docGrid w:linePitch="360"/>
        </w:sectPr>
      </w:pPr>
    </w:p>
    <w:p w14:paraId="3013829F" w14:textId="77777777" w:rsidR="00E4281B" w:rsidRPr="00331EAA" w:rsidRDefault="00E4281B" w:rsidP="00331EAA">
      <w:pPr>
        <w:pStyle w:val="Heading2"/>
      </w:pPr>
      <w:r w:rsidRPr="00331EAA">
        <w:lastRenderedPageBreak/>
        <w:t xml:space="preserve">Severity </w:t>
      </w:r>
    </w:p>
    <w:p w14:paraId="36E3E134" w14:textId="5E63821C" w:rsidR="005823DA" w:rsidRPr="00331EAA" w:rsidRDefault="00870C02" w:rsidP="00331EAA">
      <w:r w:rsidRPr="00331EAA">
        <w:t>Higher disease severity, as indicated by hospitalisation and death, was associated with increased age and comorbidities</w:t>
      </w:r>
      <w:r w:rsidR="00723088" w:rsidRPr="00331EAA">
        <w:t xml:space="preserve"> (Figure 8)</w:t>
      </w:r>
      <w:r w:rsidRPr="00331EAA">
        <w:t>. The median age of cases who were hospitalised (median: 61, interquartile range (IQR): 43–72 years) and died (median: 80, IQR: 74–86) was higher than for cases overall (median: 47 years, IQR: 29–62 years). This is consistent with international reporting and reflects a greater risk of severe disease, complications, and deaths in the elderly</w:t>
      </w:r>
      <w:r w:rsidR="00D93B7F" w:rsidRPr="00331EAA">
        <w:t xml:space="preserve"> (Table</w:t>
      </w:r>
      <w:r w:rsidR="00362FB7" w:rsidRPr="00331EAA">
        <w:t>s</w:t>
      </w:r>
      <w:r w:rsidR="00D93B7F" w:rsidRPr="00331EAA">
        <w:t xml:space="preserve"> 4</w:t>
      </w:r>
      <w:r w:rsidR="00362FB7" w:rsidRPr="00331EAA">
        <w:t xml:space="preserve"> and</w:t>
      </w:r>
      <w:r w:rsidR="00D93B7F" w:rsidRPr="00331EAA">
        <w:t xml:space="preserve"> 5)</w:t>
      </w:r>
      <w:r w:rsidRPr="00331EAA">
        <w:t>.</w:t>
      </w:r>
    </w:p>
    <w:p w14:paraId="0C3BFB9A" w14:textId="77777777" w:rsidR="00723088" w:rsidRPr="00331EAA" w:rsidRDefault="00723088" w:rsidP="00331EAA">
      <w:pPr>
        <w:pStyle w:val="CDIFigures"/>
      </w:pPr>
      <w:r w:rsidRPr="00331EAA">
        <w:t>Figure 8: Age distribution of all cases, hospitalised cases, and deaths with median, interquartile range, and range</w:t>
      </w:r>
    </w:p>
    <w:p w14:paraId="742FF00D" w14:textId="423FDF92" w:rsidR="00723088" w:rsidRDefault="006A5591" w:rsidP="00723088">
      <w:pPr>
        <w:pStyle w:val="CDIFigures"/>
        <w:jc w:val="center"/>
      </w:pPr>
      <w:r>
        <w:rPr>
          <w:noProof/>
        </w:rPr>
        <w:drawing>
          <wp:inline distT="0" distB="0" distL="0" distR="0" wp14:anchorId="2770B33D" wp14:editId="07B70264">
            <wp:extent cx="6105156" cy="3977648"/>
            <wp:effectExtent l="0" t="0" r="0" b="3810"/>
            <wp:docPr id="19" name="Picture 19" descr="A box plot showing the age range, median, upper and lower quartile ages of all confirmed COVID-19 cases (range 0–100 years, median = 47 years, interquartile range 29–62 years), of hospitalised COVID-19 cases (range 0–94 years, median = 61 years, interquartile range 43–72 years) and deaths attributed to COVID-19 in Australia (range 42–94 years, median = 80 years, interquartile range 74–86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xsl_figures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05156" cy="3977648"/>
                    </a:xfrm>
                    <a:prstGeom prst="rect">
                      <a:avLst/>
                    </a:prstGeom>
                  </pic:spPr>
                </pic:pic>
              </a:graphicData>
            </a:graphic>
          </wp:inline>
        </w:drawing>
      </w:r>
    </w:p>
    <w:p w14:paraId="7ED9669F" w14:textId="1377F389" w:rsidR="005823DA" w:rsidRPr="00331EAA" w:rsidRDefault="005823DA" w:rsidP="00331EAA">
      <w:pPr>
        <w:pStyle w:val="CDIFigures"/>
      </w:pPr>
      <w:r w:rsidRPr="00331EAA">
        <w:t>Table 4: Demographics of all cases, hospitalised cases and deaths</w:t>
      </w:r>
      <w:r w:rsidR="009C3614" w:rsidRPr="00331EAA">
        <w:t>, Australia</w:t>
      </w:r>
    </w:p>
    <w:tbl>
      <w:tblPr>
        <w:tblStyle w:val="CDI-StandardTable"/>
        <w:tblW w:w="10204" w:type="dxa"/>
        <w:tblCellMar>
          <w:top w:w="57" w:type="dxa"/>
          <w:left w:w="57" w:type="dxa"/>
          <w:bottom w:w="57" w:type="dxa"/>
          <w:right w:w="57" w:type="dxa"/>
        </w:tblCellMar>
        <w:tblLook w:val="04A0" w:firstRow="1" w:lastRow="0" w:firstColumn="1" w:lastColumn="0" w:noHBand="0" w:noVBand="1"/>
        <w:tblDescription w:val="Table 4 summarises the demographics of all notified COVID-19 cases, hospitalised COVID-19 cases, and COVID-19 deaths within Australia. Expressed as a proportion of notified cases, the crude case fatality rate (CFR) is approximately 1.3%, rising to 7.9% among hospitalised cases. &#10;"/>
      </w:tblPr>
      <w:tblGrid>
        <w:gridCol w:w="1268"/>
        <w:gridCol w:w="943"/>
        <w:gridCol w:w="929"/>
        <w:gridCol w:w="829"/>
        <w:gridCol w:w="953"/>
        <w:gridCol w:w="1019"/>
        <w:gridCol w:w="879"/>
        <w:gridCol w:w="1057"/>
        <w:gridCol w:w="1236"/>
        <w:gridCol w:w="1091"/>
      </w:tblGrid>
      <w:tr w:rsidR="00E75562" w:rsidRPr="00331EAA" w14:paraId="5C34DC4A" w14:textId="2FD4CA36" w:rsidTr="00E75562">
        <w:trPr>
          <w:cnfStyle w:val="100000000000" w:firstRow="1" w:lastRow="0" w:firstColumn="0" w:lastColumn="0" w:oddVBand="0" w:evenVBand="0" w:oddHBand="0" w:evenHBand="0" w:firstRowFirstColumn="0" w:firstRowLastColumn="0" w:lastRowFirstColumn="0" w:lastRowLastColumn="0"/>
          <w:tblHeader/>
        </w:trPr>
        <w:tc>
          <w:tcPr>
            <w:tcW w:w="1268" w:type="dxa"/>
            <w:vMerge w:val="restart"/>
            <w:tcBorders>
              <w:right w:val="single" w:sz="2" w:space="0" w:color="FFFFFF" w:themeColor="background1"/>
            </w:tcBorders>
          </w:tcPr>
          <w:p w14:paraId="7542CD0E" w14:textId="77777777" w:rsidR="00E75562" w:rsidRPr="00331EAA" w:rsidRDefault="00E75562" w:rsidP="00AD6FCF">
            <w:pPr>
              <w:widowControl w:val="0"/>
              <w:rPr>
                <w:rFonts w:ascii="Calibri" w:eastAsia="Calibri" w:hAnsi="Calibri" w:cs="Calibri"/>
                <w:color w:val="FFFFFF" w:themeColor="background1"/>
                <w:sz w:val="18"/>
                <w:szCs w:val="18"/>
              </w:rPr>
            </w:pPr>
          </w:p>
        </w:tc>
        <w:tc>
          <w:tcPr>
            <w:tcW w:w="2701" w:type="dxa"/>
            <w:gridSpan w:val="3"/>
            <w:tcBorders>
              <w:left w:val="single" w:sz="2" w:space="0" w:color="FFFFFF" w:themeColor="background1"/>
              <w:bottom w:val="single" w:sz="2" w:space="0" w:color="FFFFFF" w:themeColor="background1"/>
              <w:right w:val="single" w:sz="2" w:space="0" w:color="FFFFFF" w:themeColor="background1"/>
            </w:tcBorders>
          </w:tcPr>
          <w:p w14:paraId="44DD4CDF" w14:textId="6E8CAA96"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All cases</w:t>
            </w:r>
          </w:p>
        </w:tc>
        <w:tc>
          <w:tcPr>
            <w:tcW w:w="2851" w:type="dxa"/>
            <w:gridSpan w:val="3"/>
            <w:tcBorders>
              <w:left w:val="single" w:sz="2" w:space="0" w:color="FFFFFF" w:themeColor="background1"/>
              <w:bottom w:val="single" w:sz="2" w:space="0" w:color="FFFFFF" w:themeColor="background1"/>
              <w:right w:val="single" w:sz="2" w:space="0" w:color="FFFFFF" w:themeColor="background1"/>
            </w:tcBorders>
          </w:tcPr>
          <w:p w14:paraId="1A522A91" w14:textId="602F161A"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Hospitalisation</w:t>
            </w:r>
          </w:p>
        </w:tc>
        <w:tc>
          <w:tcPr>
            <w:tcW w:w="3384" w:type="dxa"/>
            <w:gridSpan w:val="3"/>
            <w:tcBorders>
              <w:left w:val="single" w:sz="2" w:space="0" w:color="FFFFFF" w:themeColor="background1"/>
              <w:bottom w:val="single" w:sz="2" w:space="0" w:color="FFFFFF" w:themeColor="background1"/>
            </w:tcBorders>
          </w:tcPr>
          <w:p w14:paraId="115E582E" w14:textId="73E7E52C"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Death</w:t>
            </w:r>
          </w:p>
        </w:tc>
      </w:tr>
      <w:tr w:rsidR="00E75562" w:rsidRPr="00331EAA" w14:paraId="2B6BE7D0" w14:textId="6B699907" w:rsidTr="00E75562">
        <w:trPr>
          <w:cnfStyle w:val="100000000000" w:firstRow="1" w:lastRow="0" w:firstColumn="0" w:lastColumn="0" w:oddVBand="0" w:evenVBand="0" w:oddHBand="0" w:evenHBand="0" w:firstRowFirstColumn="0" w:firstRowLastColumn="0" w:lastRowFirstColumn="0" w:lastRowLastColumn="0"/>
          <w:tblHeader/>
        </w:trPr>
        <w:tc>
          <w:tcPr>
            <w:tcW w:w="1268" w:type="dxa"/>
            <w:vMerge/>
            <w:tcBorders>
              <w:right w:val="single" w:sz="2" w:space="0" w:color="FFFFFF" w:themeColor="background1"/>
            </w:tcBorders>
          </w:tcPr>
          <w:p w14:paraId="72F3EFFA" w14:textId="77777777" w:rsidR="00E75562" w:rsidRPr="00331EAA" w:rsidRDefault="00E75562" w:rsidP="00AD6FCF">
            <w:pPr>
              <w:widowControl w:val="0"/>
              <w:rPr>
                <w:rFonts w:ascii="Calibri" w:eastAsia="Calibri" w:hAnsi="Calibri" w:cs="Calibri"/>
                <w:color w:val="FFFFFF" w:themeColor="background1"/>
                <w:sz w:val="18"/>
                <w:szCs w:val="18"/>
              </w:rPr>
            </w:pPr>
          </w:p>
        </w:tc>
        <w:tc>
          <w:tcPr>
            <w:tcW w:w="943" w:type="dxa"/>
            <w:tcBorders>
              <w:top w:val="single" w:sz="2" w:space="0" w:color="FFFFFF" w:themeColor="background1"/>
              <w:left w:val="single" w:sz="2" w:space="0" w:color="FFFFFF" w:themeColor="background1"/>
              <w:right w:val="single" w:sz="2" w:space="0" w:color="FFFFFF" w:themeColor="background1"/>
            </w:tcBorders>
          </w:tcPr>
          <w:p w14:paraId="134A35A5"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929" w:type="dxa"/>
            <w:tcBorders>
              <w:top w:val="single" w:sz="2" w:space="0" w:color="FFFFFF" w:themeColor="background1"/>
              <w:left w:val="single" w:sz="2" w:space="0" w:color="FFFFFF" w:themeColor="background1"/>
              <w:right w:val="single" w:sz="2" w:space="0" w:color="FFFFFF" w:themeColor="background1"/>
            </w:tcBorders>
          </w:tcPr>
          <w:p w14:paraId="20F8BD1B"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829" w:type="dxa"/>
            <w:tcBorders>
              <w:top w:val="single" w:sz="2" w:space="0" w:color="FFFFFF" w:themeColor="background1"/>
              <w:left w:val="single" w:sz="2" w:space="0" w:color="FFFFFF" w:themeColor="background1"/>
              <w:right w:val="single" w:sz="2" w:space="0" w:color="FFFFFF" w:themeColor="background1"/>
            </w:tcBorders>
          </w:tcPr>
          <w:p w14:paraId="7E728E10" w14:textId="28D53B3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c>
          <w:tcPr>
            <w:tcW w:w="953" w:type="dxa"/>
            <w:tcBorders>
              <w:top w:val="single" w:sz="2" w:space="0" w:color="FFFFFF" w:themeColor="background1"/>
              <w:left w:val="single" w:sz="2" w:space="0" w:color="FFFFFF" w:themeColor="background1"/>
              <w:right w:val="single" w:sz="2" w:space="0" w:color="FFFFFF" w:themeColor="background1"/>
            </w:tcBorders>
          </w:tcPr>
          <w:p w14:paraId="017B7733" w14:textId="78DAD6E2"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1019" w:type="dxa"/>
            <w:tcBorders>
              <w:top w:val="single" w:sz="2" w:space="0" w:color="FFFFFF" w:themeColor="background1"/>
              <w:left w:val="single" w:sz="2" w:space="0" w:color="FFFFFF" w:themeColor="background1"/>
              <w:right w:val="single" w:sz="2" w:space="0" w:color="FFFFFF" w:themeColor="background1"/>
            </w:tcBorders>
          </w:tcPr>
          <w:p w14:paraId="78989074"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879" w:type="dxa"/>
            <w:tcBorders>
              <w:top w:val="single" w:sz="2" w:space="0" w:color="FFFFFF" w:themeColor="background1"/>
              <w:left w:val="single" w:sz="2" w:space="0" w:color="FFFFFF" w:themeColor="background1"/>
              <w:right w:val="single" w:sz="2" w:space="0" w:color="FFFFFF" w:themeColor="background1"/>
            </w:tcBorders>
          </w:tcPr>
          <w:p w14:paraId="3BBE41BB" w14:textId="1A534BF0"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c>
          <w:tcPr>
            <w:tcW w:w="1057" w:type="dxa"/>
            <w:tcBorders>
              <w:top w:val="single" w:sz="2" w:space="0" w:color="FFFFFF" w:themeColor="background1"/>
              <w:left w:val="single" w:sz="2" w:space="0" w:color="FFFFFF" w:themeColor="background1"/>
              <w:right w:val="single" w:sz="2" w:space="0" w:color="FFFFFF" w:themeColor="background1"/>
            </w:tcBorders>
          </w:tcPr>
          <w:p w14:paraId="0FEAA370" w14:textId="5D37AB94"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 xml:space="preserve">Male </w:t>
            </w:r>
          </w:p>
        </w:tc>
        <w:tc>
          <w:tcPr>
            <w:tcW w:w="1236" w:type="dxa"/>
            <w:tcBorders>
              <w:top w:val="single" w:sz="2" w:space="0" w:color="FFFFFF" w:themeColor="background1"/>
              <w:left w:val="single" w:sz="2" w:space="0" w:color="FFFFFF" w:themeColor="background1"/>
            </w:tcBorders>
          </w:tcPr>
          <w:p w14:paraId="378CB0EB" w14:textId="77777777"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Female</w:t>
            </w:r>
          </w:p>
        </w:tc>
        <w:tc>
          <w:tcPr>
            <w:tcW w:w="1091" w:type="dxa"/>
            <w:tcBorders>
              <w:top w:val="single" w:sz="2" w:space="0" w:color="FFFFFF" w:themeColor="background1"/>
              <w:left w:val="single" w:sz="2" w:space="0" w:color="FFFFFF" w:themeColor="background1"/>
            </w:tcBorders>
          </w:tcPr>
          <w:p w14:paraId="4D2083D9" w14:textId="582FD4A8" w:rsidR="00E75562" w:rsidRPr="00331EAA" w:rsidRDefault="00E75562" w:rsidP="00AD6FCF">
            <w:pPr>
              <w:widowControl w:val="0"/>
              <w:jc w:val="center"/>
              <w:rPr>
                <w:rFonts w:ascii="Calibri" w:eastAsia="Calibri" w:hAnsi="Calibri" w:cs="Calibri"/>
                <w:color w:val="FFFFFF" w:themeColor="background1"/>
                <w:sz w:val="18"/>
                <w:szCs w:val="18"/>
              </w:rPr>
            </w:pPr>
            <w:r w:rsidRPr="00331EAA">
              <w:rPr>
                <w:rFonts w:ascii="Calibri" w:eastAsia="Calibri" w:hAnsi="Calibri" w:cs="Calibri"/>
                <w:color w:val="FFFFFF" w:themeColor="background1"/>
                <w:sz w:val="18"/>
                <w:szCs w:val="18"/>
              </w:rPr>
              <w:t>Persons</w:t>
            </w:r>
          </w:p>
        </w:tc>
      </w:tr>
      <w:tr w:rsidR="00E75562" w:rsidRPr="00331EAA" w14:paraId="10BEC9ED" w14:textId="736F01A8" w:rsidTr="00E75562">
        <w:tc>
          <w:tcPr>
            <w:tcW w:w="1268" w:type="dxa"/>
            <w:tcBorders>
              <w:bottom w:val="single" w:sz="2" w:space="0" w:color="000000" w:themeColor="text1"/>
              <w:right w:val="single" w:sz="2" w:space="0" w:color="000000" w:themeColor="text1"/>
            </w:tcBorders>
          </w:tcPr>
          <w:p w14:paraId="65A8D221" w14:textId="77777777" w:rsidR="00E75562" w:rsidRPr="00331EAA" w:rsidRDefault="00E75562" w:rsidP="00AD6FCF">
            <w:pPr>
              <w:widowControl w:val="0"/>
              <w:rPr>
                <w:rFonts w:eastAsia="Calibri" w:cs="Calibri"/>
                <w:sz w:val="18"/>
                <w:szCs w:val="18"/>
              </w:rPr>
            </w:pPr>
            <w:r w:rsidRPr="00331EAA">
              <w:rPr>
                <w:rFonts w:eastAsia="Calibri" w:cs="Calibri"/>
                <w:sz w:val="18"/>
                <w:szCs w:val="18"/>
              </w:rPr>
              <w:t>Median age (IQR)</w:t>
            </w:r>
          </w:p>
        </w:tc>
        <w:tc>
          <w:tcPr>
            <w:tcW w:w="943" w:type="dxa"/>
            <w:tcBorders>
              <w:left w:val="single" w:sz="2" w:space="0" w:color="000000" w:themeColor="text1"/>
              <w:bottom w:val="single" w:sz="2" w:space="0" w:color="000000" w:themeColor="text1"/>
              <w:right w:val="single" w:sz="2" w:space="0" w:color="000000" w:themeColor="text1"/>
            </w:tcBorders>
          </w:tcPr>
          <w:p w14:paraId="18922557" w14:textId="3CB520F9" w:rsidR="00E75562" w:rsidRPr="00331EAA" w:rsidRDefault="00E75562" w:rsidP="001B4843">
            <w:pPr>
              <w:widowControl w:val="0"/>
              <w:jc w:val="center"/>
              <w:rPr>
                <w:rFonts w:eastAsia="Calibri" w:cs="Calibri"/>
                <w:sz w:val="18"/>
                <w:szCs w:val="18"/>
              </w:rPr>
            </w:pPr>
            <w:r w:rsidRPr="00331EAA">
              <w:rPr>
                <w:rFonts w:eastAsia="Calibri" w:cs="Calibri"/>
                <w:sz w:val="18"/>
                <w:szCs w:val="18"/>
              </w:rPr>
              <w:t xml:space="preserve">48 </w:t>
            </w:r>
            <w:r w:rsidRPr="00331EAA">
              <w:rPr>
                <w:rFonts w:eastAsia="Calibri" w:cs="Calibri"/>
                <w:sz w:val="18"/>
                <w:szCs w:val="18"/>
              </w:rPr>
              <w:br/>
              <w:t>(</w:t>
            </w:r>
            <w:r w:rsidR="001B4843" w:rsidRPr="00331EAA">
              <w:rPr>
                <w:rFonts w:eastAsia="Calibri" w:cs="Calibri"/>
                <w:sz w:val="18"/>
                <w:szCs w:val="18"/>
              </w:rPr>
              <w:t>30</w:t>
            </w:r>
            <w:r w:rsidRPr="00331EAA">
              <w:rPr>
                <w:rFonts w:eastAsia="Calibri" w:cs="Calibri"/>
                <w:sz w:val="18"/>
                <w:szCs w:val="18"/>
              </w:rPr>
              <w:t>–63)</w:t>
            </w:r>
          </w:p>
        </w:tc>
        <w:tc>
          <w:tcPr>
            <w:tcW w:w="929" w:type="dxa"/>
            <w:tcBorders>
              <w:left w:val="single" w:sz="2" w:space="0" w:color="000000" w:themeColor="text1"/>
              <w:bottom w:val="single" w:sz="2" w:space="0" w:color="000000" w:themeColor="text1"/>
              <w:right w:val="single" w:sz="2" w:space="0" w:color="000000" w:themeColor="text1"/>
            </w:tcBorders>
          </w:tcPr>
          <w:p w14:paraId="39AF3CEB" w14:textId="04EC071D" w:rsidR="00E75562" w:rsidRPr="00331EAA" w:rsidRDefault="00E75562" w:rsidP="00AD6FCF">
            <w:pPr>
              <w:widowControl w:val="0"/>
              <w:jc w:val="center"/>
              <w:rPr>
                <w:rFonts w:eastAsia="Calibri" w:cs="Calibri"/>
                <w:sz w:val="18"/>
                <w:szCs w:val="18"/>
              </w:rPr>
            </w:pPr>
            <w:r w:rsidRPr="00331EAA">
              <w:rPr>
                <w:rFonts w:eastAsia="Calibri" w:cs="Calibri"/>
                <w:sz w:val="18"/>
                <w:szCs w:val="18"/>
              </w:rPr>
              <w:t xml:space="preserve">47 </w:t>
            </w:r>
            <w:r w:rsidRPr="00331EAA">
              <w:rPr>
                <w:rFonts w:eastAsia="Calibri" w:cs="Calibri"/>
                <w:sz w:val="18"/>
                <w:szCs w:val="18"/>
              </w:rPr>
              <w:br/>
              <w:t>(28–62)</w:t>
            </w:r>
          </w:p>
        </w:tc>
        <w:tc>
          <w:tcPr>
            <w:tcW w:w="829" w:type="dxa"/>
            <w:tcBorders>
              <w:left w:val="single" w:sz="2" w:space="0" w:color="000000" w:themeColor="text1"/>
              <w:bottom w:val="single" w:sz="2" w:space="0" w:color="000000" w:themeColor="text1"/>
              <w:right w:val="single" w:sz="2" w:space="0" w:color="000000" w:themeColor="text1"/>
            </w:tcBorders>
          </w:tcPr>
          <w:p w14:paraId="072924D7" w14:textId="5E747E0D" w:rsidR="00E75562" w:rsidRPr="00331EAA" w:rsidRDefault="00E75562" w:rsidP="00AD6FCF">
            <w:pPr>
              <w:widowControl w:val="0"/>
              <w:jc w:val="center"/>
              <w:rPr>
                <w:rFonts w:eastAsia="Calibri" w:cs="Calibri"/>
                <w:sz w:val="18"/>
                <w:szCs w:val="18"/>
              </w:rPr>
            </w:pPr>
            <w:r w:rsidRPr="00331EAA">
              <w:rPr>
                <w:rFonts w:eastAsia="Calibri" w:cs="Calibri"/>
                <w:sz w:val="18"/>
                <w:szCs w:val="18"/>
              </w:rPr>
              <w:t>47</w:t>
            </w:r>
            <w:r w:rsidRPr="00331EAA">
              <w:rPr>
                <w:rFonts w:eastAsia="Calibri" w:cs="Calibri"/>
                <w:sz w:val="18"/>
                <w:szCs w:val="18"/>
              </w:rPr>
              <w:br/>
              <w:t>(29–62)</w:t>
            </w:r>
          </w:p>
        </w:tc>
        <w:tc>
          <w:tcPr>
            <w:tcW w:w="953" w:type="dxa"/>
            <w:tcBorders>
              <w:left w:val="single" w:sz="2" w:space="0" w:color="000000" w:themeColor="text1"/>
              <w:bottom w:val="single" w:sz="2" w:space="0" w:color="000000" w:themeColor="text1"/>
              <w:right w:val="single" w:sz="2" w:space="0" w:color="000000" w:themeColor="text1"/>
            </w:tcBorders>
          </w:tcPr>
          <w:p w14:paraId="12C0D3B3" w14:textId="1EB7CAD3" w:rsidR="00E75562" w:rsidRPr="00331EAA" w:rsidRDefault="00E75562" w:rsidP="00AD6FCF">
            <w:pPr>
              <w:widowControl w:val="0"/>
              <w:jc w:val="center"/>
              <w:rPr>
                <w:rFonts w:eastAsia="Calibri" w:cs="Calibri"/>
                <w:sz w:val="18"/>
                <w:szCs w:val="18"/>
              </w:rPr>
            </w:pPr>
            <w:r w:rsidRPr="00331EAA">
              <w:rPr>
                <w:rFonts w:eastAsia="Calibri" w:cs="Calibri"/>
                <w:sz w:val="18"/>
                <w:szCs w:val="18"/>
              </w:rPr>
              <w:t xml:space="preserve">62 </w:t>
            </w:r>
            <w:r w:rsidRPr="00331EAA">
              <w:rPr>
                <w:rFonts w:eastAsia="Calibri" w:cs="Calibri"/>
                <w:sz w:val="18"/>
                <w:szCs w:val="18"/>
              </w:rPr>
              <w:br/>
              <w:t>(45–73)</w:t>
            </w:r>
          </w:p>
        </w:tc>
        <w:tc>
          <w:tcPr>
            <w:tcW w:w="1019" w:type="dxa"/>
            <w:tcBorders>
              <w:left w:val="single" w:sz="2" w:space="0" w:color="000000" w:themeColor="text1"/>
              <w:bottom w:val="single" w:sz="2" w:space="0" w:color="000000" w:themeColor="text1"/>
              <w:right w:val="single" w:sz="2" w:space="0" w:color="000000" w:themeColor="text1"/>
            </w:tcBorders>
          </w:tcPr>
          <w:p w14:paraId="0A8622B8" w14:textId="6F82E4C7" w:rsidR="00E75562" w:rsidRPr="00331EAA" w:rsidRDefault="00E75562" w:rsidP="00AD6FCF">
            <w:pPr>
              <w:widowControl w:val="0"/>
              <w:jc w:val="center"/>
              <w:rPr>
                <w:rFonts w:eastAsia="Calibri" w:cs="Calibri"/>
                <w:sz w:val="18"/>
                <w:szCs w:val="18"/>
              </w:rPr>
            </w:pPr>
            <w:r w:rsidRPr="00331EAA">
              <w:rPr>
                <w:rFonts w:eastAsia="Calibri" w:cs="Calibri"/>
                <w:sz w:val="18"/>
                <w:szCs w:val="18"/>
              </w:rPr>
              <w:t xml:space="preserve">60 </w:t>
            </w:r>
            <w:r w:rsidRPr="00331EAA">
              <w:rPr>
                <w:rFonts w:eastAsia="Calibri" w:cs="Calibri"/>
                <w:sz w:val="18"/>
                <w:szCs w:val="18"/>
              </w:rPr>
              <w:br/>
              <w:t>(40–71)</w:t>
            </w:r>
          </w:p>
        </w:tc>
        <w:tc>
          <w:tcPr>
            <w:tcW w:w="879" w:type="dxa"/>
            <w:tcBorders>
              <w:left w:val="single" w:sz="2" w:space="0" w:color="000000" w:themeColor="text1"/>
              <w:bottom w:val="single" w:sz="2" w:space="0" w:color="000000" w:themeColor="text1"/>
              <w:right w:val="single" w:sz="2" w:space="0" w:color="000000" w:themeColor="text1"/>
            </w:tcBorders>
          </w:tcPr>
          <w:p w14:paraId="64D807FE" w14:textId="0D77E1F4" w:rsidR="00E75562" w:rsidRPr="00331EAA" w:rsidRDefault="00E75562" w:rsidP="00AD6FCF">
            <w:pPr>
              <w:widowControl w:val="0"/>
              <w:jc w:val="center"/>
              <w:rPr>
                <w:rFonts w:eastAsia="Calibri" w:cs="Calibri"/>
                <w:sz w:val="18"/>
                <w:szCs w:val="18"/>
              </w:rPr>
            </w:pPr>
            <w:r w:rsidRPr="00331EAA">
              <w:rPr>
                <w:rFonts w:eastAsia="Calibri" w:cs="Calibri"/>
                <w:sz w:val="18"/>
                <w:szCs w:val="18"/>
              </w:rPr>
              <w:t>61</w:t>
            </w:r>
            <w:r w:rsidRPr="00331EAA">
              <w:rPr>
                <w:rFonts w:eastAsia="Calibri" w:cs="Calibri"/>
                <w:sz w:val="18"/>
                <w:szCs w:val="18"/>
              </w:rPr>
              <w:br/>
              <w:t>(43–72)</w:t>
            </w:r>
          </w:p>
        </w:tc>
        <w:tc>
          <w:tcPr>
            <w:tcW w:w="1057" w:type="dxa"/>
            <w:tcBorders>
              <w:left w:val="single" w:sz="2" w:space="0" w:color="000000" w:themeColor="text1"/>
              <w:bottom w:val="single" w:sz="2" w:space="0" w:color="000000" w:themeColor="text1"/>
              <w:right w:val="single" w:sz="2" w:space="0" w:color="000000" w:themeColor="text1"/>
            </w:tcBorders>
          </w:tcPr>
          <w:p w14:paraId="56EE9228" w14:textId="0E8A05FC" w:rsidR="00E75562" w:rsidRPr="00331EAA" w:rsidRDefault="00E75562" w:rsidP="001B4843">
            <w:pPr>
              <w:widowControl w:val="0"/>
              <w:jc w:val="center"/>
              <w:rPr>
                <w:rFonts w:eastAsia="Calibri" w:cs="Calibri"/>
                <w:sz w:val="18"/>
                <w:szCs w:val="18"/>
              </w:rPr>
            </w:pPr>
            <w:r w:rsidRPr="00331EAA">
              <w:rPr>
                <w:rFonts w:eastAsia="Calibri" w:cs="Calibri"/>
                <w:sz w:val="18"/>
                <w:szCs w:val="18"/>
              </w:rPr>
              <w:t xml:space="preserve">79 </w:t>
            </w:r>
            <w:r w:rsidRPr="00331EAA">
              <w:rPr>
                <w:rFonts w:eastAsia="Calibri" w:cs="Calibri"/>
                <w:sz w:val="18"/>
                <w:szCs w:val="18"/>
              </w:rPr>
              <w:br/>
              <w:t>(74–</w:t>
            </w:r>
            <w:r w:rsidR="001B4843" w:rsidRPr="00331EAA">
              <w:rPr>
                <w:rFonts w:eastAsia="Calibri" w:cs="Calibri"/>
                <w:sz w:val="18"/>
                <w:szCs w:val="18"/>
              </w:rPr>
              <w:t>85</w:t>
            </w:r>
            <w:r w:rsidRPr="00331EAA">
              <w:rPr>
                <w:rFonts w:eastAsia="Calibri" w:cs="Calibri"/>
                <w:sz w:val="18"/>
                <w:szCs w:val="18"/>
              </w:rPr>
              <w:t>)</w:t>
            </w:r>
          </w:p>
        </w:tc>
        <w:tc>
          <w:tcPr>
            <w:tcW w:w="1236" w:type="dxa"/>
            <w:tcBorders>
              <w:left w:val="single" w:sz="2" w:space="0" w:color="000000" w:themeColor="text1"/>
              <w:bottom w:val="single" w:sz="2" w:space="0" w:color="000000" w:themeColor="text1"/>
            </w:tcBorders>
          </w:tcPr>
          <w:p w14:paraId="1969F3E8" w14:textId="483854A6" w:rsidR="00E75562" w:rsidRPr="00331EAA" w:rsidRDefault="00E75562" w:rsidP="001B4843">
            <w:pPr>
              <w:widowControl w:val="0"/>
              <w:jc w:val="center"/>
              <w:rPr>
                <w:rFonts w:eastAsia="Calibri" w:cs="Calibri"/>
                <w:sz w:val="18"/>
                <w:szCs w:val="18"/>
              </w:rPr>
            </w:pPr>
            <w:r w:rsidRPr="00331EAA">
              <w:rPr>
                <w:rFonts w:eastAsia="Calibri" w:cs="Calibri"/>
                <w:sz w:val="18"/>
                <w:szCs w:val="18"/>
              </w:rPr>
              <w:t xml:space="preserve">81 </w:t>
            </w:r>
            <w:r w:rsidRPr="00331EAA">
              <w:rPr>
                <w:rFonts w:eastAsia="Calibri" w:cs="Calibri"/>
                <w:sz w:val="18"/>
                <w:szCs w:val="18"/>
              </w:rPr>
              <w:br/>
              <w:t>(</w:t>
            </w:r>
            <w:r w:rsidR="001B4843" w:rsidRPr="00331EAA">
              <w:rPr>
                <w:rFonts w:eastAsia="Calibri" w:cs="Calibri"/>
                <w:sz w:val="18"/>
                <w:szCs w:val="18"/>
              </w:rPr>
              <w:t>76</w:t>
            </w:r>
            <w:r w:rsidRPr="00331EAA">
              <w:rPr>
                <w:rFonts w:eastAsia="Calibri" w:cs="Calibri"/>
                <w:sz w:val="18"/>
                <w:szCs w:val="18"/>
              </w:rPr>
              <w:t>–</w:t>
            </w:r>
            <w:r w:rsidR="001B4843" w:rsidRPr="00331EAA">
              <w:rPr>
                <w:rFonts w:eastAsia="Calibri" w:cs="Calibri"/>
                <w:sz w:val="18"/>
                <w:szCs w:val="18"/>
              </w:rPr>
              <w:t>89</w:t>
            </w:r>
            <w:r w:rsidRPr="00331EAA">
              <w:rPr>
                <w:rFonts w:eastAsia="Calibri" w:cs="Calibri"/>
                <w:sz w:val="18"/>
                <w:szCs w:val="18"/>
              </w:rPr>
              <w:t>)</w:t>
            </w:r>
          </w:p>
        </w:tc>
        <w:tc>
          <w:tcPr>
            <w:tcW w:w="1091" w:type="dxa"/>
            <w:tcBorders>
              <w:left w:val="single" w:sz="2" w:space="0" w:color="000000" w:themeColor="text1"/>
              <w:bottom w:val="single" w:sz="2" w:space="0" w:color="000000" w:themeColor="text1"/>
            </w:tcBorders>
          </w:tcPr>
          <w:p w14:paraId="049F8478" w14:textId="0021C6E1" w:rsidR="00E75562" w:rsidRPr="00331EAA" w:rsidRDefault="00E75562" w:rsidP="00E75562">
            <w:pPr>
              <w:widowControl w:val="0"/>
              <w:jc w:val="center"/>
              <w:rPr>
                <w:rFonts w:eastAsia="Calibri" w:cs="Calibri"/>
                <w:sz w:val="18"/>
                <w:szCs w:val="18"/>
              </w:rPr>
            </w:pPr>
            <w:r w:rsidRPr="00331EAA">
              <w:rPr>
                <w:rFonts w:eastAsia="Calibri" w:cs="Calibri"/>
                <w:sz w:val="18"/>
                <w:szCs w:val="18"/>
              </w:rPr>
              <w:t>80</w:t>
            </w:r>
            <w:r w:rsidRPr="00331EAA">
              <w:rPr>
                <w:rFonts w:eastAsia="Calibri" w:cs="Calibri"/>
                <w:sz w:val="18"/>
                <w:szCs w:val="18"/>
              </w:rPr>
              <w:br/>
              <w:t>(74–86)</w:t>
            </w:r>
          </w:p>
        </w:tc>
      </w:tr>
      <w:tr w:rsidR="00E75562" w:rsidRPr="00331EAA" w14:paraId="5AA6D9CB" w14:textId="76A99B93" w:rsidTr="00E75562">
        <w:trPr>
          <w:cnfStyle w:val="000000010000" w:firstRow="0" w:lastRow="0" w:firstColumn="0" w:lastColumn="0" w:oddVBand="0" w:evenVBand="0" w:oddHBand="0" w:evenHBand="1" w:firstRowFirstColumn="0" w:firstRowLastColumn="0" w:lastRowFirstColumn="0" w:lastRowLastColumn="0"/>
        </w:trPr>
        <w:tc>
          <w:tcPr>
            <w:tcW w:w="1268" w:type="dxa"/>
            <w:tcBorders>
              <w:top w:val="single" w:sz="2" w:space="0" w:color="000000" w:themeColor="text1"/>
              <w:bottom w:val="single" w:sz="2" w:space="0" w:color="000000" w:themeColor="text1"/>
              <w:right w:val="single" w:sz="2" w:space="0" w:color="000000" w:themeColor="text1"/>
            </w:tcBorders>
          </w:tcPr>
          <w:p w14:paraId="025536E2" w14:textId="68C1456A" w:rsidR="00E75562" w:rsidRPr="00331EAA" w:rsidRDefault="00E75562" w:rsidP="00E75562">
            <w:pPr>
              <w:widowControl w:val="0"/>
              <w:rPr>
                <w:rFonts w:eastAsia="Calibri" w:cs="Calibri"/>
                <w:sz w:val="18"/>
                <w:szCs w:val="18"/>
                <w:vertAlign w:val="superscript"/>
              </w:rPr>
            </w:pPr>
            <w:r w:rsidRPr="00331EAA">
              <w:rPr>
                <w:rFonts w:eastAsia="Calibri" w:cs="Calibri"/>
                <w:sz w:val="18"/>
                <w:szCs w:val="18"/>
              </w:rPr>
              <w:t>Crude CFR</w:t>
            </w:r>
            <w:r w:rsidR="009C3614" w:rsidRPr="00331EAA">
              <w:rPr>
                <w:rFonts w:eastAsia="Calibri" w:cs="Calibri"/>
                <w:sz w:val="18"/>
                <w:szCs w:val="18"/>
                <w:vertAlign w:val="superscript"/>
              </w:rPr>
              <w:t>a</w:t>
            </w:r>
          </w:p>
        </w:tc>
        <w:tc>
          <w:tcPr>
            <w:tcW w:w="94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272EE8" w14:textId="5F617D88" w:rsidR="00E75562" w:rsidRPr="00331EAA" w:rsidRDefault="00E75562" w:rsidP="00E75562">
            <w:pPr>
              <w:widowControl w:val="0"/>
              <w:jc w:val="center"/>
              <w:rPr>
                <w:rFonts w:eastAsia="Calibri" w:cs="Calibri"/>
                <w:sz w:val="18"/>
                <w:szCs w:val="18"/>
              </w:rPr>
            </w:pPr>
            <w:r w:rsidRPr="00331EAA">
              <w:rPr>
                <w:rFonts w:eastAsia="Calibri" w:cs="Calibri"/>
                <w:sz w:val="18"/>
                <w:szCs w:val="18"/>
              </w:rPr>
              <w:t>1.6%</w:t>
            </w:r>
          </w:p>
        </w:tc>
        <w:tc>
          <w:tcPr>
            <w:tcW w:w="9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3F339A" w14:textId="61A50D0C" w:rsidR="00E75562" w:rsidRPr="00331EAA" w:rsidRDefault="00E75562" w:rsidP="001B4843">
            <w:pPr>
              <w:widowControl w:val="0"/>
              <w:jc w:val="center"/>
              <w:rPr>
                <w:rFonts w:eastAsia="Calibri" w:cs="Calibri"/>
                <w:sz w:val="18"/>
                <w:szCs w:val="18"/>
              </w:rPr>
            </w:pPr>
            <w:r w:rsidRPr="00331EAA">
              <w:rPr>
                <w:rFonts w:eastAsia="Calibri" w:cs="Calibri"/>
                <w:sz w:val="18"/>
                <w:szCs w:val="18"/>
              </w:rPr>
              <w:t>1.</w:t>
            </w:r>
            <w:r w:rsidR="001B4843" w:rsidRPr="00331EAA">
              <w:rPr>
                <w:rFonts w:eastAsia="Calibri" w:cs="Calibri"/>
                <w:sz w:val="18"/>
                <w:szCs w:val="18"/>
              </w:rPr>
              <w:t>3</w:t>
            </w:r>
            <w:r w:rsidRPr="00331EAA">
              <w:rPr>
                <w:rFonts w:eastAsia="Calibri" w:cs="Calibri"/>
                <w:sz w:val="18"/>
                <w:szCs w:val="18"/>
              </w:rPr>
              <w:t>%</w:t>
            </w:r>
          </w:p>
        </w:tc>
        <w:tc>
          <w:tcPr>
            <w:tcW w:w="8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BC2E5C" w14:textId="3B65317F" w:rsidR="00E75562" w:rsidRPr="00331EAA" w:rsidRDefault="00E75562" w:rsidP="006C58DA">
            <w:pPr>
              <w:widowControl w:val="0"/>
              <w:jc w:val="center"/>
              <w:rPr>
                <w:rFonts w:eastAsia="Calibri" w:cs="Calibri"/>
                <w:sz w:val="18"/>
                <w:szCs w:val="18"/>
              </w:rPr>
            </w:pPr>
            <w:r w:rsidRPr="00331EAA">
              <w:rPr>
                <w:rFonts w:eastAsia="Calibri" w:cs="Calibri"/>
                <w:sz w:val="18"/>
                <w:szCs w:val="18"/>
              </w:rPr>
              <w:t>1.</w:t>
            </w:r>
            <w:r w:rsidR="006C58DA">
              <w:rPr>
                <w:rFonts w:eastAsia="Calibri" w:cs="Calibri"/>
                <w:sz w:val="18"/>
                <w:szCs w:val="18"/>
              </w:rPr>
              <w:t>4</w:t>
            </w:r>
            <w:r w:rsidRPr="00331EAA">
              <w:rPr>
                <w:rFonts w:eastAsia="Calibri" w:cs="Calibri"/>
                <w:sz w:val="18"/>
                <w:szCs w:val="18"/>
              </w:rPr>
              <w:t>%</w:t>
            </w:r>
          </w:p>
        </w:tc>
        <w:tc>
          <w:tcPr>
            <w:tcW w:w="95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B8A10" w14:textId="4E3DF8BB" w:rsidR="00E75562" w:rsidRPr="00331EAA" w:rsidRDefault="00E75562" w:rsidP="00E75562">
            <w:pPr>
              <w:widowControl w:val="0"/>
              <w:jc w:val="center"/>
              <w:rPr>
                <w:rFonts w:eastAsia="Calibri" w:cs="Calibri"/>
                <w:sz w:val="18"/>
                <w:szCs w:val="18"/>
              </w:rPr>
            </w:pPr>
            <w:r w:rsidRPr="00331EAA">
              <w:rPr>
                <w:rFonts w:eastAsia="Calibri" w:cs="Calibri"/>
                <w:sz w:val="18"/>
                <w:szCs w:val="18"/>
              </w:rPr>
              <w:t>8.6%</w:t>
            </w:r>
          </w:p>
        </w:tc>
        <w:tc>
          <w:tcPr>
            <w:tcW w:w="10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DC700B" w14:textId="01DFDEA3" w:rsidR="00E75562" w:rsidRPr="00331EAA" w:rsidRDefault="00E75562" w:rsidP="001B4843">
            <w:pPr>
              <w:widowControl w:val="0"/>
              <w:jc w:val="center"/>
              <w:rPr>
                <w:rFonts w:eastAsia="Calibri" w:cs="Calibri"/>
                <w:sz w:val="18"/>
                <w:szCs w:val="18"/>
              </w:rPr>
            </w:pPr>
            <w:r w:rsidRPr="00331EAA">
              <w:rPr>
                <w:rFonts w:eastAsia="Calibri" w:cs="Calibri"/>
                <w:sz w:val="18"/>
                <w:szCs w:val="18"/>
              </w:rPr>
              <w:t>6.</w:t>
            </w:r>
            <w:r w:rsidR="001B4843" w:rsidRPr="00331EAA">
              <w:rPr>
                <w:rFonts w:eastAsia="Calibri" w:cs="Calibri"/>
                <w:sz w:val="18"/>
                <w:szCs w:val="18"/>
              </w:rPr>
              <w:t>9</w:t>
            </w:r>
            <w:r w:rsidRPr="00331EAA">
              <w:rPr>
                <w:rFonts w:eastAsia="Calibri" w:cs="Calibri"/>
                <w:sz w:val="18"/>
                <w:szCs w:val="18"/>
              </w:rPr>
              <w:t>%</w:t>
            </w:r>
          </w:p>
        </w:tc>
        <w:tc>
          <w:tcPr>
            <w:tcW w:w="8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6ABBD1" w14:textId="1B0DE5F3" w:rsidR="00E75562" w:rsidRPr="00331EAA" w:rsidRDefault="00E75562" w:rsidP="001B4843">
            <w:pPr>
              <w:widowControl w:val="0"/>
              <w:jc w:val="center"/>
              <w:rPr>
                <w:rFonts w:eastAsia="Calibri" w:cs="Calibri"/>
                <w:sz w:val="18"/>
                <w:szCs w:val="18"/>
              </w:rPr>
            </w:pPr>
            <w:r w:rsidRPr="00331EAA">
              <w:rPr>
                <w:rFonts w:eastAsia="Calibri" w:cs="Calibri"/>
                <w:sz w:val="18"/>
                <w:szCs w:val="18"/>
              </w:rPr>
              <w:t>7.</w:t>
            </w:r>
            <w:r w:rsidR="001B4843" w:rsidRPr="00331EAA">
              <w:rPr>
                <w:rFonts w:eastAsia="Calibri" w:cs="Calibri"/>
                <w:sz w:val="18"/>
                <w:szCs w:val="18"/>
              </w:rPr>
              <w:t>9</w:t>
            </w:r>
            <w:r w:rsidRPr="00331EAA">
              <w:rPr>
                <w:rFonts w:eastAsia="Calibri" w:cs="Calibri"/>
                <w:sz w:val="18"/>
                <w:szCs w:val="18"/>
              </w:rPr>
              <w:t>%</w:t>
            </w:r>
          </w:p>
        </w:tc>
        <w:tc>
          <w:tcPr>
            <w:tcW w:w="105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C2FC82" w14:textId="4449E1DE" w:rsidR="00E75562" w:rsidRPr="00331EAA" w:rsidRDefault="00E75562" w:rsidP="00E75562">
            <w:pPr>
              <w:widowControl w:val="0"/>
              <w:jc w:val="center"/>
              <w:rPr>
                <w:rFonts w:eastAsia="Calibri" w:cs="Calibri"/>
                <w:sz w:val="18"/>
                <w:szCs w:val="18"/>
              </w:rPr>
            </w:pPr>
            <w:r w:rsidRPr="00331EAA">
              <w:rPr>
                <w:rFonts w:eastAsia="Calibri" w:cs="Calibri"/>
                <w:sz w:val="18"/>
                <w:szCs w:val="18"/>
              </w:rPr>
              <w:t>–</w:t>
            </w:r>
          </w:p>
        </w:tc>
        <w:tc>
          <w:tcPr>
            <w:tcW w:w="1236" w:type="dxa"/>
            <w:tcBorders>
              <w:top w:val="single" w:sz="2" w:space="0" w:color="000000" w:themeColor="text1"/>
              <w:left w:val="single" w:sz="2" w:space="0" w:color="000000" w:themeColor="text1"/>
              <w:bottom w:val="single" w:sz="2" w:space="0" w:color="000000" w:themeColor="text1"/>
            </w:tcBorders>
          </w:tcPr>
          <w:p w14:paraId="1C5DEF02" w14:textId="616AD544" w:rsidR="00E75562" w:rsidRPr="00331EAA" w:rsidRDefault="00E75562" w:rsidP="00E75562">
            <w:pPr>
              <w:widowControl w:val="0"/>
              <w:jc w:val="center"/>
              <w:rPr>
                <w:rFonts w:eastAsia="Calibri" w:cs="Calibri"/>
                <w:sz w:val="18"/>
                <w:szCs w:val="18"/>
              </w:rPr>
            </w:pPr>
            <w:r w:rsidRPr="00331EAA">
              <w:rPr>
                <w:rFonts w:eastAsia="Calibri" w:cs="Calibri"/>
                <w:sz w:val="18"/>
                <w:szCs w:val="18"/>
              </w:rPr>
              <w:t>–</w:t>
            </w:r>
          </w:p>
        </w:tc>
        <w:tc>
          <w:tcPr>
            <w:tcW w:w="1091" w:type="dxa"/>
            <w:tcBorders>
              <w:top w:val="single" w:sz="2" w:space="0" w:color="000000" w:themeColor="text1"/>
              <w:left w:val="single" w:sz="2" w:space="0" w:color="000000" w:themeColor="text1"/>
              <w:bottom w:val="single" w:sz="2" w:space="0" w:color="000000" w:themeColor="text1"/>
            </w:tcBorders>
          </w:tcPr>
          <w:p w14:paraId="63C24824" w14:textId="272CF45B" w:rsidR="00E75562" w:rsidRPr="00331EAA" w:rsidRDefault="00E75562" w:rsidP="00E75562">
            <w:pPr>
              <w:widowControl w:val="0"/>
              <w:jc w:val="center"/>
              <w:rPr>
                <w:rFonts w:eastAsia="Calibri" w:cs="Calibri"/>
                <w:sz w:val="18"/>
                <w:szCs w:val="18"/>
              </w:rPr>
            </w:pPr>
            <w:r w:rsidRPr="00331EAA">
              <w:rPr>
                <w:rFonts w:eastAsia="Calibri" w:cs="Calibri"/>
                <w:sz w:val="18"/>
                <w:szCs w:val="18"/>
              </w:rPr>
              <w:t>–</w:t>
            </w:r>
          </w:p>
        </w:tc>
      </w:tr>
    </w:tbl>
    <w:p w14:paraId="6842875F" w14:textId="2EBC4011" w:rsidR="00723088" w:rsidRPr="009C3614" w:rsidRDefault="009C3614" w:rsidP="00331EAA">
      <w:pPr>
        <w:pStyle w:val="CDIfootnotes"/>
        <w:rPr>
          <w:b/>
        </w:rPr>
      </w:pPr>
      <w:r w:rsidRPr="009C3614">
        <w:t>a</w:t>
      </w:r>
      <w:r w:rsidRPr="009C3614">
        <w:tab/>
        <w:t>CFR = case fatality rate</w:t>
      </w:r>
      <w:r>
        <w:t>.</w:t>
      </w:r>
    </w:p>
    <w:p w14:paraId="2C97E5CF" w14:textId="77777777" w:rsidR="00723088" w:rsidRDefault="00723088">
      <w:pPr>
        <w:rPr>
          <w:b/>
        </w:rPr>
      </w:pPr>
      <w:r>
        <w:br w:type="page"/>
      </w:r>
    </w:p>
    <w:p w14:paraId="30DFE556" w14:textId="381425A8" w:rsidR="005823DA" w:rsidRDefault="005823DA" w:rsidP="005823DA">
      <w:pPr>
        <w:pStyle w:val="CDIFigures"/>
      </w:pPr>
      <w:r w:rsidRPr="00884804">
        <w:lastRenderedPageBreak/>
        <w:t xml:space="preserve">Table </w:t>
      </w:r>
      <w:r>
        <w:t>5</w:t>
      </w:r>
      <w:r w:rsidRPr="00884804">
        <w:t xml:space="preserve">: </w:t>
      </w:r>
      <w:r>
        <w:t xml:space="preserve">Crude CFR of all cases and hospitalised cases, </w:t>
      </w:r>
      <w:r w:rsidR="009C3614">
        <w:t xml:space="preserve">Australia, </w:t>
      </w:r>
      <w:r>
        <w:t>by age group</w:t>
      </w:r>
    </w:p>
    <w:tbl>
      <w:tblPr>
        <w:tblStyle w:val="CDI-StandardTable"/>
        <w:tblW w:w="10080" w:type="dxa"/>
        <w:tblCellMar>
          <w:top w:w="57" w:type="dxa"/>
          <w:left w:w="57" w:type="dxa"/>
          <w:bottom w:w="57" w:type="dxa"/>
          <w:right w:w="57" w:type="dxa"/>
        </w:tblCellMar>
        <w:tblLook w:val="04A0" w:firstRow="1" w:lastRow="0" w:firstColumn="1" w:lastColumn="0" w:noHBand="0" w:noVBand="1"/>
        <w:tblDescription w:val="Table 5 shows the age profile of the crude case fatality rate (CFR), among all cases and among hospitalised cases. The CFR rises from 0.03% for all cases under 50 years of age to 8.6% for all cases over 70 years of age; among hospitalised cases, the rise in CFR is from 0.4% for cases under 50 years of age to 19.7% for cases over 70 years of age.&#10;"/>
      </w:tblPr>
      <w:tblGrid>
        <w:gridCol w:w="1758"/>
        <w:gridCol w:w="2080"/>
        <w:gridCol w:w="2081"/>
        <w:gridCol w:w="2080"/>
        <w:gridCol w:w="2081"/>
      </w:tblGrid>
      <w:tr w:rsidR="005823DA" w:rsidRPr="003337B8" w14:paraId="1341ECD5" w14:textId="77777777" w:rsidTr="00AD6FCF">
        <w:trPr>
          <w:cnfStyle w:val="100000000000" w:firstRow="1" w:lastRow="0" w:firstColumn="0" w:lastColumn="0" w:oddVBand="0" w:evenVBand="0" w:oddHBand="0" w:evenHBand="0" w:firstRowFirstColumn="0" w:firstRowLastColumn="0" w:lastRowFirstColumn="0" w:lastRowLastColumn="0"/>
          <w:tblHeader/>
        </w:trPr>
        <w:tc>
          <w:tcPr>
            <w:tcW w:w="1758" w:type="dxa"/>
            <w:vMerge w:val="restart"/>
            <w:tcBorders>
              <w:bottom w:val="single" w:sz="2" w:space="0" w:color="FFFFFF" w:themeColor="background1"/>
              <w:right w:val="single" w:sz="2" w:space="0" w:color="FFFFFF" w:themeColor="background1"/>
            </w:tcBorders>
          </w:tcPr>
          <w:p w14:paraId="186DE937" w14:textId="77777777" w:rsidR="005823DA" w:rsidRPr="003337B8" w:rsidRDefault="005823DA" w:rsidP="00AD6FCF">
            <w:pPr>
              <w:widowControl w:val="0"/>
              <w:rPr>
                <w:rFonts w:ascii="Calibri" w:eastAsia="Calibri" w:hAnsi="Calibri" w:cs="Calibri"/>
                <w:color w:val="FFFFFF" w:themeColor="background1"/>
              </w:rPr>
            </w:pPr>
            <w:r>
              <w:rPr>
                <w:rFonts w:ascii="Calibri" w:eastAsia="Calibri" w:hAnsi="Calibri" w:cs="Calibri"/>
                <w:color w:val="FFFFFF" w:themeColor="background1"/>
              </w:rPr>
              <w:t>Age group</w:t>
            </w:r>
          </w:p>
        </w:tc>
        <w:tc>
          <w:tcPr>
            <w:tcW w:w="4161" w:type="dxa"/>
            <w:gridSpan w:val="2"/>
            <w:tcBorders>
              <w:left w:val="single" w:sz="2" w:space="0" w:color="FFFFFF" w:themeColor="background1"/>
              <w:bottom w:val="single" w:sz="2" w:space="0" w:color="FFFFFF" w:themeColor="background1"/>
              <w:right w:val="single" w:sz="2" w:space="0" w:color="FFFFFF" w:themeColor="background1"/>
            </w:tcBorders>
          </w:tcPr>
          <w:p w14:paraId="4B9895B5" w14:textId="77777777" w:rsidR="005823DA" w:rsidRPr="003337B8" w:rsidRDefault="005823DA" w:rsidP="00AD6FCF">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All cases</w:t>
            </w:r>
          </w:p>
        </w:tc>
        <w:tc>
          <w:tcPr>
            <w:tcW w:w="4161" w:type="dxa"/>
            <w:gridSpan w:val="2"/>
            <w:tcBorders>
              <w:left w:val="single" w:sz="2" w:space="0" w:color="FFFFFF" w:themeColor="background1"/>
              <w:bottom w:val="single" w:sz="2" w:space="0" w:color="FFFFFF" w:themeColor="background1"/>
            </w:tcBorders>
          </w:tcPr>
          <w:p w14:paraId="37B41978" w14:textId="77777777" w:rsidR="005823DA" w:rsidRPr="003337B8" w:rsidRDefault="005823DA" w:rsidP="00AD6FCF">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Hospitalisation</w:t>
            </w:r>
          </w:p>
        </w:tc>
      </w:tr>
      <w:tr w:rsidR="005823DA" w:rsidRPr="003337B8" w14:paraId="3E002207" w14:textId="77777777" w:rsidTr="00AD6FCF">
        <w:trPr>
          <w:cnfStyle w:val="100000000000" w:firstRow="1" w:lastRow="0" w:firstColumn="0" w:lastColumn="0" w:oddVBand="0" w:evenVBand="0" w:oddHBand="0" w:evenHBand="0" w:firstRowFirstColumn="0" w:firstRowLastColumn="0" w:lastRowFirstColumn="0" w:lastRowLastColumn="0"/>
          <w:tblHeader/>
        </w:trPr>
        <w:tc>
          <w:tcPr>
            <w:tcW w:w="1758" w:type="dxa"/>
            <w:vMerge/>
            <w:tcBorders>
              <w:top w:val="single" w:sz="2" w:space="0" w:color="FFFFFF" w:themeColor="background1"/>
              <w:right w:val="single" w:sz="2" w:space="0" w:color="FFFFFF" w:themeColor="background1"/>
            </w:tcBorders>
          </w:tcPr>
          <w:p w14:paraId="632771DB" w14:textId="77777777" w:rsidR="005823DA" w:rsidRPr="003337B8" w:rsidRDefault="005823DA" w:rsidP="00AD6FCF">
            <w:pPr>
              <w:widowControl w:val="0"/>
              <w:rPr>
                <w:rFonts w:ascii="Calibri" w:eastAsia="Calibri" w:hAnsi="Calibri" w:cs="Calibri"/>
                <w:color w:val="FFFFFF" w:themeColor="background1"/>
              </w:rPr>
            </w:pPr>
          </w:p>
        </w:tc>
        <w:tc>
          <w:tcPr>
            <w:tcW w:w="2080" w:type="dxa"/>
            <w:tcBorders>
              <w:top w:val="single" w:sz="2" w:space="0" w:color="FFFFFF" w:themeColor="background1"/>
              <w:left w:val="single" w:sz="2" w:space="0" w:color="FFFFFF" w:themeColor="background1"/>
              <w:right w:val="single" w:sz="2" w:space="0" w:color="FFFFFF" w:themeColor="background1"/>
            </w:tcBorders>
          </w:tcPr>
          <w:p w14:paraId="7B47CD86" w14:textId="77777777" w:rsidR="005823DA" w:rsidRPr="003337B8" w:rsidRDefault="005823DA" w:rsidP="00AD6FCF">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CFR</w:t>
            </w:r>
          </w:p>
        </w:tc>
        <w:tc>
          <w:tcPr>
            <w:tcW w:w="2081" w:type="dxa"/>
            <w:tcBorders>
              <w:top w:val="single" w:sz="2" w:space="0" w:color="FFFFFF" w:themeColor="background1"/>
              <w:left w:val="single" w:sz="2" w:space="0" w:color="FFFFFF" w:themeColor="background1"/>
              <w:right w:val="single" w:sz="2" w:space="0" w:color="FFFFFF" w:themeColor="background1"/>
            </w:tcBorders>
          </w:tcPr>
          <w:p w14:paraId="0CA48E43" w14:textId="77777777" w:rsidR="005823DA" w:rsidRPr="003337B8" w:rsidRDefault="005823DA" w:rsidP="00AD6FCF">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Total cases</w:t>
            </w:r>
          </w:p>
        </w:tc>
        <w:tc>
          <w:tcPr>
            <w:tcW w:w="2080" w:type="dxa"/>
            <w:tcBorders>
              <w:top w:val="single" w:sz="2" w:space="0" w:color="FFFFFF" w:themeColor="background1"/>
              <w:left w:val="single" w:sz="2" w:space="0" w:color="FFFFFF" w:themeColor="background1"/>
              <w:right w:val="single" w:sz="2" w:space="0" w:color="FFFFFF" w:themeColor="background1"/>
            </w:tcBorders>
          </w:tcPr>
          <w:p w14:paraId="1FF24821" w14:textId="77777777" w:rsidR="005823DA" w:rsidRPr="003337B8" w:rsidRDefault="005823DA" w:rsidP="00AD6FCF">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CFR</w:t>
            </w:r>
          </w:p>
        </w:tc>
        <w:tc>
          <w:tcPr>
            <w:tcW w:w="2081" w:type="dxa"/>
            <w:tcBorders>
              <w:top w:val="single" w:sz="2" w:space="0" w:color="FFFFFF" w:themeColor="background1"/>
              <w:left w:val="single" w:sz="2" w:space="0" w:color="FFFFFF" w:themeColor="background1"/>
            </w:tcBorders>
          </w:tcPr>
          <w:p w14:paraId="2CC5DEC6" w14:textId="77777777" w:rsidR="005823DA" w:rsidRPr="003337B8" w:rsidRDefault="005823DA" w:rsidP="00AD6FCF">
            <w:pPr>
              <w:widowControl w:val="0"/>
              <w:jc w:val="center"/>
              <w:rPr>
                <w:rFonts w:ascii="Calibri" w:eastAsia="Calibri" w:hAnsi="Calibri" w:cs="Calibri"/>
                <w:color w:val="FFFFFF" w:themeColor="background1"/>
              </w:rPr>
            </w:pPr>
            <w:r>
              <w:rPr>
                <w:rFonts w:ascii="Calibri" w:eastAsia="Calibri" w:hAnsi="Calibri" w:cs="Calibri"/>
                <w:color w:val="FFFFFF" w:themeColor="background1"/>
              </w:rPr>
              <w:t>Total cases</w:t>
            </w:r>
          </w:p>
        </w:tc>
      </w:tr>
      <w:tr w:rsidR="005823DA" w:rsidRPr="00FD7207" w14:paraId="0EF1ACA0" w14:textId="77777777" w:rsidTr="00AD6FCF">
        <w:tc>
          <w:tcPr>
            <w:tcW w:w="1758" w:type="dxa"/>
            <w:tcBorders>
              <w:top w:val="single" w:sz="2" w:space="0" w:color="000000" w:themeColor="text1"/>
              <w:bottom w:val="single" w:sz="2" w:space="0" w:color="000000" w:themeColor="text1"/>
              <w:right w:val="single" w:sz="2" w:space="0" w:color="000000" w:themeColor="text1"/>
            </w:tcBorders>
          </w:tcPr>
          <w:p w14:paraId="4EFFBF90" w14:textId="77777777" w:rsidR="005823DA" w:rsidRDefault="005823DA" w:rsidP="00AD6FCF">
            <w:pPr>
              <w:widowControl w:val="0"/>
              <w:jc w:val="right"/>
              <w:rPr>
                <w:rFonts w:eastAsia="Calibri" w:cs="Calibri"/>
              </w:rPr>
            </w:pPr>
            <w:r>
              <w:rPr>
                <w:rFonts w:eastAsia="Calibri" w:cs="Calibri"/>
              </w:rPr>
              <w:t xml:space="preserve">Under 50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64D19A" w14:textId="77777777" w:rsidR="005823DA" w:rsidRPr="003A1130" w:rsidRDefault="005823DA" w:rsidP="00AD6FCF">
            <w:pPr>
              <w:jc w:val="center"/>
            </w:pPr>
            <w:r w:rsidRPr="003A1130">
              <w:t>0.03%</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C9D610" w14:textId="6253C18F" w:rsidR="005823DA" w:rsidRPr="003A1130" w:rsidRDefault="001B4843" w:rsidP="00AD6FCF">
            <w:pPr>
              <w:widowControl w:val="0"/>
              <w:jc w:val="center"/>
              <w:rPr>
                <w:rFonts w:eastAsia="Calibri" w:cs="Calibri"/>
              </w:rPr>
            </w:pPr>
            <w:r>
              <w:rPr>
                <w:rFonts w:eastAsia="Calibri" w:cs="Calibri"/>
              </w:rPr>
              <w:t>3,747</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260AD6" w14:textId="77777777" w:rsidR="005823DA" w:rsidRPr="003A1130" w:rsidRDefault="005823DA" w:rsidP="00AD6FCF">
            <w:pPr>
              <w:jc w:val="center"/>
            </w:pPr>
            <w:r w:rsidRPr="003A1130">
              <w:t>0.4%</w:t>
            </w:r>
          </w:p>
        </w:tc>
        <w:tc>
          <w:tcPr>
            <w:tcW w:w="2081" w:type="dxa"/>
            <w:tcBorders>
              <w:top w:val="single" w:sz="2" w:space="0" w:color="000000" w:themeColor="text1"/>
              <w:left w:val="single" w:sz="2" w:space="0" w:color="000000" w:themeColor="text1"/>
              <w:bottom w:val="single" w:sz="2" w:space="0" w:color="000000" w:themeColor="text1"/>
            </w:tcBorders>
          </w:tcPr>
          <w:p w14:paraId="3A7AAAA7" w14:textId="5EF27D33" w:rsidR="005823DA" w:rsidRPr="003A1130" w:rsidRDefault="001B4843" w:rsidP="001B4843">
            <w:pPr>
              <w:widowControl w:val="0"/>
              <w:jc w:val="center"/>
              <w:rPr>
                <w:rFonts w:eastAsia="Calibri" w:cs="Calibri"/>
              </w:rPr>
            </w:pPr>
            <w:r w:rsidRPr="003A1130">
              <w:rPr>
                <w:rFonts w:eastAsia="Calibri" w:cs="Calibri"/>
              </w:rPr>
              <w:t>27</w:t>
            </w:r>
            <w:r>
              <w:rPr>
                <w:rFonts w:eastAsia="Calibri" w:cs="Calibri"/>
              </w:rPr>
              <w:t>3</w:t>
            </w:r>
          </w:p>
        </w:tc>
      </w:tr>
      <w:tr w:rsidR="005823DA" w:rsidRPr="00FD7207" w14:paraId="62F0DBCA" w14:textId="77777777" w:rsidTr="00AD6FCF">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68783570" w14:textId="77777777" w:rsidR="005823DA" w:rsidRDefault="005823DA" w:rsidP="00AD6FCF">
            <w:pPr>
              <w:widowControl w:val="0"/>
              <w:jc w:val="right"/>
              <w:rPr>
                <w:rFonts w:eastAsia="Calibri" w:cs="Calibri"/>
              </w:rPr>
            </w:pPr>
            <w:r>
              <w:rPr>
                <w:rFonts w:eastAsia="Calibri" w:cs="Calibri"/>
              </w:rPr>
              <w:t>50</w:t>
            </w:r>
            <w:r w:rsidRPr="00B000C4">
              <w:rPr>
                <w:rFonts w:eastAsia="Calibri" w:cs="Calibri"/>
              </w:rPr>
              <w:t>–</w:t>
            </w:r>
            <w:r>
              <w:rPr>
                <w:rFonts w:eastAsia="Calibri" w:cs="Calibri"/>
              </w:rPr>
              <w:t xml:space="preserve">59 </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A6F62E" w14:textId="58818F00" w:rsidR="005823DA" w:rsidRPr="003A1130" w:rsidRDefault="005823DA" w:rsidP="001B4843">
            <w:pPr>
              <w:jc w:val="center"/>
            </w:pPr>
            <w:r w:rsidRPr="003A1130">
              <w:t>0.</w:t>
            </w:r>
            <w:r w:rsidR="001B4843">
              <w:t>2</w:t>
            </w:r>
            <w:r w:rsidRPr="003A1130">
              <w:t>%</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3F4384" w14:textId="3F540951" w:rsidR="005823DA" w:rsidRPr="003A1130" w:rsidRDefault="005823DA" w:rsidP="00AD6FCF">
            <w:pPr>
              <w:widowControl w:val="0"/>
              <w:jc w:val="center"/>
              <w:rPr>
                <w:rFonts w:eastAsia="Calibri" w:cs="Calibri"/>
              </w:rPr>
            </w:pPr>
            <w:r w:rsidRPr="003A1130">
              <w:rPr>
                <w:rFonts w:eastAsia="Calibri" w:cs="Calibri"/>
              </w:rPr>
              <w:t>1,</w:t>
            </w:r>
            <w:r w:rsidR="001B4843">
              <w:rPr>
                <w:rFonts w:eastAsia="Calibri" w:cs="Calibri"/>
              </w:rPr>
              <w:t>107</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0DDBA5" w14:textId="343F5C80" w:rsidR="005823DA" w:rsidRPr="003A1130" w:rsidRDefault="001B4843" w:rsidP="00AD6FCF">
            <w:pPr>
              <w:jc w:val="center"/>
            </w:pPr>
            <w:r>
              <w:t>1.5</w:t>
            </w:r>
            <w:r w:rsidR="005823DA" w:rsidRPr="003A1130">
              <w:t>%</w:t>
            </w:r>
          </w:p>
        </w:tc>
        <w:tc>
          <w:tcPr>
            <w:tcW w:w="2081" w:type="dxa"/>
            <w:tcBorders>
              <w:top w:val="single" w:sz="2" w:space="0" w:color="000000" w:themeColor="text1"/>
              <w:left w:val="single" w:sz="2" w:space="0" w:color="000000" w:themeColor="text1"/>
              <w:bottom w:val="single" w:sz="2" w:space="0" w:color="000000" w:themeColor="text1"/>
            </w:tcBorders>
          </w:tcPr>
          <w:p w14:paraId="4AB027BA" w14:textId="5C524A30" w:rsidR="005823DA" w:rsidRPr="003A1130" w:rsidRDefault="001B4843" w:rsidP="001B4843">
            <w:pPr>
              <w:widowControl w:val="0"/>
              <w:jc w:val="center"/>
              <w:rPr>
                <w:rFonts w:eastAsia="Calibri" w:cs="Calibri"/>
              </w:rPr>
            </w:pPr>
            <w:r w:rsidRPr="003A1130">
              <w:rPr>
                <w:rFonts w:eastAsia="Calibri" w:cs="Calibri"/>
              </w:rPr>
              <w:t>13</w:t>
            </w:r>
            <w:r>
              <w:rPr>
                <w:rFonts w:eastAsia="Calibri" w:cs="Calibri"/>
              </w:rPr>
              <w:t>1</w:t>
            </w:r>
          </w:p>
        </w:tc>
      </w:tr>
      <w:tr w:rsidR="005823DA" w:rsidRPr="00FD7207" w14:paraId="1B2954D0" w14:textId="77777777" w:rsidTr="00AD6FCF">
        <w:tc>
          <w:tcPr>
            <w:tcW w:w="1758" w:type="dxa"/>
            <w:tcBorders>
              <w:top w:val="single" w:sz="2" w:space="0" w:color="000000" w:themeColor="text1"/>
              <w:bottom w:val="single" w:sz="2" w:space="0" w:color="000000" w:themeColor="text1"/>
              <w:right w:val="single" w:sz="2" w:space="0" w:color="000000" w:themeColor="text1"/>
            </w:tcBorders>
          </w:tcPr>
          <w:p w14:paraId="4D2CD0B0" w14:textId="77777777" w:rsidR="005823DA" w:rsidRDefault="005823DA" w:rsidP="00AD6FCF">
            <w:pPr>
              <w:widowControl w:val="0"/>
              <w:jc w:val="right"/>
              <w:rPr>
                <w:rFonts w:eastAsia="Calibri" w:cs="Calibri"/>
              </w:rPr>
            </w:pPr>
            <w:r>
              <w:rPr>
                <w:rFonts w:eastAsia="Calibri" w:cs="Calibri"/>
              </w:rPr>
              <w:t>60</w:t>
            </w:r>
            <w:r w:rsidRPr="00B000C4">
              <w:rPr>
                <w:rFonts w:eastAsia="Calibri" w:cs="Calibri"/>
              </w:rPr>
              <w:t>–</w:t>
            </w:r>
            <w:r>
              <w:rPr>
                <w:rFonts w:eastAsia="Calibri" w:cs="Calibri"/>
              </w:rPr>
              <w:t>69</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4ED6E3" w14:textId="096FE21C" w:rsidR="005823DA" w:rsidRPr="003A1130" w:rsidRDefault="001B4843" w:rsidP="00AD6FCF">
            <w:pPr>
              <w:jc w:val="center"/>
            </w:pPr>
            <w:r>
              <w:t>1.0</w:t>
            </w:r>
            <w:r w:rsidR="005823DA" w:rsidRPr="003A1130">
              <w:t>%</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96B256" w14:textId="35430D06" w:rsidR="005823DA" w:rsidRPr="003A1130" w:rsidRDefault="005823DA" w:rsidP="00AD6FCF">
            <w:pPr>
              <w:widowControl w:val="0"/>
              <w:jc w:val="center"/>
              <w:rPr>
                <w:rFonts w:eastAsia="Calibri" w:cs="Calibri"/>
              </w:rPr>
            </w:pPr>
            <w:r w:rsidRPr="003A1130">
              <w:rPr>
                <w:rFonts w:eastAsia="Calibri" w:cs="Calibri"/>
              </w:rPr>
              <w:t>1,1</w:t>
            </w:r>
            <w:r w:rsidR="001B4843">
              <w:rPr>
                <w:rFonts w:eastAsia="Calibri" w:cs="Calibri"/>
              </w:rPr>
              <w:t>42</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4447FC" w14:textId="1FCF29FD" w:rsidR="005823DA" w:rsidRPr="003A1130" w:rsidRDefault="001B4843" w:rsidP="00AD6FCF">
            <w:pPr>
              <w:jc w:val="center"/>
            </w:pPr>
            <w:r>
              <w:t>5.5</w:t>
            </w:r>
            <w:r w:rsidR="005823DA" w:rsidRPr="003A1130">
              <w:t>%</w:t>
            </w:r>
          </w:p>
        </w:tc>
        <w:tc>
          <w:tcPr>
            <w:tcW w:w="2081" w:type="dxa"/>
            <w:tcBorders>
              <w:top w:val="single" w:sz="2" w:space="0" w:color="000000" w:themeColor="text1"/>
              <w:left w:val="single" w:sz="2" w:space="0" w:color="000000" w:themeColor="text1"/>
              <w:bottom w:val="single" w:sz="2" w:space="0" w:color="000000" w:themeColor="text1"/>
            </w:tcBorders>
          </w:tcPr>
          <w:p w14:paraId="408A77F9" w14:textId="6619B2A1" w:rsidR="005823DA" w:rsidRPr="003A1130" w:rsidRDefault="001B4843" w:rsidP="001B4843">
            <w:pPr>
              <w:widowControl w:val="0"/>
              <w:jc w:val="center"/>
              <w:rPr>
                <w:rFonts w:eastAsia="Calibri" w:cs="Calibri"/>
              </w:rPr>
            </w:pPr>
            <w:r w:rsidRPr="003A1130">
              <w:rPr>
                <w:rFonts w:eastAsia="Calibri" w:cs="Calibri"/>
              </w:rPr>
              <w:t>1</w:t>
            </w:r>
            <w:r>
              <w:rPr>
                <w:rFonts w:eastAsia="Calibri" w:cs="Calibri"/>
              </w:rPr>
              <w:t>83</w:t>
            </w:r>
          </w:p>
        </w:tc>
      </w:tr>
      <w:tr w:rsidR="005823DA" w:rsidRPr="00FD7207" w14:paraId="5FD56A8E" w14:textId="77777777" w:rsidTr="001F3AEB">
        <w:trPr>
          <w:cnfStyle w:val="000000010000" w:firstRow="0" w:lastRow="0" w:firstColumn="0" w:lastColumn="0" w:oddVBand="0" w:evenVBand="0" w:oddHBand="0" w:evenHBand="1" w:firstRowFirstColumn="0" w:firstRowLastColumn="0" w:lastRowFirstColumn="0" w:lastRowLastColumn="0"/>
        </w:trPr>
        <w:tc>
          <w:tcPr>
            <w:tcW w:w="1758" w:type="dxa"/>
            <w:tcBorders>
              <w:top w:val="single" w:sz="2" w:space="0" w:color="000000" w:themeColor="text1"/>
              <w:bottom w:val="single" w:sz="2" w:space="0" w:color="000000" w:themeColor="text1"/>
              <w:right w:val="single" w:sz="2" w:space="0" w:color="000000" w:themeColor="text1"/>
            </w:tcBorders>
          </w:tcPr>
          <w:p w14:paraId="1BA782BC" w14:textId="77777777" w:rsidR="005823DA" w:rsidRDefault="005823DA" w:rsidP="00AD6FCF">
            <w:pPr>
              <w:widowControl w:val="0"/>
              <w:jc w:val="right"/>
              <w:rPr>
                <w:rFonts w:eastAsia="Calibri" w:cs="Calibri"/>
              </w:rPr>
            </w:pPr>
            <w:r>
              <w:rPr>
                <w:rFonts w:eastAsia="Calibri" w:cs="Calibri"/>
              </w:rPr>
              <w:t>70 and over</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4F319B" w14:textId="640DFB13" w:rsidR="005823DA" w:rsidRPr="003A1130" w:rsidRDefault="001B4843" w:rsidP="00AD6FCF">
            <w:pPr>
              <w:jc w:val="center"/>
            </w:pPr>
            <w:r>
              <w:t>8.6</w:t>
            </w:r>
            <w:r w:rsidR="005823DA" w:rsidRPr="003A1130">
              <w:t>%</w:t>
            </w:r>
          </w:p>
        </w:tc>
        <w:tc>
          <w:tcPr>
            <w:tcW w:w="20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2EA979" w14:textId="33D26844" w:rsidR="005823DA" w:rsidRPr="003A1130" w:rsidRDefault="005823DA" w:rsidP="00AD6FCF">
            <w:pPr>
              <w:widowControl w:val="0"/>
              <w:jc w:val="center"/>
              <w:rPr>
                <w:rFonts w:eastAsia="Calibri" w:cs="Calibri"/>
              </w:rPr>
            </w:pPr>
            <w:r w:rsidRPr="003A1130">
              <w:rPr>
                <w:rFonts w:eastAsia="Calibri" w:cs="Calibri"/>
              </w:rPr>
              <w:t>9</w:t>
            </w:r>
            <w:r w:rsidR="001B4843">
              <w:rPr>
                <w:rFonts w:eastAsia="Calibri" w:cs="Calibri"/>
              </w:rPr>
              <w:t>75</w:t>
            </w:r>
          </w:p>
        </w:tc>
        <w:tc>
          <w:tcPr>
            <w:tcW w:w="20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288091" w14:textId="48A52C7F" w:rsidR="005823DA" w:rsidRPr="003A1130" w:rsidRDefault="001B4843" w:rsidP="00AD6FCF">
            <w:pPr>
              <w:jc w:val="center"/>
            </w:pPr>
            <w:r>
              <w:t>19.7</w:t>
            </w:r>
            <w:r w:rsidR="005823DA" w:rsidRPr="003A1130">
              <w:t>%</w:t>
            </w:r>
          </w:p>
        </w:tc>
        <w:tc>
          <w:tcPr>
            <w:tcW w:w="2081" w:type="dxa"/>
            <w:tcBorders>
              <w:top w:val="single" w:sz="2" w:space="0" w:color="000000" w:themeColor="text1"/>
              <w:left w:val="single" w:sz="2" w:space="0" w:color="000000" w:themeColor="text1"/>
              <w:bottom w:val="single" w:sz="2" w:space="0" w:color="000000" w:themeColor="text1"/>
            </w:tcBorders>
          </w:tcPr>
          <w:p w14:paraId="56D90D05" w14:textId="1ACE10E0" w:rsidR="005823DA" w:rsidRPr="003A1130" w:rsidRDefault="001B4843" w:rsidP="00AD6FCF">
            <w:pPr>
              <w:widowControl w:val="0"/>
              <w:jc w:val="center"/>
              <w:rPr>
                <w:rFonts w:eastAsia="Calibri" w:cs="Calibri"/>
              </w:rPr>
            </w:pPr>
            <w:r>
              <w:rPr>
                <w:rFonts w:eastAsia="Calibri" w:cs="Calibri"/>
              </w:rPr>
              <w:t>279</w:t>
            </w:r>
          </w:p>
        </w:tc>
      </w:tr>
      <w:tr w:rsidR="001F3AEB" w:rsidRPr="00FD7207" w14:paraId="05B2FB0B" w14:textId="77777777" w:rsidTr="00AD6FCF">
        <w:tc>
          <w:tcPr>
            <w:tcW w:w="1758" w:type="dxa"/>
            <w:tcBorders>
              <w:top w:val="single" w:sz="2" w:space="0" w:color="000000" w:themeColor="text1"/>
              <w:right w:val="single" w:sz="2" w:space="0" w:color="000000" w:themeColor="text1"/>
            </w:tcBorders>
          </w:tcPr>
          <w:p w14:paraId="6B0962A2" w14:textId="5D0DE43B" w:rsidR="001F3AEB" w:rsidRPr="001F3AEB" w:rsidRDefault="001F3AEB" w:rsidP="001F3AEB">
            <w:pPr>
              <w:widowControl w:val="0"/>
              <w:jc w:val="right"/>
              <w:rPr>
                <w:rFonts w:eastAsia="Calibri" w:cs="Calibri"/>
                <w:b/>
              </w:rPr>
            </w:pPr>
            <w:r w:rsidRPr="001F3AEB">
              <w:rPr>
                <w:rFonts w:eastAsia="Calibri" w:cs="Calibri"/>
                <w:b/>
              </w:rPr>
              <w:t>All age groups</w:t>
            </w:r>
          </w:p>
        </w:tc>
        <w:tc>
          <w:tcPr>
            <w:tcW w:w="2080" w:type="dxa"/>
            <w:tcBorders>
              <w:top w:val="single" w:sz="2" w:space="0" w:color="000000" w:themeColor="text1"/>
              <w:left w:val="single" w:sz="2" w:space="0" w:color="000000" w:themeColor="text1"/>
              <w:right w:val="single" w:sz="2" w:space="0" w:color="000000" w:themeColor="text1"/>
            </w:tcBorders>
          </w:tcPr>
          <w:p w14:paraId="6219C999" w14:textId="3F3D0119" w:rsidR="001F3AEB" w:rsidRPr="001F3AEB" w:rsidRDefault="001F3AEB" w:rsidP="001B4843">
            <w:pPr>
              <w:jc w:val="center"/>
              <w:rPr>
                <w:b/>
              </w:rPr>
            </w:pPr>
            <w:r w:rsidRPr="001F3AEB">
              <w:rPr>
                <w:rFonts w:eastAsia="Calibri" w:cs="Calibri"/>
                <w:b/>
              </w:rPr>
              <w:t>1.</w:t>
            </w:r>
            <w:r w:rsidR="001B4843">
              <w:rPr>
                <w:rFonts w:eastAsia="Calibri" w:cs="Calibri"/>
                <w:b/>
              </w:rPr>
              <w:t>4</w:t>
            </w:r>
            <w:r w:rsidRPr="001F3AEB">
              <w:rPr>
                <w:rFonts w:eastAsia="Calibri" w:cs="Calibri"/>
                <w:b/>
              </w:rPr>
              <w:t>%</w:t>
            </w:r>
          </w:p>
        </w:tc>
        <w:tc>
          <w:tcPr>
            <w:tcW w:w="2081" w:type="dxa"/>
            <w:tcBorders>
              <w:top w:val="single" w:sz="2" w:space="0" w:color="000000" w:themeColor="text1"/>
              <w:left w:val="single" w:sz="2" w:space="0" w:color="000000" w:themeColor="text1"/>
              <w:right w:val="single" w:sz="2" w:space="0" w:color="000000" w:themeColor="text1"/>
            </w:tcBorders>
          </w:tcPr>
          <w:p w14:paraId="1257F064" w14:textId="47C1A0F6" w:rsidR="001F3AEB" w:rsidRPr="001F3AEB" w:rsidRDefault="001F3AEB" w:rsidP="001F3AEB">
            <w:pPr>
              <w:widowControl w:val="0"/>
              <w:jc w:val="center"/>
              <w:rPr>
                <w:rFonts w:eastAsia="Calibri" w:cs="Calibri"/>
                <w:b/>
              </w:rPr>
            </w:pPr>
            <w:r w:rsidRPr="001F3AEB">
              <w:rPr>
                <w:rFonts w:eastAsia="Calibri" w:cs="Calibri"/>
                <w:b/>
              </w:rPr>
              <w:t>6,</w:t>
            </w:r>
            <w:r w:rsidR="001B4843">
              <w:rPr>
                <w:rFonts w:eastAsia="Calibri" w:cs="Calibri"/>
                <w:b/>
              </w:rPr>
              <w:t xml:space="preserve">971 </w:t>
            </w:r>
          </w:p>
        </w:tc>
        <w:tc>
          <w:tcPr>
            <w:tcW w:w="2080" w:type="dxa"/>
            <w:tcBorders>
              <w:top w:val="single" w:sz="2" w:space="0" w:color="000000" w:themeColor="text1"/>
              <w:left w:val="single" w:sz="2" w:space="0" w:color="000000" w:themeColor="text1"/>
              <w:right w:val="single" w:sz="2" w:space="0" w:color="000000" w:themeColor="text1"/>
            </w:tcBorders>
          </w:tcPr>
          <w:p w14:paraId="52ADDED4" w14:textId="6BADF940" w:rsidR="001F3AEB" w:rsidRPr="001F3AEB" w:rsidRDefault="001F3AEB" w:rsidP="001F3AEB">
            <w:pPr>
              <w:jc w:val="center"/>
              <w:rPr>
                <w:b/>
              </w:rPr>
            </w:pPr>
            <w:r w:rsidRPr="001F3AEB">
              <w:rPr>
                <w:rFonts w:eastAsia="Calibri" w:cs="Calibri"/>
                <w:b/>
              </w:rPr>
              <w:t>7.</w:t>
            </w:r>
            <w:r w:rsidR="001B4843">
              <w:rPr>
                <w:rFonts w:eastAsia="Calibri" w:cs="Calibri"/>
                <w:b/>
              </w:rPr>
              <w:t>9</w:t>
            </w:r>
            <w:r w:rsidRPr="001F3AEB">
              <w:rPr>
                <w:rFonts w:eastAsia="Calibri" w:cs="Calibri"/>
                <w:b/>
              </w:rPr>
              <w:t>%</w:t>
            </w:r>
          </w:p>
        </w:tc>
        <w:tc>
          <w:tcPr>
            <w:tcW w:w="2081" w:type="dxa"/>
            <w:tcBorders>
              <w:top w:val="single" w:sz="2" w:space="0" w:color="000000" w:themeColor="text1"/>
              <w:left w:val="single" w:sz="2" w:space="0" w:color="000000" w:themeColor="text1"/>
            </w:tcBorders>
          </w:tcPr>
          <w:p w14:paraId="734A5530" w14:textId="107C9F52" w:rsidR="001F3AEB" w:rsidRPr="001F3AEB" w:rsidRDefault="001B4843" w:rsidP="001F3AEB">
            <w:pPr>
              <w:widowControl w:val="0"/>
              <w:jc w:val="center"/>
              <w:rPr>
                <w:rFonts w:eastAsia="Calibri" w:cs="Calibri"/>
                <w:b/>
              </w:rPr>
            </w:pPr>
            <w:r>
              <w:rPr>
                <w:rFonts w:eastAsia="Calibri" w:cs="Calibri"/>
                <w:b/>
              </w:rPr>
              <w:t>866</w:t>
            </w:r>
          </w:p>
        </w:tc>
      </w:tr>
    </w:tbl>
    <w:p w14:paraId="1965BF73" w14:textId="77777777" w:rsidR="005823DA" w:rsidRPr="001D3534" w:rsidRDefault="005823DA" w:rsidP="005823DA">
      <w:pPr>
        <w:rPr>
          <w:color w:val="000000" w:themeColor="text1"/>
        </w:rPr>
      </w:pPr>
    </w:p>
    <w:p w14:paraId="5A3BF313" w14:textId="38B2B7A0" w:rsidR="00870C02" w:rsidRPr="00331EAA" w:rsidRDefault="00870C02" w:rsidP="00331EAA">
      <w:r w:rsidRPr="00331EAA">
        <w:t xml:space="preserve">The crude case fatality rate and the proportion of cases requiring hospitalisation in Australia </w:t>
      </w:r>
      <w:r w:rsidR="009C3614" w:rsidRPr="00331EAA">
        <w:t xml:space="preserve">both </w:t>
      </w:r>
      <w:r w:rsidRPr="00331EAA">
        <w:t>remain substantially lower th</w:t>
      </w:r>
      <w:r w:rsidR="00362FB7" w:rsidRPr="00331EAA">
        <w:t>a</w:t>
      </w:r>
      <w:r w:rsidRPr="00331EAA">
        <w:t xml:space="preserve">n </w:t>
      </w:r>
      <w:r w:rsidR="009C3614" w:rsidRPr="00331EAA">
        <w:t>the corresponding values</w:t>
      </w:r>
      <w:r w:rsidRPr="00331EAA">
        <w:t xml:space="preserve"> reported from </w:t>
      </w:r>
      <w:r w:rsidR="00071C89" w:rsidRPr="00331EAA">
        <w:t xml:space="preserve">many </w:t>
      </w:r>
      <w:r w:rsidRPr="00331EAA">
        <w:t>other comparable high</w:t>
      </w:r>
      <w:r w:rsidR="00362FB7" w:rsidRPr="00331EAA">
        <w:t>-</w:t>
      </w:r>
      <w:r w:rsidRPr="00331EAA">
        <w:t>income countries. Of total cases of COVID-19 notified</w:t>
      </w:r>
      <w:r w:rsidR="009C3614" w:rsidRPr="00331EAA">
        <w:t xml:space="preserve"> in Australia</w:t>
      </w:r>
      <w:r w:rsidRPr="00331EAA">
        <w:t>, 866 (12%) were admitted to hospital compared to 42% of cases reported requiring hospitalisation in the EU/E</w:t>
      </w:r>
      <w:r w:rsidR="00721537">
        <w:t>E</w:t>
      </w:r>
      <w:r w:rsidRPr="00331EAA">
        <w:t xml:space="preserve">A. </w:t>
      </w:r>
      <w:r w:rsidR="00071C89" w:rsidRPr="00331EAA">
        <w:t>It is noted that the higher proportion reported by EU/E</w:t>
      </w:r>
      <w:r w:rsidR="00721537">
        <w:t>E</w:t>
      </w:r>
      <w:r w:rsidR="00071C89" w:rsidRPr="00331EAA">
        <w:t xml:space="preserve">A </w:t>
      </w:r>
      <w:r w:rsidRPr="00331EAA">
        <w:t>is affected by each country’s testing strategies, with some European countries now only testing hospitalised individuals for COVID-19.</w:t>
      </w:r>
      <w:r w:rsidR="00BA217C" w:rsidRPr="00331EAA">
        <w:rPr>
          <w:vertAlign w:val="superscript"/>
        </w:rPr>
        <w:t>2</w:t>
      </w:r>
      <w:r w:rsidRPr="00331EAA">
        <w:t xml:space="preserve"> </w:t>
      </w:r>
    </w:p>
    <w:p w14:paraId="19514E30" w14:textId="192F14C2" w:rsidR="00A45DE2" w:rsidRPr="00331EAA" w:rsidRDefault="00A45DE2" w:rsidP="00331EAA">
      <w:pPr>
        <w:rPr>
          <w:rFonts w:cstheme="minorHAnsi"/>
        </w:rPr>
      </w:pPr>
      <w:r w:rsidRPr="00331EAA">
        <w:rPr>
          <w:rFonts w:cstheme="minorHAnsi"/>
        </w:rPr>
        <w:t>The highest rate of hospitalised cases</w:t>
      </w:r>
      <w:r w:rsidR="00362FB7" w:rsidRPr="00331EAA">
        <w:rPr>
          <w:rFonts w:cstheme="minorHAnsi"/>
        </w:rPr>
        <w:t xml:space="preserve"> in Australia</w:t>
      </w:r>
      <w:r w:rsidRPr="00331EAA">
        <w:rPr>
          <w:rFonts w:cstheme="minorHAnsi"/>
        </w:rPr>
        <w:t xml:space="preserve"> was among the 70–79 age group (10.5 per 100,000 populations), followed by the 80–89 years age group (9.2 per 100,000).</w:t>
      </w:r>
    </w:p>
    <w:p w14:paraId="63C414BD" w14:textId="0E981F3A" w:rsidR="00A45DE2" w:rsidRPr="00331EAA" w:rsidRDefault="00A45DE2" w:rsidP="00331EAA">
      <w:r w:rsidRPr="00331EAA">
        <w:t>Approximately 3% of hospitalised cases were children and young adults a</w:t>
      </w:r>
      <w:r w:rsidR="005458F0" w:rsidRPr="00331EAA">
        <w:t>ged 19 years and under</w:t>
      </w:r>
      <w:r w:rsidRPr="00331EAA">
        <w:t xml:space="preserve">. Of this group, the highest proportion of hospitalised cases was among children aged 5 and under, with </w:t>
      </w:r>
      <w:r w:rsidR="009C3614" w:rsidRPr="00331EAA">
        <w:t xml:space="preserve">hospitalisation of </w:t>
      </w:r>
      <w:r w:rsidRPr="00331EAA">
        <w:t xml:space="preserve">12% of cases. Some of these hospitalisations may be precautionary, </w:t>
      </w:r>
      <w:r w:rsidR="009C3614" w:rsidRPr="00331EAA">
        <w:t xml:space="preserve">rather </w:t>
      </w:r>
      <w:r w:rsidR="00F82B07" w:rsidRPr="00331EAA">
        <w:t>than necessarily being due to</w:t>
      </w:r>
      <w:r w:rsidR="00444C1F" w:rsidRPr="00331EAA">
        <w:t xml:space="preserve"> illness severity</w:t>
      </w:r>
      <w:r w:rsidRPr="00331EAA">
        <w:t>. Of the hospitalised cases</w:t>
      </w:r>
      <w:r w:rsidR="00F82B07" w:rsidRPr="00331EAA">
        <w:t xml:space="preserve"> among children and young adults</w:t>
      </w:r>
      <w:r w:rsidRPr="00331EAA">
        <w:t xml:space="preserve">, </w:t>
      </w:r>
      <w:r w:rsidR="00362FB7" w:rsidRPr="00331EAA">
        <w:t xml:space="preserve">two </w:t>
      </w:r>
      <w:r w:rsidRPr="00331EAA">
        <w:t>were admitted to</w:t>
      </w:r>
      <w:r w:rsidR="00444C1F" w:rsidRPr="00331EAA">
        <w:t xml:space="preserve"> ICU </w:t>
      </w:r>
      <w:r w:rsidR="00362FB7" w:rsidRPr="00331EAA">
        <w:t>with one</w:t>
      </w:r>
      <w:r w:rsidR="00444C1F" w:rsidRPr="00331EAA">
        <w:t xml:space="preserve"> receiv</w:t>
      </w:r>
      <w:r w:rsidR="00362FB7" w:rsidRPr="00331EAA">
        <w:t>ing</w:t>
      </w:r>
      <w:r w:rsidR="00444C1F" w:rsidRPr="00331EAA">
        <w:t xml:space="preserve"> ventilation</w:t>
      </w:r>
      <w:r w:rsidR="00362FB7" w:rsidRPr="00331EAA">
        <w:t>;</w:t>
      </w:r>
      <w:r w:rsidRPr="00331EAA">
        <w:t xml:space="preserve"> </w:t>
      </w:r>
      <w:r w:rsidR="00362FB7" w:rsidRPr="00331EAA">
        <w:t xml:space="preserve">both </w:t>
      </w:r>
      <w:r w:rsidRPr="00331EAA">
        <w:t>ca</w:t>
      </w:r>
      <w:r w:rsidR="00B27548" w:rsidRPr="00331EAA">
        <w:t>ses were both aged 10–19 years.</w:t>
      </w:r>
    </w:p>
    <w:p w14:paraId="48E8FE03" w14:textId="00159306" w:rsidR="00870C02" w:rsidRPr="00331EAA" w:rsidRDefault="00870C02" w:rsidP="00331EAA">
      <w:r w:rsidRPr="00331EAA">
        <w:t xml:space="preserve">The most commonly reported comorbid conditions among hospitalised cases were cardiac disease (19%), diabetes (18%) and chronic respiratory conditions (13%). Obesity was reported as a comorbid condition by 7% (n = 43) of hospitalised cases (Table </w:t>
      </w:r>
      <w:r w:rsidR="00B27548" w:rsidRPr="00331EAA">
        <w:t>6</w:t>
      </w:r>
      <w:r w:rsidRPr="00331EAA">
        <w:t>).</w:t>
      </w:r>
    </w:p>
    <w:p w14:paraId="2D659853" w14:textId="31ABB01E" w:rsidR="00870C02" w:rsidRPr="00331EAA" w:rsidRDefault="00870C02" w:rsidP="00331EAA">
      <w:r w:rsidRPr="00331EAA">
        <w:t>Of the hospitalised COVID-19 cases, 18% (n = 159) were admitted to an intensive care unit (ICU), with 45 cases receiving ventilation. The most commonly</w:t>
      </w:r>
      <w:r w:rsidR="00C24D34" w:rsidRPr="00331EAA">
        <w:t>-</w:t>
      </w:r>
      <w:r w:rsidRPr="00331EAA">
        <w:t xml:space="preserve">reported comorbid conditions among cases admitted to an ICU were diabetes (29%) and cardiac disease (25%), which is similar to the most commonly reported comorbid conditions among hospitalised cases. Compared with hospitalised cases, a greater proportion of cases admitted to an ICU or receiving ventilation (15% and 24% respectively) were reported as being obese. </w:t>
      </w:r>
    </w:p>
    <w:p w14:paraId="76DCE7FC" w14:textId="626C9712" w:rsidR="00A45DE2" w:rsidRPr="00331EAA" w:rsidRDefault="00A45DE2" w:rsidP="00331EAA">
      <w:pPr>
        <w:rPr>
          <w:vertAlign w:val="superscript"/>
        </w:rPr>
      </w:pPr>
      <w:r w:rsidRPr="00331EAA">
        <w:t>Among those aged 19 years and under, asthma was the most common comorbid condition, reported by 12% (n = 23) of all cases and 27% (n = 3) of hospitalised cases in this age group. This aligns generally with the broader population, with 10.3% (95% CI 9.3–11.3%) of young Australians aged 0–17 estimated to have asthma in 2017–</w:t>
      </w:r>
      <w:r w:rsidR="00BA217C" w:rsidRPr="00331EAA">
        <w:t>20</w:t>
      </w:r>
      <w:r w:rsidRPr="00331EAA">
        <w:t>18.</w:t>
      </w:r>
      <w:r w:rsidR="00BA217C" w:rsidRPr="00331EAA">
        <w:rPr>
          <w:vertAlign w:val="superscript"/>
        </w:rPr>
        <w:t>3</w:t>
      </w:r>
    </w:p>
    <w:p w14:paraId="2D917CD3" w14:textId="77777777" w:rsidR="00870C02" w:rsidRPr="00331EAA" w:rsidRDefault="00870C02" w:rsidP="00331EAA">
      <w:r w:rsidRPr="00331EAA">
        <w:t>Of all cases, 29% reported one or more comorbid conditions, 6% reported two or more and 2% reported three or more. The proportion of COVID-19 cases who reported one or more comorbid conditions increased with the level of care required, with 73% of ventilated cases reporting comorbid conditions.</w:t>
      </w:r>
    </w:p>
    <w:p w14:paraId="416E67DE" w14:textId="77777777" w:rsidR="00870C02" w:rsidRPr="00331EAA" w:rsidRDefault="00870C02" w:rsidP="00870C02">
      <w:r w:rsidRPr="00331EAA">
        <w:t xml:space="preserve">The median age of cases who died was 80 years (IQR: 74–86 years). Fifty-five of the cases were male and 43 were female. The most commonly reported comorbid conditions among COVID-19 deaths were cardiac disease (32%), diabetes (26%) and chronic respiratory disease (22%). Immunosuppressive condition/therapy (18%) and </w:t>
      </w:r>
      <w:r w:rsidRPr="00331EAA">
        <w:lastRenderedPageBreak/>
        <w:t xml:space="preserve">neurological disorder (18%) were also more commonly reported among deceased cases. Comorbid conditions were more common among cases who died, with 74% reported to have one or more specified comorbid conditions, 42% with two or more and 14% with three or more. </w:t>
      </w:r>
    </w:p>
    <w:p w14:paraId="763DC209" w14:textId="27AF36CB" w:rsidR="00B83136" w:rsidRPr="00191BC4" w:rsidRDefault="00870C02">
      <w:r w:rsidRPr="00331EAA">
        <w:t>Similar comorbidities have been reported from COVID-19 cases internationally, with cardiac disorder (excluding hypertension), chronic lung disease (excluding asthma) and diabetes the most commonly reported underlying health conditions in EU/EEA countries</w:t>
      </w:r>
      <w:r w:rsidR="00F82B07" w:rsidRPr="00331EAA">
        <w:t xml:space="preserve"> and the US</w:t>
      </w:r>
      <w:r w:rsidRPr="00331EAA">
        <w:t>.</w:t>
      </w:r>
      <w:r w:rsidR="00BA217C" w:rsidRPr="00331EAA">
        <w:rPr>
          <w:vertAlign w:val="superscript"/>
        </w:rPr>
        <w:t>2</w:t>
      </w:r>
      <w:r w:rsidR="00301D34" w:rsidRPr="00331EAA">
        <w:rPr>
          <w:vertAlign w:val="superscript"/>
        </w:rPr>
        <w:t>,4</w:t>
      </w:r>
      <w:r w:rsidRPr="00331EAA">
        <w:t xml:space="preserve"> </w:t>
      </w:r>
      <w:r w:rsidR="00BA217C" w:rsidRPr="00331EAA">
        <w:t>As in</w:t>
      </w:r>
      <w:r w:rsidRPr="00331EAA">
        <w:t xml:space="preserve"> Australia, the proportion of cases with underlying conditions</w:t>
      </w:r>
      <w:r w:rsidR="00BA217C" w:rsidRPr="00331EAA">
        <w:t xml:space="preserve"> in these countries</w:t>
      </w:r>
      <w:r w:rsidRPr="00331EAA">
        <w:t xml:space="preserve"> increased with COVID-19 severity. </w:t>
      </w:r>
    </w:p>
    <w:p w14:paraId="5D06165E" w14:textId="6D312C1F" w:rsidR="00D70262" w:rsidRPr="00331EAA" w:rsidRDefault="00D70262" w:rsidP="00331EAA">
      <w:pPr>
        <w:pStyle w:val="CDIFigures"/>
      </w:pPr>
      <w:r w:rsidRPr="00331EAA">
        <w:t xml:space="preserve">Table </w:t>
      </w:r>
      <w:r w:rsidR="00B27548" w:rsidRPr="00331EAA">
        <w:t>6</w:t>
      </w:r>
      <w:r w:rsidRPr="00331EAA">
        <w:t xml:space="preserve">: Common COVID-19 comorbidities for all cases, hospitalised cases, cases admitted to ICU and cases ventilated in ICU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6 summarises the incidence of commonly reported comorbidities among COVID-19 cases (cardiac disease excluding hypertension, diabetes, chronic respiratory condition excluding asthma, and obesity) for all cases, hospitalised cases, cased admitted to ICU, and cases ventilated in ICU. These comorbidities are all substantially more prevalent among hospitalised cases than among all cases. Cases with multiple specified comorbidities are also more heavily represented among hospitalised cases than among all cases, and more heavily represented again among cases admitted to ICU.&#10;"/>
      </w:tblPr>
      <w:tblGrid>
        <w:gridCol w:w="2830"/>
        <w:gridCol w:w="1811"/>
        <w:gridCol w:w="1811"/>
        <w:gridCol w:w="1811"/>
        <w:gridCol w:w="1812"/>
      </w:tblGrid>
      <w:tr w:rsidR="00870C02" w:rsidRPr="00331EAA" w14:paraId="1EB98F11" w14:textId="77777777" w:rsidTr="004B572A">
        <w:trPr>
          <w:cnfStyle w:val="100000000000" w:firstRow="1" w:lastRow="0" w:firstColumn="0" w:lastColumn="0" w:oddVBand="0" w:evenVBand="0" w:oddHBand="0" w:evenHBand="0" w:firstRowFirstColumn="0" w:firstRowLastColumn="0" w:lastRowFirstColumn="0" w:lastRowLastColumn="0"/>
          <w:tblHeader/>
        </w:trPr>
        <w:tc>
          <w:tcPr>
            <w:tcW w:w="2830" w:type="dxa"/>
          </w:tcPr>
          <w:p w14:paraId="26999EFB" w14:textId="77777777" w:rsidR="00870C02" w:rsidRPr="00331EAA" w:rsidRDefault="00870C02" w:rsidP="004B572A">
            <w:pPr>
              <w:rPr>
                <w:color w:val="FFFFFF" w:themeColor="background1"/>
                <w:sz w:val="18"/>
                <w:szCs w:val="18"/>
              </w:rPr>
            </w:pPr>
          </w:p>
        </w:tc>
        <w:tc>
          <w:tcPr>
            <w:tcW w:w="1811" w:type="dxa"/>
          </w:tcPr>
          <w:p w14:paraId="6E74C797" w14:textId="24BC55C8" w:rsidR="00870C02" w:rsidRPr="00331EAA" w:rsidRDefault="00870C02" w:rsidP="004B572A">
            <w:pPr>
              <w:jc w:val="center"/>
              <w:rPr>
                <w:color w:val="FFFFFF" w:themeColor="background1"/>
                <w:sz w:val="18"/>
                <w:szCs w:val="18"/>
                <w:vertAlign w:val="superscript"/>
              </w:rPr>
            </w:pPr>
            <w:r w:rsidRPr="00331EAA">
              <w:rPr>
                <w:color w:val="FFFFFF" w:themeColor="background1"/>
                <w:sz w:val="18"/>
                <w:szCs w:val="18"/>
              </w:rPr>
              <w:t xml:space="preserve">All cases </w:t>
            </w:r>
            <w:r w:rsidRPr="00331EAA">
              <w:rPr>
                <w:color w:val="FFFFFF" w:themeColor="background1"/>
                <w:sz w:val="18"/>
                <w:szCs w:val="18"/>
              </w:rPr>
              <w:br/>
              <w:t>(n = 5,074)</w:t>
            </w:r>
            <w:r w:rsidRPr="00331EAA">
              <w:rPr>
                <w:color w:val="FFFFFF" w:themeColor="background1"/>
                <w:sz w:val="18"/>
                <w:szCs w:val="18"/>
                <w:vertAlign w:val="superscript"/>
              </w:rPr>
              <w:t>a</w:t>
            </w:r>
          </w:p>
        </w:tc>
        <w:tc>
          <w:tcPr>
            <w:tcW w:w="1811" w:type="dxa"/>
          </w:tcPr>
          <w:p w14:paraId="1119E5D8" w14:textId="77777777" w:rsidR="00870C02" w:rsidRPr="00331EAA" w:rsidRDefault="00870C02" w:rsidP="004B572A">
            <w:pPr>
              <w:jc w:val="center"/>
              <w:rPr>
                <w:color w:val="FFFFFF" w:themeColor="background1"/>
                <w:sz w:val="18"/>
                <w:szCs w:val="18"/>
                <w:vertAlign w:val="superscript"/>
              </w:rPr>
            </w:pPr>
            <w:r w:rsidRPr="00331EAA">
              <w:rPr>
                <w:color w:val="FFFFFF" w:themeColor="background1"/>
                <w:sz w:val="18"/>
                <w:szCs w:val="18"/>
              </w:rPr>
              <w:t>Hospitalised cases (n = 600)</w:t>
            </w:r>
            <w:r w:rsidRPr="00331EAA">
              <w:rPr>
                <w:color w:val="FFFFFF" w:themeColor="background1"/>
                <w:sz w:val="18"/>
                <w:szCs w:val="18"/>
                <w:vertAlign w:val="superscript"/>
              </w:rPr>
              <w:t>a</w:t>
            </w:r>
          </w:p>
        </w:tc>
        <w:tc>
          <w:tcPr>
            <w:tcW w:w="1811" w:type="dxa"/>
          </w:tcPr>
          <w:p w14:paraId="299337DB" w14:textId="77777777" w:rsidR="00870C02" w:rsidRPr="00331EAA" w:rsidRDefault="00870C02" w:rsidP="004B572A">
            <w:pPr>
              <w:jc w:val="center"/>
              <w:rPr>
                <w:color w:val="FFFFFF" w:themeColor="background1"/>
                <w:sz w:val="18"/>
                <w:szCs w:val="18"/>
                <w:vertAlign w:val="superscript"/>
              </w:rPr>
            </w:pPr>
            <w:r w:rsidRPr="00331EAA">
              <w:rPr>
                <w:color w:val="FFFFFF" w:themeColor="background1"/>
                <w:sz w:val="18"/>
                <w:szCs w:val="18"/>
              </w:rPr>
              <w:t>Cases admitted to ICU (n = 124)</w:t>
            </w:r>
            <w:r w:rsidRPr="00331EAA">
              <w:rPr>
                <w:color w:val="FFFFFF" w:themeColor="background1"/>
                <w:sz w:val="18"/>
                <w:szCs w:val="18"/>
                <w:vertAlign w:val="superscript"/>
              </w:rPr>
              <w:t>a</w:t>
            </w:r>
          </w:p>
        </w:tc>
        <w:tc>
          <w:tcPr>
            <w:tcW w:w="1812" w:type="dxa"/>
          </w:tcPr>
          <w:p w14:paraId="0FD2A2BB" w14:textId="77777777" w:rsidR="00870C02" w:rsidRPr="00331EAA" w:rsidRDefault="00870C02" w:rsidP="004B572A">
            <w:pPr>
              <w:jc w:val="center"/>
              <w:rPr>
                <w:color w:val="FFFFFF" w:themeColor="background1"/>
                <w:sz w:val="18"/>
                <w:szCs w:val="18"/>
                <w:vertAlign w:val="superscript"/>
              </w:rPr>
            </w:pPr>
            <w:r w:rsidRPr="00331EAA">
              <w:rPr>
                <w:color w:val="FFFFFF" w:themeColor="background1"/>
                <w:sz w:val="18"/>
                <w:szCs w:val="18"/>
              </w:rPr>
              <w:t>Cases ventilated in ICU (n = 33)</w:t>
            </w:r>
            <w:r w:rsidRPr="00331EAA">
              <w:rPr>
                <w:color w:val="FFFFFF" w:themeColor="background1"/>
                <w:sz w:val="18"/>
                <w:szCs w:val="18"/>
                <w:vertAlign w:val="superscript"/>
              </w:rPr>
              <w:t>a</w:t>
            </w:r>
          </w:p>
        </w:tc>
      </w:tr>
      <w:tr w:rsidR="00870C02" w:rsidRPr="00331EAA" w14:paraId="03C0D1A9" w14:textId="77777777" w:rsidTr="00AF5305">
        <w:trPr>
          <w:trHeight w:val="340"/>
        </w:trPr>
        <w:tc>
          <w:tcPr>
            <w:tcW w:w="10075" w:type="dxa"/>
            <w:gridSpan w:val="5"/>
            <w:shd w:val="clear" w:color="auto" w:fill="BFBFBF" w:themeFill="background1" w:themeFillShade="BF"/>
            <w:vAlign w:val="center"/>
          </w:tcPr>
          <w:p w14:paraId="4FB23C51" w14:textId="77777777" w:rsidR="00870C02" w:rsidRPr="00331EAA" w:rsidRDefault="00870C02" w:rsidP="00AF5305">
            <w:pPr>
              <w:rPr>
                <w:sz w:val="18"/>
                <w:szCs w:val="18"/>
              </w:rPr>
            </w:pPr>
            <w:r w:rsidRPr="00331EAA">
              <w:rPr>
                <w:b/>
                <w:sz w:val="18"/>
                <w:szCs w:val="18"/>
              </w:rPr>
              <w:t>Common comorbidities</w:t>
            </w:r>
          </w:p>
        </w:tc>
      </w:tr>
      <w:tr w:rsidR="00870C02" w:rsidRPr="00331EAA" w14:paraId="4696012F" w14:textId="77777777" w:rsidTr="004B572A">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1737F8E5" w14:textId="77777777" w:rsidR="00870C02" w:rsidRPr="00331EAA" w:rsidRDefault="00870C02" w:rsidP="004B572A">
            <w:pPr>
              <w:rPr>
                <w:sz w:val="18"/>
                <w:szCs w:val="18"/>
              </w:rPr>
            </w:pPr>
            <w:r w:rsidRPr="00331EAA">
              <w:rPr>
                <w:sz w:val="18"/>
                <w:szCs w:val="18"/>
              </w:rPr>
              <w:t>Cardiac disease (excluding hypertension)</w:t>
            </w:r>
          </w:p>
        </w:tc>
        <w:tc>
          <w:tcPr>
            <w:tcW w:w="1811" w:type="dxa"/>
          </w:tcPr>
          <w:p w14:paraId="59541B04" w14:textId="77777777" w:rsidR="00870C02" w:rsidRPr="00331EAA" w:rsidRDefault="00870C02" w:rsidP="004B572A">
            <w:pPr>
              <w:jc w:val="center"/>
              <w:rPr>
                <w:sz w:val="18"/>
                <w:szCs w:val="18"/>
              </w:rPr>
            </w:pPr>
            <w:r w:rsidRPr="00331EAA">
              <w:rPr>
                <w:sz w:val="18"/>
                <w:szCs w:val="18"/>
              </w:rPr>
              <w:t>407 (8%)</w:t>
            </w:r>
          </w:p>
        </w:tc>
        <w:tc>
          <w:tcPr>
            <w:tcW w:w="1811" w:type="dxa"/>
          </w:tcPr>
          <w:p w14:paraId="0A9D60A4" w14:textId="77777777" w:rsidR="00870C02" w:rsidRPr="00331EAA" w:rsidRDefault="00870C02" w:rsidP="004B572A">
            <w:pPr>
              <w:jc w:val="center"/>
              <w:rPr>
                <w:sz w:val="18"/>
                <w:szCs w:val="18"/>
              </w:rPr>
            </w:pPr>
            <w:r w:rsidRPr="00331EAA">
              <w:rPr>
                <w:sz w:val="18"/>
                <w:szCs w:val="18"/>
              </w:rPr>
              <w:t>112 (19%)</w:t>
            </w:r>
          </w:p>
        </w:tc>
        <w:tc>
          <w:tcPr>
            <w:tcW w:w="1811" w:type="dxa"/>
          </w:tcPr>
          <w:p w14:paraId="5291348A" w14:textId="77777777" w:rsidR="00870C02" w:rsidRPr="00331EAA" w:rsidRDefault="00870C02" w:rsidP="004B572A">
            <w:pPr>
              <w:jc w:val="center"/>
              <w:rPr>
                <w:sz w:val="18"/>
                <w:szCs w:val="18"/>
              </w:rPr>
            </w:pPr>
            <w:r w:rsidRPr="00331EAA">
              <w:rPr>
                <w:sz w:val="18"/>
                <w:szCs w:val="18"/>
              </w:rPr>
              <w:t>25 (20%)</w:t>
            </w:r>
          </w:p>
        </w:tc>
        <w:tc>
          <w:tcPr>
            <w:tcW w:w="1812" w:type="dxa"/>
          </w:tcPr>
          <w:p w14:paraId="27997E7B" w14:textId="77777777" w:rsidR="00870C02" w:rsidRPr="00331EAA" w:rsidRDefault="00870C02" w:rsidP="004B572A">
            <w:pPr>
              <w:jc w:val="center"/>
              <w:rPr>
                <w:sz w:val="18"/>
                <w:szCs w:val="18"/>
              </w:rPr>
            </w:pPr>
            <w:r w:rsidRPr="00331EAA">
              <w:rPr>
                <w:sz w:val="18"/>
                <w:szCs w:val="18"/>
              </w:rPr>
              <w:t>6 (18%)</w:t>
            </w:r>
          </w:p>
        </w:tc>
      </w:tr>
      <w:tr w:rsidR="00870C02" w:rsidRPr="00331EAA" w14:paraId="3B77B7D7" w14:textId="77777777" w:rsidTr="004B572A">
        <w:trPr>
          <w:trHeight w:val="340"/>
        </w:trPr>
        <w:tc>
          <w:tcPr>
            <w:tcW w:w="2830" w:type="dxa"/>
          </w:tcPr>
          <w:p w14:paraId="03B85360" w14:textId="77777777" w:rsidR="00870C02" w:rsidRPr="00331EAA" w:rsidRDefault="00870C02" w:rsidP="004B572A">
            <w:pPr>
              <w:rPr>
                <w:sz w:val="18"/>
                <w:szCs w:val="18"/>
              </w:rPr>
            </w:pPr>
            <w:r w:rsidRPr="00331EAA">
              <w:rPr>
                <w:sz w:val="18"/>
                <w:szCs w:val="18"/>
              </w:rPr>
              <w:t>Diabetes</w:t>
            </w:r>
          </w:p>
        </w:tc>
        <w:tc>
          <w:tcPr>
            <w:tcW w:w="1811" w:type="dxa"/>
          </w:tcPr>
          <w:p w14:paraId="5163418C" w14:textId="77777777" w:rsidR="00870C02" w:rsidRPr="00331EAA" w:rsidRDefault="00870C02" w:rsidP="004B572A">
            <w:pPr>
              <w:jc w:val="center"/>
              <w:rPr>
                <w:sz w:val="18"/>
                <w:szCs w:val="18"/>
              </w:rPr>
            </w:pPr>
            <w:r w:rsidRPr="00331EAA">
              <w:rPr>
                <w:sz w:val="18"/>
                <w:szCs w:val="18"/>
              </w:rPr>
              <w:t>365 (7%)</w:t>
            </w:r>
          </w:p>
        </w:tc>
        <w:tc>
          <w:tcPr>
            <w:tcW w:w="1811" w:type="dxa"/>
          </w:tcPr>
          <w:p w14:paraId="67D6701F" w14:textId="77777777" w:rsidR="00870C02" w:rsidRPr="00331EAA" w:rsidRDefault="00870C02" w:rsidP="004B572A">
            <w:pPr>
              <w:jc w:val="center"/>
              <w:rPr>
                <w:sz w:val="18"/>
                <w:szCs w:val="18"/>
              </w:rPr>
            </w:pPr>
            <w:r w:rsidRPr="00331EAA">
              <w:rPr>
                <w:sz w:val="18"/>
                <w:szCs w:val="18"/>
              </w:rPr>
              <w:t>107 (18%)</w:t>
            </w:r>
          </w:p>
        </w:tc>
        <w:tc>
          <w:tcPr>
            <w:tcW w:w="1811" w:type="dxa"/>
          </w:tcPr>
          <w:p w14:paraId="2898546B" w14:textId="77777777" w:rsidR="00870C02" w:rsidRPr="00331EAA" w:rsidRDefault="00870C02" w:rsidP="004B572A">
            <w:pPr>
              <w:jc w:val="center"/>
              <w:rPr>
                <w:sz w:val="18"/>
                <w:szCs w:val="18"/>
              </w:rPr>
            </w:pPr>
            <w:r w:rsidRPr="00331EAA">
              <w:rPr>
                <w:sz w:val="18"/>
                <w:szCs w:val="18"/>
              </w:rPr>
              <w:t>29 (23%)</w:t>
            </w:r>
          </w:p>
        </w:tc>
        <w:tc>
          <w:tcPr>
            <w:tcW w:w="1812" w:type="dxa"/>
          </w:tcPr>
          <w:p w14:paraId="76EB49B6" w14:textId="77777777" w:rsidR="00870C02" w:rsidRPr="00331EAA" w:rsidRDefault="00870C02" w:rsidP="004B572A">
            <w:pPr>
              <w:jc w:val="center"/>
              <w:rPr>
                <w:sz w:val="18"/>
                <w:szCs w:val="18"/>
              </w:rPr>
            </w:pPr>
            <w:r w:rsidRPr="00331EAA">
              <w:rPr>
                <w:sz w:val="18"/>
                <w:szCs w:val="18"/>
              </w:rPr>
              <w:t>9 (27%)</w:t>
            </w:r>
          </w:p>
        </w:tc>
      </w:tr>
      <w:tr w:rsidR="00870C02" w:rsidRPr="00331EAA" w14:paraId="173E3E7C" w14:textId="77777777" w:rsidTr="004B572A">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7AD47C28" w14:textId="77777777" w:rsidR="00870C02" w:rsidRPr="00331EAA" w:rsidRDefault="00870C02" w:rsidP="004B572A">
            <w:pPr>
              <w:rPr>
                <w:sz w:val="18"/>
                <w:szCs w:val="18"/>
              </w:rPr>
            </w:pPr>
            <w:r w:rsidRPr="00331EAA">
              <w:rPr>
                <w:sz w:val="18"/>
                <w:szCs w:val="18"/>
              </w:rPr>
              <w:t>Chronic respiratory condition (excluding asthma)</w:t>
            </w:r>
          </w:p>
        </w:tc>
        <w:tc>
          <w:tcPr>
            <w:tcW w:w="1811" w:type="dxa"/>
          </w:tcPr>
          <w:p w14:paraId="44AC0E8E" w14:textId="77777777" w:rsidR="00870C02" w:rsidRPr="00331EAA" w:rsidRDefault="00870C02" w:rsidP="004B572A">
            <w:pPr>
              <w:jc w:val="center"/>
              <w:rPr>
                <w:sz w:val="18"/>
                <w:szCs w:val="18"/>
              </w:rPr>
            </w:pPr>
            <w:r w:rsidRPr="00331EAA">
              <w:rPr>
                <w:sz w:val="18"/>
                <w:szCs w:val="18"/>
              </w:rPr>
              <w:t>173 (3%)</w:t>
            </w:r>
          </w:p>
        </w:tc>
        <w:tc>
          <w:tcPr>
            <w:tcW w:w="1811" w:type="dxa"/>
          </w:tcPr>
          <w:p w14:paraId="17B73987" w14:textId="77777777" w:rsidR="00870C02" w:rsidRPr="00331EAA" w:rsidRDefault="00870C02" w:rsidP="004B572A">
            <w:pPr>
              <w:jc w:val="center"/>
              <w:rPr>
                <w:sz w:val="18"/>
                <w:szCs w:val="18"/>
              </w:rPr>
            </w:pPr>
            <w:r w:rsidRPr="00331EAA">
              <w:rPr>
                <w:sz w:val="18"/>
                <w:szCs w:val="18"/>
              </w:rPr>
              <w:t>75 (13%)</w:t>
            </w:r>
          </w:p>
        </w:tc>
        <w:tc>
          <w:tcPr>
            <w:tcW w:w="1811" w:type="dxa"/>
          </w:tcPr>
          <w:p w14:paraId="6B269EA5" w14:textId="77777777" w:rsidR="00870C02" w:rsidRPr="00331EAA" w:rsidRDefault="00870C02" w:rsidP="004B572A">
            <w:pPr>
              <w:jc w:val="center"/>
              <w:rPr>
                <w:sz w:val="18"/>
                <w:szCs w:val="18"/>
              </w:rPr>
            </w:pPr>
            <w:r w:rsidRPr="00331EAA">
              <w:rPr>
                <w:sz w:val="18"/>
                <w:szCs w:val="18"/>
              </w:rPr>
              <w:t>17 (14%)</w:t>
            </w:r>
          </w:p>
        </w:tc>
        <w:tc>
          <w:tcPr>
            <w:tcW w:w="1812" w:type="dxa"/>
          </w:tcPr>
          <w:p w14:paraId="43A11F65" w14:textId="77777777" w:rsidR="00870C02" w:rsidRPr="00331EAA" w:rsidRDefault="00870C02" w:rsidP="004B572A">
            <w:pPr>
              <w:jc w:val="center"/>
              <w:rPr>
                <w:sz w:val="18"/>
                <w:szCs w:val="18"/>
              </w:rPr>
            </w:pPr>
            <w:r w:rsidRPr="00331EAA">
              <w:rPr>
                <w:sz w:val="18"/>
                <w:szCs w:val="18"/>
              </w:rPr>
              <w:t>4 (12%)</w:t>
            </w:r>
          </w:p>
        </w:tc>
      </w:tr>
      <w:tr w:rsidR="00870C02" w:rsidRPr="00331EAA" w14:paraId="2B0E1A3D" w14:textId="77777777" w:rsidTr="004B572A">
        <w:trPr>
          <w:trHeight w:val="340"/>
        </w:trPr>
        <w:tc>
          <w:tcPr>
            <w:tcW w:w="2830" w:type="dxa"/>
          </w:tcPr>
          <w:p w14:paraId="49EFD7E3" w14:textId="77777777" w:rsidR="00870C02" w:rsidRPr="00331EAA" w:rsidRDefault="00870C02" w:rsidP="004B572A">
            <w:pPr>
              <w:rPr>
                <w:sz w:val="18"/>
                <w:szCs w:val="18"/>
              </w:rPr>
            </w:pPr>
            <w:r w:rsidRPr="00331EAA">
              <w:rPr>
                <w:sz w:val="18"/>
                <w:szCs w:val="18"/>
              </w:rPr>
              <w:t>Obesity</w:t>
            </w:r>
          </w:p>
        </w:tc>
        <w:tc>
          <w:tcPr>
            <w:tcW w:w="1811" w:type="dxa"/>
          </w:tcPr>
          <w:p w14:paraId="113A0C30" w14:textId="77777777" w:rsidR="00870C02" w:rsidRPr="00331EAA" w:rsidRDefault="00870C02" w:rsidP="004B572A">
            <w:pPr>
              <w:jc w:val="center"/>
              <w:rPr>
                <w:sz w:val="18"/>
                <w:szCs w:val="18"/>
              </w:rPr>
            </w:pPr>
            <w:r w:rsidRPr="00331EAA">
              <w:rPr>
                <w:sz w:val="18"/>
                <w:szCs w:val="18"/>
              </w:rPr>
              <w:t>196 (4%)</w:t>
            </w:r>
          </w:p>
        </w:tc>
        <w:tc>
          <w:tcPr>
            <w:tcW w:w="1811" w:type="dxa"/>
          </w:tcPr>
          <w:p w14:paraId="7AF2566A" w14:textId="77777777" w:rsidR="00870C02" w:rsidRPr="00331EAA" w:rsidRDefault="00870C02" w:rsidP="004B572A">
            <w:pPr>
              <w:jc w:val="center"/>
              <w:rPr>
                <w:sz w:val="18"/>
                <w:szCs w:val="18"/>
              </w:rPr>
            </w:pPr>
            <w:r w:rsidRPr="00331EAA">
              <w:rPr>
                <w:sz w:val="18"/>
                <w:szCs w:val="18"/>
              </w:rPr>
              <w:t>43 (7%)</w:t>
            </w:r>
          </w:p>
        </w:tc>
        <w:tc>
          <w:tcPr>
            <w:tcW w:w="1811" w:type="dxa"/>
          </w:tcPr>
          <w:p w14:paraId="3DEA1D90" w14:textId="77777777" w:rsidR="00870C02" w:rsidRPr="00331EAA" w:rsidRDefault="00870C02" w:rsidP="004B572A">
            <w:pPr>
              <w:jc w:val="center"/>
              <w:rPr>
                <w:sz w:val="18"/>
                <w:szCs w:val="18"/>
              </w:rPr>
            </w:pPr>
            <w:r w:rsidRPr="00331EAA">
              <w:rPr>
                <w:sz w:val="18"/>
                <w:szCs w:val="18"/>
              </w:rPr>
              <w:t>18 (15%)</w:t>
            </w:r>
          </w:p>
        </w:tc>
        <w:tc>
          <w:tcPr>
            <w:tcW w:w="1812" w:type="dxa"/>
          </w:tcPr>
          <w:p w14:paraId="597CFD4B" w14:textId="77777777" w:rsidR="00870C02" w:rsidRPr="00331EAA" w:rsidRDefault="00870C02" w:rsidP="004B572A">
            <w:pPr>
              <w:jc w:val="center"/>
              <w:rPr>
                <w:sz w:val="18"/>
                <w:szCs w:val="18"/>
              </w:rPr>
            </w:pPr>
            <w:r w:rsidRPr="00331EAA">
              <w:rPr>
                <w:sz w:val="18"/>
                <w:szCs w:val="18"/>
              </w:rPr>
              <w:t>8 (24%)</w:t>
            </w:r>
          </w:p>
        </w:tc>
      </w:tr>
      <w:tr w:rsidR="00870C02" w:rsidRPr="00331EAA" w14:paraId="4E4B37FD" w14:textId="77777777" w:rsidTr="00AF5305">
        <w:trPr>
          <w:cnfStyle w:val="000000010000" w:firstRow="0" w:lastRow="0" w:firstColumn="0" w:lastColumn="0" w:oddVBand="0" w:evenVBand="0" w:oddHBand="0" w:evenHBand="1" w:firstRowFirstColumn="0" w:firstRowLastColumn="0" w:lastRowFirstColumn="0" w:lastRowLastColumn="0"/>
          <w:trHeight w:val="340"/>
        </w:trPr>
        <w:tc>
          <w:tcPr>
            <w:tcW w:w="10075" w:type="dxa"/>
            <w:gridSpan w:val="5"/>
            <w:shd w:val="clear" w:color="auto" w:fill="BFBFBF" w:themeFill="background1" w:themeFillShade="BF"/>
            <w:vAlign w:val="center"/>
          </w:tcPr>
          <w:p w14:paraId="57115087" w14:textId="77777777" w:rsidR="00870C02" w:rsidRPr="00331EAA" w:rsidRDefault="00870C02" w:rsidP="00AF5305">
            <w:pPr>
              <w:rPr>
                <w:b/>
                <w:sz w:val="18"/>
                <w:szCs w:val="18"/>
              </w:rPr>
            </w:pPr>
            <w:r w:rsidRPr="00331EAA">
              <w:rPr>
                <w:b/>
                <w:sz w:val="18"/>
                <w:szCs w:val="18"/>
              </w:rPr>
              <w:t>Number of specified comorbidities</w:t>
            </w:r>
            <w:r w:rsidRPr="00331EAA">
              <w:rPr>
                <w:b/>
                <w:sz w:val="18"/>
                <w:szCs w:val="18"/>
                <w:vertAlign w:val="superscript"/>
              </w:rPr>
              <w:t>b</w:t>
            </w:r>
          </w:p>
        </w:tc>
      </w:tr>
      <w:tr w:rsidR="00870C02" w:rsidRPr="00331EAA" w14:paraId="3A36A9B4" w14:textId="77777777" w:rsidTr="004B572A">
        <w:trPr>
          <w:trHeight w:val="340"/>
        </w:trPr>
        <w:tc>
          <w:tcPr>
            <w:tcW w:w="2830" w:type="dxa"/>
          </w:tcPr>
          <w:p w14:paraId="36AFC2CC" w14:textId="77777777" w:rsidR="00870C02" w:rsidRPr="00331EAA" w:rsidRDefault="00870C02" w:rsidP="004B572A">
            <w:pPr>
              <w:rPr>
                <w:sz w:val="18"/>
                <w:szCs w:val="18"/>
              </w:rPr>
            </w:pPr>
            <w:r w:rsidRPr="00331EAA">
              <w:rPr>
                <w:sz w:val="18"/>
                <w:szCs w:val="18"/>
              </w:rPr>
              <w:t>One or more</w:t>
            </w:r>
          </w:p>
        </w:tc>
        <w:tc>
          <w:tcPr>
            <w:tcW w:w="1811" w:type="dxa"/>
          </w:tcPr>
          <w:p w14:paraId="0FD0D671" w14:textId="77777777" w:rsidR="00870C02" w:rsidRPr="00331EAA" w:rsidRDefault="00870C02" w:rsidP="004B572A">
            <w:pPr>
              <w:jc w:val="center"/>
              <w:rPr>
                <w:sz w:val="18"/>
                <w:szCs w:val="18"/>
              </w:rPr>
            </w:pPr>
            <w:r w:rsidRPr="00331EAA">
              <w:rPr>
                <w:sz w:val="18"/>
                <w:szCs w:val="18"/>
              </w:rPr>
              <w:t>1,478 (29%)</w:t>
            </w:r>
          </w:p>
        </w:tc>
        <w:tc>
          <w:tcPr>
            <w:tcW w:w="1811" w:type="dxa"/>
          </w:tcPr>
          <w:p w14:paraId="59BF67B8" w14:textId="77777777" w:rsidR="00870C02" w:rsidRPr="00331EAA" w:rsidRDefault="00870C02" w:rsidP="004B572A">
            <w:pPr>
              <w:jc w:val="center"/>
              <w:rPr>
                <w:sz w:val="18"/>
                <w:szCs w:val="18"/>
              </w:rPr>
            </w:pPr>
            <w:r w:rsidRPr="00331EAA">
              <w:rPr>
                <w:sz w:val="18"/>
                <w:szCs w:val="18"/>
              </w:rPr>
              <w:t>329 (55%)</w:t>
            </w:r>
          </w:p>
        </w:tc>
        <w:tc>
          <w:tcPr>
            <w:tcW w:w="1811" w:type="dxa"/>
          </w:tcPr>
          <w:p w14:paraId="1EFAE04D" w14:textId="77777777" w:rsidR="00870C02" w:rsidRPr="00331EAA" w:rsidRDefault="00870C02" w:rsidP="004B572A">
            <w:pPr>
              <w:jc w:val="center"/>
              <w:rPr>
                <w:sz w:val="18"/>
                <w:szCs w:val="18"/>
              </w:rPr>
            </w:pPr>
            <w:r w:rsidRPr="00331EAA">
              <w:rPr>
                <w:sz w:val="18"/>
                <w:szCs w:val="18"/>
              </w:rPr>
              <w:t>80 (65%)</w:t>
            </w:r>
          </w:p>
        </w:tc>
        <w:tc>
          <w:tcPr>
            <w:tcW w:w="1812" w:type="dxa"/>
          </w:tcPr>
          <w:p w14:paraId="197BB760" w14:textId="77777777" w:rsidR="00870C02" w:rsidRPr="00331EAA" w:rsidRDefault="00870C02" w:rsidP="004B572A">
            <w:pPr>
              <w:jc w:val="center"/>
              <w:rPr>
                <w:sz w:val="18"/>
                <w:szCs w:val="18"/>
              </w:rPr>
            </w:pPr>
            <w:r w:rsidRPr="00331EAA">
              <w:rPr>
                <w:sz w:val="18"/>
                <w:szCs w:val="18"/>
              </w:rPr>
              <w:t>24 (73%)</w:t>
            </w:r>
          </w:p>
        </w:tc>
      </w:tr>
      <w:tr w:rsidR="00870C02" w:rsidRPr="00331EAA" w14:paraId="2E5A4C3C" w14:textId="77777777" w:rsidTr="004B572A">
        <w:trPr>
          <w:cnfStyle w:val="000000010000" w:firstRow="0" w:lastRow="0" w:firstColumn="0" w:lastColumn="0" w:oddVBand="0" w:evenVBand="0" w:oddHBand="0" w:evenHBand="1" w:firstRowFirstColumn="0" w:firstRowLastColumn="0" w:lastRowFirstColumn="0" w:lastRowLastColumn="0"/>
          <w:trHeight w:val="340"/>
        </w:trPr>
        <w:tc>
          <w:tcPr>
            <w:tcW w:w="2830" w:type="dxa"/>
          </w:tcPr>
          <w:p w14:paraId="5E193156" w14:textId="77777777" w:rsidR="00870C02" w:rsidRPr="00331EAA" w:rsidRDefault="00870C02" w:rsidP="004B572A">
            <w:pPr>
              <w:rPr>
                <w:sz w:val="18"/>
                <w:szCs w:val="18"/>
              </w:rPr>
            </w:pPr>
            <w:r w:rsidRPr="00331EAA">
              <w:rPr>
                <w:sz w:val="18"/>
                <w:szCs w:val="18"/>
              </w:rPr>
              <w:t>Two or more</w:t>
            </w:r>
          </w:p>
        </w:tc>
        <w:tc>
          <w:tcPr>
            <w:tcW w:w="1811" w:type="dxa"/>
          </w:tcPr>
          <w:p w14:paraId="07868D02" w14:textId="77777777" w:rsidR="00870C02" w:rsidRPr="00331EAA" w:rsidRDefault="00870C02" w:rsidP="004B572A">
            <w:pPr>
              <w:jc w:val="center"/>
              <w:rPr>
                <w:sz w:val="18"/>
                <w:szCs w:val="18"/>
              </w:rPr>
            </w:pPr>
            <w:r w:rsidRPr="00331EAA">
              <w:rPr>
                <w:sz w:val="18"/>
                <w:szCs w:val="18"/>
              </w:rPr>
              <w:t>327 (6%)</w:t>
            </w:r>
          </w:p>
        </w:tc>
        <w:tc>
          <w:tcPr>
            <w:tcW w:w="1811" w:type="dxa"/>
          </w:tcPr>
          <w:p w14:paraId="4FDC3442" w14:textId="77777777" w:rsidR="00870C02" w:rsidRPr="00331EAA" w:rsidRDefault="00870C02" w:rsidP="004B572A">
            <w:pPr>
              <w:jc w:val="center"/>
              <w:rPr>
                <w:sz w:val="18"/>
                <w:szCs w:val="18"/>
              </w:rPr>
            </w:pPr>
            <w:r w:rsidRPr="00331EAA">
              <w:rPr>
                <w:sz w:val="18"/>
                <w:szCs w:val="18"/>
              </w:rPr>
              <w:t>105 (18%)</w:t>
            </w:r>
          </w:p>
        </w:tc>
        <w:tc>
          <w:tcPr>
            <w:tcW w:w="1811" w:type="dxa"/>
          </w:tcPr>
          <w:p w14:paraId="4DCD9A19" w14:textId="77777777" w:rsidR="00870C02" w:rsidRPr="00331EAA" w:rsidRDefault="00870C02" w:rsidP="004B572A">
            <w:pPr>
              <w:jc w:val="center"/>
              <w:rPr>
                <w:sz w:val="18"/>
                <w:szCs w:val="18"/>
              </w:rPr>
            </w:pPr>
            <w:r w:rsidRPr="00331EAA">
              <w:rPr>
                <w:sz w:val="18"/>
                <w:szCs w:val="18"/>
              </w:rPr>
              <w:t>31 (25%)</w:t>
            </w:r>
          </w:p>
        </w:tc>
        <w:tc>
          <w:tcPr>
            <w:tcW w:w="1812" w:type="dxa"/>
          </w:tcPr>
          <w:p w14:paraId="639D8DEB" w14:textId="77777777" w:rsidR="00870C02" w:rsidRPr="00331EAA" w:rsidRDefault="00870C02" w:rsidP="004B572A">
            <w:pPr>
              <w:jc w:val="center"/>
              <w:rPr>
                <w:sz w:val="18"/>
                <w:szCs w:val="18"/>
              </w:rPr>
            </w:pPr>
            <w:r w:rsidRPr="00331EAA">
              <w:rPr>
                <w:sz w:val="18"/>
                <w:szCs w:val="18"/>
              </w:rPr>
              <w:t>8 (24%)</w:t>
            </w:r>
          </w:p>
        </w:tc>
      </w:tr>
      <w:tr w:rsidR="00870C02" w:rsidRPr="00331EAA" w14:paraId="0E74D5BC" w14:textId="77777777" w:rsidTr="004B572A">
        <w:trPr>
          <w:trHeight w:val="340"/>
        </w:trPr>
        <w:tc>
          <w:tcPr>
            <w:tcW w:w="2830" w:type="dxa"/>
          </w:tcPr>
          <w:p w14:paraId="592B67CC" w14:textId="77777777" w:rsidR="00870C02" w:rsidRPr="00331EAA" w:rsidRDefault="00870C02" w:rsidP="004B572A">
            <w:pPr>
              <w:rPr>
                <w:sz w:val="18"/>
                <w:szCs w:val="18"/>
              </w:rPr>
            </w:pPr>
            <w:r w:rsidRPr="00331EAA">
              <w:rPr>
                <w:sz w:val="18"/>
                <w:szCs w:val="18"/>
              </w:rPr>
              <w:t>Three or more</w:t>
            </w:r>
          </w:p>
        </w:tc>
        <w:tc>
          <w:tcPr>
            <w:tcW w:w="1811" w:type="dxa"/>
          </w:tcPr>
          <w:p w14:paraId="7139DA51" w14:textId="77777777" w:rsidR="00870C02" w:rsidRPr="00331EAA" w:rsidRDefault="00870C02" w:rsidP="004B572A">
            <w:pPr>
              <w:jc w:val="center"/>
              <w:rPr>
                <w:sz w:val="18"/>
                <w:szCs w:val="18"/>
              </w:rPr>
            </w:pPr>
            <w:r w:rsidRPr="00331EAA">
              <w:rPr>
                <w:sz w:val="18"/>
                <w:szCs w:val="18"/>
              </w:rPr>
              <w:t>77 (2%)</w:t>
            </w:r>
          </w:p>
        </w:tc>
        <w:tc>
          <w:tcPr>
            <w:tcW w:w="1811" w:type="dxa"/>
          </w:tcPr>
          <w:p w14:paraId="53795421" w14:textId="77777777" w:rsidR="00870C02" w:rsidRPr="00331EAA" w:rsidRDefault="00870C02" w:rsidP="004B572A">
            <w:pPr>
              <w:jc w:val="center"/>
              <w:rPr>
                <w:sz w:val="18"/>
                <w:szCs w:val="18"/>
              </w:rPr>
            </w:pPr>
            <w:r w:rsidRPr="00331EAA">
              <w:rPr>
                <w:sz w:val="18"/>
                <w:szCs w:val="18"/>
              </w:rPr>
              <w:t>37 (6%)</w:t>
            </w:r>
          </w:p>
        </w:tc>
        <w:tc>
          <w:tcPr>
            <w:tcW w:w="1811" w:type="dxa"/>
          </w:tcPr>
          <w:p w14:paraId="709D55D2" w14:textId="77777777" w:rsidR="00870C02" w:rsidRPr="00331EAA" w:rsidRDefault="00870C02" w:rsidP="004B572A">
            <w:pPr>
              <w:jc w:val="center"/>
              <w:rPr>
                <w:sz w:val="18"/>
                <w:szCs w:val="18"/>
              </w:rPr>
            </w:pPr>
            <w:r w:rsidRPr="00331EAA">
              <w:rPr>
                <w:sz w:val="18"/>
                <w:szCs w:val="18"/>
              </w:rPr>
              <w:t>13 (10%)</w:t>
            </w:r>
          </w:p>
        </w:tc>
        <w:tc>
          <w:tcPr>
            <w:tcW w:w="1812" w:type="dxa"/>
          </w:tcPr>
          <w:p w14:paraId="5EF23F57" w14:textId="77777777" w:rsidR="00870C02" w:rsidRPr="00331EAA" w:rsidRDefault="00870C02" w:rsidP="004B572A">
            <w:pPr>
              <w:jc w:val="center"/>
              <w:rPr>
                <w:sz w:val="18"/>
                <w:szCs w:val="18"/>
              </w:rPr>
            </w:pPr>
            <w:r w:rsidRPr="00331EAA">
              <w:rPr>
                <w:sz w:val="18"/>
                <w:szCs w:val="18"/>
              </w:rPr>
              <w:t>3 (9%)</w:t>
            </w:r>
          </w:p>
        </w:tc>
      </w:tr>
    </w:tbl>
    <w:p w14:paraId="10DEBC1B" w14:textId="77777777" w:rsidR="00D70262" w:rsidRPr="00331EAA" w:rsidRDefault="00D70262" w:rsidP="00331EAA">
      <w:pPr>
        <w:pStyle w:val="CDIfootnotes"/>
      </w:pPr>
      <w:r w:rsidRPr="00331EAA">
        <w:t>a</w:t>
      </w:r>
      <w:r w:rsidRPr="00331EAA">
        <w:tab/>
        <w:t>Excludes those with missing data on comorbidities or where comorbidity is unknown.</w:t>
      </w:r>
    </w:p>
    <w:p w14:paraId="4BE31506" w14:textId="77777777" w:rsidR="00D70262" w:rsidRPr="00331EAA" w:rsidRDefault="00D70262" w:rsidP="00331EAA">
      <w:pPr>
        <w:pStyle w:val="CDIfootnotes"/>
      </w:pPr>
      <w:r w:rsidRPr="00331EAA">
        <w:t>b</w:t>
      </w:r>
      <w:r w:rsidRPr="00331EAA">
        <w:tab/>
        <w:t>Includes asthma, chronic respiratory conditions (excluding asthma), cardiac disease (excluding hypertension), immunosuppressive condition/therapy, diabetes, obesity, liver disease, renal disease and neurological disorder.</w:t>
      </w:r>
    </w:p>
    <w:p w14:paraId="668985C3" w14:textId="17EA6D2A" w:rsidR="001E5235" w:rsidRPr="00CE7F93" w:rsidRDefault="001E5235" w:rsidP="001E5235">
      <w:pPr>
        <w:pStyle w:val="Heading2"/>
      </w:pPr>
      <w:r w:rsidRPr="00CE7F93">
        <w:t>Public health response</w:t>
      </w:r>
      <w:r w:rsidR="00F82B07">
        <w:t xml:space="preserve"> measures</w:t>
      </w:r>
    </w:p>
    <w:p w14:paraId="44DD6733" w14:textId="23287076" w:rsidR="001E5235" w:rsidRDefault="001E5235" w:rsidP="00331EAA">
      <w:r w:rsidRPr="00331EAA">
        <w:t xml:space="preserve">Since COVID-19 first emerged internationally, Australia has implemented public health measures in response to the disease’s epidemiology, both overseas and in Australia (Figure </w:t>
      </w:r>
      <w:r w:rsidR="00B27548" w:rsidRPr="00331EAA">
        <w:t>9</w:t>
      </w:r>
      <w:r w:rsidRPr="00331EAA">
        <w:t>). These measures are focused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w:t>
      </w:r>
      <w:r w:rsidRPr="002C7B31">
        <w:t xml:space="preserve"> </w:t>
      </w:r>
    </w:p>
    <w:p w14:paraId="5DFEB75A" w14:textId="16C93A5C" w:rsidR="001E5235" w:rsidRPr="00331EAA" w:rsidRDefault="001E5235" w:rsidP="00331EAA">
      <w:r w:rsidRPr="00331EAA">
        <w:t xml:space="preserve">On Friday 8 May, the Australian Government announced a three-step framework for easing COVID-19 restrictions. Progress will be reviewed every three weeks to assess the impact of these changes, with the intention of achieving a COVID safe Australia in July 2020. States and territories will ease restrictions at their own pace depending on the current public health situation and local epidemiology, noting that restrictions in these jurisdictions also differ slightly. The Northern Territory, Western Australia and Tasmania have announced ‘roadmaps’ for easing of restrictions with set dates for each step of their respective plans. New South Wales, Queensland and the Australian Capital Territory have announced initial or further easing of restrictions during this reporting period but have not published roadmaps for future easing of restrictions. Victoria and South Australia </w:t>
      </w:r>
      <w:r w:rsidRPr="00331EAA">
        <w:lastRenderedPageBreak/>
        <w:t>have not announced easing of restrictions during the current reporting period. A summary of key announcements</w:t>
      </w:r>
      <w:r w:rsidR="00C24D34" w:rsidRPr="00331EAA">
        <w:t xml:space="preserve"> from this reporting week</w:t>
      </w:r>
      <w:r w:rsidRPr="00331EAA">
        <w:t xml:space="preserve"> regarding easing of restrictions in stat</w:t>
      </w:r>
      <w:r w:rsidR="00822AE7" w:rsidRPr="00331EAA">
        <w:t>es and territories is at Table 7</w:t>
      </w:r>
      <w:r w:rsidRPr="00331EAA">
        <w:t xml:space="preserve">. </w:t>
      </w:r>
    </w:p>
    <w:p w14:paraId="43675095" w14:textId="7944C752" w:rsidR="005458F0" w:rsidRPr="005458F0" w:rsidRDefault="001E5235" w:rsidP="00331EAA">
      <w:pPr>
        <w:rPr>
          <w:b/>
        </w:rPr>
      </w:pPr>
      <w:r w:rsidRPr="00331EAA">
        <w:t xml:space="preserve">The Australian Health Protection Principal Committee issues advice to inform the national public health response to the pandemic. This advice has most recently included </w:t>
      </w:r>
      <w:r w:rsidRPr="00331EAA">
        <w:rPr>
          <w:lang w:val="en"/>
        </w:rPr>
        <w:t>national principles for resumption of sport and recreation activities.</w:t>
      </w:r>
      <w:r w:rsidRPr="00331EAA">
        <w:t xml:space="preserve"> The Australian Government has also launched a voluntary app called COVIDSafe, </w:t>
      </w:r>
      <w:r w:rsidRPr="00331EAA">
        <w:rPr>
          <w:lang w:val="en"/>
        </w:rPr>
        <w:t>a new tool to help speed up notification of people exposed to COVID-19. A</w:t>
      </w:r>
      <w:r w:rsidRPr="00331EAA">
        <w:t>ll Australians are being encouraged to download the COVIDSafe app to hasten the relaxing of physical distancing measures</w:t>
      </w:r>
      <w:r w:rsidR="00C24D34" w:rsidRPr="00331EAA">
        <w:t>,</w:t>
      </w:r>
      <w:r w:rsidRPr="00331EAA">
        <w:t xml:space="preserve"> with more than 5.3 million Australians downloading the app so far. Key aspects of Australia's evolving public health response are summarised in Table </w:t>
      </w:r>
      <w:r w:rsidR="00822AE7" w:rsidRPr="00331EAA">
        <w:t>8</w:t>
      </w:r>
      <w:r w:rsidRPr="00331EAA">
        <w:t>.</w:t>
      </w:r>
    </w:p>
    <w:p w14:paraId="2FCC7DD0" w14:textId="77777777" w:rsidR="00CB439C" w:rsidRDefault="00CB439C">
      <w:pPr>
        <w:rPr>
          <w:b/>
        </w:rPr>
      </w:pPr>
      <w:r>
        <w:br w:type="page"/>
      </w:r>
    </w:p>
    <w:p w14:paraId="4EBCCC11" w14:textId="74FD2DA1" w:rsidR="001E5235" w:rsidRPr="00FC7BBC" w:rsidRDefault="001E5235" w:rsidP="001E5235">
      <w:pPr>
        <w:pStyle w:val="CDIFigures"/>
      </w:pPr>
      <w:r w:rsidRPr="00B846C9">
        <w:lastRenderedPageBreak/>
        <w:t xml:space="preserve">Table </w:t>
      </w:r>
      <w:r w:rsidR="00B27548">
        <w:t>7</w:t>
      </w:r>
      <w:r w:rsidRPr="00B846C9">
        <w:t xml:space="preserve">: </w:t>
      </w:r>
      <w:r>
        <w:t xml:space="preserve">State and territory announcements for easing COVID-19 restrictions, from 3 May to 10 May 2020 </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7 summarises measures for easing COVID-19 restrictions, announced during the current reporting week, for the jurisdictions of New South Wales, Queensland, Western Australia, Tasmania, the Australian Capital Territory and the Northern Territory.&#10;"/>
      </w:tblPr>
      <w:tblGrid>
        <w:gridCol w:w="2268"/>
        <w:gridCol w:w="7936"/>
      </w:tblGrid>
      <w:tr w:rsidR="001E5235" w:rsidRPr="00B846C9" w14:paraId="04CCAE7F" w14:textId="77777777" w:rsidTr="00F9189F">
        <w:trPr>
          <w:cnfStyle w:val="100000000000" w:firstRow="1" w:lastRow="0" w:firstColumn="0" w:lastColumn="0" w:oddVBand="0" w:evenVBand="0" w:oddHBand="0" w:evenHBand="0" w:firstRowFirstColumn="0" w:firstRowLastColumn="0" w:lastRowFirstColumn="0" w:lastRowLastColumn="0"/>
          <w:tblHeader/>
        </w:trPr>
        <w:tc>
          <w:tcPr>
            <w:tcW w:w="2268" w:type="dxa"/>
          </w:tcPr>
          <w:p w14:paraId="3BED755A" w14:textId="77777777" w:rsidR="001E5235" w:rsidRPr="00B846C9" w:rsidRDefault="001E5235" w:rsidP="00F9189F">
            <w:pPr>
              <w:rPr>
                <w:rFonts w:cs="Arial"/>
                <w:color w:val="FFFFFF" w:themeColor="background1"/>
                <w:sz w:val="24"/>
                <w:szCs w:val="24"/>
              </w:rPr>
            </w:pPr>
            <w:r>
              <w:rPr>
                <w:rFonts w:cs="Arial"/>
                <w:color w:val="FFFFFF" w:themeColor="background1"/>
                <w:sz w:val="24"/>
                <w:szCs w:val="24"/>
              </w:rPr>
              <w:t>Jurisdiction</w:t>
            </w:r>
          </w:p>
        </w:tc>
        <w:tc>
          <w:tcPr>
            <w:tcW w:w="7936" w:type="dxa"/>
          </w:tcPr>
          <w:p w14:paraId="1FBBDAFC" w14:textId="77777777" w:rsidR="001E5235" w:rsidRPr="00B846C9" w:rsidRDefault="001E5235" w:rsidP="00F9189F">
            <w:pPr>
              <w:rPr>
                <w:rFonts w:cs="Arial"/>
                <w:color w:val="FFFFFF" w:themeColor="background1"/>
                <w:sz w:val="24"/>
                <w:szCs w:val="24"/>
              </w:rPr>
            </w:pPr>
            <w:r>
              <w:rPr>
                <w:rFonts w:cs="Arial"/>
                <w:color w:val="FFFFFF" w:themeColor="background1"/>
                <w:sz w:val="24"/>
                <w:szCs w:val="24"/>
              </w:rPr>
              <w:t>Announcement or restrictions which have been eased</w:t>
            </w:r>
          </w:p>
        </w:tc>
      </w:tr>
      <w:tr w:rsidR="001E5235" w:rsidRPr="00FC7BBC" w14:paraId="475E1428" w14:textId="77777777" w:rsidTr="00F9189F">
        <w:trPr>
          <w:trHeight w:val="254"/>
        </w:trPr>
        <w:tc>
          <w:tcPr>
            <w:tcW w:w="2268" w:type="dxa"/>
            <w:shd w:val="clear" w:color="auto" w:fill="auto"/>
          </w:tcPr>
          <w:p w14:paraId="3B4EF369" w14:textId="77777777" w:rsidR="001E5235" w:rsidRDefault="001E5235" w:rsidP="00F9189F">
            <w:r>
              <w:t>New South Wales</w:t>
            </w:r>
          </w:p>
        </w:tc>
        <w:tc>
          <w:tcPr>
            <w:tcW w:w="7936" w:type="dxa"/>
            <w:shd w:val="clear" w:color="auto" w:fill="auto"/>
          </w:tcPr>
          <w:p w14:paraId="5EDCE29A" w14:textId="105F72FA" w:rsidR="001E5235" w:rsidRPr="00BA217C" w:rsidRDefault="001E5235" w:rsidP="00F9189F">
            <w:pPr>
              <w:rPr>
                <w:vertAlign w:val="superscript"/>
                <w:lang w:val="en"/>
              </w:rPr>
            </w:pPr>
            <w:r>
              <w:rPr>
                <w:lang w:val="en"/>
              </w:rPr>
              <w:t>On 10 May, the NSW Government announced that from 15 May the following restrictions will be eased:</w:t>
            </w:r>
            <w:r w:rsidR="00301D34">
              <w:rPr>
                <w:vertAlign w:val="superscript"/>
                <w:lang w:val="en"/>
              </w:rPr>
              <w:t>5</w:t>
            </w:r>
          </w:p>
          <w:p w14:paraId="5AEE1785" w14:textId="515A4226" w:rsidR="001E5235" w:rsidRDefault="001E5235" w:rsidP="001E5235">
            <w:pPr>
              <w:pStyle w:val="ListParagraph"/>
              <w:numPr>
                <w:ilvl w:val="0"/>
                <w:numId w:val="13"/>
              </w:numPr>
              <w:rPr>
                <w:lang w:val="en"/>
              </w:rPr>
            </w:pPr>
            <w:r>
              <w:rPr>
                <w:lang w:val="en"/>
              </w:rPr>
              <w:t>Gatherings of up to 10 people will be permitted outdoors, in cafes and restaurants, or in places of worship</w:t>
            </w:r>
            <w:r w:rsidR="00C24D34">
              <w:rPr>
                <w:lang w:val="en"/>
              </w:rPr>
              <w:t>;</w:t>
            </w:r>
          </w:p>
          <w:p w14:paraId="7B092088" w14:textId="37D82458" w:rsidR="001E5235" w:rsidRDefault="001E5235" w:rsidP="001E5235">
            <w:pPr>
              <w:pStyle w:val="ListParagraph"/>
              <w:numPr>
                <w:ilvl w:val="0"/>
                <w:numId w:val="13"/>
              </w:numPr>
              <w:rPr>
                <w:lang w:val="en"/>
              </w:rPr>
            </w:pPr>
            <w:r>
              <w:rPr>
                <w:lang w:val="en"/>
              </w:rPr>
              <w:t>Up to 5 visitors may gather in a household</w:t>
            </w:r>
            <w:r w:rsidR="00C24D34">
              <w:rPr>
                <w:lang w:val="en"/>
              </w:rPr>
              <w:t>;</w:t>
            </w:r>
          </w:p>
          <w:p w14:paraId="2831EBBB" w14:textId="12815CB8" w:rsidR="001E5235" w:rsidRDefault="001E5235" w:rsidP="001E5235">
            <w:pPr>
              <w:pStyle w:val="ListParagraph"/>
              <w:numPr>
                <w:ilvl w:val="0"/>
                <w:numId w:val="13"/>
              </w:numPr>
              <w:rPr>
                <w:lang w:val="en"/>
              </w:rPr>
            </w:pPr>
            <w:r>
              <w:rPr>
                <w:lang w:val="en"/>
              </w:rPr>
              <w:t>Weddings up to 10 guests, indoor funerals up to 20 mourners and outdoor funerals up to 30 mourners</w:t>
            </w:r>
            <w:r w:rsidR="00C24D34">
              <w:rPr>
                <w:lang w:val="en"/>
              </w:rPr>
              <w:t>; and</w:t>
            </w:r>
          </w:p>
          <w:p w14:paraId="1E2D352F" w14:textId="77777777" w:rsidR="001E5235" w:rsidRPr="00B91D56" w:rsidRDefault="001E5235" w:rsidP="001E5235">
            <w:pPr>
              <w:pStyle w:val="ListParagraph"/>
              <w:numPr>
                <w:ilvl w:val="0"/>
                <w:numId w:val="13"/>
              </w:numPr>
              <w:rPr>
                <w:lang w:val="en"/>
              </w:rPr>
            </w:pPr>
            <w:r>
              <w:rPr>
                <w:lang w:val="en"/>
              </w:rPr>
              <w:t>Use of outdoor equipment and outdoor pools permitted with restrictions.</w:t>
            </w:r>
          </w:p>
        </w:tc>
      </w:tr>
      <w:tr w:rsidR="001E5235" w:rsidRPr="00FC7BBC" w14:paraId="3BBCF5F6" w14:textId="77777777" w:rsidTr="00F9189F">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7F381254" w14:textId="77777777" w:rsidR="001E5235" w:rsidRPr="00FC7BBC" w:rsidRDefault="001E5235" w:rsidP="00F9189F">
            <w:r>
              <w:t>Queensland</w:t>
            </w:r>
          </w:p>
        </w:tc>
        <w:tc>
          <w:tcPr>
            <w:tcW w:w="7936" w:type="dxa"/>
            <w:shd w:val="clear" w:color="auto" w:fill="auto"/>
          </w:tcPr>
          <w:p w14:paraId="25240B84" w14:textId="2783FFCA" w:rsidR="001E5235" w:rsidRPr="00BA217C" w:rsidRDefault="001E5235" w:rsidP="00F9189F">
            <w:pPr>
              <w:rPr>
                <w:vertAlign w:val="superscript"/>
                <w:lang w:val="en"/>
              </w:rPr>
            </w:pPr>
            <w:r>
              <w:rPr>
                <w:lang w:val="en"/>
              </w:rPr>
              <w:t>On 8 May, the QLD Government announced the following restrictions will be eased:</w:t>
            </w:r>
            <w:r w:rsidR="00301D34">
              <w:rPr>
                <w:vertAlign w:val="superscript"/>
                <w:lang w:val="en"/>
              </w:rPr>
              <w:t>6</w:t>
            </w:r>
          </w:p>
          <w:p w14:paraId="72DA891D" w14:textId="19931293" w:rsidR="001E5235" w:rsidRDefault="001E5235" w:rsidP="001E5235">
            <w:pPr>
              <w:pStyle w:val="ListParagraph"/>
              <w:numPr>
                <w:ilvl w:val="0"/>
                <w:numId w:val="15"/>
              </w:numPr>
            </w:pPr>
            <w:r>
              <w:t>From 10 May, up to 5 visitors from one household or 2 visitors from different households were permitted</w:t>
            </w:r>
            <w:r w:rsidR="0029468C">
              <w:t>; and</w:t>
            </w:r>
          </w:p>
          <w:p w14:paraId="44CB0649" w14:textId="77777777" w:rsidR="001E5235" w:rsidRPr="004B746F" w:rsidRDefault="001E5235" w:rsidP="001E5235">
            <w:pPr>
              <w:pStyle w:val="ListParagraph"/>
              <w:numPr>
                <w:ilvl w:val="0"/>
                <w:numId w:val="15"/>
              </w:numPr>
            </w:pPr>
            <w:r>
              <w:t>From 11 May, community kindergarten, school children in years prep, 1, 11 or 12 and school children of essential workers will be permitted to attend school.</w:t>
            </w:r>
          </w:p>
        </w:tc>
      </w:tr>
      <w:tr w:rsidR="001E5235" w:rsidRPr="00FC7BBC" w14:paraId="0F71152C" w14:textId="77777777" w:rsidTr="00F9189F">
        <w:trPr>
          <w:trHeight w:val="254"/>
        </w:trPr>
        <w:tc>
          <w:tcPr>
            <w:tcW w:w="2268" w:type="dxa"/>
            <w:shd w:val="clear" w:color="auto" w:fill="auto"/>
          </w:tcPr>
          <w:p w14:paraId="5B34B73B" w14:textId="77777777" w:rsidR="001E5235" w:rsidRPr="00FC7BBC" w:rsidRDefault="001E5235" w:rsidP="00F9189F">
            <w:r>
              <w:t>Western Australia</w:t>
            </w:r>
          </w:p>
        </w:tc>
        <w:tc>
          <w:tcPr>
            <w:tcW w:w="7936" w:type="dxa"/>
            <w:shd w:val="clear" w:color="auto" w:fill="auto"/>
          </w:tcPr>
          <w:p w14:paraId="10663C9C" w14:textId="761945FF" w:rsidR="001E5235" w:rsidRPr="00BA217C" w:rsidRDefault="001E5235" w:rsidP="00F9189F">
            <w:pPr>
              <w:rPr>
                <w:vertAlign w:val="superscript"/>
              </w:rPr>
            </w:pPr>
            <w:r>
              <w:t>On 10 May, the WA Government announced a roadmap for easing restrictions. In phase 2 from May 18 the following restrictions will be eased:</w:t>
            </w:r>
            <w:r w:rsidR="00301D34">
              <w:rPr>
                <w:vertAlign w:val="superscript"/>
              </w:rPr>
              <w:t>7</w:t>
            </w:r>
          </w:p>
          <w:p w14:paraId="3D2FEEE9" w14:textId="06BF9813" w:rsidR="001E5235" w:rsidRDefault="001E5235" w:rsidP="001E5235">
            <w:pPr>
              <w:pStyle w:val="ListParagraph"/>
              <w:numPr>
                <w:ilvl w:val="0"/>
                <w:numId w:val="17"/>
              </w:numPr>
            </w:pPr>
            <w:r>
              <w:t>Indoor and outdoor gatherings of up to 20 people permitted. Weddings and funerals may have 20 indoor or 30 people outdoors. Cafes and restaurants, places of worship, sports classes and community facilities permitted up to 20 patrons</w:t>
            </w:r>
            <w:r w:rsidR="0029468C">
              <w:t>; and</w:t>
            </w:r>
          </w:p>
          <w:p w14:paraId="72ED29FF" w14:textId="77777777" w:rsidR="001E5235" w:rsidRPr="00711F08" w:rsidRDefault="001E5235" w:rsidP="001E5235">
            <w:pPr>
              <w:pStyle w:val="ListParagraph"/>
              <w:numPr>
                <w:ilvl w:val="0"/>
                <w:numId w:val="17"/>
              </w:numPr>
            </w:pPr>
            <w:r>
              <w:t>Regional travel restrictions to be relaxed.</w:t>
            </w:r>
          </w:p>
        </w:tc>
      </w:tr>
      <w:tr w:rsidR="001E5235" w:rsidRPr="00FC7BBC" w14:paraId="31FFDE8D" w14:textId="77777777" w:rsidTr="00F9189F">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00460471" w14:textId="77777777" w:rsidR="001E5235" w:rsidRPr="00FC7BBC" w:rsidRDefault="001E5235" w:rsidP="00F9189F">
            <w:r>
              <w:t>Tasmania</w:t>
            </w:r>
          </w:p>
        </w:tc>
        <w:tc>
          <w:tcPr>
            <w:tcW w:w="7936" w:type="dxa"/>
            <w:shd w:val="clear" w:color="auto" w:fill="auto"/>
          </w:tcPr>
          <w:p w14:paraId="19251328" w14:textId="5802667B" w:rsidR="001E5235" w:rsidRPr="00723088" w:rsidRDefault="001E5235" w:rsidP="00F9189F">
            <w:pPr>
              <w:rPr>
                <w:vertAlign w:val="superscript"/>
              </w:rPr>
            </w:pPr>
            <w:r>
              <w:t>On 8 May, the Tasmanian Government released a phased roadmap for easing of restrictions. In phase 1 from May 11 the following restrictions will be eased:</w:t>
            </w:r>
            <w:r w:rsidR="00301D34">
              <w:rPr>
                <w:vertAlign w:val="superscript"/>
              </w:rPr>
              <w:t>8</w:t>
            </w:r>
          </w:p>
          <w:p w14:paraId="3E5CB089" w14:textId="130005BC" w:rsidR="001E5235" w:rsidRDefault="001E5235" w:rsidP="001E5235">
            <w:pPr>
              <w:pStyle w:val="ListParagraph"/>
              <w:numPr>
                <w:ilvl w:val="0"/>
                <w:numId w:val="16"/>
              </w:numPr>
            </w:pPr>
            <w:r>
              <w:t>Funerals may have 20 mourners attend</w:t>
            </w:r>
            <w:r w:rsidR="0029468C">
              <w:t>;</w:t>
            </w:r>
          </w:p>
          <w:p w14:paraId="04ED5929" w14:textId="65544C19" w:rsidR="001E5235" w:rsidRDefault="001E5235" w:rsidP="001E5235">
            <w:pPr>
              <w:pStyle w:val="ListParagraph"/>
              <w:numPr>
                <w:ilvl w:val="0"/>
                <w:numId w:val="16"/>
              </w:numPr>
            </w:pPr>
            <w:r>
              <w:t>Aged care visits to recommence with up to two visitors once per week</w:t>
            </w:r>
            <w:r w:rsidR="0029468C">
              <w:t>;</w:t>
            </w:r>
          </w:p>
          <w:p w14:paraId="20823A56" w14:textId="2FA6AFA7" w:rsidR="001E5235" w:rsidRDefault="001E5235" w:rsidP="001E5235">
            <w:pPr>
              <w:pStyle w:val="ListParagraph"/>
              <w:numPr>
                <w:ilvl w:val="0"/>
                <w:numId w:val="16"/>
              </w:numPr>
            </w:pPr>
            <w:r>
              <w:t>National parks and reserves within 30km available for exercise</w:t>
            </w:r>
            <w:r w:rsidR="0029468C">
              <w:t>; and</w:t>
            </w:r>
          </w:p>
          <w:p w14:paraId="3F04B0D0" w14:textId="77777777" w:rsidR="001E5235" w:rsidRPr="00161B20" w:rsidRDefault="001E5235" w:rsidP="001E5235">
            <w:pPr>
              <w:pStyle w:val="ListParagraph"/>
              <w:numPr>
                <w:ilvl w:val="0"/>
                <w:numId w:val="16"/>
              </w:numPr>
            </w:pPr>
            <w:r>
              <w:t>TAFE education permitted for some small groups for practical learning.</w:t>
            </w:r>
          </w:p>
        </w:tc>
      </w:tr>
      <w:tr w:rsidR="001E5235" w:rsidRPr="00FC7BBC" w14:paraId="74057FEF" w14:textId="77777777" w:rsidTr="00F9189F">
        <w:trPr>
          <w:trHeight w:val="254"/>
        </w:trPr>
        <w:tc>
          <w:tcPr>
            <w:tcW w:w="2268" w:type="dxa"/>
            <w:shd w:val="clear" w:color="auto" w:fill="auto"/>
          </w:tcPr>
          <w:p w14:paraId="40098989" w14:textId="77777777" w:rsidR="001E5235" w:rsidRDefault="001E5235" w:rsidP="00F9189F">
            <w:r>
              <w:t>Australian Capital Territory</w:t>
            </w:r>
          </w:p>
        </w:tc>
        <w:tc>
          <w:tcPr>
            <w:tcW w:w="7936" w:type="dxa"/>
            <w:shd w:val="clear" w:color="auto" w:fill="auto"/>
          </w:tcPr>
          <w:p w14:paraId="48EE1D18" w14:textId="34F5171A" w:rsidR="001E5235" w:rsidRPr="00723088" w:rsidRDefault="001E5235" w:rsidP="00F9189F">
            <w:pPr>
              <w:rPr>
                <w:vertAlign w:val="superscript"/>
              </w:rPr>
            </w:pPr>
            <w:r>
              <w:t>From 8 May the following restrictions were eased:</w:t>
            </w:r>
            <w:r w:rsidR="00301D34">
              <w:rPr>
                <w:vertAlign w:val="superscript"/>
              </w:rPr>
              <w:t>9</w:t>
            </w:r>
          </w:p>
          <w:p w14:paraId="71DEF0C4" w14:textId="356CEBAA" w:rsidR="001E5235" w:rsidRDefault="001E5235" w:rsidP="001E5235">
            <w:pPr>
              <w:pStyle w:val="ListParagraph"/>
              <w:numPr>
                <w:ilvl w:val="0"/>
                <w:numId w:val="14"/>
              </w:numPr>
            </w:pPr>
            <w:r>
              <w:t>All indoor and outdoor gatherings may have up to 10 people, including household gatherings, places of worship, outdoor personal fitness and open houses for real estate</w:t>
            </w:r>
            <w:r w:rsidR="0029468C">
              <w:t>; and</w:t>
            </w:r>
          </w:p>
          <w:p w14:paraId="10C7813F" w14:textId="77777777" w:rsidR="001E5235" w:rsidRDefault="001E5235" w:rsidP="001E5235">
            <w:pPr>
              <w:pStyle w:val="ListParagraph"/>
              <w:numPr>
                <w:ilvl w:val="0"/>
                <w:numId w:val="14"/>
              </w:numPr>
            </w:pPr>
            <w:r>
              <w:t>Weddings up to 10 guests, indoor funerals up to 20 mourners and outdoor funerals up to 30 mourners.</w:t>
            </w:r>
          </w:p>
          <w:p w14:paraId="50B6130B" w14:textId="6549BED1" w:rsidR="001E5235" w:rsidRPr="00723088" w:rsidRDefault="001E5235" w:rsidP="00F9189F">
            <w:pPr>
              <w:rPr>
                <w:vertAlign w:val="superscript"/>
              </w:rPr>
            </w:pPr>
            <w:r>
              <w:t>The ACT Government have announced that public schools will return to on-campus learning over a four week period commencing from 18 May.</w:t>
            </w:r>
            <w:r w:rsidR="00301D34">
              <w:rPr>
                <w:vertAlign w:val="superscript"/>
              </w:rPr>
              <w:t>9</w:t>
            </w:r>
          </w:p>
        </w:tc>
      </w:tr>
      <w:tr w:rsidR="001E5235" w:rsidRPr="00FC7BBC" w14:paraId="6FE11E33" w14:textId="77777777" w:rsidTr="00F9189F">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1209E618" w14:textId="77777777" w:rsidR="001E5235" w:rsidRDefault="001E5235" w:rsidP="00F9189F">
            <w:r>
              <w:t>Northern Territory</w:t>
            </w:r>
          </w:p>
        </w:tc>
        <w:tc>
          <w:tcPr>
            <w:tcW w:w="7936" w:type="dxa"/>
            <w:shd w:val="clear" w:color="auto" w:fill="auto"/>
          </w:tcPr>
          <w:p w14:paraId="20CCDA59" w14:textId="5CEF7082" w:rsidR="001E5235" w:rsidRPr="00723088" w:rsidRDefault="001E5235" w:rsidP="00F9189F">
            <w:pPr>
              <w:rPr>
                <w:vertAlign w:val="superscript"/>
              </w:rPr>
            </w:pPr>
            <w:r>
              <w:t>On May 8, Northern Territory updated their roadmap for easing of restrictions. In phase 2 from May 15 the following restrictions will be eased:</w:t>
            </w:r>
            <w:r w:rsidR="00301D34">
              <w:rPr>
                <w:vertAlign w:val="superscript"/>
              </w:rPr>
              <w:t>10</w:t>
            </w:r>
          </w:p>
          <w:p w14:paraId="6DE14193" w14:textId="3C2825F9" w:rsidR="001E5235" w:rsidRDefault="001E5235" w:rsidP="001E5235">
            <w:pPr>
              <w:pStyle w:val="ListParagraph"/>
              <w:numPr>
                <w:ilvl w:val="0"/>
                <w:numId w:val="18"/>
              </w:numPr>
            </w:pPr>
            <w:r>
              <w:t>Cafes, restaurants, food courts, indoor markets and bars to reopen</w:t>
            </w:r>
            <w:r w:rsidR="0029468C">
              <w:t>;</w:t>
            </w:r>
          </w:p>
          <w:p w14:paraId="759D9BE9" w14:textId="373ABBA0" w:rsidR="001E5235" w:rsidRDefault="001E5235" w:rsidP="001E5235">
            <w:pPr>
              <w:pStyle w:val="ListParagraph"/>
              <w:numPr>
                <w:ilvl w:val="0"/>
                <w:numId w:val="18"/>
              </w:numPr>
            </w:pPr>
            <w:r>
              <w:t>Sporting clubs, gymnasiums, physical training and exercise classes including dance to recommence</w:t>
            </w:r>
            <w:r w:rsidR="0029468C">
              <w:t>; and</w:t>
            </w:r>
          </w:p>
          <w:p w14:paraId="3A732F0F" w14:textId="77777777" w:rsidR="001E5235" w:rsidRPr="00A8789B" w:rsidRDefault="001E5235" w:rsidP="001E5235">
            <w:pPr>
              <w:pStyle w:val="ListParagraph"/>
              <w:numPr>
                <w:ilvl w:val="0"/>
                <w:numId w:val="18"/>
              </w:numPr>
            </w:pPr>
            <w:r>
              <w:t>Libraries, playgrounds, places of worship, art galleries, museums and zoos to reopen.</w:t>
            </w:r>
          </w:p>
        </w:tc>
      </w:tr>
    </w:tbl>
    <w:p w14:paraId="37CFC035" w14:textId="77777777" w:rsidR="00CB439C" w:rsidRDefault="00CB439C" w:rsidP="001E5235">
      <w:pPr>
        <w:pStyle w:val="CDIFigures"/>
      </w:pPr>
    </w:p>
    <w:p w14:paraId="7736F093" w14:textId="77777777" w:rsidR="00CB439C" w:rsidRDefault="00CB439C">
      <w:pPr>
        <w:rPr>
          <w:b/>
        </w:rPr>
      </w:pPr>
      <w:r>
        <w:br w:type="page"/>
      </w:r>
    </w:p>
    <w:p w14:paraId="6CD331AE" w14:textId="380D7464" w:rsidR="001E5235" w:rsidRPr="00FC7BBC" w:rsidRDefault="001E5235" w:rsidP="001E5235">
      <w:pPr>
        <w:pStyle w:val="CDIFigures"/>
      </w:pPr>
      <w:r w:rsidRPr="00B846C9">
        <w:lastRenderedPageBreak/>
        <w:t xml:space="preserve">Table </w:t>
      </w:r>
      <w:r w:rsidR="00822AE7">
        <w:t>8</w:t>
      </w:r>
      <w:r w:rsidRPr="00B846C9">
        <w:t>: Timeline of key COVID-19 related events, including Australian public health response activities</w:t>
      </w:r>
      <w:r w:rsidR="00822AE7">
        <w:t>.</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8 contains the timeline of COVID-19 related events from 1 March 2020 to 10 May 2020, with a focus on aspects of Australian public health response activities including travel restrictions, border closures, quarantine requirements and recent measures to ease COVID-19 restrictions.&#10;"/>
      </w:tblPr>
      <w:tblGrid>
        <w:gridCol w:w="2268"/>
        <w:gridCol w:w="7936"/>
      </w:tblGrid>
      <w:tr w:rsidR="001E5235" w:rsidRPr="00B846C9" w14:paraId="0D298B54" w14:textId="77777777" w:rsidTr="00F9189F">
        <w:trPr>
          <w:cnfStyle w:val="100000000000" w:firstRow="1" w:lastRow="0" w:firstColumn="0" w:lastColumn="0" w:oddVBand="0" w:evenVBand="0" w:oddHBand="0" w:evenHBand="0" w:firstRowFirstColumn="0" w:firstRowLastColumn="0" w:lastRowFirstColumn="0" w:lastRowLastColumn="0"/>
          <w:tblHeader/>
        </w:trPr>
        <w:tc>
          <w:tcPr>
            <w:tcW w:w="2268" w:type="dxa"/>
          </w:tcPr>
          <w:p w14:paraId="7D25C2AA" w14:textId="77777777" w:rsidR="001E5235" w:rsidRPr="00B846C9" w:rsidRDefault="001E5235" w:rsidP="00F9189F">
            <w:pPr>
              <w:rPr>
                <w:rFonts w:cs="Arial"/>
                <w:color w:val="FFFFFF" w:themeColor="background1"/>
                <w:sz w:val="24"/>
                <w:szCs w:val="24"/>
              </w:rPr>
            </w:pPr>
            <w:r w:rsidRPr="00B846C9">
              <w:rPr>
                <w:rFonts w:cs="Arial"/>
                <w:color w:val="FFFFFF" w:themeColor="background1"/>
                <w:sz w:val="24"/>
                <w:szCs w:val="24"/>
              </w:rPr>
              <w:t>Date</w:t>
            </w:r>
          </w:p>
        </w:tc>
        <w:tc>
          <w:tcPr>
            <w:tcW w:w="7936" w:type="dxa"/>
          </w:tcPr>
          <w:p w14:paraId="2CA9E7AC" w14:textId="77777777" w:rsidR="001E5235" w:rsidRPr="00B846C9" w:rsidRDefault="001E5235" w:rsidP="00F9189F">
            <w:pPr>
              <w:rPr>
                <w:rFonts w:cs="Arial"/>
                <w:color w:val="FFFFFF" w:themeColor="background1"/>
                <w:sz w:val="24"/>
                <w:szCs w:val="24"/>
              </w:rPr>
            </w:pPr>
            <w:r w:rsidRPr="00B846C9">
              <w:rPr>
                <w:rFonts w:cs="Arial"/>
                <w:color w:val="FFFFFF" w:themeColor="background1"/>
                <w:sz w:val="24"/>
                <w:szCs w:val="24"/>
              </w:rPr>
              <w:t>Event / response activity</w:t>
            </w:r>
          </w:p>
        </w:tc>
      </w:tr>
      <w:tr w:rsidR="001E5235" w:rsidRPr="00FC7BBC" w14:paraId="463ECC39" w14:textId="77777777" w:rsidTr="00F9189F">
        <w:trPr>
          <w:trHeight w:val="254"/>
        </w:trPr>
        <w:tc>
          <w:tcPr>
            <w:tcW w:w="2268" w:type="dxa"/>
            <w:shd w:val="clear" w:color="auto" w:fill="auto"/>
          </w:tcPr>
          <w:p w14:paraId="0DD2C0D4" w14:textId="77777777" w:rsidR="001E5235" w:rsidRDefault="001E5235" w:rsidP="00F9189F">
            <w:r>
              <w:t>8 May 2020</w:t>
            </w:r>
          </w:p>
        </w:tc>
        <w:tc>
          <w:tcPr>
            <w:tcW w:w="7936" w:type="dxa"/>
            <w:shd w:val="clear" w:color="auto" w:fill="auto"/>
          </w:tcPr>
          <w:p w14:paraId="693C380A" w14:textId="5BD2B408" w:rsidR="001E5235" w:rsidRDefault="001E5235" w:rsidP="00F9189F">
            <w:pPr>
              <w:rPr>
                <w:lang w:val="en"/>
              </w:rPr>
            </w:pPr>
            <w:r>
              <w:rPr>
                <w:lang w:val="en"/>
              </w:rPr>
              <w:t>The Australian Government announces a three-step plan to ease COVID-19 restrictions.</w:t>
            </w:r>
            <w:r w:rsidR="00BA217C">
              <w:rPr>
                <w:vertAlign w:val="superscript"/>
                <w:lang w:val="en"/>
              </w:rPr>
              <w:t>1</w:t>
            </w:r>
            <w:r w:rsidR="00301D34">
              <w:rPr>
                <w:vertAlign w:val="superscript"/>
                <w:lang w:val="en"/>
              </w:rPr>
              <w:t>1</w:t>
            </w:r>
            <w:r>
              <w:rPr>
                <w:lang w:val="en"/>
              </w:rPr>
              <w:t xml:space="preserve"> </w:t>
            </w:r>
          </w:p>
        </w:tc>
      </w:tr>
      <w:tr w:rsidR="001E5235" w:rsidRPr="00FC7BBC" w14:paraId="3C341380" w14:textId="77777777" w:rsidTr="00F9189F">
        <w:trPr>
          <w:cnfStyle w:val="000000010000" w:firstRow="0" w:lastRow="0" w:firstColumn="0" w:lastColumn="0" w:oddVBand="0" w:evenVBand="0" w:oddHBand="0" w:evenHBand="1" w:firstRowFirstColumn="0" w:firstRowLastColumn="0" w:lastRowFirstColumn="0" w:lastRowLastColumn="0"/>
          <w:trHeight w:val="254"/>
        </w:trPr>
        <w:tc>
          <w:tcPr>
            <w:tcW w:w="2268" w:type="dxa"/>
            <w:shd w:val="clear" w:color="auto" w:fill="auto"/>
          </w:tcPr>
          <w:p w14:paraId="722D7275" w14:textId="77777777" w:rsidR="001E5235" w:rsidRPr="00FC7BBC" w:rsidRDefault="001E5235" w:rsidP="00F9189F">
            <w:r>
              <w:t>1 May 2020</w:t>
            </w:r>
          </w:p>
        </w:tc>
        <w:tc>
          <w:tcPr>
            <w:tcW w:w="7936" w:type="dxa"/>
            <w:shd w:val="clear" w:color="auto" w:fill="auto"/>
          </w:tcPr>
          <w:p w14:paraId="548CE4D8" w14:textId="6346E06A" w:rsidR="001E5235" w:rsidRPr="00FC7BBC" w:rsidRDefault="001E5235" w:rsidP="00F9189F">
            <w:r>
              <w:rPr>
                <w:lang w:val="en"/>
              </w:rPr>
              <w:t>AHPPC releases a statement on risk management for re-opening boarding schools and school-based residential colleges.</w:t>
            </w:r>
            <w:r w:rsidR="00BA217C">
              <w:rPr>
                <w:vertAlign w:val="superscript"/>
                <w:lang w:val="en"/>
              </w:rPr>
              <w:t>1</w:t>
            </w:r>
            <w:r w:rsidR="00301D34">
              <w:rPr>
                <w:vertAlign w:val="superscript"/>
                <w:lang w:val="en"/>
              </w:rPr>
              <w:t>2</w:t>
            </w:r>
          </w:p>
        </w:tc>
      </w:tr>
      <w:tr w:rsidR="001E5235" w:rsidRPr="00FC7BBC" w14:paraId="4D76E79E" w14:textId="77777777" w:rsidTr="00F9189F">
        <w:trPr>
          <w:trHeight w:val="254"/>
        </w:trPr>
        <w:tc>
          <w:tcPr>
            <w:tcW w:w="2268" w:type="dxa"/>
            <w:shd w:val="clear" w:color="auto" w:fill="auto"/>
          </w:tcPr>
          <w:p w14:paraId="34DCF7F5" w14:textId="77777777" w:rsidR="001E5235" w:rsidRPr="00FC7BBC" w:rsidRDefault="001E5235" w:rsidP="00F9189F">
            <w:r w:rsidRPr="00FC7BBC">
              <w:t>26 April 2020</w:t>
            </w:r>
          </w:p>
        </w:tc>
        <w:tc>
          <w:tcPr>
            <w:tcW w:w="7936" w:type="dxa"/>
            <w:shd w:val="clear" w:color="auto" w:fill="auto"/>
          </w:tcPr>
          <w:p w14:paraId="1C213F68" w14:textId="50957338" w:rsidR="001E5235" w:rsidRPr="00FC7BBC" w:rsidRDefault="001E5235" w:rsidP="00F9189F">
            <w:pPr>
              <w:rPr>
                <w:vertAlign w:val="superscript"/>
              </w:rPr>
            </w:pPr>
            <w:r w:rsidRPr="00FC7BBC">
              <w:t>The Australian Government launches a new voluntary coronavirus app, COVIDSafe.</w:t>
            </w:r>
            <w:r w:rsidR="00BA217C">
              <w:rPr>
                <w:vertAlign w:val="superscript"/>
              </w:rPr>
              <w:t>1</w:t>
            </w:r>
            <w:r w:rsidR="00301D34">
              <w:rPr>
                <w:vertAlign w:val="superscript"/>
              </w:rPr>
              <w:t>3</w:t>
            </w:r>
          </w:p>
          <w:p w14:paraId="428A449C" w14:textId="77777777" w:rsidR="001E5235" w:rsidRPr="00FC7BBC" w:rsidRDefault="001E5235" w:rsidP="00F9189F"/>
        </w:tc>
      </w:tr>
      <w:tr w:rsidR="001E5235" w:rsidRPr="00FC7BBC" w14:paraId="4E626981" w14:textId="77777777" w:rsidTr="00F9189F">
        <w:trPr>
          <w:cnfStyle w:val="000000010000" w:firstRow="0" w:lastRow="0" w:firstColumn="0" w:lastColumn="0" w:oddVBand="0" w:evenVBand="0" w:oddHBand="0" w:evenHBand="1" w:firstRowFirstColumn="0" w:firstRowLastColumn="0" w:lastRowFirstColumn="0" w:lastRowLastColumn="0"/>
          <w:trHeight w:val="717"/>
        </w:trPr>
        <w:tc>
          <w:tcPr>
            <w:tcW w:w="2268" w:type="dxa"/>
            <w:shd w:val="clear" w:color="auto" w:fill="auto"/>
          </w:tcPr>
          <w:p w14:paraId="65A07528" w14:textId="77777777" w:rsidR="001E5235" w:rsidRPr="00FC7BBC" w:rsidRDefault="001E5235" w:rsidP="00F9189F">
            <w:r w:rsidRPr="00FC7BBC">
              <w:t>24 April 2020</w:t>
            </w:r>
          </w:p>
        </w:tc>
        <w:tc>
          <w:tcPr>
            <w:tcW w:w="7936" w:type="dxa"/>
            <w:shd w:val="clear" w:color="auto" w:fill="auto"/>
          </w:tcPr>
          <w:p w14:paraId="57BB7ACA" w14:textId="4C071DE9" w:rsidR="001E5235" w:rsidRPr="00FC7BBC" w:rsidRDefault="001E5235" w:rsidP="00F9189F">
            <w:r w:rsidRPr="00FC7BBC">
              <w:t>AHPPC provides statements on the recommencement of kidney transplantation, updated advice regarding schools, and use of PPE in hospital with patients with COVID-19.</w:t>
            </w:r>
            <w:r w:rsidR="00BA217C">
              <w:rPr>
                <w:vertAlign w:val="superscript"/>
              </w:rPr>
              <w:t>1</w:t>
            </w:r>
            <w:r w:rsidR="00301D34">
              <w:rPr>
                <w:vertAlign w:val="superscript"/>
              </w:rPr>
              <w:t>4</w:t>
            </w:r>
          </w:p>
        </w:tc>
      </w:tr>
      <w:tr w:rsidR="001E5235" w:rsidRPr="00FC7BBC" w14:paraId="70D4B4D3" w14:textId="77777777" w:rsidTr="00F9189F">
        <w:trPr>
          <w:trHeight w:val="787"/>
        </w:trPr>
        <w:tc>
          <w:tcPr>
            <w:tcW w:w="2268" w:type="dxa"/>
            <w:shd w:val="clear" w:color="auto" w:fill="auto"/>
          </w:tcPr>
          <w:p w14:paraId="307656B3" w14:textId="77777777" w:rsidR="001E5235" w:rsidRPr="00FC7BBC" w:rsidRDefault="001E5235" w:rsidP="00F9189F">
            <w:r w:rsidRPr="00FC7BBC">
              <w:t>21 April 2020</w:t>
            </w:r>
          </w:p>
        </w:tc>
        <w:tc>
          <w:tcPr>
            <w:tcW w:w="7936" w:type="dxa"/>
            <w:shd w:val="clear" w:color="auto" w:fill="auto"/>
          </w:tcPr>
          <w:p w14:paraId="46E8ECE4" w14:textId="755C6571" w:rsidR="001E5235" w:rsidRPr="00FC7BBC" w:rsidRDefault="001E5235" w:rsidP="00F9189F">
            <w:r w:rsidRPr="00FC7BBC">
              <w:t>AHPPC provides advice for residential aged care facilities about minimising the impact of COVID-19 with information on entry restrictions, managing illness in visitors and staff, and hygiene measures.</w:t>
            </w:r>
            <w:r w:rsidR="00BA217C">
              <w:rPr>
                <w:vertAlign w:val="superscript"/>
              </w:rPr>
              <w:t>1</w:t>
            </w:r>
            <w:r w:rsidR="00301D34">
              <w:rPr>
                <w:vertAlign w:val="superscript"/>
              </w:rPr>
              <w:t>5</w:t>
            </w:r>
          </w:p>
        </w:tc>
      </w:tr>
      <w:tr w:rsidR="001E5235" w:rsidRPr="00FC7BBC" w14:paraId="08B216E8" w14:textId="77777777" w:rsidTr="00F9189F">
        <w:trPr>
          <w:cnfStyle w:val="000000010000" w:firstRow="0" w:lastRow="0" w:firstColumn="0" w:lastColumn="0" w:oddVBand="0" w:evenVBand="0" w:oddHBand="0" w:evenHBand="1" w:firstRowFirstColumn="0" w:firstRowLastColumn="0" w:lastRowFirstColumn="0" w:lastRowLastColumn="0"/>
          <w:trHeight w:val="574"/>
        </w:trPr>
        <w:tc>
          <w:tcPr>
            <w:tcW w:w="2268" w:type="dxa"/>
            <w:shd w:val="clear" w:color="auto" w:fill="auto"/>
          </w:tcPr>
          <w:p w14:paraId="2B2A063A" w14:textId="77777777" w:rsidR="001E5235" w:rsidRPr="00FC7BBC" w:rsidRDefault="001E5235" w:rsidP="00F9189F">
            <w:r w:rsidRPr="00FC7BBC">
              <w:t>21 April 2020</w:t>
            </w:r>
          </w:p>
        </w:tc>
        <w:tc>
          <w:tcPr>
            <w:tcW w:w="7936" w:type="dxa"/>
            <w:shd w:val="clear" w:color="auto" w:fill="auto"/>
          </w:tcPr>
          <w:p w14:paraId="063DB76A" w14:textId="4020819D" w:rsidR="001E5235" w:rsidRPr="00FC7BBC" w:rsidRDefault="001E5235" w:rsidP="00F9189F">
            <w:r w:rsidRPr="00FC7BBC">
              <w:t>The Australian Government announces the gradual ease of restrictions on elective surgery from Tuesday 28 April 2020.</w:t>
            </w:r>
            <w:r w:rsidR="00BA217C">
              <w:rPr>
                <w:vertAlign w:val="superscript"/>
              </w:rPr>
              <w:t>1</w:t>
            </w:r>
            <w:r w:rsidR="00301D34">
              <w:rPr>
                <w:vertAlign w:val="superscript"/>
              </w:rPr>
              <w:t>6</w:t>
            </w:r>
          </w:p>
        </w:tc>
      </w:tr>
      <w:tr w:rsidR="001E5235" w:rsidRPr="0009500D" w14:paraId="732D308A" w14:textId="77777777" w:rsidTr="00F9189F">
        <w:trPr>
          <w:trHeight w:val="569"/>
        </w:trPr>
        <w:tc>
          <w:tcPr>
            <w:tcW w:w="2268" w:type="dxa"/>
            <w:shd w:val="clear" w:color="auto" w:fill="auto"/>
          </w:tcPr>
          <w:p w14:paraId="33257B01" w14:textId="77777777" w:rsidR="001E5235" w:rsidRPr="0009500D" w:rsidRDefault="001E5235" w:rsidP="00F9189F">
            <w:r w:rsidRPr="0009500D">
              <w:t>16 April 2020</w:t>
            </w:r>
          </w:p>
        </w:tc>
        <w:tc>
          <w:tcPr>
            <w:tcW w:w="7936" w:type="dxa"/>
            <w:shd w:val="clear" w:color="auto" w:fill="auto"/>
          </w:tcPr>
          <w:p w14:paraId="3FEC9C19" w14:textId="04541E1F" w:rsidR="001E5235" w:rsidRPr="0009500D" w:rsidRDefault="001E5235" w:rsidP="00F9189F">
            <w:r w:rsidRPr="0009500D">
              <w:t>AHPPC provides advice on reducing the potential risk of COVID-19 transmission in schools.</w:t>
            </w:r>
            <w:r w:rsidR="00BA217C">
              <w:rPr>
                <w:vertAlign w:val="superscript"/>
              </w:rPr>
              <w:t>1</w:t>
            </w:r>
            <w:r w:rsidR="00301D34">
              <w:rPr>
                <w:vertAlign w:val="superscript"/>
              </w:rPr>
              <w:t>7</w:t>
            </w:r>
          </w:p>
        </w:tc>
      </w:tr>
      <w:tr w:rsidR="001E5235" w:rsidRPr="00731BF0" w14:paraId="515C7CCC" w14:textId="77777777" w:rsidTr="00F9189F">
        <w:trPr>
          <w:cnfStyle w:val="000000010000" w:firstRow="0" w:lastRow="0" w:firstColumn="0" w:lastColumn="0" w:oddVBand="0" w:evenVBand="0" w:oddHBand="0" w:evenHBand="1" w:firstRowFirstColumn="0" w:firstRowLastColumn="0" w:lastRowFirstColumn="0" w:lastRowLastColumn="0"/>
          <w:trHeight w:val="907"/>
        </w:trPr>
        <w:tc>
          <w:tcPr>
            <w:tcW w:w="2268" w:type="dxa"/>
            <w:shd w:val="clear" w:color="auto" w:fill="auto"/>
          </w:tcPr>
          <w:p w14:paraId="27AC0696" w14:textId="77777777" w:rsidR="001E5235" w:rsidRPr="00731BF0" w:rsidRDefault="001E5235" w:rsidP="00F9189F">
            <w:r w:rsidRPr="00731BF0">
              <w:t>9 April 2020</w:t>
            </w:r>
          </w:p>
        </w:tc>
        <w:tc>
          <w:tcPr>
            <w:tcW w:w="7936" w:type="dxa"/>
            <w:shd w:val="clear" w:color="auto" w:fill="auto"/>
          </w:tcPr>
          <w:p w14:paraId="0D856410" w14:textId="0157B903" w:rsidR="001E5235" w:rsidRPr="00731BF0" w:rsidRDefault="001E5235" w:rsidP="00F9189F">
            <w:pPr>
              <w:rPr>
                <w:vertAlign w:val="superscript"/>
              </w:rPr>
            </w:pPr>
            <w:r w:rsidRPr="00731BF0">
              <w:t>Air crew on international flights will be required to self-isolate at their place of residence (or hotel if not in their local city) between flights or for 14 days, whichever is shorter.</w:t>
            </w:r>
            <w:r w:rsidR="00BA217C">
              <w:rPr>
                <w:vertAlign w:val="superscript"/>
              </w:rPr>
              <w:t>1</w:t>
            </w:r>
            <w:r w:rsidR="00301D34">
              <w:rPr>
                <w:vertAlign w:val="superscript"/>
              </w:rPr>
              <w:t>8</w:t>
            </w:r>
          </w:p>
        </w:tc>
      </w:tr>
      <w:tr w:rsidR="001E5235" w:rsidRPr="005454B9" w14:paraId="59100804" w14:textId="77777777" w:rsidTr="00F9189F">
        <w:trPr>
          <w:trHeight w:val="510"/>
        </w:trPr>
        <w:tc>
          <w:tcPr>
            <w:tcW w:w="2268" w:type="dxa"/>
            <w:shd w:val="clear" w:color="auto" w:fill="auto"/>
          </w:tcPr>
          <w:p w14:paraId="642C86C8" w14:textId="77777777" w:rsidR="001E5235" w:rsidRPr="00B8115A" w:rsidRDefault="001E5235" w:rsidP="00F9189F">
            <w:r w:rsidRPr="00B8115A">
              <w:t>30 March 2020</w:t>
            </w:r>
          </w:p>
        </w:tc>
        <w:tc>
          <w:tcPr>
            <w:tcW w:w="7936" w:type="dxa"/>
            <w:shd w:val="clear" w:color="auto" w:fill="auto"/>
          </w:tcPr>
          <w:p w14:paraId="1B3B9D58" w14:textId="67A198FD" w:rsidR="001E5235" w:rsidRPr="0037452B" w:rsidRDefault="001E5235" w:rsidP="00F9189F">
            <w:r>
              <w:t>S</w:t>
            </w:r>
            <w:r w:rsidRPr="0037452B">
              <w:t>pecial provisions be applied to vulnerable people in the workplace and application of additional regional social distancing measures to combat COVID-19</w:t>
            </w:r>
            <w:r>
              <w:t>.</w:t>
            </w:r>
            <w:r w:rsidR="00BA217C">
              <w:rPr>
                <w:vertAlign w:val="superscript"/>
              </w:rPr>
              <w:t>1</w:t>
            </w:r>
            <w:r w:rsidR="00301D34">
              <w:rPr>
                <w:vertAlign w:val="superscript"/>
              </w:rPr>
              <w:t>9</w:t>
            </w:r>
            <w:r w:rsidRPr="0037452B">
              <w:t xml:space="preserve"> </w:t>
            </w:r>
          </w:p>
        </w:tc>
      </w:tr>
      <w:tr w:rsidR="001E5235" w:rsidRPr="005454B9" w14:paraId="7BDF3471"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710737E" w14:textId="77777777" w:rsidR="001E5235" w:rsidRPr="00B8115A" w:rsidRDefault="001E5235" w:rsidP="00F9189F">
            <w:r w:rsidRPr="00B8115A">
              <w:t>29 March 2020</w:t>
            </w:r>
          </w:p>
        </w:tc>
        <w:tc>
          <w:tcPr>
            <w:tcW w:w="7936" w:type="dxa"/>
            <w:shd w:val="clear" w:color="auto" w:fill="auto"/>
          </w:tcPr>
          <w:p w14:paraId="2D2B9426" w14:textId="77777777" w:rsidR="001E5235" w:rsidRPr="005454B9" w:rsidRDefault="001E5235" w:rsidP="00F9189F">
            <w:r>
              <w:t xml:space="preserve">Both indoor and outdoor </w:t>
            </w:r>
            <w:r w:rsidRPr="005454B9">
              <w:t>public gatherings limited to two persons only</w:t>
            </w:r>
            <w:r>
              <w:t>.</w:t>
            </w:r>
          </w:p>
        </w:tc>
      </w:tr>
      <w:tr w:rsidR="001E5235" w:rsidRPr="005454B9" w14:paraId="6B8ED816" w14:textId="77777777" w:rsidTr="00F9189F">
        <w:tc>
          <w:tcPr>
            <w:tcW w:w="2268" w:type="dxa"/>
            <w:shd w:val="clear" w:color="auto" w:fill="auto"/>
          </w:tcPr>
          <w:p w14:paraId="3CEBCD8F" w14:textId="77777777" w:rsidR="001E5235" w:rsidRPr="00B8115A" w:rsidRDefault="001E5235" w:rsidP="00F9189F">
            <w:r w:rsidRPr="00B8115A">
              <w:t>28 March 2020</w:t>
            </w:r>
          </w:p>
        </w:tc>
        <w:tc>
          <w:tcPr>
            <w:tcW w:w="7936" w:type="dxa"/>
            <w:shd w:val="clear" w:color="auto" w:fill="auto"/>
          </w:tcPr>
          <w:p w14:paraId="3D39C030" w14:textId="77777777" w:rsidR="001E5235" w:rsidRPr="005454B9" w:rsidRDefault="001E5235" w:rsidP="00F9189F">
            <w:r w:rsidRPr="005454B9">
              <w:t>All people entering Australia required to undertake a mandatory 14-day quarantine at designated facilities (e.g. hotels) in their port of arrival.</w:t>
            </w:r>
          </w:p>
        </w:tc>
      </w:tr>
      <w:tr w:rsidR="001E5235" w:rsidRPr="005454B9" w14:paraId="12481E89"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204BE59" w14:textId="77777777" w:rsidR="001E5235" w:rsidRPr="00B8115A" w:rsidRDefault="001E5235" w:rsidP="00F9189F">
            <w:r w:rsidRPr="00B8115A">
              <w:t>26 March 2020</w:t>
            </w:r>
          </w:p>
        </w:tc>
        <w:tc>
          <w:tcPr>
            <w:tcW w:w="7936" w:type="dxa"/>
            <w:shd w:val="clear" w:color="auto" w:fill="auto"/>
          </w:tcPr>
          <w:p w14:paraId="6B074DFF" w14:textId="77777777" w:rsidR="001E5235" w:rsidRPr="005454B9" w:rsidRDefault="001E5235" w:rsidP="00F9189F">
            <w:r w:rsidRPr="005454B9">
              <w:t>Restricted movement into certain remote areas to protect community members from COVID-19</w:t>
            </w:r>
            <w:r>
              <w:t>.</w:t>
            </w:r>
          </w:p>
        </w:tc>
      </w:tr>
      <w:tr w:rsidR="001E5235" w:rsidRPr="005454B9" w14:paraId="70BA9770" w14:textId="77777777" w:rsidTr="00F9189F">
        <w:tc>
          <w:tcPr>
            <w:tcW w:w="2268" w:type="dxa"/>
            <w:shd w:val="clear" w:color="auto" w:fill="auto"/>
          </w:tcPr>
          <w:p w14:paraId="73C81AA6" w14:textId="77777777" w:rsidR="001E5235" w:rsidRPr="00B8115A" w:rsidRDefault="001E5235" w:rsidP="00F9189F">
            <w:r w:rsidRPr="00B8115A">
              <w:t>24 March 2020</w:t>
            </w:r>
          </w:p>
        </w:tc>
        <w:tc>
          <w:tcPr>
            <w:tcW w:w="7936" w:type="dxa"/>
            <w:shd w:val="clear" w:color="auto" w:fill="auto"/>
          </w:tcPr>
          <w:p w14:paraId="5EB34AF0" w14:textId="77777777" w:rsidR="001E5235" w:rsidRPr="00497B55" w:rsidRDefault="001E5235" w:rsidP="00F9189F">
            <w:pPr>
              <w:pStyle w:val="ListParagraph"/>
              <w:numPr>
                <w:ilvl w:val="0"/>
                <w:numId w:val="6"/>
              </w:numPr>
            </w:pPr>
            <w:r w:rsidRPr="00497B55">
              <w:t>Temporary suspension of all non-urgent elective procedures in both the public and private sector;</w:t>
            </w:r>
          </w:p>
          <w:p w14:paraId="1F4EC41D" w14:textId="77777777" w:rsidR="001E5235" w:rsidRPr="00497B55" w:rsidRDefault="001E5235" w:rsidP="00F9189F">
            <w:pPr>
              <w:pStyle w:val="ListParagraph"/>
              <w:numPr>
                <w:ilvl w:val="0"/>
                <w:numId w:val="6"/>
              </w:numPr>
            </w:pPr>
            <w:r w:rsidRPr="00497B55">
              <w:t>Progressive scale up of social distancing measures with stronger measures in relation to non-essential gatherings, and considerations of further more intense options</w:t>
            </w:r>
            <w:r>
              <w:t>; and</w:t>
            </w:r>
          </w:p>
          <w:p w14:paraId="2BC647BB" w14:textId="77777777" w:rsidR="001E5235" w:rsidRPr="00497B55" w:rsidRDefault="001E5235" w:rsidP="00F9189F">
            <w:pPr>
              <w:pStyle w:val="ListParagraph"/>
              <w:numPr>
                <w:ilvl w:val="0"/>
                <w:numId w:val="6"/>
              </w:numPr>
            </w:pPr>
            <w:r w:rsidRPr="00497B55">
              <w:t>Aged care providers limit visits to a maximum of two visitors at one time per day.</w:t>
            </w:r>
          </w:p>
        </w:tc>
      </w:tr>
      <w:tr w:rsidR="001E5235" w:rsidRPr="005454B9" w14:paraId="61165725"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150A0F8" w14:textId="77777777" w:rsidR="001E5235" w:rsidRPr="00B8115A" w:rsidRDefault="001E5235" w:rsidP="00F9189F">
            <w:r w:rsidRPr="00B8115A">
              <w:t>25 March 2020</w:t>
            </w:r>
          </w:p>
        </w:tc>
        <w:tc>
          <w:tcPr>
            <w:tcW w:w="7936" w:type="dxa"/>
            <w:shd w:val="clear" w:color="auto" w:fill="auto"/>
          </w:tcPr>
          <w:p w14:paraId="4D3C188B" w14:textId="77777777" w:rsidR="001E5235" w:rsidRPr="00497B55" w:rsidRDefault="001E5235" w:rsidP="00F9189F">
            <w:pPr>
              <w:pStyle w:val="ListParagraph"/>
              <w:numPr>
                <w:ilvl w:val="0"/>
                <w:numId w:val="7"/>
              </w:numPr>
            </w:pPr>
            <w:r w:rsidRPr="00497B55">
              <w:t>School-based immunisation programs, with the exception of the delivery of meningococcal ACWY vaccine, are paused; and</w:t>
            </w:r>
          </w:p>
          <w:p w14:paraId="15866D28" w14:textId="77777777" w:rsidR="001E5235" w:rsidRPr="00497B55" w:rsidRDefault="001E5235" w:rsidP="00F9189F">
            <w:pPr>
              <w:pStyle w:val="ListParagraph"/>
              <w:numPr>
                <w:ilvl w:val="0"/>
                <w:numId w:val="7"/>
              </w:numPr>
            </w:pPr>
            <w:r w:rsidRPr="00497B55">
              <w:t>Australian citizens and Australian permanent residents are restricted from travelling overseas.</w:t>
            </w:r>
          </w:p>
        </w:tc>
      </w:tr>
      <w:tr w:rsidR="001E5235" w:rsidRPr="005454B9" w14:paraId="2727037D" w14:textId="77777777" w:rsidTr="00F9189F">
        <w:tc>
          <w:tcPr>
            <w:tcW w:w="2268" w:type="dxa"/>
            <w:shd w:val="clear" w:color="auto" w:fill="auto"/>
          </w:tcPr>
          <w:p w14:paraId="311A0873" w14:textId="77777777" w:rsidR="001E5235" w:rsidRPr="00B8115A" w:rsidRDefault="001E5235" w:rsidP="00F9189F">
            <w:r w:rsidRPr="00B8115A">
              <w:t>21 March 2020</w:t>
            </w:r>
          </w:p>
        </w:tc>
        <w:tc>
          <w:tcPr>
            <w:tcW w:w="7936" w:type="dxa"/>
            <w:shd w:val="clear" w:color="auto" w:fill="auto"/>
          </w:tcPr>
          <w:p w14:paraId="4EC2EDBB" w14:textId="77777777" w:rsidR="001E5235" w:rsidRPr="005454B9" w:rsidRDefault="001E5235" w:rsidP="00F9189F">
            <w:r w:rsidRPr="005454B9">
              <w:t>Qld, WA, NT and SA close borders to non-essential travellers</w:t>
            </w:r>
            <w:r>
              <w:t>.</w:t>
            </w:r>
          </w:p>
        </w:tc>
      </w:tr>
      <w:tr w:rsidR="001E5235" w:rsidRPr="005454B9" w14:paraId="08D7EBCE"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EBDA31C" w14:textId="77777777" w:rsidR="001E5235" w:rsidRPr="00B8115A" w:rsidRDefault="001E5235" w:rsidP="00F9189F">
            <w:r w:rsidRPr="00B8115A">
              <w:t>20 March 2020</w:t>
            </w:r>
          </w:p>
        </w:tc>
        <w:tc>
          <w:tcPr>
            <w:tcW w:w="7936" w:type="dxa"/>
            <w:shd w:val="clear" w:color="auto" w:fill="auto"/>
          </w:tcPr>
          <w:p w14:paraId="6C2734B2" w14:textId="77777777" w:rsidR="001E5235" w:rsidRPr="00566945" w:rsidRDefault="001E5235" w:rsidP="00F9189F">
            <w:pPr>
              <w:pStyle w:val="ListParagraph"/>
              <w:numPr>
                <w:ilvl w:val="0"/>
                <w:numId w:val="5"/>
              </w:numPr>
            </w:pPr>
            <w:r w:rsidRPr="00566945">
              <w:t>Travel ban on foreign nationals entering Australia;</w:t>
            </w:r>
          </w:p>
          <w:p w14:paraId="371D9477" w14:textId="77777777" w:rsidR="001E5235" w:rsidRPr="00566945" w:rsidRDefault="001E5235" w:rsidP="00F9189F">
            <w:pPr>
              <w:pStyle w:val="ListParagraph"/>
              <w:numPr>
                <w:ilvl w:val="0"/>
                <w:numId w:val="5"/>
              </w:numPr>
            </w:pPr>
            <w:r w:rsidRPr="00566945">
              <w:t>Restriction of travel to remote communities; and</w:t>
            </w:r>
          </w:p>
          <w:p w14:paraId="04D56031" w14:textId="77777777" w:rsidR="001E5235" w:rsidRPr="00566945" w:rsidRDefault="001E5235" w:rsidP="00F9189F">
            <w:pPr>
              <w:pStyle w:val="ListParagraph"/>
              <w:numPr>
                <w:ilvl w:val="0"/>
                <w:numId w:val="5"/>
              </w:numPr>
            </w:pPr>
            <w:r w:rsidRPr="00566945">
              <w:t>Tasmania closes borders to non-essential travellers.</w:t>
            </w:r>
          </w:p>
        </w:tc>
      </w:tr>
      <w:tr w:rsidR="001E5235" w:rsidRPr="005454B9" w14:paraId="0A16BE15" w14:textId="77777777" w:rsidTr="00F9189F">
        <w:trPr>
          <w:trHeight w:val="1361"/>
        </w:trPr>
        <w:tc>
          <w:tcPr>
            <w:tcW w:w="2268" w:type="dxa"/>
            <w:shd w:val="clear" w:color="auto" w:fill="auto"/>
          </w:tcPr>
          <w:p w14:paraId="5E7DF38F" w14:textId="77777777" w:rsidR="001E5235" w:rsidRPr="00B8115A" w:rsidRDefault="001E5235" w:rsidP="00F9189F">
            <w:r w:rsidRPr="00B8115A">
              <w:lastRenderedPageBreak/>
              <w:t>18 March 2020</w:t>
            </w:r>
          </w:p>
        </w:tc>
        <w:tc>
          <w:tcPr>
            <w:tcW w:w="7936" w:type="dxa"/>
            <w:shd w:val="clear" w:color="auto" w:fill="auto"/>
          </w:tcPr>
          <w:p w14:paraId="20F597DB" w14:textId="77777777" w:rsidR="001E5235" w:rsidRPr="00B8115A" w:rsidRDefault="001E5235" w:rsidP="00F9189F">
            <w:pPr>
              <w:pStyle w:val="ListParagraph"/>
              <w:numPr>
                <w:ilvl w:val="0"/>
                <w:numId w:val="3"/>
              </w:numPr>
            </w:pPr>
            <w:r w:rsidRPr="00B8115A">
              <w:t>DFAT raises travel advice for all overseas destinations to Level 4 'Do Not Travel'</w:t>
            </w:r>
            <w:r>
              <w:t>;</w:t>
            </w:r>
          </w:p>
          <w:p w14:paraId="08CF7D69" w14:textId="77777777" w:rsidR="001E5235" w:rsidRPr="002402B0" w:rsidRDefault="001E5235" w:rsidP="00F9189F">
            <w:pPr>
              <w:pStyle w:val="ListParagraph"/>
              <w:numPr>
                <w:ilvl w:val="0"/>
                <w:numId w:val="3"/>
              </w:numPr>
            </w:pPr>
            <w:r>
              <w:rPr>
                <w:shd w:val="clear" w:color="auto" w:fill="FFFFFF"/>
              </w:rPr>
              <w:t>C</w:t>
            </w:r>
            <w:r w:rsidRPr="00B8115A">
              <w:rPr>
                <w:shd w:val="clear" w:color="auto" w:fill="FFFFFF"/>
              </w:rPr>
              <w:t>ontinuation of a 14-day quarantine requirement for all returning travellers</w:t>
            </w:r>
            <w:r>
              <w:rPr>
                <w:shd w:val="clear" w:color="auto" w:fill="FFFFFF"/>
              </w:rPr>
              <w:t>; and</w:t>
            </w:r>
          </w:p>
          <w:p w14:paraId="1B0AD840" w14:textId="77777777" w:rsidR="001E5235" w:rsidRPr="00B8115A" w:rsidRDefault="001E5235" w:rsidP="00F9189F">
            <w:pPr>
              <w:pStyle w:val="ListParagraph"/>
              <w:numPr>
                <w:ilvl w:val="0"/>
                <w:numId w:val="3"/>
              </w:numPr>
            </w:pPr>
            <w:r w:rsidRPr="00566945">
              <w:t>Restrictions on indoor gatherings.</w:t>
            </w:r>
          </w:p>
        </w:tc>
      </w:tr>
      <w:tr w:rsidR="001E5235" w:rsidRPr="005454B9" w14:paraId="3B92ECA9"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586F343" w14:textId="77777777" w:rsidR="001E5235" w:rsidRPr="00B8115A" w:rsidRDefault="001E5235" w:rsidP="00F9189F">
            <w:r w:rsidRPr="00B8115A">
              <w:t>1</w:t>
            </w:r>
            <w:r>
              <w:t>6</w:t>
            </w:r>
            <w:r w:rsidRPr="00B8115A">
              <w:t xml:space="preserve"> March 2020</w:t>
            </w:r>
          </w:p>
        </w:tc>
        <w:tc>
          <w:tcPr>
            <w:tcW w:w="7936" w:type="dxa"/>
            <w:shd w:val="clear" w:color="auto" w:fill="auto"/>
          </w:tcPr>
          <w:p w14:paraId="452F1DB1" w14:textId="77777777" w:rsidR="001E5235" w:rsidRPr="005454B9" w:rsidRDefault="001E5235" w:rsidP="00F9189F">
            <w:r w:rsidRPr="00566945">
              <w:t>Non-essential static gatherings of &gt; 500 people banned.</w:t>
            </w:r>
          </w:p>
        </w:tc>
      </w:tr>
      <w:tr w:rsidR="001E5235" w:rsidRPr="005454B9" w14:paraId="39DEA2D6" w14:textId="77777777" w:rsidTr="00F9189F">
        <w:tc>
          <w:tcPr>
            <w:tcW w:w="2268" w:type="dxa"/>
            <w:shd w:val="clear" w:color="auto" w:fill="auto"/>
          </w:tcPr>
          <w:p w14:paraId="0E8DF5AD" w14:textId="77777777" w:rsidR="001E5235" w:rsidRPr="00B8115A" w:rsidRDefault="001E5235" w:rsidP="00F9189F">
            <w:r w:rsidRPr="00B8115A">
              <w:t>1</w:t>
            </w:r>
            <w:r>
              <w:t>5</w:t>
            </w:r>
            <w:r w:rsidRPr="00B8115A">
              <w:t xml:space="preserve"> March 2020</w:t>
            </w:r>
          </w:p>
        </w:tc>
        <w:tc>
          <w:tcPr>
            <w:tcW w:w="7936" w:type="dxa"/>
            <w:shd w:val="clear" w:color="auto" w:fill="auto"/>
          </w:tcPr>
          <w:p w14:paraId="77169EFF" w14:textId="77777777" w:rsidR="001E5235" w:rsidRPr="005454B9" w:rsidRDefault="001E5235" w:rsidP="00F9189F">
            <w:r w:rsidRPr="00566945">
              <w:t>All overseas arrivals required to self-isolate for 14 days and cruise ship arrivals banned.</w:t>
            </w:r>
          </w:p>
        </w:tc>
      </w:tr>
      <w:tr w:rsidR="001E5235" w:rsidRPr="005454B9" w14:paraId="3162BDEA"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D19AB82" w14:textId="77777777" w:rsidR="001E5235" w:rsidRPr="00B8115A" w:rsidRDefault="001E5235" w:rsidP="00F9189F">
            <w:r w:rsidRPr="00B8115A">
              <w:t>8 March 2020</w:t>
            </w:r>
          </w:p>
        </w:tc>
        <w:tc>
          <w:tcPr>
            <w:tcW w:w="7936" w:type="dxa"/>
            <w:shd w:val="clear" w:color="auto" w:fill="auto"/>
          </w:tcPr>
          <w:p w14:paraId="4CD563CE" w14:textId="77777777" w:rsidR="001E5235" w:rsidRPr="005454B9" w:rsidRDefault="001E5235" w:rsidP="00F9189F">
            <w:r>
              <w:t>R</w:t>
            </w:r>
            <w:r w:rsidRPr="005454B9">
              <w:t>estrictions on COVID-19 contacts and travellers from listed higher risk countries</w:t>
            </w:r>
            <w:r>
              <w:t>.</w:t>
            </w:r>
          </w:p>
        </w:tc>
      </w:tr>
      <w:tr w:rsidR="001E5235" w:rsidRPr="005454B9" w14:paraId="40945881" w14:textId="77777777" w:rsidTr="00F9189F">
        <w:tc>
          <w:tcPr>
            <w:tcW w:w="2268" w:type="dxa"/>
            <w:shd w:val="clear" w:color="auto" w:fill="auto"/>
          </w:tcPr>
          <w:p w14:paraId="341C78F3" w14:textId="77777777" w:rsidR="001E5235" w:rsidRPr="00B8115A" w:rsidRDefault="001E5235" w:rsidP="00F9189F">
            <w:r w:rsidRPr="00B8115A">
              <w:t>5 March 2020</w:t>
            </w:r>
          </w:p>
        </w:tc>
        <w:tc>
          <w:tcPr>
            <w:tcW w:w="7936" w:type="dxa"/>
            <w:shd w:val="clear" w:color="auto" w:fill="auto"/>
          </w:tcPr>
          <w:p w14:paraId="4358CBEF" w14:textId="77777777" w:rsidR="001E5235" w:rsidRPr="005454B9" w:rsidRDefault="001E5235" w:rsidP="00F9189F">
            <w:r w:rsidRPr="005454B9">
              <w:t>Restrictions on travel from Republic of Korea</w:t>
            </w:r>
            <w:r>
              <w:t>.</w:t>
            </w:r>
          </w:p>
        </w:tc>
      </w:tr>
      <w:tr w:rsidR="001E5235" w:rsidRPr="005454B9" w14:paraId="277A5D7D" w14:textId="77777777" w:rsidTr="00F9189F">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6142E0C" w14:textId="77777777" w:rsidR="001E5235" w:rsidRPr="00B8115A" w:rsidRDefault="001E5235" w:rsidP="00F9189F">
            <w:r w:rsidRPr="00B8115A">
              <w:t>1 March 2020</w:t>
            </w:r>
          </w:p>
        </w:tc>
        <w:tc>
          <w:tcPr>
            <w:tcW w:w="7936" w:type="dxa"/>
            <w:shd w:val="clear" w:color="auto" w:fill="auto"/>
          </w:tcPr>
          <w:p w14:paraId="1F374C64" w14:textId="77777777" w:rsidR="001E5235" w:rsidRPr="005454B9" w:rsidRDefault="001E5235" w:rsidP="00F9189F">
            <w:r w:rsidRPr="005454B9">
              <w:t>Restrictions on travel from Islamic Republic of Iran</w:t>
            </w:r>
            <w:r>
              <w:t>.</w:t>
            </w:r>
          </w:p>
        </w:tc>
      </w:tr>
    </w:tbl>
    <w:p w14:paraId="61C8FAF9" w14:textId="77777777" w:rsidR="00EE101D" w:rsidRPr="00731BF0" w:rsidRDefault="00EE101D" w:rsidP="00EE101D">
      <w:pPr>
        <w:pStyle w:val="Heading1"/>
      </w:pPr>
      <w:r w:rsidRPr="00731BF0">
        <w:t>International situation</w:t>
      </w:r>
      <w:r>
        <w:rPr>
          <w:vertAlign w:val="superscript"/>
        </w:rPr>
        <w:t>20</w:t>
      </w:r>
    </w:p>
    <w:p w14:paraId="76510EBA" w14:textId="77777777" w:rsidR="00EE101D" w:rsidRPr="00D06BF4" w:rsidRDefault="00EE101D" w:rsidP="00EE101D">
      <w:r w:rsidRPr="00E26653">
        <w:t>As at 18:00 AEST 10 May 2020, the total number of confirmed COVID-19 cases and deaths reported to the World Health Organization (WHO) from the 216 affected countries territories and regions was 3,917,366 cases and 274,361 deaths. Over the past four weeks, the number of new cases per week has remained consistent at approximately 550,000 and in the last week the number of new cases was 567,580. All WHO regions reported an increase in cases and deaths in the past week. The sharpest increase in both cases and deaths was reported from the South-East Asia region (49% and 41%, respectively) and the lowest increase was reported from the Western Pacific region (5% and 4%, respectively). Overall, approximately 57% of the total COVID-19 deaths are from the European Region, 36% from the Americas, and 7% from the remaining Regions.</w:t>
      </w:r>
    </w:p>
    <w:p w14:paraId="64438596" w14:textId="77777777" w:rsidR="001E5235" w:rsidRPr="001E5235" w:rsidRDefault="001E5235" w:rsidP="001E5235"/>
    <w:p w14:paraId="77D5EE11" w14:textId="77777777" w:rsidR="001E5235" w:rsidRDefault="001E5235" w:rsidP="0098379C">
      <w:pPr>
        <w:pStyle w:val="Heading1"/>
        <w:sectPr w:rsidR="001E5235" w:rsidSect="00650D81">
          <w:footerReference w:type="default" r:id="rId20"/>
          <w:footerReference w:type="first" r:id="rId21"/>
          <w:footnotePr>
            <w:numFmt w:val="lowerRoman"/>
          </w:footnotePr>
          <w:pgSz w:w="11906" w:h="16838"/>
          <w:pgMar w:top="709" w:right="851" w:bottom="425" w:left="851" w:header="709" w:footer="709" w:gutter="0"/>
          <w:cols w:space="708"/>
          <w:docGrid w:linePitch="360"/>
        </w:sectPr>
      </w:pPr>
    </w:p>
    <w:p w14:paraId="69C730C0" w14:textId="2B3EC29B" w:rsidR="001E5235" w:rsidRPr="001E5235" w:rsidRDefault="001E5235" w:rsidP="00331EAA">
      <w:pPr>
        <w:pStyle w:val="CDIFigures"/>
      </w:pPr>
      <w:r w:rsidRPr="00331EAA">
        <w:lastRenderedPageBreak/>
        <w:t xml:space="preserve">Figure </w:t>
      </w:r>
      <w:r w:rsidR="00822AE7" w:rsidRPr="00331EAA">
        <w:t>9</w:t>
      </w:r>
      <w:r w:rsidRPr="00331EAA">
        <w:t>: COVID-19 notifications in Australia by date of onset, from 13 January to 10 May 2020</w:t>
      </w:r>
      <w:r w:rsidR="0029468C" w:rsidRPr="00331EAA">
        <w:t>,</w:t>
      </w:r>
      <w:r w:rsidRPr="00331EAA">
        <w:rPr>
          <w:vertAlign w:val="superscript"/>
        </w:rPr>
        <w:t>a</w:t>
      </w:r>
      <w:r w:rsidRPr="00331EAA">
        <w:t xml:space="preserve"> with timing of key public health measures</w:t>
      </w:r>
    </w:p>
    <w:p w14:paraId="0FD2F26F" w14:textId="779AF35E" w:rsidR="001E5235" w:rsidRDefault="006A5591" w:rsidP="00C24821">
      <w:pPr>
        <w:jc w:val="center"/>
        <w:rPr>
          <w:sz w:val="16"/>
        </w:rPr>
      </w:pPr>
      <w:r>
        <w:rPr>
          <w:noProof/>
          <w:sz w:val="16"/>
        </w:rPr>
        <w:drawing>
          <wp:inline distT="0" distB="0" distL="0" distR="0" wp14:anchorId="0E774B5F" wp14:editId="0AFC2F80">
            <wp:extent cx="8489510" cy="5467350"/>
            <wp:effectExtent l="0" t="0" r="6985" b="0"/>
            <wp:docPr id="20" name="Picture 20" descr="Bar chart showing COVID-19 notifications by date of illness onset, for the 6,784 Australian cases. Notifications for the cases shown have onset dates ranging from 13 January 2020 to 10 May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xsl_figures5.png"/>
                    <pic:cNvPicPr/>
                  </pic:nvPicPr>
                  <pic:blipFill rotWithShape="1">
                    <a:blip r:embed="rId22" cstate="print">
                      <a:extLst>
                        <a:ext uri="{28A0092B-C50C-407E-A947-70E740481C1C}">
                          <a14:useLocalDpi xmlns:a14="http://schemas.microsoft.com/office/drawing/2010/main" val="0"/>
                        </a:ext>
                      </a:extLst>
                    </a:blip>
                    <a:srcRect t="1221"/>
                    <a:stretch/>
                  </pic:blipFill>
                  <pic:spPr bwMode="auto">
                    <a:xfrm>
                      <a:off x="0" y="0"/>
                      <a:ext cx="8494620" cy="5470641"/>
                    </a:xfrm>
                    <a:prstGeom prst="rect">
                      <a:avLst/>
                    </a:prstGeom>
                    <a:ln>
                      <a:noFill/>
                    </a:ln>
                    <a:extLst>
                      <a:ext uri="{53640926-AAD7-44D8-BBD7-CCE9431645EC}">
                        <a14:shadowObscured xmlns:a14="http://schemas.microsoft.com/office/drawing/2010/main"/>
                      </a:ext>
                    </a:extLst>
                  </pic:spPr>
                </pic:pic>
              </a:graphicData>
            </a:graphic>
          </wp:inline>
        </w:drawing>
      </w:r>
    </w:p>
    <w:p w14:paraId="6E119B68" w14:textId="2A801C85" w:rsidR="001E5235" w:rsidRPr="001E5235" w:rsidRDefault="001E5235" w:rsidP="00331EAA">
      <w:pPr>
        <w:pStyle w:val="CDIfootnotes"/>
        <w:sectPr w:rsidR="001E5235" w:rsidRPr="001E5235" w:rsidSect="001E5235">
          <w:footnotePr>
            <w:numFmt w:val="lowerRoman"/>
          </w:footnotePr>
          <w:pgSz w:w="16838" w:h="11906" w:orient="landscape"/>
          <w:pgMar w:top="851" w:right="709" w:bottom="851" w:left="425" w:header="709" w:footer="709" w:gutter="0"/>
          <w:cols w:space="708"/>
          <w:docGrid w:linePitch="360"/>
        </w:sectPr>
      </w:pPr>
      <w:r w:rsidRPr="001E5235">
        <w:t xml:space="preserve">a </w:t>
      </w:r>
      <w:r w:rsidRPr="001E5235">
        <w:tab/>
        <w:t>Due to reporting delays, interpret the latest days’ new cases with caution.</w:t>
      </w:r>
    </w:p>
    <w:p w14:paraId="299A86F4" w14:textId="11A61BCC" w:rsidR="00F519BE" w:rsidRPr="00331EAA" w:rsidRDefault="0098379C" w:rsidP="00331EAA">
      <w:pPr>
        <w:pStyle w:val="CDIFigures"/>
      </w:pPr>
      <w:r w:rsidRPr="00331EAA">
        <w:lastRenderedPageBreak/>
        <w:t xml:space="preserve">Figure </w:t>
      </w:r>
      <w:r w:rsidR="00822AE7" w:rsidRPr="00331EAA">
        <w:t>10</w:t>
      </w:r>
      <w:r w:rsidRPr="00331EAA">
        <w:t xml:space="preserve">: Number of COVID-19 cases (logarithmic scale) by selected country and days since passing 100 cases, up to </w:t>
      </w:r>
      <w:r w:rsidR="004532EE" w:rsidRPr="00331EAA">
        <w:t xml:space="preserve">10 </w:t>
      </w:r>
      <w:r w:rsidRPr="00331EAA">
        <w:t>May 2020</w:t>
      </w:r>
    </w:p>
    <w:p w14:paraId="1F2CD368" w14:textId="5DBEBB77" w:rsidR="0098379C" w:rsidRDefault="006A5591" w:rsidP="00F519BE">
      <w:pPr>
        <w:pStyle w:val="CDIFigures"/>
        <w:jc w:val="center"/>
        <w:rPr>
          <w:rFonts w:eastAsia="Times New Roman"/>
          <w:b w:val="0"/>
        </w:rPr>
      </w:pPr>
      <w:r>
        <w:rPr>
          <w:rFonts w:eastAsia="Times New Roman"/>
          <w:b w:val="0"/>
          <w:noProof/>
        </w:rPr>
        <w:drawing>
          <wp:inline distT="0" distB="0" distL="0" distR="0" wp14:anchorId="792AAC9A" wp14:editId="0CD60EA3">
            <wp:extent cx="9131012" cy="5824220"/>
            <wp:effectExtent l="0" t="0" r="0" b="5080"/>
            <wp:docPr id="21" name="Picture 21" descr="Line graph comparing the growth in number of COVID-19 cases, from the ‘starting point’ of 100 cases in each country, for Australia, USA, UK, and several countries within Europe. The highest sustained growth in cases among all countries has occurred in USA. Growth in cases in Australia is currently similar to the growth in case numbers in the Czech Republic, Denmark and Norway, and below that in the other countries display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s_10_and_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37276" cy="5828216"/>
                    </a:xfrm>
                    <a:prstGeom prst="rect">
                      <a:avLst/>
                    </a:prstGeom>
                  </pic:spPr>
                </pic:pic>
              </a:graphicData>
            </a:graphic>
          </wp:inline>
        </w:drawing>
      </w:r>
    </w:p>
    <w:p w14:paraId="4FD095B9" w14:textId="77777777" w:rsidR="00EE101D" w:rsidRDefault="00EE101D">
      <w:pPr>
        <w:rPr>
          <w:b/>
        </w:rPr>
      </w:pPr>
      <w:r>
        <w:br w:type="page"/>
      </w:r>
    </w:p>
    <w:p w14:paraId="13E225BF" w14:textId="1860ACC4" w:rsidR="00F519BE" w:rsidRPr="00331EAA" w:rsidRDefault="0098379C" w:rsidP="00331EAA">
      <w:pPr>
        <w:pStyle w:val="CDIFigures"/>
      </w:pPr>
      <w:r w:rsidRPr="00331EAA">
        <w:lastRenderedPageBreak/>
        <w:t>Figure 1</w:t>
      </w:r>
      <w:r w:rsidR="00822AE7" w:rsidRPr="00331EAA">
        <w:t>1</w:t>
      </w:r>
      <w:r w:rsidRPr="00331EAA">
        <w:t xml:space="preserve">: Number of COVID-19 deaths (logarithmic scale) by selected country and days since passing 50 deaths, up to </w:t>
      </w:r>
      <w:r w:rsidR="004532EE" w:rsidRPr="00331EAA">
        <w:t xml:space="preserve">10 </w:t>
      </w:r>
      <w:r w:rsidRPr="00331EAA">
        <w:t xml:space="preserve">May 2020 </w:t>
      </w:r>
    </w:p>
    <w:p w14:paraId="15B711D4" w14:textId="7EEDC210" w:rsidR="0098379C" w:rsidRPr="00732B0D" w:rsidRDefault="006A5591" w:rsidP="00F519BE">
      <w:pPr>
        <w:pStyle w:val="CDIFigures"/>
        <w:jc w:val="center"/>
        <w:sectPr w:rsidR="0098379C" w:rsidRPr="00732B0D" w:rsidSect="00650D81">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023AE57D" wp14:editId="7585107A">
            <wp:extent cx="9640017" cy="6182995"/>
            <wp:effectExtent l="0" t="0" r="0" b="8255"/>
            <wp:docPr id="22" name="Picture 22" descr="Line graph comparing the growth in number of deaths from COVID-19, from the ‘starting point’ of 50 deaths in each country, for Australia, USA, UK, and several countries within Europe. The largest number of deaths among these countries has occurred in the USA. The growth in number of deaths is notably lower in Australia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s_10_and_111.png"/>
                    <pic:cNvPicPr/>
                  </pic:nvPicPr>
                  <pic:blipFill rotWithShape="1">
                    <a:blip r:embed="rId24" cstate="print">
                      <a:extLst>
                        <a:ext uri="{28A0092B-C50C-407E-A947-70E740481C1C}">
                          <a14:useLocalDpi xmlns:a14="http://schemas.microsoft.com/office/drawing/2010/main" val="0"/>
                        </a:ext>
                      </a:extLst>
                    </a:blip>
                    <a:srcRect t="2265" b="-1"/>
                    <a:stretch/>
                  </pic:blipFill>
                  <pic:spPr bwMode="auto">
                    <a:xfrm>
                      <a:off x="0" y="0"/>
                      <a:ext cx="9657514" cy="6194217"/>
                    </a:xfrm>
                    <a:prstGeom prst="rect">
                      <a:avLst/>
                    </a:prstGeom>
                    <a:ln>
                      <a:noFill/>
                    </a:ln>
                    <a:extLst>
                      <a:ext uri="{53640926-AAD7-44D8-BBD7-CCE9431645EC}">
                        <a14:shadowObscured xmlns:a14="http://schemas.microsoft.com/office/drawing/2010/main"/>
                      </a:ext>
                    </a:extLst>
                  </pic:spPr>
                </pic:pic>
              </a:graphicData>
            </a:graphic>
          </wp:inline>
        </w:drawing>
      </w:r>
    </w:p>
    <w:p w14:paraId="514DA1FC" w14:textId="77777777" w:rsidR="00A740CC" w:rsidRPr="00331EAA" w:rsidRDefault="00A740CC" w:rsidP="00331EAA">
      <w:pPr>
        <w:pStyle w:val="Heading1"/>
      </w:pPr>
      <w:r w:rsidRPr="00331EAA">
        <w:lastRenderedPageBreak/>
        <w:t>Background</w:t>
      </w:r>
    </w:p>
    <w:p w14:paraId="2A4C269A" w14:textId="77777777" w:rsidR="00A740CC" w:rsidRDefault="00A740CC" w:rsidP="00A740CC">
      <w:pPr>
        <w:rPr>
          <w:i/>
        </w:rPr>
      </w:pPr>
      <w:r>
        <w:rPr>
          <w:i/>
        </w:rPr>
        <w:t xml:space="preserve">The current estimates on epidemiological parameters including severity, transmissibility and incubation period are uncertain. Estimates are likely to change as more information becomes available. </w:t>
      </w:r>
    </w:p>
    <w:p w14:paraId="4671A48E" w14:textId="77777777" w:rsidR="00A740CC" w:rsidRPr="00331EAA" w:rsidRDefault="00A740CC" w:rsidP="00331EAA">
      <w:pPr>
        <w:pStyle w:val="Heading2"/>
      </w:pPr>
      <w:r w:rsidRPr="00331EAA">
        <w:t xml:space="preserve">Transmission </w:t>
      </w:r>
    </w:p>
    <w:p w14:paraId="10C2C7C9" w14:textId="1DAAB474" w:rsidR="00A740CC" w:rsidRDefault="00A740CC" w:rsidP="00331EAA">
      <w:r>
        <w:t>Human-to-human transmission of SARS-CoV-2 is via droplets and fomites from an infected person to a close contact.</w:t>
      </w:r>
      <w:r w:rsidR="004532EE">
        <w:rPr>
          <w:vertAlign w:val="superscript"/>
        </w:rPr>
        <w:t>2</w:t>
      </w:r>
      <w:r w:rsidR="00301D34">
        <w:rPr>
          <w:vertAlign w:val="superscript"/>
        </w:rPr>
        <w:t>1</w:t>
      </w:r>
      <w:r>
        <w:t xml:space="preserve"> A virological analysis of hospitalised cases found active virus replication in upper respiratory tract tissues, with pharyngeal virus shedding during the first week of symptoms.</w:t>
      </w:r>
      <w:r w:rsidR="004532EE">
        <w:rPr>
          <w:vertAlign w:val="superscript"/>
        </w:rPr>
        <w:t>2</w:t>
      </w:r>
      <w:r w:rsidR="00301D34">
        <w:rPr>
          <w:vertAlign w:val="superscript"/>
        </w:rPr>
        <w:t>2</w:t>
      </w:r>
      <w:r>
        <w:t xml:space="preserve"> However, current evidence does not support airborne or faecal-oral spread as major factors in transmission.</w:t>
      </w:r>
      <w:r w:rsidR="004532EE">
        <w:rPr>
          <w:vertAlign w:val="superscript"/>
        </w:rPr>
        <w:t>2</w:t>
      </w:r>
      <w:r w:rsidR="00301D34">
        <w:rPr>
          <w:vertAlign w:val="superscript"/>
        </w:rPr>
        <w:t>1</w:t>
      </w:r>
      <w:r>
        <w:t xml:space="preserve"> </w:t>
      </w:r>
    </w:p>
    <w:p w14:paraId="1B772896" w14:textId="3AE65B45" w:rsidR="00A740CC" w:rsidRDefault="00AB4BA8" w:rsidP="00331EAA">
      <w:r w:rsidRPr="00D34F4F">
        <w:t xml:space="preserve">Viral RNA has been </w:t>
      </w:r>
      <w:r w:rsidR="00967486" w:rsidRPr="00D34F4F">
        <w:t>identified</w:t>
      </w:r>
      <w:r w:rsidRPr="00D34F4F">
        <w:t xml:space="preserve"> in respiratory track </w:t>
      </w:r>
      <w:r w:rsidR="00967486" w:rsidRPr="00D34F4F">
        <w:t>specimens</w:t>
      </w:r>
      <w:r w:rsidRPr="00D34F4F">
        <w:t xml:space="preserve"> 1–2 days prior to symptoms onset</w:t>
      </w:r>
      <w:r w:rsidR="00967486" w:rsidRPr="00D34F4F">
        <w:t>,</w:t>
      </w:r>
      <w:r w:rsidR="005B1DAA" w:rsidRPr="00D34F4F">
        <w:t xml:space="preserve"> and has been observed after symptom cessation. </w:t>
      </w:r>
      <w:r w:rsidR="00A740CC" w:rsidRPr="00D34F4F">
        <w:t xml:space="preserve">In 50% of the patients, seroconversion occurred after seven days with a range </w:t>
      </w:r>
      <w:r w:rsidR="00A740CC">
        <w:t>of up to 14 days; this seroconversion was not followed by a rapid decline in viral load.</w:t>
      </w:r>
      <w:r w:rsidR="004532EE">
        <w:rPr>
          <w:vertAlign w:val="superscript"/>
        </w:rPr>
        <w:t>2</w:t>
      </w:r>
      <w:r w:rsidR="00301D34">
        <w:rPr>
          <w:vertAlign w:val="superscript"/>
        </w:rPr>
        <w:t>3</w:t>
      </w:r>
      <w:r w:rsidR="00A740CC">
        <w:t xml:space="preserve"> However, it is unknown if detection of viral RNA correlates with shedding of live virus and transmission risk.</w:t>
      </w:r>
      <w:r w:rsidR="004532EE">
        <w:rPr>
          <w:vertAlign w:val="superscript"/>
        </w:rPr>
        <w:t>2,2</w:t>
      </w:r>
      <w:r w:rsidR="00301D34">
        <w:rPr>
          <w:vertAlign w:val="superscript"/>
        </w:rPr>
        <w:t>3</w:t>
      </w:r>
      <w:r w:rsidR="00A740CC">
        <w:t xml:space="preserve"> </w:t>
      </w:r>
    </w:p>
    <w:p w14:paraId="455CCFAB" w14:textId="2FB19C72" w:rsidR="00A740CC" w:rsidRDefault="00A740CC" w:rsidP="00331EAA">
      <w:r>
        <w:t>A recent study suggests that children do not play a key role in household transmission and are unlikely to be the primary source of household infections.</w:t>
      </w:r>
      <w:r w:rsidR="004532EE">
        <w:rPr>
          <w:vertAlign w:val="superscript"/>
        </w:rPr>
        <w:t>2</w:t>
      </w:r>
      <w:r w:rsidR="00301D34">
        <w:rPr>
          <w:vertAlign w:val="superscript"/>
        </w:rPr>
        <w:t>4</w:t>
      </w:r>
      <w:r>
        <w:rPr>
          <w:rFonts w:ascii="Calibri" w:hAnsi="Calibri" w:cs="Calibri"/>
        </w:rPr>
        <w:t xml:space="preserve"> In a population-based study in Iceland, children under 10 years old had a lower incidence of SARS-CoV-2 infection than adults; 6.7% vs. 13.7% in children and adults respectively.</w:t>
      </w:r>
      <w:r w:rsidR="004532EE">
        <w:rPr>
          <w:rFonts w:ascii="Calibri" w:hAnsi="Calibri" w:cs="Calibri"/>
          <w:vertAlign w:val="superscript"/>
        </w:rPr>
        <w:t>2</w:t>
      </w:r>
      <w:r w:rsidR="00301D34">
        <w:rPr>
          <w:rFonts w:ascii="Calibri" w:hAnsi="Calibri" w:cs="Calibri"/>
          <w:vertAlign w:val="superscript"/>
        </w:rPr>
        <w:t>5</w:t>
      </w:r>
      <w:r>
        <w:rPr>
          <w:rFonts w:ascii="Calibri" w:hAnsi="Calibri" w:cs="Calibri"/>
        </w:rPr>
        <w:t xml:space="preserve"> </w:t>
      </w:r>
    </w:p>
    <w:p w14:paraId="1497B069" w14:textId="77777777" w:rsidR="00A740CC" w:rsidRPr="00331EAA" w:rsidRDefault="00A740CC" w:rsidP="00331EAA">
      <w:pPr>
        <w:pStyle w:val="Heading2"/>
      </w:pPr>
      <w:r w:rsidRPr="00331EAA">
        <w:t xml:space="preserve">Incubation period </w:t>
      </w:r>
    </w:p>
    <w:p w14:paraId="1A576518" w14:textId="24AC8BC2" w:rsidR="00A740CC" w:rsidRPr="00800884" w:rsidRDefault="00A740CC" w:rsidP="00331EAA">
      <w:r w:rsidRPr="00800884">
        <w:t xml:space="preserve">Estimates of median incubation period, based on seven published studies, are 5 to 6 days (ranging from 1 to 14 days). Patients with long incubation periods do occasionally occur; however, they are likely to be ‘outliers’ who should be studied further but </w:t>
      </w:r>
      <w:r w:rsidR="00C70970">
        <w:t xml:space="preserve">who </w:t>
      </w:r>
      <w:r w:rsidRPr="00800884">
        <w:t>are unlikely to represent a change in epidemiology of the virus.</w:t>
      </w:r>
      <w:r w:rsidR="004532EE">
        <w:rPr>
          <w:vertAlign w:val="superscript"/>
        </w:rPr>
        <w:t>2</w:t>
      </w:r>
      <w:r w:rsidR="00301D34">
        <w:rPr>
          <w:vertAlign w:val="superscript"/>
        </w:rPr>
        <w:t>6</w:t>
      </w:r>
      <w:r w:rsidR="004532EE">
        <w:rPr>
          <w:vertAlign w:val="superscript"/>
        </w:rPr>
        <w:t>,2</w:t>
      </w:r>
      <w:r w:rsidR="00301D34">
        <w:rPr>
          <w:vertAlign w:val="superscript"/>
        </w:rPr>
        <w:t>7</w:t>
      </w:r>
      <w:r w:rsidRPr="00800884">
        <w:t xml:space="preserve"> </w:t>
      </w:r>
    </w:p>
    <w:p w14:paraId="25CDFEFF" w14:textId="77777777" w:rsidR="00A740CC" w:rsidRPr="00800884" w:rsidRDefault="00A740CC" w:rsidP="00800884">
      <w:pPr>
        <w:pStyle w:val="Heading2"/>
      </w:pPr>
      <w:r w:rsidRPr="00800884">
        <w:t xml:space="preserve">Molecular epidemiology </w:t>
      </w:r>
    </w:p>
    <w:p w14:paraId="3A298603" w14:textId="1CA1430F" w:rsidR="00DC573F" w:rsidRPr="00E735DB" w:rsidRDefault="00DC573F" w:rsidP="00DC573F">
      <w:pPr>
        <w:rPr>
          <w:color w:val="000000" w:themeColor="text1"/>
        </w:rPr>
      </w:pPr>
      <w:r w:rsidRPr="00E735DB">
        <w:rPr>
          <w:color w:val="000000" w:themeColor="text1"/>
        </w:rP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sidR="002F2FC4">
        <w:rPr>
          <w:color w:val="000000" w:themeColor="text1"/>
          <w:vertAlign w:val="superscript"/>
        </w:rPr>
        <w:t>2</w:t>
      </w:r>
      <w:r w:rsidR="00301D34">
        <w:rPr>
          <w:color w:val="000000" w:themeColor="text1"/>
          <w:vertAlign w:val="superscript"/>
        </w:rPr>
        <w:t>8</w:t>
      </w:r>
      <w:r w:rsidR="002F2FC4">
        <w:rPr>
          <w:color w:val="000000" w:themeColor="text1"/>
          <w:vertAlign w:val="superscript"/>
        </w:rPr>
        <w:t>,2</w:t>
      </w:r>
      <w:r w:rsidR="00301D34">
        <w:rPr>
          <w:color w:val="000000" w:themeColor="text1"/>
          <w:vertAlign w:val="superscript"/>
        </w:rPr>
        <w:t>9</w:t>
      </w:r>
      <w:r w:rsidRPr="00E735DB">
        <w:rPr>
          <w:color w:val="000000" w:themeColor="text1"/>
        </w:rPr>
        <w:t xml:space="preserve"> Genomic clusters</w:t>
      </w:r>
      <w:r w:rsidR="00CC05C1" w:rsidRPr="00E735DB">
        <w:rPr>
          <w:color w:val="000000" w:themeColor="text1"/>
        </w:rPr>
        <w:t>—</w:t>
      </w:r>
      <w:r w:rsidRPr="00E735DB">
        <w:rPr>
          <w:color w:val="000000" w:themeColor="text1"/>
        </w:rPr>
        <w:t>closely related sequences reflecting local transmission chains</w:t>
      </w:r>
      <w:r w:rsidR="00CC05C1" w:rsidRPr="00E735DB">
        <w:rPr>
          <w:color w:val="000000" w:themeColor="text1"/>
        </w:rPr>
        <w:t>—</w:t>
      </w:r>
      <w:r w:rsidRPr="00E735DB">
        <w:rPr>
          <w:color w:val="000000" w:themeColor="text1"/>
        </w:rPr>
        <w:t>have also been identified in Australia.</w:t>
      </w:r>
      <w:r w:rsidR="00301D34">
        <w:rPr>
          <w:color w:val="000000" w:themeColor="text1"/>
          <w:vertAlign w:val="superscript"/>
        </w:rPr>
        <w:t>2</w:t>
      </w:r>
      <w:r w:rsidR="00FF0858">
        <w:rPr>
          <w:color w:val="000000" w:themeColor="text1"/>
          <w:vertAlign w:val="superscript"/>
        </w:rPr>
        <w:t>8</w:t>
      </w:r>
      <w:r w:rsidRPr="00E735DB">
        <w:rPr>
          <w:color w:val="000000" w:themeColor="text1"/>
        </w:rPr>
        <w:t xml:space="preserve"> Genomic epidemiology has successfully been used to link </w:t>
      </w:r>
      <w:r w:rsidR="00CC05C1" w:rsidRPr="00E735DB">
        <w:rPr>
          <w:color w:val="000000" w:themeColor="text1"/>
        </w:rPr>
        <w:t xml:space="preserve">to known genomic clusters </w:t>
      </w:r>
      <w:r w:rsidRPr="00E735DB">
        <w:rPr>
          <w:color w:val="000000" w:themeColor="text1"/>
        </w:rPr>
        <w:t>many cases that were epidemiologically classified as ‘locally acq</w:t>
      </w:r>
      <w:r w:rsidR="00FF0858">
        <w:rPr>
          <w:color w:val="000000" w:themeColor="text1"/>
        </w:rPr>
        <w:t>uired – contact not identified’</w:t>
      </w:r>
      <w:r w:rsidR="00F65CA1">
        <w:rPr>
          <w:color w:val="000000" w:themeColor="text1"/>
        </w:rPr>
        <w:t>.</w:t>
      </w:r>
      <w:r w:rsidR="002F2FC4">
        <w:rPr>
          <w:color w:val="000000" w:themeColor="text1"/>
          <w:vertAlign w:val="superscript"/>
        </w:rPr>
        <w:t>2</w:t>
      </w:r>
      <w:r w:rsidR="00301D34">
        <w:rPr>
          <w:color w:val="000000" w:themeColor="text1"/>
          <w:vertAlign w:val="superscript"/>
        </w:rPr>
        <w:t>8</w:t>
      </w:r>
      <w:r w:rsidRPr="00E735DB">
        <w:rPr>
          <w:color w:val="000000" w:themeColor="text1"/>
        </w:rPr>
        <w:t xml:space="preserve"> </w:t>
      </w:r>
    </w:p>
    <w:p w14:paraId="51663082" w14:textId="77777777" w:rsidR="00A740CC" w:rsidRPr="00800884" w:rsidRDefault="00A740CC" w:rsidP="00800884">
      <w:pPr>
        <w:pStyle w:val="Heading2"/>
      </w:pPr>
      <w:r w:rsidRPr="00800884">
        <w:t xml:space="preserve">Clinical features </w:t>
      </w:r>
    </w:p>
    <w:p w14:paraId="585FC271" w14:textId="0D4D6E25" w:rsidR="00A740CC" w:rsidRDefault="00A740CC" w:rsidP="00800884">
      <w:r>
        <w:t>COVID-19 presents as mild illness in the majority of cases</w:t>
      </w:r>
      <w:r w:rsidR="00CC05C1">
        <w:t>,</w:t>
      </w:r>
      <w:r>
        <w:t xml:space="preserve"> with cough and fever being the most commonly reported symptoms. Severe or fatal outcomes are more likely to occur in the elderly or those with comorbid conditions.</w:t>
      </w:r>
      <w:r w:rsidR="002F2FC4">
        <w:rPr>
          <w:vertAlign w:val="superscript"/>
        </w:rPr>
        <w:t>2</w:t>
      </w:r>
      <w:r w:rsidR="00301D34">
        <w:rPr>
          <w:vertAlign w:val="superscript"/>
        </w:rPr>
        <w:t>1</w:t>
      </w:r>
      <w:r w:rsidR="002F2FC4">
        <w:rPr>
          <w:vertAlign w:val="superscript"/>
        </w:rPr>
        <w:t>,</w:t>
      </w:r>
      <w:r w:rsidR="00301D34">
        <w:rPr>
          <w:vertAlign w:val="superscript"/>
        </w:rPr>
        <w:t>30</w:t>
      </w:r>
    </w:p>
    <w:p w14:paraId="6CB3535F" w14:textId="4079BEC3" w:rsidR="00A740CC" w:rsidRDefault="00A740CC" w:rsidP="00800884">
      <w:r>
        <w:t>Some COVID-19 patients show neurological signs such as headache, nausea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2F2FC4">
        <w:rPr>
          <w:vertAlign w:val="superscript"/>
        </w:rPr>
        <w:t>3</w:t>
      </w:r>
      <w:r w:rsidR="00301D34">
        <w:rPr>
          <w:vertAlign w:val="superscript"/>
        </w:rPr>
        <w:t>1</w:t>
      </w:r>
    </w:p>
    <w:p w14:paraId="36925A0D" w14:textId="704A5CA4" w:rsidR="00A740CC" w:rsidRDefault="00A740CC" w:rsidP="00800884">
      <w:r>
        <w:t>There is some evidence to suggest that impairment or loss of the sense of smell (hyposmia/anosmia) or taste (hypoguesia/aguesia) is associated with COVID-19.</w:t>
      </w:r>
      <w:r w:rsidR="002F2FC4">
        <w:rPr>
          <w:vertAlign w:val="superscript"/>
        </w:rPr>
        <w:t>3</w:t>
      </w:r>
      <w:r w:rsidR="00301D34">
        <w:rPr>
          <w:vertAlign w:val="superscript"/>
        </w:rPr>
        <w:t>2</w:t>
      </w:r>
      <w:r w:rsidR="002F2FC4">
        <w:rPr>
          <w:vertAlign w:val="superscript"/>
        </w:rPr>
        <w:t>,3</w:t>
      </w:r>
      <w:r w:rsidR="00301D34">
        <w:rPr>
          <w:vertAlign w:val="superscript"/>
        </w:rPr>
        <w:t>3</w:t>
      </w:r>
      <w:r>
        <w:t xml:space="preserve"> This is supported by research finding a biological mechanism for the SARS-CoV-2 virus to cause olfactory dysfunction.</w:t>
      </w:r>
      <w:r w:rsidR="002F2FC4">
        <w:rPr>
          <w:vertAlign w:val="superscript"/>
        </w:rPr>
        <w:t>3</w:t>
      </w:r>
      <w:r w:rsidR="00301D34">
        <w:rPr>
          <w:vertAlign w:val="superscript"/>
        </w:rPr>
        <w:t>4</w:t>
      </w:r>
      <w:r w:rsidR="002F2FC4">
        <w:rPr>
          <w:vertAlign w:val="superscript"/>
        </w:rPr>
        <w:t>,3</w:t>
      </w:r>
      <w:r w:rsidR="00301D34">
        <w:rPr>
          <w:vertAlign w:val="superscript"/>
        </w:rPr>
        <w:t>5</w:t>
      </w:r>
    </w:p>
    <w:p w14:paraId="279565FD" w14:textId="58ADAC57" w:rsidR="00A740CC" w:rsidRDefault="00A740CC" w:rsidP="00800884">
      <w:r>
        <w:t>Examination of cases and their close contacts in China found a positive association between age and time from symptom onset to recovery. The study also found an association between clinical severity and time from symptom onset to time to recovery. Compared to people with mild disease, those with moderate and severe disease were associated with a 19% and 58% increase in time to recovery, respectively.</w:t>
      </w:r>
      <w:r w:rsidR="002F2FC4">
        <w:rPr>
          <w:vertAlign w:val="superscript"/>
        </w:rPr>
        <w:t>3</w:t>
      </w:r>
      <w:r w:rsidR="00301D34">
        <w:rPr>
          <w:vertAlign w:val="superscript"/>
        </w:rPr>
        <w:t>6</w:t>
      </w:r>
    </w:p>
    <w:p w14:paraId="29765668" w14:textId="0619A93B" w:rsidR="00A740CC" w:rsidRDefault="00A740CC" w:rsidP="00800884">
      <w:r>
        <w:lastRenderedPageBreak/>
        <w:t>Several studies have identified cardiovascular implications resulting from COVID-19.</w:t>
      </w:r>
      <w:r w:rsidR="002F2FC4">
        <w:rPr>
          <w:vertAlign w:val="superscript"/>
        </w:rPr>
        <w:t>3</w:t>
      </w:r>
      <w:r w:rsidR="00301D34">
        <w:rPr>
          <w:vertAlign w:val="superscript"/>
        </w:rPr>
        <w:t>7</w:t>
      </w:r>
      <w:r w:rsidR="002F2FC4">
        <w:rPr>
          <w:vertAlign w:val="superscript"/>
        </w:rPr>
        <w:t>–3</w:t>
      </w:r>
      <w:r w:rsidR="00301D34">
        <w:rPr>
          <w:vertAlign w:val="superscript"/>
        </w:rPr>
        <w:t>9</w:t>
      </w:r>
      <w:r>
        <w:t xml:space="preserve"> Vascular inflammation has been observed in a number of cases and may be a potential mechanism for myocardial injury which can result in cardiac dysfunction and arrhythmias.</w:t>
      </w:r>
    </w:p>
    <w:p w14:paraId="298950AC" w14:textId="10A26281" w:rsidR="005745B2" w:rsidRDefault="00A740CC" w:rsidP="00800884">
      <w:r>
        <w:t>Recently published literature outside of Wuhan found that approximately 10% of all cases developed gastrointestinal symptoms associated with COVID-19 infection either on admission or during hospitalisation.</w:t>
      </w:r>
      <w:r w:rsidR="00301D34">
        <w:rPr>
          <w:vertAlign w:val="superscript"/>
        </w:rPr>
        <w:t>40</w:t>
      </w:r>
      <w:r w:rsidR="002F2FC4">
        <w:rPr>
          <w:vertAlign w:val="superscript"/>
        </w:rPr>
        <w:t>,4</w:t>
      </w:r>
      <w:r w:rsidR="00301D34">
        <w:rPr>
          <w:vertAlign w:val="superscript"/>
        </w:rPr>
        <w:t>1</w:t>
      </w:r>
      <w:r>
        <w:t xml:space="preserve"> This number is higher than the 3% previously reported in Wuhan.</w:t>
      </w:r>
    </w:p>
    <w:p w14:paraId="6B286191" w14:textId="7B5DEBB7" w:rsidR="005745B2" w:rsidRDefault="008B1C4B" w:rsidP="00800884">
      <w:pPr>
        <w:pStyle w:val="Heading2"/>
      </w:pPr>
      <w:r>
        <w:t xml:space="preserve"> </w:t>
      </w:r>
    </w:p>
    <w:p w14:paraId="543AEE25" w14:textId="6EF0CA19" w:rsidR="00F82B07" w:rsidRPr="00B704BB" w:rsidRDefault="00F82B07" w:rsidP="00B704BB">
      <w:r w:rsidRPr="00B704BB">
        <w:t>There have been some reported instances of children with COVID-19 presenting with a rare clinical presentation resembling Kawasaki disease</w:t>
      </w:r>
      <w:r w:rsidR="00301D34" w:rsidRPr="00B704BB">
        <w:t>.</w:t>
      </w:r>
      <w:r w:rsidR="00604D8E" w:rsidRPr="00B704BB">
        <w:rPr>
          <w:vertAlign w:val="superscript"/>
        </w:rPr>
        <w:t>4</w:t>
      </w:r>
      <w:r w:rsidR="00301D34" w:rsidRPr="00B704BB">
        <w:rPr>
          <w:vertAlign w:val="superscript"/>
        </w:rPr>
        <w:t>2</w:t>
      </w:r>
      <w:r w:rsidR="00604D8E" w:rsidRPr="00B704BB">
        <w:rPr>
          <w:vertAlign w:val="superscript"/>
        </w:rPr>
        <w:t>,4</w:t>
      </w:r>
      <w:r w:rsidR="00301D34" w:rsidRPr="00B704BB">
        <w:rPr>
          <w:vertAlign w:val="superscript"/>
        </w:rPr>
        <w:t>3</w:t>
      </w:r>
      <w:r w:rsidRPr="00B704BB">
        <w:t xml:space="preserve"> Kawasaki </w:t>
      </w:r>
      <w:r w:rsidR="00F26388">
        <w:t>d</w:t>
      </w:r>
      <w:r w:rsidRPr="00B704BB">
        <w:t xml:space="preserve">isease is a rare acute febrile illness with inflammation of small- and medium-sized blood vessels throughout the body, in particular, the coronary arteries (blood vessels around the heart). It predominantly affects children under 5 years and the cause is unknown. In Australia, </w:t>
      </w:r>
      <w:r w:rsidRPr="00B704BB">
        <w:rPr>
          <w:rFonts w:ascii="Calibri" w:hAnsi="Calibri" w:cs="Calibri"/>
          <w:iCs/>
          <w:lang w:val="en"/>
        </w:rPr>
        <w:t xml:space="preserve">there are usually around 200 to 300 cases diagnosed per year of Kawasaki </w:t>
      </w:r>
      <w:r w:rsidR="00F26388">
        <w:rPr>
          <w:rFonts w:ascii="Calibri" w:hAnsi="Calibri" w:cs="Calibri"/>
          <w:iCs/>
          <w:lang w:val="en"/>
        </w:rPr>
        <w:t>d</w:t>
      </w:r>
      <w:r w:rsidRPr="00B704BB">
        <w:rPr>
          <w:rFonts w:ascii="Calibri" w:hAnsi="Calibri" w:cs="Calibri"/>
          <w:iCs/>
          <w:lang w:val="en"/>
        </w:rPr>
        <w:t>isease.</w:t>
      </w:r>
      <w:r w:rsidR="00500330" w:rsidRPr="00B704BB">
        <w:rPr>
          <w:rFonts w:ascii="Calibri" w:hAnsi="Calibri" w:cs="Calibri"/>
          <w:iCs/>
          <w:vertAlign w:val="superscript"/>
          <w:lang w:val="en"/>
        </w:rPr>
        <w:t>44</w:t>
      </w:r>
      <w:r w:rsidRPr="00B704BB">
        <w:rPr>
          <w:rFonts w:ascii="Arial" w:hAnsi="Arial" w:cs="Arial"/>
          <w:lang w:val="en"/>
        </w:rPr>
        <w:t xml:space="preserve"> </w:t>
      </w:r>
      <w:r w:rsidRPr="00B704BB">
        <w:t>Evidence of the association between COVID-19 and the development of Kawasaki disease is currently inconclusive and further investigation is needed due to variability in clinical presentations in reported paediatric cases.</w:t>
      </w:r>
    </w:p>
    <w:p w14:paraId="3DE271E8" w14:textId="55745687" w:rsidR="00A740CC" w:rsidRPr="00800884" w:rsidRDefault="00A740CC" w:rsidP="00800884">
      <w:pPr>
        <w:pStyle w:val="Heading2"/>
      </w:pPr>
      <w:r w:rsidRPr="00800884">
        <w:t xml:space="preserve">Treatment </w:t>
      </w:r>
    </w:p>
    <w:p w14:paraId="3338A13B" w14:textId="535A4670" w:rsidR="00A740CC" w:rsidRPr="0091331D" w:rsidRDefault="00A740CC" w:rsidP="00800884">
      <w:r>
        <w:t>Current clinical management of COVID-19 cases focuses on early recognition, isolation, appropriate infection control measures and provision of supportive care.</w:t>
      </w:r>
      <w:r w:rsidR="002F2FC4">
        <w:rPr>
          <w:vertAlign w:val="superscript"/>
        </w:rPr>
        <w:t>4</w:t>
      </w:r>
      <w:r w:rsidR="00500330">
        <w:rPr>
          <w:vertAlign w:val="superscript"/>
        </w:rPr>
        <w:t>5</w:t>
      </w:r>
      <w:r>
        <w:t xml:space="preserve"> Whilst there is no specific antiviral treatment currently recommended for patients with suspected or confirmed SARS-CoV-2 infection, multiple clinical trials are underway to evaluate a </w:t>
      </w:r>
      <w:r w:rsidRPr="00D34F4F">
        <w:t>number of therapeutic agents, including remdesivir, lopinavir/ritonavir, and chloroquine or hydroxychloroquine.</w:t>
      </w:r>
      <w:r w:rsidR="002F2FC4">
        <w:rPr>
          <w:vertAlign w:val="superscript"/>
        </w:rPr>
        <w:t>4</w:t>
      </w:r>
      <w:r w:rsidR="00500330">
        <w:rPr>
          <w:vertAlign w:val="superscript"/>
        </w:rPr>
        <w:t>6</w:t>
      </w:r>
      <w:r w:rsidR="002F2FC4">
        <w:rPr>
          <w:vertAlign w:val="superscript"/>
        </w:rPr>
        <w:t>,4</w:t>
      </w:r>
      <w:r w:rsidR="00500330">
        <w:rPr>
          <w:vertAlign w:val="superscript"/>
        </w:rPr>
        <w:t>7</w:t>
      </w:r>
      <w:r w:rsidRPr="00D34F4F">
        <w:rPr>
          <w:vertAlign w:val="superscript"/>
        </w:rPr>
        <w:t xml:space="preserve"> </w:t>
      </w:r>
      <w:r w:rsidRPr="00D34F4F">
        <w:t>Several COVID-19 vaccines</w:t>
      </w:r>
      <w:r w:rsidR="001538C7" w:rsidRPr="00D34F4F">
        <w:t xml:space="preserve"> have commenced clinical trials</w:t>
      </w:r>
      <w:r w:rsidRPr="00D34F4F">
        <w:t>.</w:t>
      </w:r>
    </w:p>
    <w:p w14:paraId="672C7070" w14:textId="77777777" w:rsidR="00E4281B" w:rsidRPr="00800884" w:rsidRDefault="00E4281B" w:rsidP="00800884">
      <w:pPr>
        <w:pStyle w:val="Heading1"/>
      </w:pPr>
      <w:r w:rsidRPr="00800884">
        <w:t>Data considerations</w:t>
      </w:r>
    </w:p>
    <w:p w14:paraId="2EE26F4D" w14:textId="79A3BDC4" w:rsidR="00E4281B" w:rsidRDefault="00E4281B" w:rsidP="00800884">
      <w:r w:rsidRPr="00B947D1">
        <w:t>Data we</w:t>
      </w:r>
      <w:r>
        <w:t xml:space="preserve">re extracted from the NNDSS on </w:t>
      </w:r>
      <w:r w:rsidR="00D558F3">
        <w:t xml:space="preserve">12 </w:t>
      </w:r>
      <w:r w:rsidR="002C5D56">
        <w:t>May</w:t>
      </w:r>
      <w:r w:rsidRPr="00B947D1">
        <w:t xml:space="preserve"> 2020, by diagnosis date. Due to the dynamic nature of the NNDSS, data in this extract are subject to retrospective revision and may vary from data reported in published NNDSS reports and reports of notification data by states and territories. </w:t>
      </w:r>
    </w:p>
    <w:p w14:paraId="3FD4A50E" w14:textId="77777777" w:rsidR="00E4281B" w:rsidRPr="00800884" w:rsidRDefault="00E4281B" w:rsidP="00800884">
      <w:pPr>
        <w:pStyle w:val="Heading1"/>
      </w:pPr>
      <w:r w:rsidRPr="00800884">
        <w:t xml:space="preserve">Acknowledgements </w:t>
      </w:r>
    </w:p>
    <w:p w14:paraId="5BCCD9E2" w14:textId="77777777" w:rsidR="00E4281B" w:rsidRPr="007D4113" w:rsidRDefault="00E4281B" w:rsidP="00800884">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p>
    <w:p w14:paraId="5CCF9E19" w14:textId="77777777" w:rsidR="00E4281B" w:rsidRPr="00800884" w:rsidRDefault="00E4281B" w:rsidP="00800884">
      <w:pPr>
        <w:pStyle w:val="Heading1"/>
      </w:pPr>
      <w:r w:rsidRPr="00800884">
        <w:t xml:space="preserve">Author details </w:t>
      </w:r>
    </w:p>
    <w:p w14:paraId="23F10D9C" w14:textId="77777777" w:rsidR="00E4281B" w:rsidRPr="00B704BB" w:rsidRDefault="00E4281B" w:rsidP="00B704BB">
      <w:pPr>
        <w:pStyle w:val="Heading2"/>
      </w:pPr>
      <w:r w:rsidRPr="00B704BB">
        <w:t xml:space="preserve">Corresponding author </w:t>
      </w:r>
    </w:p>
    <w:p w14:paraId="363E02BE" w14:textId="2CBF2096" w:rsidR="00E4281B" w:rsidRPr="00B947D1" w:rsidRDefault="00E4281B" w:rsidP="00B704BB">
      <w:r>
        <w:t>COVID-19 National In</w:t>
      </w:r>
      <w:r w:rsidR="00BC6C66">
        <w:t>cident Room Surveillance Team,</w:t>
      </w:r>
      <w:r>
        <w:t xml:space="preserve"> Australian Government Department of Health, GPO Box 9484, MDP 14, Canberra, ACT 2601. </w:t>
      </w:r>
      <w:r w:rsidR="009A6DB7">
        <w:br/>
      </w:r>
      <w:r>
        <w:t xml:space="preserve">Email: epi.coronavirus@health.gov.au </w:t>
      </w:r>
    </w:p>
    <w:p w14:paraId="03FBFE08" w14:textId="77777777" w:rsidR="00E4281B" w:rsidRDefault="00E4281B">
      <w:pPr>
        <w:spacing w:before="200"/>
        <w:rPr>
          <w:rFonts w:asciiTheme="majorHAnsi" w:eastAsiaTheme="majorEastAsia" w:hAnsiTheme="majorHAnsi" w:cstheme="majorBidi"/>
          <w:b/>
          <w:bCs/>
          <w:sz w:val="26"/>
          <w:szCs w:val="26"/>
        </w:rPr>
      </w:pPr>
      <w:r>
        <w:br w:type="page"/>
      </w:r>
    </w:p>
    <w:p w14:paraId="754D2590" w14:textId="77777777" w:rsidR="00E4281B" w:rsidRPr="00800884" w:rsidRDefault="00E4281B" w:rsidP="00800884">
      <w:pPr>
        <w:pStyle w:val="Heading1"/>
      </w:pPr>
      <w:r w:rsidRPr="00800884">
        <w:lastRenderedPageBreak/>
        <w:t>References</w:t>
      </w:r>
    </w:p>
    <w:p w14:paraId="1A01D85E" w14:textId="57933485"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Zimmermann P, Curtis N. Coronavirus infections in children including COVID-19: an overview of the epidemiology, clinical features, diagnosis, treatment and prevention options in children. </w:t>
      </w:r>
      <w:r w:rsidRPr="00F855A9">
        <w:rPr>
          <w:rFonts w:eastAsia="SimSun"/>
          <w:i/>
          <w:noProof/>
          <w:lang w:val="en-US"/>
        </w:rPr>
        <w:t>Pediatr Infect Dis J</w:t>
      </w:r>
      <w:r w:rsidRPr="00F855A9">
        <w:rPr>
          <w:rFonts w:eastAsia="SimSun"/>
          <w:noProof/>
          <w:lang w:val="en-US"/>
        </w:rPr>
        <w:t>. 2020;39(5):355–368. doi: https://doi.org/10.1097/INF.0000000000002660.</w:t>
      </w:r>
    </w:p>
    <w:p w14:paraId="53D65E05" w14:textId="1D607C0E"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European Centre for Disease Prevention and Control (ECDC). Rapid risk assessment: Coronavirus disease 2019 (COVID-19) pandemic: increased transmission in the EU/EEA and the UK – ninth update. [Internet.] Solna: ECDC; 23 April 2020. Available from: https://www.ecdc.europa.eu/en/publications-data/rapid-risk-assessment-coronavirus-disease-2019-covid-19-pandemic-ninth-update.</w:t>
      </w:r>
    </w:p>
    <w:p w14:paraId="61E1D7C8" w14:textId="0602AA96"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Bureau of Statistics. 4364.0.55.001 - National Health Survey: First Results, 2017-18. [Internet.] Canberra: Australian Government, Australian Bureau of Statistics; 2018. [Accessed on 12 May 2020.] Available from: https://www.abs.gov.au/AUSSTATS/abs@.nsf/DetailsPage/4364.0.55.0012017-18.</w:t>
      </w:r>
    </w:p>
    <w:p w14:paraId="354FDB5D" w14:textId="607877F5" w:rsidR="00301D34" w:rsidRPr="00F855A9" w:rsidRDefault="00301D34" w:rsidP="00F855A9">
      <w:pPr>
        <w:pStyle w:val="ListParagraph"/>
        <w:numPr>
          <w:ilvl w:val="0"/>
          <w:numId w:val="22"/>
        </w:numPr>
        <w:rPr>
          <w:rFonts w:eastAsia="SimSun"/>
          <w:noProof/>
          <w:lang w:val="en-US"/>
        </w:rPr>
      </w:pPr>
      <w:r w:rsidRPr="00F855A9">
        <w:rPr>
          <w:rFonts w:eastAsia="SimSun"/>
          <w:noProof/>
          <w:lang w:val="en-US"/>
        </w:rPr>
        <w:t>Centers for Disease Control and Prevention (CDC). COVIDView: a weekly surveillance summary of U.S. COVID-19 activity. Key updates for week 18, ending May 2, 2020. [Internet.] Atlanta: United States Government Department of Health and Human Services, CDC; 2020. [Accessed on 1</w:t>
      </w:r>
      <w:r w:rsidR="00281492" w:rsidRPr="00F855A9">
        <w:rPr>
          <w:rFonts w:eastAsia="SimSun"/>
          <w:noProof/>
          <w:lang w:val="en-US"/>
        </w:rPr>
        <w:t>4</w:t>
      </w:r>
      <w:r w:rsidRPr="00F855A9">
        <w:rPr>
          <w:rFonts w:eastAsia="SimSun"/>
          <w:noProof/>
          <w:lang w:val="en-US"/>
        </w:rPr>
        <w:t xml:space="preserve"> May 2020.] Available from: https://www.cdc.gov/coronavirus/2019-ncov/covid-data/pdf/covidview-05-08-2020.pdf.</w:t>
      </w:r>
    </w:p>
    <w:p w14:paraId="301FF810" w14:textId="5B70D09E"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Government of New South Wales. NSW to ease COVID-19 restrictions from Friday 15 May. [Internet.] Sydney: Government of New South Wales; 2020. [Accessed on 12 May 2020.] Available from: https://www.nsw.gov.au/news/nsw-to-ease-covid-19-restrictions-from-friday-15-may.</w:t>
      </w:r>
    </w:p>
    <w:p w14:paraId="557C4093" w14:textId="3D8EB7CD"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Queensland Department of Health. Home Confinement, Movement and Gathering Direction (No. 4): Understanding this direction. [Internet.] Brisbane: Queensland Governent, Department of Health; 2020. [Accessed on 12 May 2020.] Available from: https://www.health.qld.gov.au/system-governance/legislation/cho-public-health-directions-under-expanded-public-health-act-powers/home-confinement-movement-gathering-direction/help.</w:t>
      </w:r>
    </w:p>
    <w:p w14:paraId="1AC61B2D" w14:textId="43746A9D"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Department of the Premier and Cabinet. COVID-19 coronavirus: WA Roadmap. [Internet.] Perth: Government of Western Australia, Department of the Premier and Cabinet; 2020. [Accessed on 12 May 2020.] Available from: https://www.wa.gov.au/organisation/department-of-the-premier-and-cabinet/covid-19-coronavirus-wa-roadmap.</w:t>
      </w:r>
    </w:p>
    <w:p w14:paraId="3D0D43AC" w14:textId="07ABAABD"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Department of Premier and Cabinet. Tasmania’s Roadmap to Recovery. [Internet.] Hobart: Tasmanian Government, Department of Premier and Cabinet; 2020. [Accessed on 12 May 2020.] Available from: http://www.premier.tas.gov.au/releases/tasmanias_roadmap_to_recovery.</w:t>
      </w:r>
    </w:p>
    <w:p w14:paraId="40E9EB69" w14:textId="73EFABA6"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Capital Territory Government. Some easing of COVID-19 restrictions begins. [Internet.] Canberra: Australian Capital Territory Government; 2020. [Accessed on 12 May 2020.] Available from: https://www.act.gov.au/our-canberra/latest-news/2020/may/some-easing-of-covid-19-restrictions-begins.</w:t>
      </w:r>
    </w:p>
    <w:p w14:paraId="68F8F163" w14:textId="0806612B"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Northern Territory Government. Roadmap to the new normal. [Internet.] Darwin: Northern Territory Government; 2020. [Accessed on 12 May 2020.] Available from: https://coronavirus.nt.gov.au/steps-to-restart/roadmap-new-normal.</w:t>
      </w:r>
    </w:p>
    <w:p w14:paraId="31513F6D" w14:textId="28AB5841"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Department of the Prime Minister and Cabinet. Update on coronavirus measures. [Internet.] Canberra: Australian Government, Department of the Prime Minister and Cabinet; 2020. [Accessed on 12 May 2020.] Available from: https://www.pm.gov.au/media/update-coronavirus-measures-08may20.</w:t>
      </w:r>
    </w:p>
    <w:p w14:paraId="14FB17FC" w14:textId="3F4A7F9B" w:rsidR="00723088" w:rsidRPr="00F855A9" w:rsidRDefault="00723088" w:rsidP="00F855A9">
      <w:pPr>
        <w:pStyle w:val="ListParagraph"/>
        <w:numPr>
          <w:ilvl w:val="0"/>
          <w:numId w:val="22"/>
        </w:numPr>
        <w:rPr>
          <w:rFonts w:eastAsia="SimSun"/>
          <w:noProof/>
          <w:lang w:val="en-US"/>
        </w:rPr>
      </w:pPr>
      <w:r w:rsidRPr="00F855A9">
        <w:rPr>
          <w:rFonts w:eastAsia="Times New Roman" w:cs="Calibri"/>
        </w:rPr>
        <w:t>Australian Government Department of Health. Australian Health Protection Principal Committee (AHPPC) statement on risk management for re-opening boarding schools and school-based residential colleges. [Internet.] Canberra: Australian Government Department of Health; 2020. [Accessed 5 May 2020.] Available from: https://www.health.gov.au/news/australian-health-protection-principal-committee-ahppc-statement-on-risk-management-for-re-opening-boarding-schools-and-school-based-residential-colleges.</w:t>
      </w:r>
    </w:p>
    <w:p w14:paraId="7FD3DAC9" w14:textId="6A8C4E96"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lastRenderedPageBreak/>
        <w:t>Australian Government Department of Health. COVIDSafe: New app to slow the spread of coronavirus. [Internet.] Canberra: Australian Government Department of Health; 2020. [Accessed 26 April 2020.] Available from: https://www.health.gov.au/news/covidsafe-new-app-to-slow-the-spread-of-coronavirus.</w:t>
      </w:r>
    </w:p>
    <w:p w14:paraId="7D7D52B8" w14:textId="779EA8D4"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Health. Australian Health Protection Principal Committee (AHPPC) coronavirus (COVID-19) statements on 24 April 2020. [Internet.] Canberra: Australian Government Department of Health; 2020. [Accessed 28 April 2020.] Available from: https://www.health.gov.au/news/australian-health-protection-principal-committee-ahppc-coronavirus-covid-19-statements-on-24-april-2020.</w:t>
      </w:r>
    </w:p>
    <w:p w14:paraId="4BDB46DE" w14:textId="6799CC80"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Health. Australian Health Protection Principal Committee (AHPPC) advice on residential aged care facilities. [Internet.] Canberra: Australian Government Department of Health; 2020. [Accessed 28 April 2020.] Available from: https://www.health.gov.au/news/australian-health-protection-principal-committee-ahppc-advice-on-residential-aged-care-facilities.</w:t>
      </w:r>
    </w:p>
    <w:p w14:paraId="363A8D63" w14:textId="0BD7E267"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Health. Government eases elective surgery restrictions. [Internet.] Canberra: Australian Government Department of Health; 2020. [Accessed 28 April 2020.] Available from: https://www.health.gov.au/news/government-eases-elective-surgery-restrictions.</w:t>
      </w:r>
    </w:p>
    <w:p w14:paraId="7F4EE787" w14:textId="13C7361F"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Health. Australian Health Protection Principal Committee (AHPPC) advice on reducing the potential risk of COVID-19 transmission in schools. [Internet.] Canberra: Australian Government Department of Health; 2020. [Accessed 20 April 2020.] Available from: https://www.health.gov.au/news/australian-health-protection-principal-committee-ahppc-advice-on-reducing-the-potential-risk-of-covid-19-transmission-in-schools.</w:t>
      </w:r>
    </w:p>
    <w:p w14:paraId="11151AB6" w14:textId="0499E561"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71AE648C" w14:textId="514448A9"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4A54440C" w14:textId="61BF0A08" w:rsidR="00723088" w:rsidRPr="00F855A9" w:rsidRDefault="00723088" w:rsidP="00F855A9">
      <w:pPr>
        <w:pStyle w:val="ListParagraph"/>
        <w:numPr>
          <w:ilvl w:val="0"/>
          <w:numId w:val="22"/>
        </w:numPr>
        <w:rPr>
          <w:rFonts w:eastAsia="SimSun"/>
          <w:noProof/>
          <w:lang w:val="en-US"/>
        </w:rPr>
      </w:pPr>
      <w:r w:rsidRPr="00F855A9">
        <w:rPr>
          <w:rFonts w:eastAsia="SimSun" w:cs="Calibri"/>
          <w:noProof/>
          <w:lang w:val="en-US"/>
        </w:rPr>
        <w:t>World Health Organization (WHO). Coronavirus disease 2019 (COVID-19) situation report – 111. [Internet.] Geneva: WHO; 2020. [Accessed 12 May 2020.] Available from: https://www.who.int/docs/default-source/coronaviruse/situation-reports/20200510covid-19-sitrep-111.pdf.</w:t>
      </w:r>
    </w:p>
    <w:p w14:paraId="1DC35D7F" w14:textId="549C0879"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6AE6A282" w14:textId="309F808A"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Zhou F, Yu T, Du R, Fan G, Liu Y, Liu Z et al. Clinical course and risk factors for mortality of adult inpatients with COVID-19 in Wuhan, China: a retrospective cohort study. </w:t>
      </w:r>
      <w:r w:rsidRPr="00F855A9">
        <w:rPr>
          <w:rFonts w:eastAsia="SimSun"/>
          <w:i/>
          <w:noProof/>
          <w:lang w:val="en-US"/>
        </w:rPr>
        <w:t>Lancet.</w:t>
      </w:r>
      <w:r w:rsidRPr="00F855A9">
        <w:rPr>
          <w:rFonts w:eastAsia="SimSun"/>
          <w:noProof/>
          <w:lang w:val="en-US"/>
        </w:rPr>
        <w:t xml:space="preserve"> 2020;395:1054–62.</w:t>
      </w:r>
    </w:p>
    <w:p w14:paraId="2CF5391C" w14:textId="329E5DB9"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Wölfel R, Corman VM, Guggemos W, Seilmaier M, Zange S, Müller MA et al. Virological assessment of hospitalized patients with COVID-2019. </w:t>
      </w:r>
      <w:r w:rsidRPr="00F855A9">
        <w:rPr>
          <w:rFonts w:eastAsia="SimSun"/>
          <w:i/>
          <w:noProof/>
          <w:lang w:val="en-US"/>
        </w:rPr>
        <w:t>Nature</w:t>
      </w:r>
      <w:r w:rsidRPr="00F855A9">
        <w:rPr>
          <w:rFonts w:eastAsia="SimSun"/>
          <w:noProof/>
          <w:lang w:val="en-US"/>
        </w:rPr>
        <w:t>. 2020. doi: https://doi.org/10.1038/s41586-020-2196-x.</w:t>
      </w:r>
    </w:p>
    <w:p w14:paraId="569C9F98" w14:textId="79BAF30A"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Zhu Y, Bloxham CJ, Hulme KD, Sinclair JE, Tong ZW, Steele LE et al. Children are unlikely to have been the primary source of household SARS-CoV-2 infections. </w:t>
      </w:r>
      <w:r w:rsidRPr="00F855A9">
        <w:rPr>
          <w:rFonts w:eastAsia="SimSun"/>
          <w:i/>
          <w:noProof/>
          <w:lang w:val="en-US"/>
        </w:rPr>
        <w:t>medRxiv</w:t>
      </w:r>
      <w:r w:rsidRPr="00F855A9">
        <w:rPr>
          <w:rFonts w:eastAsia="SimSun"/>
          <w:noProof/>
          <w:lang w:val="en-US"/>
        </w:rPr>
        <w:t>. 2020. doi: https://doi.org/10.1101/2020.03.26.20044826.</w:t>
      </w:r>
    </w:p>
    <w:p w14:paraId="51A35B71" w14:textId="5BC57EE0"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Gudbjartsson DF, Helgason A, Jonsson H, Magnusson OT, Melsted P, Norddahl GL et al. Spread of SARS-CoV-2 in the Icelandic population. </w:t>
      </w:r>
      <w:r w:rsidRPr="00F855A9">
        <w:rPr>
          <w:rFonts w:eastAsia="SimSun"/>
          <w:i/>
          <w:noProof/>
          <w:lang w:val="en-US"/>
        </w:rPr>
        <w:t>N Engl J Med</w:t>
      </w:r>
      <w:r w:rsidRPr="00F855A9">
        <w:rPr>
          <w:rFonts w:eastAsia="SimSun"/>
          <w:noProof/>
          <w:lang w:val="en-US"/>
        </w:rPr>
        <w:t>. 2020. doi: https://doi.org/10.1056/NEJMoa2006100.</w:t>
      </w:r>
    </w:p>
    <w:p w14:paraId="02F7D3FF" w14:textId="317FB47E"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WHO. Coronavirus disease 2019 (COVID-19) situation report – 29. [Internet.] Geneva: WHO; 2020. [Accessed 22 Feb 2020.] Available from: https://www.who.int/docs/default-source/coronaviruse/situation-reports/20200218-sitrep-29-covid-19.pdf.</w:t>
      </w:r>
    </w:p>
    <w:p w14:paraId="788C9E39" w14:textId="1519578D"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lastRenderedPageBreak/>
        <w:t xml:space="preserve">Pung R, Chiew CJ, Young BE, Chin S, Chen M, Clapham HE. Investigation of three clusters of COVID-19 in Singapore: implications for surveillance and response measures. </w:t>
      </w:r>
      <w:r w:rsidRPr="00F855A9">
        <w:rPr>
          <w:rFonts w:eastAsia="SimSun"/>
          <w:i/>
          <w:noProof/>
          <w:lang w:val="en-US"/>
        </w:rPr>
        <w:t>Lancet</w:t>
      </w:r>
      <w:r w:rsidRPr="00F855A9">
        <w:rPr>
          <w:rFonts w:eastAsia="SimSun"/>
          <w:noProof/>
          <w:lang w:val="en-US"/>
        </w:rPr>
        <w:t>. 2020;395(10229):1039–46.</w:t>
      </w:r>
    </w:p>
    <w:p w14:paraId="459EE094" w14:textId="4A5D4B35" w:rsidR="00723088" w:rsidRPr="00F855A9" w:rsidRDefault="00723088" w:rsidP="00F855A9">
      <w:pPr>
        <w:pStyle w:val="ListParagraph"/>
        <w:numPr>
          <w:ilvl w:val="0"/>
          <w:numId w:val="22"/>
        </w:numPr>
        <w:rPr>
          <w:rFonts w:eastAsia="Times New Roman" w:cs="Calibri"/>
        </w:rPr>
      </w:pPr>
      <w:r w:rsidRPr="00F855A9">
        <w:rPr>
          <w:rFonts w:eastAsia="Times New Roman" w:cs="Calibri"/>
        </w:rPr>
        <w:t xml:space="preserve">Rockett RJ, Arnott A, Lam C, Sadsad R, Timms V, Gray KA et al. Revealing COVID-19 transmission by SARS-CoV-2 genome sequencing and agent based modelling. </w:t>
      </w:r>
      <w:r w:rsidRPr="00F855A9">
        <w:rPr>
          <w:rFonts w:eastAsia="Times New Roman" w:cs="Calibri"/>
          <w:i/>
        </w:rPr>
        <w:t>bioRxiv</w:t>
      </w:r>
      <w:r w:rsidRPr="00F855A9">
        <w:rPr>
          <w:rFonts w:eastAsia="Times New Roman" w:cs="Calibri"/>
        </w:rPr>
        <w:t>. doi: https://doi.org/10.1101/2020.04.19.048751.</w:t>
      </w:r>
    </w:p>
    <w:p w14:paraId="7B1A5F82" w14:textId="7FF12A7D" w:rsidR="00723088" w:rsidRPr="00F855A9" w:rsidRDefault="00723088" w:rsidP="00F855A9">
      <w:pPr>
        <w:pStyle w:val="ListParagraph"/>
        <w:numPr>
          <w:ilvl w:val="0"/>
          <w:numId w:val="22"/>
        </w:numPr>
        <w:rPr>
          <w:rFonts w:eastAsia="SimSun"/>
          <w:noProof/>
          <w:lang w:val="en-US"/>
        </w:rPr>
      </w:pPr>
      <w:r w:rsidRPr="00F855A9">
        <w:rPr>
          <w:rFonts w:eastAsia="Times New Roman" w:cs="Calibri"/>
        </w:rPr>
        <w:t>Nextstrain team. Genomic epidemiology of novel coronavirus – Oceania-focused subsampling. [Internet.]</w:t>
      </w:r>
      <w:r w:rsidR="00E742A0" w:rsidRPr="00F855A9">
        <w:rPr>
          <w:rFonts w:eastAsia="Times New Roman" w:cs="Calibri"/>
        </w:rPr>
        <w:t xml:space="preserve"> </w:t>
      </w:r>
      <w:r w:rsidRPr="00F855A9">
        <w:rPr>
          <w:rFonts w:eastAsia="Times New Roman" w:cs="Calibri"/>
        </w:rPr>
        <w:t>[Accessed on 5 May 2020.] Available online: https://nextstrain.org/ncov/oceania?c=division&amp;f_country=Australia&amp;l=radial.</w:t>
      </w:r>
    </w:p>
    <w:p w14:paraId="3DCF04F3" w14:textId="4EB9037A"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Sun P, Qiu S, Liu Z, Ren J, Xi JJ. Clinical characteristics of 50466 patients with 2019-nCoV infection. </w:t>
      </w:r>
      <w:r w:rsidRPr="00F855A9">
        <w:rPr>
          <w:rFonts w:eastAsia="SimSun"/>
          <w:i/>
          <w:noProof/>
          <w:lang w:val="en-US"/>
        </w:rPr>
        <w:t>medRxiv</w:t>
      </w:r>
      <w:r w:rsidRPr="00F855A9">
        <w:rPr>
          <w:rFonts w:eastAsia="SimSun"/>
          <w:noProof/>
          <w:lang w:val="en-US"/>
        </w:rPr>
        <w:t>. 2020. doi: https://doi.org/10.1101/2020.02.18.20024539.</w:t>
      </w:r>
    </w:p>
    <w:p w14:paraId="49FDA888" w14:textId="20BCF0CE"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Li B, Bai W, Hashikawa T. The neuroinvasive potential of SARS-CoV-2 may be at least partially responsible for the respiratory failure of COVID-19 patients. </w:t>
      </w:r>
      <w:r w:rsidRPr="00F855A9">
        <w:rPr>
          <w:rFonts w:eastAsia="SimSun"/>
          <w:i/>
          <w:noProof/>
          <w:lang w:val="en-US"/>
        </w:rPr>
        <w:t>J Med Virol</w:t>
      </w:r>
      <w:r w:rsidRPr="00F855A9">
        <w:rPr>
          <w:rFonts w:eastAsia="SimSun"/>
          <w:noProof/>
          <w:lang w:val="en-US"/>
        </w:rPr>
        <w:t>. 2020. doi: https://doi.org/10.1002/jmv.25728.</w:t>
      </w:r>
    </w:p>
    <w:p w14:paraId="23374379" w14:textId="4CA9642B"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Mao L, Jin H, Wang M, Hu Y, Chen S, He Q et al. Neurological manifestations of hospitalized patients with coronavirus disease 2019 in Wuhan, China.</w:t>
      </w:r>
      <w:r w:rsidRPr="00F855A9">
        <w:rPr>
          <w:rFonts w:eastAsia="SimSun"/>
          <w:i/>
          <w:noProof/>
          <w:lang w:val="en-US"/>
        </w:rPr>
        <w:t xml:space="preserve"> JAMA Neurol</w:t>
      </w:r>
      <w:r w:rsidRPr="00F855A9">
        <w:rPr>
          <w:rFonts w:eastAsia="SimSun"/>
          <w:noProof/>
          <w:lang w:val="en-US"/>
        </w:rPr>
        <w:t>. 2020;e201127. doi: https://doi.org/10.1001/jamaneurol.2020.1127.</w:t>
      </w:r>
    </w:p>
    <w:p w14:paraId="1A24392C" w14:textId="35388301"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Drew DA, Nguyen LH, Steves CJ, Wolf J, Spector TC, Chan AT. Rapid implementation of mobile technology for real-time epidemiology of COVID-19. </w:t>
      </w:r>
      <w:r w:rsidRPr="00F855A9">
        <w:rPr>
          <w:rFonts w:eastAsia="SimSun"/>
          <w:i/>
          <w:noProof/>
          <w:lang w:val="en-US"/>
        </w:rPr>
        <w:t>medRxiv</w:t>
      </w:r>
      <w:r w:rsidRPr="00F855A9">
        <w:rPr>
          <w:rFonts w:eastAsia="SimSun"/>
          <w:noProof/>
          <w:lang w:val="en-US"/>
        </w:rPr>
        <w:t>. 2020. doi: https://doi.org/10.1101/2020.04.02.20051334.</w:t>
      </w:r>
    </w:p>
    <w:p w14:paraId="7AB21A02" w14:textId="2405E119"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Venkatakrishnan AJ, Puranik A, Anand A, Zemmour D, Yao X, Wu X et al. Knowledge synthesis from 100 million biomedical documents augments the deep expression profiling of coronavirus receptors. </w:t>
      </w:r>
      <w:r w:rsidRPr="00F855A9">
        <w:rPr>
          <w:rFonts w:eastAsia="SimSun"/>
          <w:i/>
          <w:noProof/>
          <w:lang w:val="en-US"/>
        </w:rPr>
        <w:t>bioRxiv</w:t>
      </w:r>
      <w:r w:rsidRPr="00F855A9">
        <w:rPr>
          <w:rFonts w:eastAsia="SimSun"/>
          <w:noProof/>
          <w:lang w:val="en-US"/>
        </w:rPr>
        <w:t xml:space="preserve">. 2020. doi: https://doi.org/10.1101/2020.03.24.005702. </w:t>
      </w:r>
    </w:p>
    <w:p w14:paraId="1D9CB471" w14:textId="57D3B752"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Brann DH, Tsukahara T, Weinreb C, Logan DW, Datta SR. Non-neural expression of SARS-CoV-2 entry genes in the olfactory epithelium suggests mechanisms underlying anosmia in COVID-19 patients. </w:t>
      </w:r>
      <w:r w:rsidRPr="00F855A9">
        <w:rPr>
          <w:rFonts w:eastAsia="SimSun"/>
          <w:i/>
          <w:noProof/>
          <w:lang w:val="en-US"/>
        </w:rPr>
        <w:t>bioRxiv</w:t>
      </w:r>
      <w:r w:rsidRPr="00F855A9">
        <w:rPr>
          <w:rFonts w:eastAsia="SimSun"/>
          <w:noProof/>
          <w:lang w:val="en-US"/>
        </w:rPr>
        <w:t>. 2020. doi: https://doi.org/10.1101/2020.03.25.009084.</w:t>
      </w:r>
    </w:p>
    <w:p w14:paraId="1FC31451" w14:textId="79D45409"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Bi Q, Wu Y, Mei S, Ye C, Zou X, Zhang Z et al. Epidemiology and transmission of COVID-19 in Shenzhen China: analysis of 391 cases and 1286 of their close contacts. </w:t>
      </w:r>
      <w:r w:rsidRPr="00F855A9">
        <w:rPr>
          <w:rFonts w:eastAsia="SimSun"/>
          <w:i/>
          <w:noProof/>
          <w:lang w:val="en-US"/>
        </w:rPr>
        <w:t>medRxiv</w:t>
      </w:r>
      <w:r w:rsidRPr="00F855A9">
        <w:rPr>
          <w:rFonts w:eastAsia="SimSun"/>
          <w:noProof/>
          <w:lang w:val="en-US"/>
        </w:rPr>
        <w:t>. 2020. doi: https://doi.org/10.1101/2020.03.03.20028423.</w:t>
      </w:r>
    </w:p>
    <w:p w14:paraId="19EF22EC" w14:textId="10FD3A00" w:rsidR="00723088" w:rsidRPr="00F855A9" w:rsidRDefault="00723088" w:rsidP="00F855A9">
      <w:pPr>
        <w:pStyle w:val="ListParagraph"/>
        <w:numPr>
          <w:ilvl w:val="0"/>
          <w:numId w:val="22"/>
        </w:numPr>
        <w:rPr>
          <w:rFonts w:eastAsia="Times New Roman" w:cs="Calibri"/>
        </w:rPr>
      </w:pPr>
      <w:r w:rsidRPr="00F855A9">
        <w:rPr>
          <w:rFonts w:eastAsia="Times New Roman" w:cs="Calibri"/>
        </w:rPr>
        <w:t xml:space="preserve">Inciardi RM, Lupi L, Zaccone G, Italia L, Raffo M, Tomasoni D et al. Cardiac involvement in a patient with coronavirus disease 2019 (COVID-19). </w:t>
      </w:r>
      <w:r w:rsidRPr="00F855A9">
        <w:rPr>
          <w:rFonts w:eastAsia="Times New Roman" w:cs="Calibri"/>
          <w:i/>
        </w:rPr>
        <w:t>JAMA Cardiol</w:t>
      </w:r>
      <w:r w:rsidRPr="00F855A9">
        <w:rPr>
          <w:rFonts w:eastAsia="Times New Roman" w:cs="Calibri"/>
        </w:rPr>
        <w:t>. 2020. doi: https://doi.org/10.1001/jamacardio.2020.1096.</w:t>
      </w:r>
    </w:p>
    <w:p w14:paraId="061B73C1" w14:textId="35DCF00F" w:rsidR="00723088" w:rsidRPr="00F855A9" w:rsidRDefault="00723088" w:rsidP="00F855A9">
      <w:pPr>
        <w:pStyle w:val="ListParagraph"/>
        <w:numPr>
          <w:ilvl w:val="0"/>
          <w:numId w:val="22"/>
        </w:numPr>
        <w:rPr>
          <w:rFonts w:eastAsia="Times New Roman" w:cs="Calibri"/>
        </w:rPr>
      </w:pPr>
      <w:r w:rsidRPr="00F855A9">
        <w:rPr>
          <w:rFonts w:eastAsia="Times New Roman" w:cs="Calibri"/>
        </w:rPr>
        <w:t xml:space="preserve">Guo T, Fan Y, Chen M, Wu X, Zhang L, He T et al. Cardiovascular implications of fatal outcomes of patients with coronavirus disease 2019 (COVID-19). </w:t>
      </w:r>
      <w:r w:rsidRPr="00F855A9">
        <w:rPr>
          <w:rFonts w:eastAsia="Times New Roman" w:cs="Calibri"/>
          <w:i/>
        </w:rPr>
        <w:t>JAMA Cardiol</w:t>
      </w:r>
      <w:r w:rsidRPr="00F855A9">
        <w:rPr>
          <w:rFonts w:eastAsia="Times New Roman" w:cs="Calibri"/>
        </w:rPr>
        <w:t>. 2020. doi: https://doi.org/10.1001/jamacardio.2020.1017.</w:t>
      </w:r>
    </w:p>
    <w:p w14:paraId="6634798B" w14:textId="248E22B9" w:rsidR="00723088" w:rsidRPr="00F855A9" w:rsidRDefault="00723088" w:rsidP="00F855A9">
      <w:pPr>
        <w:pStyle w:val="ListParagraph"/>
        <w:numPr>
          <w:ilvl w:val="0"/>
          <w:numId w:val="22"/>
        </w:numPr>
        <w:rPr>
          <w:rFonts w:eastAsia="Times New Roman" w:cs="Calibri"/>
        </w:rPr>
      </w:pPr>
      <w:r w:rsidRPr="00F855A9">
        <w:rPr>
          <w:rFonts w:eastAsia="Times New Roman" w:cs="Calibri"/>
        </w:rPr>
        <w:t xml:space="preserve">Madjid M, Safavi-Naeini P, Solomon SD, Vardeny O. Potential effects of coronaviruses on the cardiovascular system: a review. </w:t>
      </w:r>
      <w:r w:rsidRPr="00F855A9">
        <w:rPr>
          <w:rFonts w:eastAsia="Times New Roman" w:cs="Calibri"/>
          <w:i/>
        </w:rPr>
        <w:t>JAMA Cardiol</w:t>
      </w:r>
      <w:r w:rsidRPr="00F855A9">
        <w:rPr>
          <w:rFonts w:eastAsia="Times New Roman" w:cs="Calibri"/>
        </w:rPr>
        <w:t>. 2020. doi: https://doi.org/10.1001/jamacardio.2020.1286.</w:t>
      </w:r>
    </w:p>
    <w:p w14:paraId="0627BFD0" w14:textId="4A3F1896"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Lin L, Jiang X, Zhang Z, Huang S, Zhang Z, Fang Z et al. Gastrointestinal symptoms of 95 cases with SARS-CoV-2 infection. </w:t>
      </w:r>
      <w:r w:rsidRPr="00F855A9">
        <w:rPr>
          <w:rFonts w:eastAsia="SimSun"/>
          <w:i/>
          <w:noProof/>
          <w:lang w:val="en-US"/>
        </w:rPr>
        <w:t>Gut</w:t>
      </w:r>
      <w:r w:rsidRPr="00F855A9">
        <w:rPr>
          <w:rFonts w:eastAsia="SimSun"/>
          <w:noProof/>
          <w:lang w:val="en-US"/>
        </w:rPr>
        <w:t>. 2020. doi: https://doi.org/10.1136/gutjnl-2020-321013.</w:t>
      </w:r>
    </w:p>
    <w:p w14:paraId="6B6F9379" w14:textId="74830F26" w:rsidR="00E575AF"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Jin X, Lian JS, Hu JH, Gao J, Zheng L, Zhang YM et al. Epidemiological, clinical and virological characteristics of 74 cases of coronavirus-infected disease 2019 (COVID-19) with gastrointestinal symptoms. </w:t>
      </w:r>
      <w:r w:rsidRPr="00F855A9">
        <w:rPr>
          <w:rFonts w:eastAsia="SimSun"/>
          <w:i/>
          <w:noProof/>
          <w:lang w:val="en-US"/>
        </w:rPr>
        <w:t>Gut</w:t>
      </w:r>
      <w:r w:rsidR="00EF46ED" w:rsidRPr="00F855A9">
        <w:rPr>
          <w:rFonts w:eastAsia="SimSun"/>
          <w:noProof/>
          <w:lang w:val="en-US"/>
        </w:rPr>
        <w:t xml:space="preserve">. 2020. doi: </w:t>
      </w:r>
      <w:r w:rsidR="00E575AF" w:rsidRPr="00F855A9">
        <w:rPr>
          <w:rFonts w:eastAsia="SimSun"/>
          <w:noProof/>
          <w:lang w:val="en-US"/>
        </w:rPr>
        <w:t>https://doi.org/10.1136/gutjnl-2020-320926</w:t>
      </w:r>
      <w:r w:rsidRPr="00F855A9">
        <w:rPr>
          <w:rFonts w:eastAsia="SimSun"/>
          <w:noProof/>
          <w:lang w:val="en-US"/>
        </w:rPr>
        <w:t>.</w:t>
      </w:r>
    </w:p>
    <w:p w14:paraId="2A3977DA" w14:textId="5AE1711B"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Riphagen S, Gomez X, Gonzalez-Martinez C, Wilkinson N, Theocharis P. Hyperinflammatory shock in children during COVID-19 pandemic. </w:t>
      </w:r>
      <w:r w:rsidRPr="00F855A9">
        <w:rPr>
          <w:rFonts w:eastAsia="SimSun"/>
          <w:i/>
          <w:noProof/>
          <w:lang w:val="en-US"/>
        </w:rPr>
        <w:t>Lancet</w:t>
      </w:r>
      <w:r w:rsidRPr="00F855A9">
        <w:rPr>
          <w:rFonts w:eastAsia="SimSun"/>
          <w:noProof/>
          <w:lang w:val="en-US"/>
        </w:rPr>
        <w:t>. 2020. doi: https://doi.org/10.1016/S0140-6736(20)31094-1.</w:t>
      </w:r>
    </w:p>
    <w:p w14:paraId="79B7A954" w14:textId="311612FD"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Morand A, Urbina D, Fabre A. COVID-19 and Kawasaki like disease: the known-known, the unknown-known and the unknown-unknown. </w:t>
      </w:r>
      <w:r w:rsidRPr="00F855A9">
        <w:rPr>
          <w:rFonts w:eastAsia="SimSun"/>
          <w:i/>
          <w:noProof/>
          <w:lang w:val="en-US"/>
        </w:rPr>
        <w:t>Preprints</w:t>
      </w:r>
      <w:r w:rsidRPr="00F855A9">
        <w:rPr>
          <w:rFonts w:eastAsia="SimSun"/>
          <w:noProof/>
          <w:lang w:val="en-US"/>
        </w:rPr>
        <w:t>. 2020;2020050160. doi: https://doi.org/10.20944/preprints202005.0160.v1.</w:t>
      </w:r>
    </w:p>
    <w:p w14:paraId="326F0721" w14:textId="06A6AA3D" w:rsidR="00500330" w:rsidRPr="00F855A9" w:rsidRDefault="00500330" w:rsidP="00F855A9">
      <w:pPr>
        <w:pStyle w:val="ListParagraph"/>
        <w:numPr>
          <w:ilvl w:val="0"/>
          <w:numId w:val="22"/>
        </w:numPr>
        <w:rPr>
          <w:rFonts w:eastAsia="SimSun"/>
          <w:noProof/>
          <w:lang w:val="en-US"/>
        </w:rPr>
      </w:pPr>
      <w:r w:rsidRPr="00F855A9">
        <w:rPr>
          <w:rFonts w:eastAsia="SimSun"/>
          <w:noProof/>
          <w:lang w:val="en-US"/>
        </w:rPr>
        <w:lastRenderedPageBreak/>
        <w:t>Royal Children's Hospital Melbourne (RCH). Kids health info: Kawasaki disease. [Internet.] Melbourne: RCH; 2020. [Accessed on 14 May 2020.] Available from: https://www.rch.org.au/kidsinfo/fact_sheets/Kawasaki_disease/.</w:t>
      </w:r>
    </w:p>
    <w:p w14:paraId="15E7F221" w14:textId="06CEBC92"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7E40A424" w14:textId="11481097" w:rsidR="00723088"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Harrison C. Coronavirus puts drug re-purposing on the fast track. </w:t>
      </w:r>
      <w:r w:rsidRPr="00F855A9">
        <w:rPr>
          <w:rFonts w:eastAsia="SimSun"/>
          <w:i/>
          <w:noProof/>
          <w:lang w:val="en-US"/>
        </w:rPr>
        <w:t>Nat Biotechnol</w:t>
      </w:r>
      <w:r w:rsidRPr="00F855A9">
        <w:rPr>
          <w:rFonts w:eastAsia="SimSun"/>
          <w:noProof/>
          <w:lang w:val="en-US"/>
        </w:rPr>
        <w:t>. 2020. doi: https://doi.org/10.1038/d41587-020-00003-1.</w:t>
      </w:r>
    </w:p>
    <w:p w14:paraId="180BF7E7" w14:textId="11BB2135" w:rsidR="00E4281B" w:rsidRPr="00F855A9" w:rsidRDefault="00723088" w:rsidP="00F855A9">
      <w:pPr>
        <w:pStyle w:val="ListParagraph"/>
        <w:numPr>
          <w:ilvl w:val="0"/>
          <w:numId w:val="22"/>
        </w:numPr>
        <w:rPr>
          <w:rFonts w:eastAsia="SimSun"/>
          <w:noProof/>
          <w:lang w:val="en-US"/>
        </w:rPr>
      </w:pPr>
      <w:r w:rsidRPr="00F855A9">
        <w:rPr>
          <w:rFonts w:eastAsia="SimSun"/>
          <w:noProof/>
          <w:lang w:val="en-US"/>
        </w:rPr>
        <w:t xml:space="preserve">Wang M, Cao R, Zhang L, Yang X, Liu J, Xu M et al. Remdesivir and chloroquine effectively inhibit the recently emerged novel coronavirus (2019-nCoV) in vitro. </w:t>
      </w:r>
      <w:r w:rsidRPr="00F855A9">
        <w:rPr>
          <w:rFonts w:eastAsia="SimSun"/>
          <w:i/>
          <w:noProof/>
          <w:lang w:val="en-US"/>
        </w:rPr>
        <w:t>Cell Research</w:t>
      </w:r>
      <w:r w:rsidRPr="00F855A9">
        <w:rPr>
          <w:rFonts w:eastAsia="SimSun"/>
          <w:noProof/>
          <w:lang w:val="en-US"/>
        </w:rPr>
        <w:t>. 2020;30;269–71.</w:t>
      </w:r>
    </w:p>
    <w:p w14:paraId="562CDF41" w14:textId="77777777" w:rsidR="00013639" w:rsidRDefault="00013639">
      <w:pPr>
        <w:rPr>
          <w:rFonts w:asciiTheme="majorHAnsi" w:eastAsiaTheme="majorEastAsia" w:hAnsiTheme="majorHAnsi" w:cstheme="majorBidi"/>
          <w:b/>
          <w:bCs/>
          <w:sz w:val="32"/>
          <w:szCs w:val="28"/>
        </w:rPr>
      </w:pPr>
      <w:r>
        <w:br w:type="page"/>
      </w:r>
    </w:p>
    <w:p w14:paraId="1E3226D9" w14:textId="1F2E818E" w:rsidR="00E4281B" w:rsidRPr="00800884" w:rsidRDefault="00E4281B" w:rsidP="00800884">
      <w:pPr>
        <w:pStyle w:val="Heading1"/>
      </w:pPr>
      <w:r w:rsidRPr="00800884">
        <w:lastRenderedPageBreak/>
        <w:t>Appendix A: Frequently asked questions</w:t>
      </w:r>
    </w:p>
    <w:p w14:paraId="050902B7" w14:textId="77777777" w:rsidR="00E4281B" w:rsidRPr="009D4C93" w:rsidRDefault="00E4281B" w:rsidP="00F855A9">
      <w:pPr>
        <w:rPr>
          <w:rStyle w:val="A10"/>
          <w:b/>
          <w:bCs/>
        </w:rPr>
      </w:pPr>
      <w:r w:rsidRPr="009D4C93">
        <w:rPr>
          <w:rStyle w:val="A10"/>
          <w:b/>
        </w:rPr>
        <w:t>Q: Can I request access to the COVID-19 data behind your CDI weekly reports?</w:t>
      </w:r>
    </w:p>
    <w:p w14:paraId="45B9DC94" w14:textId="77777777" w:rsidR="00E4281B" w:rsidRPr="00400358" w:rsidRDefault="00E4281B" w:rsidP="00F855A9">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64FF927" w14:textId="77777777" w:rsidR="00E4281B" w:rsidRPr="00400358" w:rsidRDefault="00E4281B" w:rsidP="00F855A9">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45160969" w14:textId="77777777" w:rsidR="00E4281B" w:rsidRPr="00400358" w:rsidRDefault="00E4281B" w:rsidP="00F855A9">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7973DC7B" w14:textId="77777777" w:rsidR="00E4281B" w:rsidRPr="00400358" w:rsidRDefault="00E4281B" w:rsidP="00F855A9">
      <w:pPr>
        <w:rPr>
          <w:rStyle w:val="A10"/>
        </w:rPr>
      </w:pPr>
      <w:r w:rsidRPr="00400358">
        <w:rPr>
          <w:rStyle w:val="A10"/>
        </w:rPr>
        <w:t xml:space="preserve">We will continue to publish regular summaries and analyses of the NNDSS dataset and recommend the following resources be referred to in the meantime: </w:t>
      </w:r>
    </w:p>
    <w:p w14:paraId="6CDE44A1" w14:textId="77777777" w:rsidR="00E4281B" w:rsidRPr="00400358" w:rsidRDefault="00E4281B" w:rsidP="00F855A9">
      <w:pPr>
        <w:pStyle w:val="ListParagraph"/>
        <w:numPr>
          <w:ilvl w:val="0"/>
          <w:numId w:val="23"/>
        </w:numPr>
        <w:rPr>
          <w:rStyle w:val="A10"/>
        </w:rPr>
      </w:pPr>
      <w:r w:rsidRPr="00400358">
        <w:rPr>
          <w:rStyle w:val="A10"/>
        </w:rPr>
        <w:t>NNDSS summary tables: http://www9.health.gov.au/cda/source/cda-index.cfm</w:t>
      </w:r>
    </w:p>
    <w:p w14:paraId="25FBCEB3" w14:textId="77777777" w:rsidR="00E4281B" w:rsidRPr="00400358" w:rsidRDefault="00E4281B" w:rsidP="00F855A9">
      <w:pPr>
        <w:pStyle w:val="ListParagraph"/>
        <w:numPr>
          <w:ilvl w:val="0"/>
          <w:numId w:val="23"/>
        </w:numPr>
        <w:rPr>
          <w:rStyle w:val="A10"/>
        </w:rPr>
      </w:pPr>
      <w:r w:rsidRPr="00400358">
        <w:rPr>
          <w:rStyle w:val="A10"/>
        </w:rPr>
        <w:t>Daily case summary of cases: https://www.health.gov.au/news/health-alerts/novel-coronavirus-2019-ncov-health-alert/coronavirus-covid-19-current-situation-and-case-numbers</w:t>
      </w:r>
    </w:p>
    <w:p w14:paraId="48356665" w14:textId="77777777" w:rsidR="00E4281B" w:rsidRPr="00400358" w:rsidRDefault="00E4281B" w:rsidP="00F855A9">
      <w:pPr>
        <w:pStyle w:val="ListParagraph"/>
        <w:numPr>
          <w:ilvl w:val="0"/>
          <w:numId w:val="23"/>
        </w:numPr>
        <w:rPr>
          <w:rStyle w:val="A10"/>
        </w:rPr>
      </w:pPr>
      <w:r w:rsidRPr="00F855A9">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529304BA" w14:textId="7F798937" w:rsidR="00E4281B" w:rsidRPr="00400358" w:rsidRDefault="00E4281B" w:rsidP="00F855A9">
      <w:pPr>
        <w:pStyle w:val="ListParagraph"/>
        <w:numPr>
          <w:ilvl w:val="0"/>
          <w:numId w:val="23"/>
        </w:numPr>
        <w:rPr>
          <w:rStyle w:val="A10"/>
        </w:rPr>
      </w:pPr>
      <w:r w:rsidRPr="00400358">
        <w:rPr>
          <w:rStyle w:val="A10"/>
        </w:rPr>
        <w:t>State and territory public health websites.</w:t>
      </w:r>
    </w:p>
    <w:p w14:paraId="6D292CE2" w14:textId="77777777" w:rsidR="00E4281B" w:rsidRPr="009D4C93" w:rsidRDefault="00E4281B" w:rsidP="00F855A9">
      <w:pPr>
        <w:rPr>
          <w:rStyle w:val="A10"/>
          <w:b/>
        </w:rPr>
      </w:pPr>
      <w:r w:rsidRPr="009D4C93">
        <w:rPr>
          <w:rStyle w:val="A10"/>
          <w:b/>
        </w:rPr>
        <w:t>Q: Can I request access to data at post-code level of confirmed cases?</w:t>
      </w:r>
    </w:p>
    <w:p w14:paraId="5FABC7B8" w14:textId="77777777" w:rsidR="00E4281B" w:rsidRPr="00400358" w:rsidRDefault="00E4281B" w:rsidP="00F855A9">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5ECD51A" w14:textId="4AA15ADC" w:rsidR="00E4281B" w:rsidRPr="00400358" w:rsidRDefault="00E4281B" w:rsidP="00F855A9">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49B826BA" w14:textId="72B06D8D" w:rsidR="00E4281B" w:rsidRPr="009D4C93" w:rsidRDefault="00E4281B" w:rsidP="00F855A9">
      <w:pPr>
        <w:rPr>
          <w:rStyle w:val="A10"/>
          <w:b/>
        </w:rPr>
      </w:pPr>
      <w:r w:rsidRPr="009D4C93">
        <w:rPr>
          <w:rStyle w:val="A10"/>
          <w:b/>
        </w:rPr>
        <w:t>Q</w:t>
      </w:r>
      <w:r w:rsidR="00013639">
        <w:rPr>
          <w:rStyle w:val="A10"/>
          <w:b/>
        </w:rPr>
        <w:t>:</w:t>
      </w:r>
      <w:r w:rsidRPr="009D4C93">
        <w:rPr>
          <w:rStyle w:val="A10"/>
          <w:b/>
        </w:rPr>
        <w:t xml:space="preserve"> Where can I find more detailed data on COVID-19 cases?</w:t>
      </w:r>
      <w:r w:rsidR="00E742A0">
        <w:rPr>
          <w:rStyle w:val="A10"/>
          <w:b/>
        </w:rPr>
        <w:t xml:space="preserve"> </w:t>
      </w:r>
    </w:p>
    <w:p w14:paraId="38B29712" w14:textId="77777777" w:rsidR="008B5348" w:rsidRDefault="00E4281B" w:rsidP="00F855A9">
      <w:pPr>
        <w:rPr>
          <w:rStyle w:val="A10"/>
        </w:rPr>
        <w:sectPr w:rsidR="008B5348" w:rsidSect="00A30C37">
          <w:headerReference w:type="default" r:id="rId25"/>
          <w:footerReference w:type="default" r:id="rId26"/>
          <w:footerReference w:type="first" r:id="rId27"/>
          <w:footnotePr>
            <w:numFmt w:val="lowerRoman"/>
          </w:footnotePr>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365A5D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CCD6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4C6308" w14:textId="77777777" w:rsidR="000A5F42" w:rsidRPr="000606CC" w:rsidRDefault="000A5F42" w:rsidP="000A5F42">
      <w:pPr>
        <w:pStyle w:val="NoSpacing"/>
        <w:rPr>
          <w:rStyle w:val="URI"/>
          <w:rFonts w:cstheme="minorHAnsi"/>
          <w:sz w:val="20"/>
          <w:szCs w:val="18"/>
        </w:rPr>
      </w:pPr>
    </w:p>
    <w:p w14:paraId="217FEE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3EF0CA8" w14:textId="77777777" w:rsidR="000A5F42" w:rsidRPr="000606CC" w:rsidRDefault="000A5F42" w:rsidP="000A5F42">
      <w:pPr>
        <w:pStyle w:val="NoSpacing"/>
        <w:rPr>
          <w:rStyle w:val="Strong"/>
          <w:rFonts w:cstheme="minorHAnsi"/>
          <w:sz w:val="20"/>
          <w:szCs w:val="18"/>
        </w:rPr>
      </w:pPr>
    </w:p>
    <w:p w14:paraId="44C571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65AADC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6EB213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65BA4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AA92A31" w14:textId="77777777" w:rsidR="000A5F42" w:rsidRPr="000606CC" w:rsidRDefault="000A5F42" w:rsidP="000A5F42">
      <w:pPr>
        <w:pStyle w:val="NoSpacing"/>
        <w:rPr>
          <w:rStyle w:val="Strong"/>
          <w:rFonts w:cstheme="minorHAnsi"/>
          <w:sz w:val="20"/>
          <w:szCs w:val="18"/>
        </w:rPr>
      </w:pPr>
    </w:p>
    <w:p w14:paraId="16C443D7" w14:textId="4D8D470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6B3EC4" w14:textId="77777777" w:rsidR="000A5F42" w:rsidRPr="000606CC" w:rsidRDefault="000A5F42" w:rsidP="000A5F42">
      <w:pPr>
        <w:pStyle w:val="NoSpacing"/>
        <w:rPr>
          <w:rStyle w:val="Strong"/>
          <w:rFonts w:cstheme="minorHAnsi"/>
          <w:sz w:val="20"/>
          <w:szCs w:val="18"/>
        </w:rPr>
      </w:pPr>
    </w:p>
    <w:p w14:paraId="675386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A57BC72" w14:textId="77777777" w:rsidR="000A5F42" w:rsidRPr="000606CC" w:rsidRDefault="000A5F42" w:rsidP="000A5F42">
      <w:pPr>
        <w:pStyle w:val="NoSpacing"/>
        <w:rPr>
          <w:rStyle w:val="Strong"/>
          <w:rFonts w:cstheme="minorHAnsi"/>
          <w:sz w:val="20"/>
          <w:szCs w:val="18"/>
        </w:rPr>
      </w:pPr>
    </w:p>
    <w:p w14:paraId="62E50D2C" w14:textId="0408336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8372DD3" w14:textId="77777777" w:rsidR="000A5F42" w:rsidRPr="000606CC" w:rsidRDefault="000A5F42" w:rsidP="000A5F42">
      <w:pPr>
        <w:pStyle w:val="NoSpacing"/>
        <w:rPr>
          <w:rStyle w:val="Strong"/>
          <w:rFonts w:cstheme="minorHAnsi"/>
          <w:sz w:val="20"/>
          <w:szCs w:val="18"/>
        </w:rPr>
      </w:pPr>
    </w:p>
    <w:p w14:paraId="47E5AD27" w14:textId="6A97CE0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1307F2B" w14:textId="2589C9E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1" w:history="1">
        <w:r w:rsidRPr="000606CC">
          <w:rPr>
            <w:rStyle w:val="Hyperlink"/>
            <w:rFonts w:cstheme="minorHAnsi"/>
            <w:sz w:val="20"/>
            <w:szCs w:val="18"/>
          </w:rPr>
          <w:t>cdi.editor@health.gov.au</w:t>
        </w:r>
      </w:hyperlink>
      <w:r w:rsidRPr="000606CC">
        <w:rPr>
          <w:rFonts w:cstheme="minorHAnsi"/>
          <w:sz w:val="20"/>
          <w:szCs w:val="18"/>
        </w:rPr>
        <w:t>.</w:t>
      </w:r>
    </w:p>
    <w:p w14:paraId="4C8B71D5" w14:textId="77777777" w:rsidR="000A5F42" w:rsidRPr="000606CC" w:rsidRDefault="000A5F42" w:rsidP="000A5F42">
      <w:pPr>
        <w:pStyle w:val="NoSpacing"/>
        <w:pBdr>
          <w:bottom w:val="single" w:sz="6" w:space="1" w:color="auto"/>
        </w:pBdr>
        <w:rPr>
          <w:rStyle w:val="Strong"/>
          <w:rFonts w:cstheme="minorHAnsi"/>
          <w:sz w:val="12"/>
          <w:szCs w:val="18"/>
        </w:rPr>
      </w:pPr>
    </w:p>
    <w:p w14:paraId="1C9AD0B9" w14:textId="77777777" w:rsidR="000A5F42" w:rsidRPr="000606CC" w:rsidRDefault="000A5F42" w:rsidP="000A5F42">
      <w:pPr>
        <w:pStyle w:val="NoSpacing"/>
        <w:rPr>
          <w:rFonts w:cstheme="minorHAnsi"/>
          <w:sz w:val="20"/>
          <w:szCs w:val="18"/>
        </w:rPr>
      </w:pPr>
    </w:p>
    <w:p w14:paraId="7A46029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ADEAD07" w14:textId="77777777" w:rsidR="000A5F42" w:rsidRPr="000606CC" w:rsidRDefault="000A5F42" w:rsidP="000A5F42">
      <w:pPr>
        <w:pStyle w:val="NoSpacing"/>
        <w:rPr>
          <w:rFonts w:cstheme="minorHAnsi"/>
          <w:sz w:val="20"/>
          <w:szCs w:val="18"/>
        </w:rPr>
      </w:pPr>
    </w:p>
    <w:p w14:paraId="7BA0D2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3C082FB" w14:textId="77777777" w:rsidR="000A5F42" w:rsidRPr="000606CC" w:rsidRDefault="000A5F42" w:rsidP="000A5F42">
      <w:pPr>
        <w:pStyle w:val="NoSpacing"/>
        <w:rPr>
          <w:rFonts w:cstheme="minorHAnsi"/>
          <w:sz w:val="20"/>
          <w:szCs w:val="18"/>
        </w:rPr>
      </w:pPr>
      <w:r w:rsidRPr="000606CC">
        <w:rPr>
          <w:rFonts w:cstheme="minorHAnsi"/>
          <w:sz w:val="20"/>
          <w:szCs w:val="18"/>
        </w:rPr>
        <w:t>© 20</w:t>
      </w:r>
      <w:r w:rsidR="0057585A">
        <w:rPr>
          <w:rFonts w:cstheme="minorHAnsi"/>
          <w:sz w:val="20"/>
          <w:szCs w:val="18"/>
        </w:rPr>
        <w:t>20</w:t>
      </w:r>
      <w:r w:rsidRPr="000606CC">
        <w:rPr>
          <w:rFonts w:cstheme="minorHAnsi"/>
          <w:sz w:val="20"/>
          <w:szCs w:val="18"/>
        </w:rPr>
        <w:t xml:space="preserve"> Commonwealth of Australia as represented by the Department of Health</w:t>
      </w:r>
    </w:p>
    <w:p w14:paraId="6B6DC28E" w14:textId="5590FF06"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3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CDA696" w14:textId="77777777" w:rsidR="000A5F42" w:rsidRPr="000606CC" w:rsidRDefault="000A5F42" w:rsidP="000A5F42">
      <w:pPr>
        <w:pStyle w:val="NoSpacing"/>
        <w:rPr>
          <w:rFonts w:cstheme="minorHAnsi"/>
          <w:sz w:val="20"/>
          <w:szCs w:val="18"/>
        </w:rPr>
      </w:pPr>
    </w:p>
    <w:p w14:paraId="287CC3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51B03D" w14:textId="16B80FDD"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w:t>
      </w:r>
      <w:r w:rsidR="00E742A0">
        <w:rPr>
          <w:rFonts w:cstheme="minorHAnsi"/>
          <w:sz w:val="20"/>
          <w:szCs w:val="18"/>
        </w:rPr>
        <w:t xml:space="preserve"> </w:t>
      </w:r>
    </w:p>
    <w:p w14:paraId="39E2FAD0"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logos (including the Department of Health’s logo) and trademarks;</w:t>
      </w:r>
    </w:p>
    <w:p w14:paraId="53BCD18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photographs and images; </w:t>
      </w:r>
    </w:p>
    <w:p w14:paraId="0DC0262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signatures; and</w:t>
      </w:r>
    </w:p>
    <w:p w14:paraId="1F857447"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5DCA78CB" w14:textId="77777777" w:rsidR="000A5F42" w:rsidRPr="000606CC" w:rsidRDefault="000A5F42" w:rsidP="000A5F42">
      <w:pPr>
        <w:pStyle w:val="NoSpacing"/>
        <w:rPr>
          <w:rStyle w:val="Strong"/>
          <w:rFonts w:cstheme="minorHAnsi"/>
          <w:sz w:val="20"/>
          <w:szCs w:val="18"/>
        </w:rPr>
      </w:pPr>
    </w:p>
    <w:p w14:paraId="3B88FC0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38A0A9" w14:textId="77777777" w:rsidR="000A5F42" w:rsidRPr="000606CC" w:rsidRDefault="000A5F42" w:rsidP="000A5F42">
      <w:pPr>
        <w:pStyle w:val="NoSpacing"/>
        <w:rPr>
          <w:rStyle w:val="Strong"/>
          <w:rFonts w:cstheme="minorHAnsi"/>
          <w:sz w:val="20"/>
          <w:szCs w:val="18"/>
        </w:rPr>
      </w:pPr>
    </w:p>
    <w:p w14:paraId="44783542" w14:textId="37554D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9FF1DA" w14:textId="77777777" w:rsidR="000A5F42" w:rsidRPr="000606CC" w:rsidRDefault="000A5F42" w:rsidP="000A5F42">
      <w:pPr>
        <w:pStyle w:val="NoSpacing"/>
        <w:rPr>
          <w:rStyle w:val="URI"/>
          <w:rFonts w:cstheme="minorHAnsi"/>
          <w:sz w:val="20"/>
          <w:szCs w:val="18"/>
        </w:rPr>
      </w:pPr>
    </w:p>
    <w:p w14:paraId="5D0E1FF8" w14:textId="59D0244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5" w:tooltip="Communicable Diseases Network Australia website" w:history="1">
        <w:r w:rsidRPr="000606CC">
          <w:rPr>
            <w:rStyle w:val="Hyperlink"/>
            <w:rFonts w:cstheme="minorHAnsi"/>
            <w:sz w:val="20"/>
            <w:szCs w:val="18"/>
          </w:rPr>
          <w:t>http://www.health.gov.au/cdna</w:t>
        </w:r>
      </w:hyperlink>
    </w:p>
    <w:p w14:paraId="01ED5CE4" w14:textId="77777777" w:rsidR="001B37B8" w:rsidRPr="00E92237" w:rsidRDefault="001B37B8" w:rsidP="001B37B8">
      <w:pPr>
        <w:rPr>
          <w:rFonts w:cs="Myriad Pro"/>
          <w:color w:val="211D1E"/>
          <w:sz w:val="20"/>
          <w:szCs w:val="20"/>
        </w:rPr>
      </w:pPr>
    </w:p>
    <w:sectPr w:rsidR="001B37B8" w:rsidRPr="00E92237" w:rsidSect="002B75A9">
      <w:headerReference w:type="default" r:id="rId3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8E5D" w14:textId="77777777" w:rsidR="008B1C4B" w:rsidRDefault="008B1C4B" w:rsidP="00E54DBA">
      <w:r>
        <w:separator/>
      </w:r>
    </w:p>
    <w:p w14:paraId="2C015150" w14:textId="77777777" w:rsidR="008B1C4B" w:rsidRDefault="008B1C4B"/>
    <w:p w14:paraId="4999477F" w14:textId="77777777" w:rsidR="008B1C4B" w:rsidRDefault="008B1C4B" w:rsidP="008714B0"/>
  </w:endnote>
  <w:endnote w:type="continuationSeparator" w:id="0">
    <w:p w14:paraId="1FD94300" w14:textId="77777777" w:rsidR="008B1C4B" w:rsidRDefault="008B1C4B" w:rsidP="00E54DBA">
      <w:r>
        <w:continuationSeparator/>
      </w:r>
    </w:p>
    <w:p w14:paraId="6CEC10D8" w14:textId="77777777" w:rsidR="008B1C4B" w:rsidRDefault="008B1C4B"/>
    <w:p w14:paraId="374F1100" w14:textId="77777777" w:rsidR="008B1C4B" w:rsidRDefault="008B1C4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4117" w14:textId="76D61E5E" w:rsidR="008B1C4B" w:rsidRPr="001B200F" w:rsidRDefault="008B1C4B"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443">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443">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15/5/2020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86F1" w14:textId="0DE6FC49" w:rsidR="008B1C4B" w:rsidRPr="00E35B1A" w:rsidRDefault="008B1C4B"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8/5/2020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63E3" w14:textId="145A1AD4" w:rsidR="008B1C4B" w:rsidRPr="001B200F" w:rsidRDefault="008B1C4B"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443">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443">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15/5/2020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B35D" w14:textId="3F684891" w:rsidR="008B1C4B" w:rsidRPr="00E35B1A" w:rsidRDefault="008B1C4B"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443">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443">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15/5/2020</w:t>
    </w:r>
    <w:r>
      <w:rPr>
        <w:sz w:val="18"/>
      </w:rPr>
      <w:fldChar w:fldCharType="end"/>
    </w:r>
    <w:r>
      <w:rPr>
        <w:sz w:val="18"/>
      </w:rPr>
      <w:ptab w:relativeTo="margin" w:alignment="right" w:leader="none"/>
    </w:r>
    <w:r w:rsidRPr="00155582">
      <w:rPr>
        <w:sz w:val="18"/>
      </w:rPr>
      <w:t>health.gov.au/cdi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F922" w14:textId="32FEECA5" w:rsidR="008B1C4B" w:rsidRPr="0042435E" w:rsidRDefault="008B1C4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443">
      <w:rPr>
        <w:noProof/>
        <w:sz w:val="18"/>
      </w:rPr>
      <w:t>29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443">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15/5/2020</w:t>
    </w:r>
    <w:r>
      <w:rPr>
        <w:sz w:val="18"/>
      </w:rPr>
      <w:fldChar w:fldCharType="end"/>
    </w:r>
    <w:r>
      <w:rPr>
        <w:sz w:val="18"/>
      </w:rPr>
      <w:ptab w:relativeTo="margin" w:alignment="right" w:leader="none"/>
    </w:r>
    <w:r w:rsidRPr="00155582">
      <w:rPr>
        <w:sz w:val="18"/>
      </w:rPr>
      <w:t>health.gov.au/cdi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0DB" w14:textId="667412BC" w:rsidR="008B1C4B" w:rsidRPr="00BB5378" w:rsidRDefault="008B1C4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C3443">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C3443">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https://doi.org/10.33321/cdi.2020.44.43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15/5/2020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B81F" w14:textId="77777777" w:rsidR="008B1C4B" w:rsidRDefault="008B1C4B" w:rsidP="002602A6">
      <w:pPr>
        <w:spacing w:after="20" w:line="240" w:lineRule="auto"/>
      </w:pPr>
      <w:r>
        <w:separator/>
      </w:r>
    </w:p>
  </w:footnote>
  <w:footnote w:type="continuationSeparator" w:id="0">
    <w:p w14:paraId="4564CEB4" w14:textId="77777777" w:rsidR="008B1C4B" w:rsidRDefault="008B1C4B" w:rsidP="00E54DBA">
      <w:r>
        <w:continuationSeparator/>
      </w:r>
    </w:p>
  </w:footnote>
  <w:footnote w:type="continuationNotice" w:id="1">
    <w:p w14:paraId="7B071A84" w14:textId="77777777" w:rsidR="008B1C4B" w:rsidRPr="00224EFF" w:rsidRDefault="008B1C4B" w:rsidP="00224EFF">
      <w:pPr>
        <w:pStyle w:val="Footer"/>
      </w:pPr>
    </w:p>
  </w:footnote>
  <w:footnote w:id="2">
    <w:p w14:paraId="320E6F5E" w14:textId="5FE718CC" w:rsidR="008B1C4B" w:rsidRPr="0025679A" w:rsidRDefault="008B1C4B" w:rsidP="0025679A">
      <w:pPr>
        <w:pStyle w:val="CDIfootnotes"/>
      </w:pPr>
      <w:r w:rsidRPr="0025679A">
        <w:rPr>
          <w:rStyle w:val="FootnoteReference"/>
          <w:vertAlign w:val="baseline"/>
        </w:rPr>
        <w:footnoteRef/>
      </w:r>
      <w:r w:rsidRPr="0025679A">
        <w:tab/>
        <w:t xml:space="preserve">Data caveats: Based on data extracted from the National Notifiable Diseases Surveillance System (NNDSS) on 12 May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495" w14:textId="77777777" w:rsidR="008B1C4B" w:rsidRPr="00A153B6" w:rsidRDefault="005252C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B1C4B">
          <w:t>Weekly epidemiological report</w:t>
        </w:r>
      </w:sdtContent>
    </w:sdt>
    <w:r w:rsidR="008B1C4B">
      <w:ptab w:relativeTo="margin" w:alignment="right" w:leader="none"/>
    </w:r>
    <w:r w:rsidR="008B1C4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6969" w14:textId="77777777" w:rsidR="008B1C4B" w:rsidRPr="000A5F42" w:rsidRDefault="008B1C4B" w:rsidP="000A5F42">
    <w:pPr>
      <w:pStyle w:val="Header"/>
      <w:jc w:val="center"/>
      <w:rPr>
        <w:b/>
      </w:rPr>
    </w:pPr>
    <w:r w:rsidRPr="00E810C5">
      <w:rPr>
        <w:rFonts w:cs="Myriad Pro"/>
        <w:noProof/>
        <w:color w:val="211D1E"/>
        <w:sz w:val="16"/>
      </w:rPr>
      <w:drawing>
        <wp:inline distT="0" distB="0" distL="0" distR="0" wp14:anchorId="22585992" wp14:editId="3270F2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E9F"/>
    <w:multiLevelType w:val="hybridMultilevel"/>
    <w:tmpl w:val="981E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3185B"/>
    <w:multiLevelType w:val="hybridMultilevel"/>
    <w:tmpl w:val="1B26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91C9B"/>
    <w:multiLevelType w:val="hybridMultilevel"/>
    <w:tmpl w:val="34283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3E3FEF"/>
    <w:multiLevelType w:val="hybridMultilevel"/>
    <w:tmpl w:val="E724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AC7E82"/>
    <w:multiLevelType w:val="hybridMultilevel"/>
    <w:tmpl w:val="1CBEF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35264"/>
    <w:multiLevelType w:val="hybridMultilevel"/>
    <w:tmpl w:val="373C508A"/>
    <w:lvl w:ilvl="0" w:tplc="D7D46A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1869AD"/>
    <w:multiLevelType w:val="hybridMultilevel"/>
    <w:tmpl w:val="E00CCD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521229"/>
    <w:multiLevelType w:val="hybridMultilevel"/>
    <w:tmpl w:val="1228E662"/>
    <w:lvl w:ilvl="0" w:tplc="50E61C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FA4829"/>
    <w:multiLevelType w:val="hybridMultilevel"/>
    <w:tmpl w:val="0290A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C23EB3"/>
    <w:multiLevelType w:val="hybridMultilevel"/>
    <w:tmpl w:val="1908B442"/>
    <w:lvl w:ilvl="0" w:tplc="37D8E6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ED6712"/>
    <w:multiLevelType w:val="hybridMultilevel"/>
    <w:tmpl w:val="D1624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B06C8C"/>
    <w:multiLevelType w:val="hybridMultilevel"/>
    <w:tmpl w:val="1F80EF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D161C"/>
    <w:multiLevelType w:val="hybridMultilevel"/>
    <w:tmpl w:val="C4824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2635A5"/>
    <w:multiLevelType w:val="hybridMultilevel"/>
    <w:tmpl w:val="7C4ABDD8"/>
    <w:lvl w:ilvl="0" w:tplc="F2E4A3F6">
      <w:start w:val="1"/>
      <w:numFmt w:val="bullet"/>
      <w:lvlText w:val=""/>
      <w:lvlJc w:val="left"/>
      <w:pPr>
        <w:ind w:left="360" w:hanging="360"/>
      </w:pPr>
      <w:rPr>
        <w:rFonts w:ascii="Symbol" w:hAnsi="Symbol" w:hint="default"/>
      </w:rPr>
    </w:lvl>
    <w:lvl w:ilvl="1" w:tplc="836420E2">
      <w:start w:val="1"/>
      <w:numFmt w:val="bullet"/>
      <w:lvlText w:val="o"/>
      <w:lvlJc w:val="left"/>
      <w:pPr>
        <w:ind w:left="1440" w:hanging="360"/>
      </w:pPr>
      <w:rPr>
        <w:rFonts w:ascii="Courier New" w:hAnsi="Courier New" w:cs="Courier New" w:hint="default"/>
      </w:rPr>
    </w:lvl>
    <w:lvl w:ilvl="2" w:tplc="F1144E82">
      <w:start w:val="1"/>
      <w:numFmt w:val="bullet"/>
      <w:lvlText w:val=""/>
      <w:lvlJc w:val="left"/>
      <w:pPr>
        <w:ind w:left="2160" w:hanging="360"/>
      </w:pPr>
      <w:rPr>
        <w:rFonts w:ascii="Wingdings" w:hAnsi="Wingdings" w:hint="default"/>
      </w:rPr>
    </w:lvl>
    <w:lvl w:ilvl="3" w:tplc="5468A442">
      <w:start w:val="1"/>
      <w:numFmt w:val="bullet"/>
      <w:lvlText w:val=""/>
      <w:lvlJc w:val="left"/>
      <w:pPr>
        <w:ind w:left="2880" w:hanging="360"/>
      </w:pPr>
      <w:rPr>
        <w:rFonts w:ascii="Symbol" w:hAnsi="Symbol" w:hint="default"/>
      </w:rPr>
    </w:lvl>
    <w:lvl w:ilvl="4" w:tplc="116CB8F8">
      <w:start w:val="1"/>
      <w:numFmt w:val="bullet"/>
      <w:lvlText w:val="o"/>
      <w:lvlJc w:val="left"/>
      <w:pPr>
        <w:ind w:left="3600" w:hanging="360"/>
      </w:pPr>
      <w:rPr>
        <w:rFonts w:ascii="Courier New" w:hAnsi="Courier New" w:cs="Courier New" w:hint="default"/>
      </w:rPr>
    </w:lvl>
    <w:lvl w:ilvl="5" w:tplc="83EEE9A8">
      <w:start w:val="1"/>
      <w:numFmt w:val="bullet"/>
      <w:lvlText w:val=""/>
      <w:lvlJc w:val="left"/>
      <w:pPr>
        <w:ind w:left="4320" w:hanging="360"/>
      </w:pPr>
      <w:rPr>
        <w:rFonts w:ascii="Wingdings" w:hAnsi="Wingdings" w:hint="default"/>
      </w:rPr>
    </w:lvl>
    <w:lvl w:ilvl="6" w:tplc="54AA7394">
      <w:start w:val="1"/>
      <w:numFmt w:val="bullet"/>
      <w:lvlText w:val=""/>
      <w:lvlJc w:val="left"/>
      <w:pPr>
        <w:ind w:left="5040" w:hanging="360"/>
      </w:pPr>
      <w:rPr>
        <w:rFonts w:ascii="Symbol" w:hAnsi="Symbol" w:hint="default"/>
      </w:rPr>
    </w:lvl>
    <w:lvl w:ilvl="7" w:tplc="6A827D3C">
      <w:start w:val="1"/>
      <w:numFmt w:val="bullet"/>
      <w:lvlText w:val="o"/>
      <w:lvlJc w:val="left"/>
      <w:pPr>
        <w:ind w:left="5760" w:hanging="360"/>
      </w:pPr>
      <w:rPr>
        <w:rFonts w:ascii="Courier New" w:hAnsi="Courier New" w:cs="Courier New" w:hint="default"/>
      </w:rPr>
    </w:lvl>
    <w:lvl w:ilvl="8" w:tplc="CC42A012">
      <w:start w:val="1"/>
      <w:numFmt w:val="bullet"/>
      <w:lvlText w:val=""/>
      <w:lvlJc w:val="left"/>
      <w:pPr>
        <w:ind w:left="6480" w:hanging="360"/>
      </w:pPr>
      <w:rPr>
        <w:rFonts w:ascii="Wingdings" w:hAnsi="Wingdings" w:hint="default"/>
      </w:rPr>
    </w:lvl>
  </w:abstractNum>
  <w:abstractNum w:abstractNumId="21" w15:restartNumberingAfterBreak="0">
    <w:nsid w:val="79A513C5"/>
    <w:multiLevelType w:val="hybridMultilevel"/>
    <w:tmpl w:val="60588D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CEC2ED0"/>
    <w:multiLevelType w:val="hybridMultilevel"/>
    <w:tmpl w:val="60C27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7937261">
    <w:abstractNumId w:val="19"/>
  </w:num>
  <w:num w:numId="2" w16cid:durableId="573854292">
    <w:abstractNumId w:val="4"/>
  </w:num>
  <w:num w:numId="3" w16cid:durableId="420566453">
    <w:abstractNumId w:val="11"/>
  </w:num>
  <w:num w:numId="4" w16cid:durableId="212236016">
    <w:abstractNumId w:val="12"/>
  </w:num>
  <w:num w:numId="5" w16cid:durableId="1808625705">
    <w:abstractNumId w:val="8"/>
  </w:num>
  <w:num w:numId="6" w16cid:durableId="1074205751">
    <w:abstractNumId w:val="6"/>
  </w:num>
  <w:num w:numId="7" w16cid:durableId="840464158">
    <w:abstractNumId w:val="17"/>
  </w:num>
  <w:num w:numId="8" w16cid:durableId="1130052122">
    <w:abstractNumId w:val="7"/>
  </w:num>
  <w:num w:numId="9" w16cid:durableId="1991862911">
    <w:abstractNumId w:val="21"/>
  </w:num>
  <w:num w:numId="10" w16cid:durableId="467941612">
    <w:abstractNumId w:val="14"/>
  </w:num>
  <w:num w:numId="11" w16cid:durableId="2067952327">
    <w:abstractNumId w:val="0"/>
  </w:num>
  <w:num w:numId="12" w16cid:durableId="430009117">
    <w:abstractNumId w:val="3"/>
  </w:num>
  <w:num w:numId="13" w16cid:durableId="917714872">
    <w:abstractNumId w:val="1"/>
  </w:num>
  <w:num w:numId="14" w16cid:durableId="321592475">
    <w:abstractNumId w:val="5"/>
  </w:num>
  <w:num w:numId="15" w16cid:durableId="994186660">
    <w:abstractNumId w:val="13"/>
  </w:num>
  <w:num w:numId="16" w16cid:durableId="1368022517">
    <w:abstractNumId w:val="2"/>
  </w:num>
  <w:num w:numId="17" w16cid:durableId="1313480984">
    <w:abstractNumId w:val="18"/>
  </w:num>
  <w:num w:numId="18" w16cid:durableId="438139579">
    <w:abstractNumId w:val="22"/>
  </w:num>
  <w:num w:numId="19" w16cid:durableId="972060942">
    <w:abstractNumId w:val="20"/>
  </w:num>
  <w:num w:numId="20" w16cid:durableId="1898128849">
    <w:abstractNumId w:val="9"/>
  </w:num>
  <w:num w:numId="21" w16cid:durableId="962537082">
    <w:abstractNumId w:val="10"/>
  </w:num>
  <w:num w:numId="22" w16cid:durableId="243614482">
    <w:abstractNumId w:val="16"/>
  </w:num>
  <w:num w:numId="23" w16cid:durableId="70663665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20"/>
  <w:noPunctuationKerning/>
  <w:characterSpacingControl w:val="doNotCompress"/>
  <w:hdrShapeDefaults>
    <o:shapedefaults v:ext="edit" spidmax="1208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211"/>
    <w:rsid w:val="00000B5B"/>
    <w:rsid w:val="00001611"/>
    <w:rsid w:val="000062D7"/>
    <w:rsid w:val="000104A8"/>
    <w:rsid w:val="0001246E"/>
    <w:rsid w:val="000124B1"/>
    <w:rsid w:val="00012BD5"/>
    <w:rsid w:val="00013639"/>
    <w:rsid w:val="000155A2"/>
    <w:rsid w:val="00016FE6"/>
    <w:rsid w:val="00025857"/>
    <w:rsid w:val="000272A6"/>
    <w:rsid w:val="00031064"/>
    <w:rsid w:val="00031692"/>
    <w:rsid w:val="00032531"/>
    <w:rsid w:val="0004150B"/>
    <w:rsid w:val="00042A49"/>
    <w:rsid w:val="0004524F"/>
    <w:rsid w:val="00046B84"/>
    <w:rsid w:val="000471BF"/>
    <w:rsid w:val="00047B68"/>
    <w:rsid w:val="00052451"/>
    <w:rsid w:val="00052600"/>
    <w:rsid w:val="00052AC3"/>
    <w:rsid w:val="0005643C"/>
    <w:rsid w:val="0006264A"/>
    <w:rsid w:val="00063E0F"/>
    <w:rsid w:val="0006424B"/>
    <w:rsid w:val="00066F1C"/>
    <w:rsid w:val="00071C89"/>
    <w:rsid w:val="00072AF7"/>
    <w:rsid w:val="00073D77"/>
    <w:rsid w:val="0007738A"/>
    <w:rsid w:val="00077661"/>
    <w:rsid w:val="00081655"/>
    <w:rsid w:val="00084FC0"/>
    <w:rsid w:val="00085920"/>
    <w:rsid w:val="000864E0"/>
    <w:rsid w:val="000938CC"/>
    <w:rsid w:val="0009500D"/>
    <w:rsid w:val="000969B3"/>
    <w:rsid w:val="000A449A"/>
    <w:rsid w:val="000A5F42"/>
    <w:rsid w:val="000B10E0"/>
    <w:rsid w:val="000B5FFF"/>
    <w:rsid w:val="000C5878"/>
    <w:rsid w:val="000C5D69"/>
    <w:rsid w:val="000D1A88"/>
    <w:rsid w:val="000D4008"/>
    <w:rsid w:val="000D48B8"/>
    <w:rsid w:val="000D4B4D"/>
    <w:rsid w:val="000D767A"/>
    <w:rsid w:val="000F17AA"/>
    <w:rsid w:val="000F6820"/>
    <w:rsid w:val="00105DBA"/>
    <w:rsid w:val="001133EA"/>
    <w:rsid w:val="00113983"/>
    <w:rsid w:val="00113D58"/>
    <w:rsid w:val="00124706"/>
    <w:rsid w:val="00125A26"/>
    <w:rsid w:val="00126877"/>
    <w:rsid w:val="00127F6B"/>
    <w:rsid w:val="0013021A"/>
    <w:rsid w:val="00130FC0"/>
    <w:rsid w:val="001332AF"/>
    <w:rsid w:val="001378A3"/>
    <w:rsid w:val="00140BCC"/>
    <w:rsid w:val="001424BB"/>
    <w:rsid w:val="00143512"/>
    <w:rsid w:val="001532EB"/>
    <w:rsid w:val="00153793"/>
    <w:rsid w:val="001538C7"/>
    <w:rsid w:val="00155582"/>
    <w:rsid w:val="00161059"/>
    <w:rsid w:val="00161590"/>
    <w:rsid w:val="001677BC"/>
    <w:rsid w:val="00167B56"/>
    <w:rsid w:val="00171CC0"/>
    <w:rsid w:val="00173122"/>
    <w:rsid w:val="00174909"/>
    <w:rsid w:val="00174A4C"/>
    <w:rsid w:val="00175494"/>
    <w:rsid w:val="00175629"/>
    <w:rsid w:val="0017693C"/>
    <w:rsid w:val="001830EC"/>
    <w:rsid w:val="00183534"/>
    <w:rsid w:val="00183ADD"/>
    <w:rsid w:val="001861ED"/>
    <w:rsid w:val="001900F8"/>
    <w:rsid w:val="0019128E"/>
    <w:rsid w:val="00191BC4"/>
    <w:rsid w:val="00192641"/>
    <w:rsid w:val="001942E5"/>
    <w:rsid w:val="00197D6B"/>
    <w:rsid w:val="001A2060"/>
    <w:rsid w:val="001A4A96"/>
    <w:rsid w:val="001A5D05"/>
    <w:rsid w:val="001A7206"/>
    <w:rsid w:val="001A796C"/>
    <w:rsid w:val="001B0063"/>
    <w:rsid w:val="001B200F"/>
    <w:rsid w:val="001B2614"/>
    <w:rsid w:val="001B37B8"/>
    <w:rsid w:val="001B4843"/>
    <w:rsid w:val="001B552F"/>
    <w:rsid w:val="001B608F"/>
    <w:rsid w:val="001C0893"/>
    <w:rsid w:val="001C1303"/>
    <w:rsid w:val="001C1696"/>
    <w:rsid w:val="001C70B2"/>
    <w:rsid w:val="001D3534"/>
    <w:rsid w:val="001D37C7"/>
    <w:rsid w:val="001D6888"/>
    <w:rsid w:val="001D7008"/>
    <w:rsid w:val="001E4FD1"/>
    <w:rsid w:val="001E5235"/>
    <w:rsid w:val="001F3318"/>
    <w:rsid w:val="001F36D9"/>
    <w:rsid w:val="001F3AEB"/>
    <w:rsid w:val="001F52EB"/>
    <w:rsid w:val="001F5AE4"/>
    <w:rsid w:val="002001DA"/>
    <w:rsid w:val="00203DFA"/>
    <w:rsid w:val="00206365"/>
    <w:rsid w:val="0021033A"/>
    <w:rsid w:val="00210B3A"/>
    <w:rsid w:val="0021215D"/>
    <w:rsid w:val="002149E0"/>
    <w:rsid w:val="00215BBB"/>
    <w:rsid w:val="00223C1E"/>
    <w:rsid w:val="00224EFF"/>
    <w:rsid w:val="002276DC"/>
    <w:rsid w:val="00227E00"/>
    <w:rsid w:val="002307CB"/>
    <w:rsid w:val="00230956"/>
    <w:rsid w:val="00231046"/>
    <w:rsid w:val="00232AAE"/>
    <w:rsid w:val="00234F21"/>
    <w:rsid w:val="002369C4"/>
    <w:rsid w:val="002402B0"/>
    <w:rsid w:val="00242659"/>
    <w:rsid w:val="002428F7"/>
    <w:rsid w:val="0024315F"/>
    <w:rsid w:val="00243DB1"/>
    <w:rsid w:val="00244FDD"/>
    <w:rsid w:val="00250FEB"/>
    <w:rsid w:val="00252C9A"/>
    <w:rsid w:val="00256309"/>
    <w:rsid w:val="0025679A"/>
    <w:rsid w:val="00256E31"/>
    <w:rsid w:val="00257484"/>
    <w:rsid w:val="00257EDF"/>
    <w:rsid w:val="002602A6"/>
    <w:rsid w:val="00260636"/>
    <w:rsid w:val="0026096E"/>
    <w:rsid w:val="00273024"/>
    <w:rsid w:val="00273A82"/>
    <w:rsid w:val="0027485A"/>
    <w:rsid w:val="00275C78"/>
    <w:rsid w:val="00280497"/>
    <w:rsid w:val="00280594"/>
    <w:rsid w:val="00281492"/>
    <w:rsid w:val="00281A81"/>
    <w:rsid w:val="00281B82"/>
    <w:rsid w:val="00281EE3"/>
    <w:rsid w:val="0028447B"/>
    <w:rsid w:val="00284E4A"/>
    <w:rsid w:val="0029468C"/>
    <w:rsid w:val="002A3799"/>
    <w:rsid w:val="002A3BCC"/>
    <w:rsid w:val="002A3C8E"/>
    <w:rsid w:val="002A41AD"/>
    <w:rsid w:val="002A4516"/>
    <w:rsid w:val="002A46E0"/>
    <w:rsid w:val="002A569F"/>
    <w:rsid w:val="002A7066"/>
    <w:rsid w:val="002A70B8"/>
    <w:rsid w:val="002A7DB1"/>
    <w:rsid w:val="002B001E"/>
    <w:rsid w:val="002B09B7"/>
    <w:rsid w:val="002B1937"/>
    <w:rsid w:val="002B6A89"/>
    <w:rsid w:val="002B75A9"/>
    <w:rsid w:val="002C1249"/>
    <w:rsid w:val="002C166C"/>
    <w:rsid w:val="002C21B0"/>
    <w:rsid w:val="002C26A8"/>
    <w:rsid w:val="002C27AB"/>
    <w:rsid w:val="002C3CC8"/>
    <w:rsid w:val="002C5D56"/>
    <w:rsid w:val="002C7B31"/>
    <w:rsid w:val="002D08E9"/>
    <w:rsid w:val="002D581D"/>
    <w:rsid w:val="002D5998"/>
    <w:rsid w:val="002D6CC8"/>
    <w:rsid w:val="002D708B"/>
    <w:rsid w:val="002D7093"/>
    <w:rsid w:val="002E2F24"/>
    <w:rsid w:val="002E2FB3"/>
    <w:rsid w:val="002E3240"/>
    <w:rsid w:val="002E43A1"/>
    <w:rsid w:val="002E7726"/>
    <w:rsid w:val="002E7FF7"/>
    <w:rsid w:val="002F2FC4"/>
    <w:rsid w:val="002F327B"/>
    <w:rsid w:val="002F3972"/>
    <w:rsid w:val="002F4BFA"/>
    <w:rsid w:val="002F5A44"/>
    <w:rsid w:val="002F6AC7"/>
    <w:rsid w:val="00301626"/>
    <w:rsid w:val="00301D34"/>
    <w:rsid w:val="0030357F"/>
    <w:rsid w:val="00303DEB"/>
    <w:rsid w:val="003049EE"/>
    <w:rsid w:val="003059EC"/>
    <w:rsid w:val="00315D9F"/>
    <w:rsid w:val="00316CCD"/>
    <w:rsid w:val="003206F9"/>
    <w:rsid w:val="00320762"/>
    <w:rsid w:val="0032369A"/>
    <w:rsid w:val="00324F7E"/>
    <w:rsid w:val="00326D11"/>
    <w:rsid w:val="00331EAA"/>
    <w:rsid w:val="003323BC"/>
    <w:rsid w:val="00332F39"/>
    <w:rsid w:val="003337B8"/>
    <w:rsid w:val="003409C2"/>
    <w:rsid w:val="00346D42"/>
    <w:rsid w:val="00346E11"/>
    <w:rsid w:val="003601C0"/>
    <w:rsid w:val="00362FB7"/>
    <w:rsid w:val="0036335A"/>
    <w:rsid w:val="003635F5"/>
    <w:rsid w:val="003640E3"/>
    <w:rsid w:val="00365F3D"/>
    <w:rsid w:val="0036634B"/>
    <w:rsid w:val="00366389"/>
    <w:rsid w:val="00372A88"/>
    <w:rsid w:val="00373B11"/>
    <w:rsid w:val="003770BB"/>
    <w:rsid w:val="0038139B"/>
    <w:rsid w:val="00381A0F"/>
    <w:rsid w:val="003820F6"/>
    <w:rsid w:val="00382F58"/>
    <w:rsid w:val="00387666"/>
    <w:rsid w:val="00387886"/>
    <w:rsid w:val="0039050E"/>
    <w:rsid w:val="003962B5"/>
    <w:rsid w:val="003965F5"/>
    <w:rsid w:val="003A1B3A"/>
    <w:rsid w:val="003A371E"/>
    <w:rsid w:val="003A3BF8"/>
    <w:rsid w:val="003A40F5"/>
    <w:rsid w:val="003B5B8C"/>
    <w:rsid w:val="003B5FDB"/>
    <w:rsid w:val="003C037C"/>
    <w:rsid w:val="003C04CD"/>
    <w:rsid w:val="003C1379"/>
    <w:rsid w:val="003C3443"/>
    <w:rsid w:val="003C44DC"/>
    <w:rsid w:val="003D1043"/>
    <w:rsid w:val="003D431C"/>
    <w:rsid w:val="003D5C30"/>
    <w:rsid w:val="003D79B1"/>
    <w:rsid w:val="003D7FCC"/>
    <w:rsid w:val="003E2DCC"/>
    <w:rsid w:val="003E74EE"/>
    <w:rsid w:val="003F0552"/>
    <w:rsid w:val="003F2282"/>
    <w:rsid w:val="003F3BC2"/>
    <w:rsid w:val="003F435B"/>
    <w:rsid w:val="003F51D3"/>
    <w:rsid w:val="003F616F"/>
    <w:rsid w:val="003F675E"/>
    <w:rsid w:val="00401ED1"/>
    <w:rsid w:val="0040224C"/>
    <w:rsid w:val="00402754"/>
    <w:rsid w:val="00403265"/>
    <w:rsid w:val="004120FB"/>
    <w:rsid w:val="00413EE1"/>
    <w:rsid w:val="00414B32"/>
    <w:rsid w:val="004158DE"/>
    <w:rsid w:val="004161FD"/>
    <w:rsid w:val="004164BB"/>
    <w:rsid w:val="00421ECE"/>
    <w:rsid w:val="00422FEB"/>
    <w:rsid w:val="0042435E"/>
    <w:rsid w:val="00426C17"/>
    <w:rsid w:val="004315F5"/>
    <w:rsid w:val="00433456"/>
    <w:rsid w:val="00433DFA"/>
    <w:rsid w:val="00435D67"/>
    <w:rsid w:val="00442C9F"/>
    <w:rsid w:val="00442D81"/>
    <w:rsid w:val="00444C1F"/>
    <w:rsid w:val="00444C2B"/>
    <w:rsid w:val="00445967"/>
    <w:rsid w:val="00447B90"/>
    <w:rsid w:val="004518D6"/>
    <w:rsid w:val="004532EE"/>
    <w:rsid w:val="00456585"/>
    <w:rsid w:val="00464174"/>
    <w:rsid w:val="00464A58"/>
    <w:rsid w:val="00465D9D"/>
    <w:rsid w:val="00465E56"/>
    <w:rsid w:val="00473A06"/>
    <w:rsid w:val="00473D2D"/>
    <w:rsid w:val="0047430A"/>
    <w:rsid w:val="00480A20"/>
    <w:rsid w:val="004815BD"/>
    <w:rsid w:val="00483AE6"/>
    <w:rsid w:val="00485236"/>
    <w:rsid w:val="00485A37"/>
    <w:rsid w:val="0048755B"/>
    <w:rsid w:val="00492250"/>
    <w:rsid w:val="00492726"/>
    <w:rsid w:val="00493913"/>
    <w:rsid w:val="004963F9"/>
    <w:rsid w:val="00496542"/>
    <w:rsid w:val="00497B55"/>
    <w:rsid w:val="004A051F"/>
    <w:rsid w:val="004A16B9"/>
    <w:rsid w:val="004A1C24"/>
    <w:rsid w:val="004A1CD0"/>
    <w:rsid w:val="004A2125"/>
    <w:rsid w:val="004A38F6"/>
    <w:rsid w:val="004A451A"/>
    <w:rsid w:val="004A666B"/>
    <w:rsid w:val="004A7CD8"/>
    <w:rsid w:val="004B14A7"/>
    <w:rsid w:val="004B30C1"/>
    <w:rsid w:val="004B4EB6"/>
    <w:rsid w:val="004B572A"/>
    <w:rsid w:val="004B7E39"/>
    <w:rsid w:val="004C00B6"/>
    <w:rsid w:val="004C083C"/>
    <w:rsid w:val="004C0D20"/>
    <w:rsid w:val="004C1E3B"/>
    <w:rsid w:val="004C3DF6"/>
    <w:rsid w:val="004C4E9D"/>
    <w:rsid w:val="004C5281"/>
    <w:rsid w:val="004C67C6"/>
    <w:rsid w:val="004C704E"/>
    <w:rsid w:val="004D022B"/>
    <w:rsid w:val="004D29DE"/>
    <w:rsid w:val="004D44DA"/>
    <w:rsid w:val="004D55EB"/>
    <w:rsid w:val="004E15A9"/>
    <w:rsid w:val="004E2631"/>
    <w:rsid w:val="004E2D94"/>
    <w:rsid w:val="004E7767"/>
    <w:rsid w:val="004F0209"/>
    <w:rsid w:val="004F09D9"/>
    <w:rsid w:val="004F1189"/>
    <w:rsid w:val="004F1568"/>
    <w:rsid w:val="004F6AC3"/>
    <w:rsid w:val="00500330"/>
    <w:rsid w:val="00502325"/>
    <w:rsid w:val="00503E06"/>
    <w:rsid w:val="00503EBA"/>
    <w:rsid w:val="00505FEF"/>
    <w:rsid w:val="00507889"/>
    <w:rsid w:val="00510EAC"/>
    <w:rsid w:val="005135DF"/>
    <w:rsid w:val="00515484"/>
    <w:rsid w:val="00521202"/>
    <w:rsid w:val="00524C9C"/>
    <w:rsid w:val="005252CD"/>
    <w:rsid w:val="00525B38"/>
    <w:rsid w:val="00533EC8"/>
    <w:rsid w:val="00536DFB"/>
    <w:rsid w:val="005426ED"/>
    <w:rsid w:val="00542A57"/>
    <w:rsid w:val="00543321"/>
    <w:rsid w:val="005458F0"/>
    <w:rsid w:val="00546D7D"/>
    <w:rsid w:val="005527A9"/>
    <w:rsid w:val="00554991"/>
    <w:rsid w:val="005555C9"/>
    <w:rsid w:val="0055567B"/>
    <w:rsid w:val="00560E9E"/>
    <w:rsid w:val="00565974"/>
    <w:rsid w:val="005678DC"/>
    <w:rsid w:val="005732C0"/>
    <w:rsid w:val="0057336D"/>
    <w:rsid w:val="005745B2"/>
    <w:rsid w:val="0057489A"/>
    <w:rsid w:val="00574ACF"/>
    <w:rsid w:val="0057585A"/>
    <w:rsid w:val="0057762C"/>
    <w:rsid w:val="00577775"/>
    <w:rsid w:val="00581588"/>
    <w:rsid w:val="005823DA"/>
    <w:rsid w:val="00582A6A"/>
    <w:rsid w:val="00584787"/>
    <w:rsid w:val="0058540B"/>
    <w:rsid w:val="00587C87"/>
    <w:rsid w:val="00590B80"/>
    <w:rsid w:val="00597000"/>
    <w:rsid w:val="005A02CE"/>
    <w:rsid w:val="005A0D64"/>
    <w:rsid w:val="005A2198"/>
    <w:rsid w:val="005A38CF"/>
    <w:rsid w:val="005A45C7"/>
    <w:rsid w:val="005A661E"/>
    <w:rsid w:val="005B1DAA"/>
    <w:rsid w:val="005B3134"/>
    <w:rsid w:val="005B4E61"/>
    <w:rsid w:val="005B595A"/>
    <w:rsid w:val="005B62B4"/>
    <w:rsid w:val="005B66C2"/>
    <w:rsid w:val="005B794C"/>
    <w:rsid w:val="005B7A7D"/>
    <w:rsid w:val="005C521E"/>
    <w:rsid w:val="005C6A9B"/>
    <w:rsid w:val="005C73FB"/>
    <w:rsid w:val="005C7707"/>
    <w:rsid w:val="005D2465"/>
    <w:rsid w:val="005D6EB9"/>
    <w:rsid w:val="005E2B23"/>
    <w:rsid w:val="005E33DD"/>
    <w:rsid w:val="005E4229"/>
    <w:rsid w:val="005E540E"/>
    <w:rsid w:val="005E55FB"/>
    <w:rsid w:val="005E604D"/>
    <w:rsid w:val="005E74DA"/>
    <w:rsid w:val="005F01EE"/>
    <w:rsid w:val="005F023A"/>
    <w:rsid w:val="005F16BB"/>
    <w:rsid w:val="005F3141"/>
    <w:rsid w:val="005F79C4"/>
    <w:rsid w:val="00604D8E"/>
    <w:rsid w:val="006059A0"/>
    <w:rsid w:val="00606972"/>
    <w:rsid w:val="00607115"/>
    <w:rsid w:val="00612CFC"/>
    <w:rsid w:val="006150CA"/>
    <w:rsid w:val="00617475"/>
    <w:rsid w:val="00620768"/>
    <w:rsid w:val="0062594B"/>
    <w:rsid w:val="0062641D"/>
    <w:rsid w:val="0062746D"/>
    <w:rsid w:val="006304AF"/>
    <w:rsid w:val="00630F30"/>
    <w:rsid w:val="00631406"/>
    <w:rsid w:val="006324FF"/>
    <w:rsid w:val="0063364F"/>
    <w:rsid w:val="00634FCA"/>
    <w:rsid w:val="006351D6"/>
    <w:rsid w:val="00636E0D"/>
    <w:rsid w:val="006370C8"/>
    <w:rsid w:val="00637963"/>
    <w:rsid w:val="00637E02"/>
    <w:rsid w:val="0064142F"/>
    <w:rsid w:val="00643CB4"/>
    <w:rsid w:val="00645958"/>
    <w:rsid w:val="00650D81"/>
    <w:rsid w:val="00656427"/>
    <w:rsid w:val="00660255"/>
    <w:rsid w:val="00661351"/>
    <w:rsid w:val="0066493C"/>
    <w:rsid w:val="00664CFE"/>
    <w:rsid w:val="00672381"/>
    <w:rsid w:val="00673EB1"/>
    <w:rsid w:val="00681BB2"/>
    <w:rsid w:val="006828AB"/>
    <w:rsid w:val="006850AA"/>
    <w:rsid w:val="00685DE2"/>
    <w:rsid w:val="00687695"/>
    <w:rsid w:val="00692B34"/>
    <w:rsid w:val="00693582"/>
    <w:rsid w:val="006942EF"/>
    <w:rsid w:val="006971F3"/>
    <w:rsid w:val="006A5591"/>
    <w:rsid w:val="006B01F2"/>
    <w:rsid w:val="006B39B3"/>
    <w:rsid w:val="006B3B37"/>
    <w:rsid w:val="006B48FF"/>
    <w:rsid w:val="006C01FB"/>
    <w:rsid w:val="006C2275"/>
    <w:rsid w:val="006C58DA"/>
    <w:rsid w:val="006C74A3"/>
    <w:rsid w:val="006D12F5"/>
    <w:rsid w:val="006D1381"/>
    <w:rsid w:val="006D2A0E"/>
    <w:rsid w:val="006D31BC"/>
    <w:rsid w:val="006D36E8"/>
    <w:rsid w:val="006E30CD"/>
    <w:rsid w:val="006E57CC"/>
    <w:rsid w:val="006E7943"/>
    <w:rsid w:val="006F1242"/>
    <w:rsid w:val="006F24EA"/>
    <w:rsid w:val="006F48B9"/>
    <w:rsid w:val="006F7F44"/>
    <w:rsid w:val="00702299"/>
    <w:rsid w:val="00704CA9"/>
    <w:rsid w:val="00707DD1"/>
    <w:rsid w:val="0071048D"/>
    <w:rsid w:val="00710F86"/>
    <w:rsid w:val="007110AF"/>
    <w:rsid w:val="00711166"/>
    <w:rsid w:val="007111A8"/>
    <w:rsid w:val="00713506"/>
    <w:rsid w:val="00717764"/>
    <w:rsid w:val="00721537"/>
    <w:rsid w:val="00723088"/>
    <w:rsid w:val="00731BC3"/>
    <w:rsid w:val="00731BF0"/>
    <w:rsid w:val="00732B0D"/>
    <w:rsid w:val="00734C3D"/>
    <w:rsid w:val="007354B2"/>
    <w:rsid w:val="00741192"/>
    <w:rsid w:val="0074301A"/>
    <w:rsid w:val="007431BC"/>
    <w:rsid w:val="00743A33"/>
    <w:rsid w:val="00746080"/>
    <w:rsid w:val="0075144A"/>
    <w:rsid w:val="007530B0"/>
    <w:rsid w:val="00753D25"/>
    <w:rsid w:val="00755480"/>
    <w:rsid w:val="00757817"/>
    <w:rsid w:val="00764884"/>
    <w:rsid w:val="0077497F"/>
    <w:rsid w:val="00777CAA"/>
    <w:rsid w:val="007858D6"/>
    <w:rsid w:val="00785DA5"/>
    <w:rsid w:val="00786329"/>
    <w:rsid w:val="007866E9"/>
    <w:rsid w:val="00790141"/>
    <w:rsid w:val="0079066B"/>
    <w:rsid w:val="007907F3"/>
    <w:rsid w:val="00792C7D"/>
    <w:rsid w:val="00794744"/>
    <w:rsid w:val="00794A4D"/>
    <w:rsid w:val="00794EAF"/>
    <w:rsid w:val="00795DC2"/>
    <w:rsid w:val="00795E87"/>
    <w:rsid w:val="007A204D"/>
    <w:rsid w:val="007A5234"/>
    <w:rsid w:val="007B0AD2"/>
    <w:rsid w:val="007B5F2D"/>
    <w:rsid w:val="007B7854"/>
    <w:rsid w:val="007C17F7"/>
    <w:rsid w:val="007C2AC0"/>
    <w:rsid w:val="007C56A1"/>
    <w:rsid w:val="007C6454"/>
    <w:rsid w:val="007C67CD"/>
    <w:rsid w:val="007D1498"/>
    <w:rsid w:val="007D2B6F"/>
    <w:rsid w:val="007D33B6"/>
    <w:rsid w:val="007E01E0"/>
    <w:rsid w:val="007E07F5"/>
    <w:rsid w:val="007E10A6"/>
    <w:rsid w:val="007E2D5C"/>
    <w:rsid w:val="007E34FA"/>
    <w:rsid w:val="007E36C9"/>
    <w:rsid w:val="007E3E37"/>
    <w:rsid w:val="007E72FC"/>
    <w:rsid w:val="007F0B93"/>
    <w:rsid w:val="007F1115"/>
    <w:rsid w:val="007F2ECA"/>
    <w:rsid w:val="008007D8"/>
    <w:rsid w:val="00800884"/>
    <w:rsid w:val="00800C1B"/>
    <w:rsid w:val="00811708"/>
    <w:rsid w:val="00813839"/>
    <w:rsid w:val="00815016"/>
    <w:rsid w:val="00816B90"/>
    <w:rsid w:val="00817799"/>
    <w:rsid w:val="008227DD"/>
    <w:rsid w:val="00822AE7"/>
    <w:rsid w:val="00822F5F"/>
    <w:rsid w:val="008236DB"/>
    <w:rsid w:val="00823AFB"/>
    <w:rsid w:val="0082496F"/>
    <w:rsid w:val="00824FD3"/>
    <w:rsid w:val="00826589"/>
    <w:rsid w:val="00834BCC"/>
    <w:rsid w:val="00835AF9"/>
    <w:rsid w:val="008365BD"/>
    <w:rsid w:val="00840DC4"/>
    <w:rsid w:val="008433CE"/>
    <w:rsid w:val="00850D54"/>
    <w:rsid w:val="00855D73"/>
    <w:rsid w:val="00860A4B"/>
    <w:rsid w:val="00864EC0"/>
    <w:rsid w:val="00867044"/>
    <w:rsid w:val="008679A8"/>
    <w:rsid w:val="00870C02"/>
    <w:rsid w:val="008714B0"/>
    <w:rsid w:val="00876331"/>
    <w:rsid w:val="00880726"/>
    <w:rsid w:val="0088476D"/>
    <w:rsid w:val="00884804"/>
    <w:rsid w:val="00885347"/>
    <w:rsid w:val="008900D2"/>
    <w:rsid w:val="008923E9"/>
    <w:rsid w:val="0089256A"/>
    <w:rsid w:val="008A180D"/>
    <w:rsid w:val="008A3544"/>
    <w:rsid w:val="008A4AB1"/>
    <w:rsid w:val="008A5C68"/>
    <w:rsid w:val="008A7C36"/>
    <w:rsid w:val="008B1C4B"/>
    <w:rsid w:val="008B48B8"/>
    <w:rsid w:val="008B5348"/>
    <w:rsid w:val="008B58F8"/>
    <w:rsid w:val="008C0712"/>
    <w:rsid w:val="008C3639"/>
    <w:rsid w:val="008C4520"/>
    <w:rsid w:val="008C4CEB"/>
    <w:rsid w:val="008C5F09"/>
    <w:rsid w:val="008D43BC"/>
    <w:rsid w:val="008D470F"/>
    <w:rsid w:val="008D5C3E"/>
    <w:rsid w:val="008E1F8F"/>
    <w:rsid w:val="008E4768"/>
    <w:rsid w:val="008E4B25"/>
    <w:rsid w:val="008E6002"/>
    <w:rsid w:val="008E6975"/>
    <w:rsid w:val="008E761E"/>
    <w:rsid w:val="008F1E29"/>
    <w:rsid w:val="008F34C4"/>
    <w:rsid w:val="008F628D"/>
    <w:rsid w:val="008F77B3"/>
    <w:rsid w:val="009008F5"/>
    <w:rsid w:val="00904CC1"/>
    <w:rsid w:val="009066AF"/>
    <w:rsid w:val="00906B85"/>
    <w:rsid w:val="00910300"/>
    <w:rsid w:val="00910E27"/>
    <w:rsid w:val="00911389"/>
    <w:rsid w:val="009116D6"/>
    <w:rsid w:val="009117AE"/>
    <w:rsid w:val="00911C40"/>
    <w:rsid w:val="00912050"/>
    <w:rsid w:val="00912DA8"/>
    <w:rsid w:val="00912E48"/>
    <w:rsid w:val="00917312"/>
    <w:rsid w:val="0092004B"/>
    <w:rsid w:val="0092184E"/>
    <w:rsid w:val="00922F17"/>
    <w:rsid w:val="00923BB1"/>
    <w:rsid w:val="0092746F"/>
    <w:rsid w:val="0093062F"/>
    <w:rsid w:val="00935A13"/>
    <w:rsid w:val="00935DC9"/>
    <w:rsid w:val="00937FEE"/>
    <w:rsid w:val="009446C0"/>
    <w:rsid w:val="009459F4"/>
    <w:rsid w:val="00946527"/>
    <w:rsid w:val="0095072B"/>
    <w:rsid w:val="00957796"/>
    <w:rsid w:val="009607FD"/>
    <w:rsid w:val="0096082E"/>
    <w:rsid w:val="00961347"/>
    <w:rsid w:val="0096139D"/>
    <w:rsid w:val="009622DD"/>
    <w:rsid w:val="00962F1F"/>
    <w:rsid w:val="00964CDE"/>
    <w:rsid w:val="00967410"/>
    <w:rsid w:val="00967486"/>
    <w:rsid w:val="00967D73"/>
    <w:rsid w:val="009702FA"/>
    <w:rsid w:val="009705B7"/>
    <w:rsid w:val="00972C75"/>
    <w:rsid w:val="009744D4"/>
    <w:rsid w:val="00976237"/>
    <w:rsid w:val="00976BF7"/>
    <w:rsid w:val="00980DDE"/>
    <w:rsid w:val="0098119A"/>
    <w:rsid w:val="0098379C"/>
    <w:rsid w:val="00984AAF"/>
    <w:rsid w:val="00984F73"/>
    <w:rsid w:val="0098734B"/>
    <w:rsid w:val="00991B09"/>
    <w:rsid w:val="00993CB2"/>
    <w:rsid w:val="009A0103"/>
    <w:rsid w:val="009A27BE"/>
    <w:rsid w:val="009A5166"/>
    <w:rsid w:val="009A6DB7"/>
    <w:rsid w:val="009A76F8"/>
    <w:rsid w:val="009B1BDE"/>
    <w:rsid w:val="009B2128"/>
    <w:rsid w:val="009B2B83"/>
    <w:rsid w:val="009B4D90"/>
    <w:rsid w:val="009B6736"/>
    <w:rsid w:val="009C0F25"/>
    <w:rsid w:val="009C1824"/>
    <w:rsid w:val="009C206E"/>
    <w:rsid w:val="009C3614"/>
    <w:rsid w:val="009C49F8"/>
    <w:rsid w:val="009C6213"/>
    <w:rsid w:val="009D3309"/>
    <w:rsid w:val="009D77CC"/>
    <w:rsid w:val="009E1291"/>
    <w:rsid w:val="009E2423"/>
    <w:rsid w:val="009E4A7F"/>
    <w:rsid w:val="009E55D7"/>
    <w:rsid w:val="009E5C3E"/>
    <w:rsid w:val="009F287E"/>
    <w:rsid w:val="009F4150"/>
    <w:rsid w:val="009F5665"/>
    <w:rsid w:val="009F5DAD"/>
    <w:rsid w:val="00A01BCA"/>
    <w:rsid w:val="00A02480"/>
    <w:rsid w:val="00A10458"/>
    <w:rsid w:val="00A12377"/>
    <w:rsid w:val="00A14D5F"/>
    <w:rsid w:val="00A153B6"/>
    <w:rsid w:val="00A164D5"/>
    <w:rsid w:val="00A16557"/>
    <w:rsid w:val="00A235B6"/>
    <w:rsid w:val="00A241CC"/>
    <w:rsid w:val="00A258FD"/>
    <w:rsid w:val="00A25CC8"/>
    <w:rsid w:val="00A273C3"/>
    <w:rsid w:val="00A277B4"/>
    <w:rsid w:val="00A30C37"/>
    <w:rsid w:val="00A32295"/>
    <w:rsid w:val="00A32F17"/>
    <w:rsid w:val="00A332FC"/>
    <w:rsid w:val="00A33CEB"/>
    <w:rsid w:val="00A33E42"/>
    <w:rsid w:val="00A36421"/>
    <w:rsid w:val="00A36BE0"/>
    <w:rsid w:val="00A36C65"/>
    <w:rsid w:val="00A41BBE"/>
    <w:rsid w:val="00A45BDD"/>
    <w:rsid w:val="00A45DE2"/>
    <w:rsid w:val="00A467C5"/>
    <w:rsid w:val="00A46A0A"/>
    <w:rsid w:val="00A5253C"/>
    <w:rsid w:val="00A546AF"/>
    <w:rsid w:val="00A553F8"/>
    <w:rsid w:val="00A645CC"/>
    <w:rsid w:val="00A6708F"/>
    <w:rsid w:val="00A71BF6"/>
    <w:rsid w:val="00A740CC"/>
    <w:rsid w:val="00A754B8"/>
    <w:rsid w:val="00A76148"/>
    <w:rsid w:val="00A86F9A"/>
    <w:rsid w:val="00A90876"/>
    <w:rsid w:val="00AA09E1"/>
    <w:rsid w:val="00AA267F"/>
    <w:rsid w:val="00AA35E6"/>
    <w:rsid w:val="00AA50B6"/>
    <w:rsid w:val="00AB0205"/>
    <w:rsid w:val="00AB02BD"/>
    <w:rsid w:val="00AB17BA"/>
    <w:rsid w:val="00AB3472"/>
    <w:rsid w:val="00AB37AD"/>
    <w:rsid w:val="00AB4BA8"/>
    <w:rsid w:val="00AB659C"/>
    <w:rsid w:val="00AC0E56"/>
    <w:rsid w:val="00AD0762"/>
    <w:rsid w:val="00AD165B"/>
    <w:rsid w:val="00AD59C3"/>
    <w:rsid w:val="00AD5D6F"/>
    <w:rsid w:val="00AD6FCF"/>
    <w:rsid w:val="00AD75F9"/>
    <w:rsid w:val="00AE0DD3"/>
    <w:rsid w:val="00AE4452"/>
    <w:rsid w:val="00AE7C38"/>
    <w:rsid w:val="00AF5305"/>
    <w:rsid w:val="00AF7157"/>
    <w:rsid w:val="00B01F99"/>
    <w:rsid w:val="00B02B37"/>
    <w:rsid w:val="00B05276"/>
    <w:rsid w:val="00B132DB"/>
    <w:rsid w:val="00B13D0E"/>
    <w:rsid w:val="00B15231"/>
    <w:rsid w:val="00B15568"/>
    <w:rsid w:val="00B15E8E"/>
    <w:rsid w:val="00B175F4"/>
    <w:rsid w:val="00B233B0"/>
    <w:rsid w:val="00B264E9"/>
    <w:rsid w:val="00B27548"/>
    <w:rsid w:val="00B31427"/>
    <w:rsid w:val="00B32AA5"/>
    <w:rsid w:val="00B33861"/>
    <w:rsid w:val="00B33B64"/>
    <w:rsid w:val="00B36C8C"/>
    <w:rsid w:val="00B379E6"/>
    <w:rsid w:val="00B40DE2"/>
    <w:rsid w:val="00B4165A"/>
    <w:rsid w:val="00B41990"/>
    <w:rsid w:val="00B44D76"/>
    <w:rsid w:val="00B46EF5"/>
    <w:rsid w:val="00B50210"/>
    <w:rsid w:val="00B52FD5"/>
    <w:rsid w:val="00B52FD7"/>
    <w:rsid w:val="00B53955"/>
    <w:rsid w:val="00B542CD"/>
    <w:rsid w:val="00B61596"/>
    <w:rsid w:val="00B624BC"/>
    <w:rsid w:val="00B62FB0"/>
    <w:rsid w:val="00B6408A"/>
    <w:rsid w:val="00B65F55"/>
    <w:rsid w:val="00B66475"/>
    <w:rsid w:val="00B67C0C"/>
    <w:rsid w:val="00B704BB"/>
    <w:rsid w:val="00B714B8"/>
    <w:rsid w:val="00B82C2C"/>
    <w:rsid w:val="00B83136"/>
    <w:rsid w:val="00B846C9"/>
    <w:rsid w:val="00B84B46"/>
    <w:rsid w:val="00B852A1"/>
    <w:rsid w:val="00B8720B"/>
    <w:rsid w:val="00B876EF"/>
    <w:rsid w:val="00B93BD4"/>
    <w:rsid w:val="00B96676"/>
    <w:rsid w:val="00BA217C"/>
    <w:rsid w:val="00BA4697"/>
    <w:rsid w:val="00BA54FF"/>
    <w:rsid w:val="00BA5FA5"/>
    <w:rsid w:val="00BB2C6E"/>
    <w:rsid w:val="00BB528E"/>
    <w:rsid w:val="00BB5378"/>
    <w:rsid w:val="00BB5FC4"/>
    <w:rsid w:val="00BC0BD3"/>
    <w:rsid w:val="00BC12B7"/>
    <w:rsid w:val="00BC2F84"/>
    <w:rsid w:val="00BC4E13"/>
    <w:rsid w:val="00BC4E99"/>
    <w:rsid w:val="00BC6C66"/>
    <w:rsid w:val="00BD0107"/>
    <w:rsid w:val="00BD66E3"/>
    <w:rsid w:val="00BE0C33"/>
    <w:rsid w:val="00BE1454"/>
    <w:rsid w:val="00BE262C"/>
    <w:rsid w:val="00BE38A6"/>
    <w:rsid w:val="00BE6352"/>
    <w:rsid w:val="00BE6C3D"/>
    <w:rsid w:val="00BF17FA"/>
    <w:rsid w:val="00BF48D4"/>
    <w:rsid w:val="00C011C9"/>
    <w:rsid w:val="00C03622"/>
    <w:rsid w:val="00C07606"/>
    <w:rsid w:val="00C12542"/>
    <w:rsid w:val="00C16A67"/>
    <w:rsid w:val="00C21DAF"/>
    <w:rsid w:val="00C224FF"/>
    <w:rsid w:val="00C24725"/>
    <w:rsid w:val="00C24821"/>
    <w:rsid w:val="00C24D08"/>
    <w:rsid w:val="00C24D34"/>
    <w:rsid w:val="00C30BA9"/>
    <w:rsid w:val="00C32135"/>
    <w:rsid w:val="00C3292E"/>
    <w:rsid w:val="00C3541E"/>
    <w:rsid w:val="00C36A8F"/>
    <w:rsid w:val="00C36C54"/>
    <w:rsid w:val="00C42FFA"/>
    <w:rsid w:val="00C45669"/>
    <w:rsid w:val="00C5045B"/>
    <w:rsid w:val="00C507D8"/>
    <w:rsid w:val="00C52796"/>
    <w:rsid w:val="00C52EB9"/>
    <w:rsid w:val="00C61179"/>
    <w:rsid w:val="00C62601"/>
    <w:rsid w:val="00C62EAC"/>
    <w:rsid w:val="00C63010"/>
    <w:rsid w:val="00C63241"/>
    <w:rsid w:val="00C63F9F"/>
    <w:rsid w:val="00C64017"/>
    <w:rsid w:val="00C64DD6"/>
    <w:rsid w:val="00C7076B"/>
    <w:rsid w:val="00C70970"/>
    <w:rsid w:val="00C7142F"/>
    <w:rsid w:val="00C71FF5"/>
    <w:rsid w:val="00C72FC6"/>
    <w:rsid w:val="00C76B17"/>
    <w:rsid w:val="00C7723C"/>
    <w:rsid w:val="00C838F5"/>
    <w:rsid w:val="00C850FB"/>
    <w:rsid w:val="00C90B35"/>
    <w:rsid w:val="00C9325F"/>
    <w:rsid w:val="00C94E42"/>
    <w:rsid w:val="00C95CBA"/>
    <w:rsid w:val="00CA1AF4"/>
    <w:rsid w:val="00CA4DC9"/>
    <w:rsid w:val="00CA537D"/>
    <w:rsid w:val="00CA6068"/>
    <w:rsid w:val="00CA6DAC"/>
    <w:rsid w:val="00CB15E1"/>
    <w:rsid w:val="00CB2617"/>
    <w:rsid w:val="00CB29B6"/>
    <w:rsid w:val="00CB3D46"/>
    <w:rsid w:val="00CB439C"/>
    <w:rsid w:val="00CB5EF3"/>
    <w:rsid w:val="00CB751B"/>
    <w:rsid w:val="00CB7D3A"/>
    <w:rsid w:val="00CC05C1"/>
    <w:rsid w:val="00CC08F8"/>
    <w:rsid w:val="00CC0B23"/>
    <w:rsid w:val="00CC43FD"/>
    <w:rsid w:val="00CC7866"/>
    <w:rsid w:val="00CD149D"/>
    <w:rsid w:val="00CD1A87"/>
    <w:rsid w:val="00CD3056"/>
    <w:rsid w:val="00CD35F3"/>
    <w:rsid w:val="00CD5C93"/>
    <w:rsid w:val="00CD6873"/>
    <w:rsid w:val="00CD6E6A"/>
    <w:rsid w:val="00CD7F55"/>
    <w:rsid w:val="00CE342B"/>
    <w:rsid w:val="00CE6E91"/>
    <w:rsid w:val="00CE7F93"/>
    <w:rsid w:val="00CF14E3"/>
    <w:rsid w:val="00CF284A"/>
    <w:rsid w:val="00CF2A6F"/>
    <w:rsid w:val="00CF320C"/>
    <w:rsid w:val="00CF3A4B"/>
    <w:rsid w:val="00CF4001"/>
    <w:rsid w:val="00CF5571"/>
    <w:rsid w:val="00D0131D"/>
    <w:rsid w:val="00D05837"/>
    <w:rsid w:val="00D06BF4"/>
    <w:rsid w:val="00D12D8A"/>
    <w:rsid w:val="00D138AF"/>
    <w:rsid w:val="00D13E0C"/>
    <w:rsid w:val="00D25249"/>
    <w:rsid w:val="00D2536F"/>
    <w:rsid w:val="00D25896"/>
    <w:rsid w:val="00D34F4F"/>
    <w:rsid w:val="00D35620"/>
    <w:rsid w:val="00D373A1"/>
    <w:rsid w:val="00D37854"/>
    <w:rsid w:val="00D37C0F"/>
    <w:rsid w:val="00D45661"/>
    <w:rsid w:val="00D45943"/>
    <w:rsid w:val="00D45E96"/>
    <w:rsid w:val="00D47D22"/>
    <w:rsid w:val="00D51865"/>
    <w:rsid w:val="00D51D0C"/>
    <w:rsid w:val="00D5406F"/>
    <w:rsid w:val="00D558F3"/>
    <w:rsid w:val="00D61149"/>
    <w:rsid w:val="00D6144F"/>
    <w:rsid w:val="00D61F1C"/>
    <w:rsid w:val="00D639BA"/>
    <w:rsid w:val="00D64F4C"/>
    <w:rsid w:val="00D6571F"/>
    <w:rsid w:val="00D70262"/>
    <w:rsid w:val="00D74140"/>
    <w:rsid w:val="00D756EC"/>
    <w:rsid w:val="00D821FB"/>
    <w:rsid w:val="00D85214"/>
    <w:rsid w:val="00D87E52"/>
    <w:rsid w:val="00D919BA"/>
    <w:rsid w:val="00D92F18"/>
    <w:rsid w:val="00D93B7F"/>
    <w:rsid w:val="00DA3585"/>
    <w:rsid w:val="00DA6E56"/>
    <w:rsid w:val="00DC04BD"/>
    <w:rsid w:val="00DC25A6"/>
    <w:rsid w:val="00DC4680"/>
    <w:rsid w:val="00DC573F"/>
    <w:rsid w:val="00DC6186"/>
    <w:rsid w:val="00DC6705"/>
    <w:rsid w:val="00DC7215"/>
    <w:rsid w:val="00DD13A7"/>
    <w:rsid w:val="00DD2DE8"/>
    <w:rsid w:val="00DD509D"/>
    <w:rsid w:val="00DD658A"/>
    <w:rsid w:val="00DD7E21"/>
    <w:rsid w:val="00DE037D"/>
    <w:rsid w:val="00DE0B85"/>
    <w:rsid w:val="00DE1E5D"/>
    <w:rsid w:val="00DE38B4"/>
    <w:rsid w:val="00DE5D02"/>
    <w:rsid w:val="00DF0701"/>
    <w:rsid w:val="00DF2B2D"/>
    <w:rsid w:val="00DF6807"/>
    <w:rsid w:val="00E005A9"/>
    <w:rsid w:val="00E01BA2"/>
    <w:rsid w:val="00E0377A"/>
    <w:rsid w:val="00E0475A"/>
    <w:rsid w:val="00E1166E"/>
    <w:rsid w:val="00E15DD8"/>
    <w:rsid w:val="00E16682"/>
    <w:rsid w:val="00E2018F"/>
    <w:rsid w:val="00E22184"/>
    <w:rsid w:val="00E24DC0"/>
    <w:rsid w:val="00E2519C"/>
    <w:rsid w:val="00E25F2A"/>
    <w:rsid w:val="00E26653"/>
    <w:rsid w:val="00E32116"/>
    <w:rsid w:val="00E32E80"/>
    <w:rsid w:val="00E33FC6"/>
    <w:rsid w:val="00E35B1A"/>
    <w:rsid w:val="00E37900"/>
    <w:rsid w:val="00E41455"/>
    <w:rsid w:val="00E41A41"/>
    <w:rsid w:val="00E4281B"/>
    <w:rsid w:val="00E42AD2"/>
    <w:rsid w:val="00E4321F"/>
    <w:rsid w:val="00E43E48"/>
    <w:rsid w:val="00E4487D"/>
    <w:rsid w:val="00E467E4"/>
    <w:rsid w:val="00E50856"/>
    <w:rsid w:val="00E538CC"/>
    <w:rsid w:val="00E54DBA"/>
    <w:rsid w:val="00E55803"/>
    <w:rsid w:val="00E575AF"/>
    <w:rsid w:val="00E602AE"/>
    <w:rsid w:val="00E62EDF"/>
    <w:rsid w:val="00E63D7C"/>
    <w:rsid w:val="00E6405D"/>
    <w:rsid w:val="00E640D5"/>
    <w:rsid w:val="00E66E2E"/>
    <w:rsid w:val="00E6755C"/>
    <w:rsid w:val="00E67691"/>
    <w:rsid w:val="00E70A18"/>
    <w:rsid w:val="00E71CB7"/>
    <w:rsid w:val="00E72624"/>
    <w:rsid w:val="00E735DB"/>
    <w:rsid w:val="00E736C6"/>
    <w:rsid w:val="00E73AA8"/>
    <w:rsid w:val="00E742A0"/>
    <w:rsid w:val="00E75562"/>
    <w:rsid w:val="00E75E0E"/>
    <w:rsid w:val="00E76A8C"/>
    <w:rsid w:val="00E8193E"/>
    <w:rsid w:val="00E83A00"/>
    <w:rsid w:val="00E83C5E"/>
    <w:rsid w:val="00E90C33"/>
    <w:rsid w:val="00E91509"/>
    <w:rsid w:val="00E92237"/>
    <w:rsid w:val="00E92905"/>
    <w:rsid w:val="00E951EF"/>
    <w:rsid w:val="00EA3D54"/>
    <w:rsid w:val="00EA4A55"/>
    <w:rsid w:val="00EA56D9"/>
    <w:rsid w:val="00EA5CE3"/>
    <w:rsid w:val="00EA7CBE"/>
    <w:rsid w:val="00EB20A0"/>
    <w:rsid w:val="00EB4F41"/>
    <w:rsid w:val="00EB51C1"/>
    <w:rsid w:val="00EB5AE1"/>
    <w:rsid w:val="00EB5E0B"/>
    <w:rsid w:val="00EC07BD"/>
    <w:rsid w:val="00EC2171"/>
    <w:rsid w:val="00EC275A"/>
    <w:rsid w:val="00ED442D"/>
    <w:rsid w:val="00ED70C2"/>
    <w:rsid w:val="00EE101D"/>
    <w:rsid w:val="00EE18FF"/>
    <w:rsid w:val="00EE25D5"/>
    <w:rsid w:val="00EE3145"/>
    <w:rsid w:val="00EE489F"/>
    <w:rsid w:val="00EE6419"/>
    <w:rsid w:val="00EF0E4D"/>
    <w:rsid w:val="00EF137C"/>
    <w:rsid w:val="00EF3861"/>
    <w:rsid w:val="00EF46ED"/>
    <w:rsid w:val="00F01B35"/>
    <w:rsid w:val="00F03E4B"/>
    <w:rsid w:val="00F05828"/>
    <w:rsid w:val="00F0647F"/>
    <w:rsid w:val="00F10CE3"/>
    <w:rsid w:val="00F126AE"/>
    <w:rsid w:val="00F1345F"/>
    <w:rsid w:val="00F13AC5"/>
    <w:rsid w:val="00F14F3B"/>
    <w:rsid w:val="00F16362"/>
    <w:rsid w:val="00F207C7"/>
    <w:rsid w:val="00F24CE5"/>
    <w:rsid w:val="00F24CEA"/>
    <w:rsid w:val="00F26388"/>
    <w:rsid w:val="00F32847"/>
    <w:rsid w:val="00F36B6D"/>
    <w:rsid w:val="00F4383B"/>
    <w:rsid w:val="00F43FA3"/>
    <w:rsid w:val="00F475E8"/>
    <w:rsid w:val="00F519BE"/>
    <w:rsid w:val="00F52045"/>
    <w:rsid w:val="00F554C3"/>
    <w:rsid w:val="00F55648"/>
    <w:rsid w:val="00F63A10"/>
    <w:rsid w:val="00F65CA1"/>
    <w:rsid w:val="00F67724"/>
    <w:rsid w:val="00F70046"/>
    <w:rsid w:val="00F72330"/>
    <w:rsid w:val="00F72D09"/>
    <w:rsid w:val="00F748C2"/>
    <w:rsid w:val="00F767C7"/>
    <w:rsid w:val="00F76C5C"/>
    <w:rsid w:val="00F81EF3"/>
    <w:rsid w:val="00F82B07"/>
    <w:rsid w:val="00F840CF"/>
    <w:rsid w:val="00F84496"/>
    <w:rsid w:val="00F855A9"/>
    <w:rsid w:val="00F85BDE"/>
    <w:rsid w:val="00F85DCB"/>
    <w:rsid w:val="00F85FFE"/>
    <w:rsid w:val="00F86CA6"/>
    <w:rsid w:val="00F86F9C"/>
    <w:rsid w:val="00F877CE"/>
    <w:rsid w:val="00F90D76"/>
    <w:rsid w:val="00F9189F"/>
    <w:rsid w:val="00F91DC6"/>
    <w:rsid w:val="00F9258B"/>
    <w:rsid w:val="00FA0A9F"/>
    <w:rsid w:val="00FA7AD4"/>
    <w:rsid w:val="00FB38E5"/>
    <w:rsid w:val="00FB4CAE"/>
    <w:rsid w:val="00FC002E"/>
    <w:rsid w:val="00FC2733"/>
    <w:rsid w:val="00FC309A"/>
    <w:rsid w:val="00FC3102"/>
    <w:rsid w:val="00FC3E3C"/>
    <w:rsid w:val="00FC4C23"/>
    <w:rsid w:val="00FC586D"/>
    <w:rsid w:val="00FC642E"/>
    <w:rsid w:val="00FC6AD5"/>
    <w:rsid w:val="00FC7BBC"/>
    <w:rsid w:val="00FE106B"/>
    <w:rsid w:val="00FE2AE4"/>
    <w:rsid w:val="00FE4A45"/>
    <w:rsid w:val="00FE689F"/>
    <w:rsid w:val="00FE7809"/>
    <w:rsid w:val="00FF0858"/>
    <w:rsid w:val="00FF27A9"/>
    <w:rsid w:val="00FF408B"/>
    <w:rsid w:val="00FF54B9"/>
    <w:rsid w:val="00FF6A41"/>
    <w:rsid w:val="00FF7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2175B8E3"/>
  <w15:docId w15:val="{90D67C9A-59D9-498E-98E5-DCB1DD6A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semiHidden/>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semiHidden/>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 w:type="table" w:customStyle="1" w:styleId="TableGrid1">
    <w:name w:val="Table Grid1"/>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customStyle="1" w:styleId="TableGrid2">
    <w:name w:val="Table Grid2"/>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styleId="GridTable5Dark">
    <w:name w:val="Grid Table 5 Dark"/>
    <w:basedOn w:val="TableNormal"/>
    <w:uiPriority w:val="50"/>
    <w:rsid w:val="002001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09500D"/>
    <w:pPr>
      <w:spacing w:after="0" w:line="240" w:lineRule="auto"/>
    </w:pPr>
  </w:style>
  <w:style w:type="table" w:customStyle="1" w:styleId="CDI-StandardTable1">
    <w:name w:val="CDI - Standard Table1"/>
    <w:basedOn w:val="TableNormal"/>
    <w:uiPriority w:val="99"/>
    <w:rsid w:val="00AB659C"/>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5726821">
      <w:bodyDiv w:val="1"/>
      <w:marLeft w:val="0"/>
      <w:marRight w:val="0"/>
      <w:marTop w:val="0"/>
      <w:marBottom w:val="0"/>
      <w:divBdr>
        <w:top w:val="none" w:sz="0" w:space="0" w:color="auto"/>
        <w:left w:val="none" w:sz="0" w:space="0" w:color="auto"/>
        <w:bottom w:val="none" w:sz="0" w:space="0" w:color="auto"/>
        <w:right w:val="none" w:sz="0" w:space="0" w:color="auto"/>
      </w:divBdr>
    </w:div>
    <w:div w:id="24603882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1820352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898976213">
      <w:bodyDiv w:val="1"/>
      <w:marLeft w:val="0"/>
      <w:marRight w:val="0"/>
      <w:marTop w:val="0"/>
      <w:marBottom w:val="0"/>
      <w:divBdr>
        <w:top w:val="none" w:sz="0" w:space="0" w:color="auto"/>
        <w:left w:val="none" w:sz="0" w:space="0" w:color="auto"/>
        <w:bottom w:val="none" w:sz="0" w:space="0" w:color="auto"/>
        <w:right w:val="none" w:sz="0" w:space="0" w:color="auto"/>
      </w:divBdr>
    </w:div>
    <w:div w:id="978262766">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1549874114">
      <w:bodyDiv w:val="1"/>
      <w:marLeft w:val="0"/>
      <w:marRight w:val="0"/>
      <w:marTop w:val="0"/>
      <w:marBottom w:val="0"/>
      <w:divBdr>
        <w:top w:val="none" w:sz="0" w:space="0" w:color="auto"/>
        <w:left w:val="none" w:sz="0" w:space="0" w:color="auto"/>
        <w:bottom w:val="none" w:sz="0" w:space="0" w:color="auto"/>
        <w:right w:val="none" w:sz="0" w:space="0" w:color="auto"/>
      </w:divBdr>
    </w:div>
    <w:div w:id="1635402065">
      <w:bodyDiv w:val="1"/>
      <w:marLeft w:val="0"/>
      <w:marRight w:val="0"/>
      <w:marTop w:val="0"/>
      <w:marBottom w:val="0"/>
      <w:divBdr>
        <w:top w:val="none" w:sz="0" w:space="0" w:color="auto"/>
        <w:left w:val="none" w:sz="0" w:space="0" w:color="auto"/>
        <w:bottom w:val="none" w:sz="0" w:space="0" w:color="auto"/>
        <w:right w:val="none" w:sz="0" w:space="0" w:color="auto"/>
      </w:divBdr>
    </w:div>
    <w:div w:id="1638025401">
      <w:bodyDiv w:val="1"/>
      <w:marLeft w:val="0"/>
      <w:marRight w:val="0"/>
      <w:marTop w:val="0"/>
      <w:marBottom w:val="0"/>
      <w:divBdr>
        <w:top w:val="none" w:sz="0" w:space="0" w:color="auto"/>
        <w:left w:val="none" w:sz="0" w:space="0" w:color="auto"/>
        <w:bottom w:val="none" w:sz="0" w:space="0" w:color="auto"/>
        <w:right w:val="none" w:sz="0" w:space="0" w:color="auto"/>
      </w:divBdr>
    </w:div>
    <w:div w:id="1691955141">
      <w:bodyDiv w:val="1"/>
      <w:marLeft w:val="0"/>
      <w:marRight w:val="0"/>
      <w:marTop w:val="0"/>
      <w:marBottom w:val="0"/>
      <w:divBdr>
        <w:top w:val="none" w:sz="0" w:space="0" w:color="auto"/>
        <w:left w:val="none" w:sz="0" w:space="0" w:color="auto"/>
        <w:bottom w:val="none" w:sz="0" w:space="0" w:color="auto"/>
        <w:right w:val="none" w:sz="0" w:space="0" w:color="auto"/>
      </w:divBdr>
    </w:div>
    <w:div w:id="1726370805">
      <w:bodyDiv w:val="1"/>
      <w:marLeft w:val="0"/>
      <w:marRight w:val="0"/>
      <w:marTop w:val="0"/>
      <w:marBottom w:val="0"/>
      <w:divBdr>
        <w:top w:val="none" w:sz="0" w:space="0" w:color="auto"/>
        <w:left w:val="none" w:sz="0" w:space="0" w:color="auto"/>
        <w:bottom w:val="none" w:sz="0" w:space="0" w:color="auto"/>
        <w:right w:val="none" w:sz="0" w:space="0" w:color="auto"/>
      </w:divBdr>
    </w:div>
    <w:div w:id="1798638499">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eader" Target="header1.xml"/><Relationship Id="rId33" Type="http://schemas.openxmlformats.org/officeDocument/2006/relationships/hyperlink" Target="http://www.itsanhonour.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3.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yperlink" Target="https://creativecommons.org/licenses/by-nc-nd/4.0/legalcod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health.gov.au/cdi" TargetMode="External"/><Relationship Id="rId36"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footer" Target="footer6.xml"/><Relationship Id="rId30" Type="http://schemas.openxmlformats.org/officeDocument/2006/relationships/hyperlink" Target="http://health.gov.au/cdi" TargetMode="External"/><Relationship Id="rId35"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2FC5E5-FECE-4A8B-AC5C-3395016C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8207</Words>
  <Characters>46786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Communicable Diseases Intelligence 2019 - COVID-19, Australia: Epidemiology Report 15: Reporting week ending 23:59 AEST 10 May 2020</vt:lpstr>
    </vt:vector>
  </TitlesOfParts>
  <Company>Australian Government, Department of Health</Company>
  <LinksUpToDate>false</LinksUpToDate>
  <CharactersWithSpaces>54884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COVID-19, Australia: Epidemiology Report 15: Reporting week ending 23:59 AEST 10 May 2020</dc:title>
  <dc:subject>This is the fifteenth epidemiological report for coronavirus disease 2019 (COVID-19), reported in Australia as at 23:59 Australian Eastern Standard Time [AEST] 10 May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case definition; epidemiology; Australia</cp:keywords>
  <dc:description>© Commonwealth of Australia CC BY-NC-ND ISSN: 2209-6051 (Online)</dc:description>
  <cp:lastPrinted>2020-05-10T23:06:00Z</cp:lastPrinted>
  <dcterms:created xsi:type="dcterms:W3CDTF">2024-08-29T00:51:00Z</dcterms:created>
  <dcterms:modified xsi:type="dcterms:W3CDTF">2024-08-29T00:51:00Z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15/5/2020</vt:lpwstr>
  </property>
  <property fmtid="{D5CDD505-2E9C-101B-9397-08002B2CF9AE}" pid="5" name="DOI">
    <vt:lpwstr>https://doi.org/10.33321/cdi.2020.44.43</vt:lpwstr>
  </property>
</Properties>
</file>