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BA882" w14:textId="77777777" w:rsidR="00ED0E42" w:rsidRDefault="00ED0E42" w:rsidP="00612184">
      <w:pPr>
        <w:pStyle w:val="Heading1"/>
        <w:rPr>
          <w:sz w:val="24"/>
          <w:szCs w:val="24"/>
        </w:rPr>
      </w:pPr>
      <w:r>
        <w:t xml:space="preserve">Erratum: COVID-19, </w:t>
      </w:r>
      <w:r w:rsidR="00E7504F">
        <w:t>Australia: Epidemiology</w:t>
      </w:r>
      <w:r>
        <w:t xml:space="preserve"> Report 14.</w:t>
      </w:r>
    </w:p>
    <w:p w14:paraId="623C574B" w14:textId="77777777" w:rsidR="00ED0E42" w:rsidRDefault="00ED0E42" w:rsidP="00612184">
      <w:pPr>
        <w:pStyle w:val="Subtitle"/>
        <w:rPr>
          <w:rFonts w:eastAsia="Times New Roman"/>
        </w:rPr>
      </w:pPr>
      <w:r>
        <w:rPr>
          <w:rFonts w:eastAsia="Times New Roman"/>
        </w:rPr>
        <w:t xml:space="preserve">Reporting week ending 23:59 AEST 3 May 2020 </w:t>
      </w:r>
    </w:p>
    <w:p w14:paraId="3FEDD0CE" w14:textId="77777777" w:rsidR="00ED0E42" w:rsidRDefault="00ED0E42" w:rsidP="00612184">
      <w:r>
        <w:rPr>
          <w:rStyle w:val="Emphasis"/>
        </w:rPr>
        <w:t>Commun Dis Intell (2018).</w:t>
      </w:r>
      <w:r>
        <w:t xml:space="preserve"> 2020;44. doi: https://doi.org/10.33321/cdi.2020.44.42.</w:t>
      </w:r>
    </w:p>
    <w:p w14:paraId="217052A5" w14:textId="77777777" w:rsidR="00ED0E42" w:rsidRDefault="00ED0E42" w:rsidP="00612184">
      <w:r>
        <w:t>COVID-19 National Incident Room Surveillance Team</w:t>
      </w:r>
    </w:p>
    <w:p w14:paraId="6D1F3551" w14:textId="77777777" w:rsidR="00ED0E42" w:rsidRDefault="00ED0E42" w:rsidP="00612184">
      <w:r>
        <w:t>An error in data processing resulted in the tabulation of incorrect crude case fatality rates, for age groups of 50–59 and above, in Table 5 (Crude Case Fatality Rate of all cases and hospitalised cases, by age group) as originally published in the above report. The table below shows the corrected values.</w:t>
      </w:r>
    </w:p>
    <w:p w14:paraId="614D592A" w14:textId="77777777" w:rsidR="00ED0E42" w:rsidRDefault="00ED0E42" w:rsidP="00612184">
      <w:pPr>
        <w:pStyle w:val="CDIFigures"/>
      </w:pPr>
      <w:r>
        <w:t>Table 5: Crude Case Fatality Rate (CFR) of all cases and hospitalised cases, by age group</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5 shows the age profile of the crude case fatality ratio (CFR), among all cases and among hospitalised cases. The CFR rises from 0.03% for all cases under 50 years of age to 7.9% for all cases over 70 years of age; among hospitalised cases, the rise in CFR is from 0.4% for cases under 50 years of age to 19.2% for cases over 70 years of age."/>
      </w:tblPr>
      <w:tblGrid>
        <w:gridCol w:w="1374"/>
        <w:gridCol w:w="2241"/>
        <w:gridCol w:w="2241"/>
        <w:gridCol w:w="2241"/>
        <w:gridCol w:w="2241"/>
      </w:tblGrid>
      <w:tr w:rsidR="00612184" w:rsidRPr="00612184" w14:paraId="411DE5D4" w14:textId="77777777" w:rsidTr="00F975DD">
        <w:trPr>
          <w:cnfStyle w:val="100000000000" w:firstRow="1" w:lastRow="0" w:firstColumn="0" w:lastColumn="0" w:oddVBand="0" w:evenVBand="0" w:oddHBand="0" w:evenHBand="0" w:firstRowFirstColumn="0" w:firstRowLastColumn="0" w:lastRowFirstColumn="0" w:lastRowLastColumn="0"/>
          <w:tblHeader/>
        </w:trPr>
        <w:tc>
          <w:tcPr>
            <w:tcW w:w="0" w:type="auto"/>
            <w:vMerge w:val="restart"/>
            <w:hideMark/>
          </w:tcPr>
          <w:p w14:paraId="6F627A18" w14:textId="77777777" w:rsidR="00ED0E42" w:rsidRPr="00612184" w:rsidRDefault="00ED0E42">
            <w:pPr>
              <w:pStyle w:val="NormalWeb"/>
              <w:rPr>
                <w:color w:val="FFFFFF" w:themeColor="background1"/>
              </w:rPr>
            </w:pPr>
            <w:r w:rsidRPr="00612184">
              <w:rPr>
                <w:color w:val="FFFFFF" w:themeColor="background1"/>
              </w:rPr>
              <w:t>Age group</w:t>
            </w:r>
          </w:p>
        </w:tc>
        <w:tc>
          <w:tcPr>
            <w:tcW w:w="4482" w:type="dxa"/>
            <w:gridSpan w:val="2"/>
            <w:hideMark/>
          </w:tcPr>
          <w:p w14:paraId="2FF2E2C1" w14:textId="77777777" w:rsidR="00ED0E42" w:rsidRPr="00612184" w:rsidRDefault="00ED0E42" w:rsidP="004E2DCC">
            <w:pPr>
              <w:pStyle w:val="NormalWeb"/>
              <w:jc w:val="center"/>
              <w:rPr>
                <w:color w:val="FFFFFF" w:themeColor="background1"/>
              </w:rPr>
            </w:pPr>
            <w:r w:rsidRPr="00612184">
              <w:rPr>
                <w:color w:val="FFFFFF" w:themeColor="background1"/>
              </w:rPr>
              <w:t>All cases</w:t>
            </w:r>
          </w:p>
        </w:tc>
        <w:tc>
          <w:tcPr>
            <w:tcW w:w="4482" w:type="dxa"/>
            <w:gridSpan w:val="2"/>
            <w:hideMark/>
          </w:tcPr>
          <w:p w14:paraId="13F1DFA8" w14:textId="77777777" w:rsidR="00ED0E42" w:rsidRPr="00612184" w:rsidRDefault="00ED0E42" w:rsidP="004E2DCC">
            <w:pPr>
              <w:pStyle w:val="NormalWeb"/>
              <w:jc w:val="center"/>
              <w:rPr>
                <w:color w:val="FFFFFF" w:themeColor="background1"/>
              </w:rPr>
            </w:pPr>
            <w:r w:rsidRPr="00612184">
              <w:rPr>
                <w:color w:val="FFFFFF" w:themeColor="background1"/>
              </w:rPr>
              <w:t>Hospitalisation</w:t>
            </w:r>
          </w:p>
        </w:tc>
      </w:tr>
      <w:tr w:rsidR="00612184" w:rsidRPr="00612184" w14:paraId="02AAE48D" w14:textId="77777777" w:rsidTr="00F975DD">
        <w:trPr>
          <w:cnfStyle w:val="100000000000" w:firstRow="1" w:lastRow="0" w:firstColumn="0" w:lastColumn="0" w:oddVBand="0" w:evenVBand="0" w:oddHBand="0" w:evenHBand="0" w:firstRowFirstColumn="0" w:firstRowLastColumn="0" w:lastRowFirstColumn="0" w:lastRowLastColumn="0"/>
          <w:tblHeader/>
        </w:trPr>
        <w:tc>
          <w:tcPr>
            <w:tcW w:w="0" w:type="auto"/>
            <w:vMerge/>
            <w:hideMark/>
          </w:tcPr>
          <w:p w14:paraId="3306DFE4" w14:textId="77777777" w:rsidR="00ED0E42" w:rsidRPr="00612184" w:rsidRDefault="00ED0E42">
            <w:pPr>
              <w:rPr>
                <w:color w:val="FFFFFF" w:themeColor="background1"/>
                <w:sz w:val="24"/>
                <w:szCs w:val="24"/>
              </w:rPr>
            </w:pPr>
          </w:p>
        </w:tc>
        <w:tc>
          <w:tcPr>
            <w:tcW w:w="2241" w:type="dxa"/>
            <w:hideMark/>
          </w:tcPr>
          <w:p w14:paraId="29C7FA8E" w14:textId="77777777" w:rsidR="00ED0E42" w:rsidRPr="00612184" w:rsidRDefault="00ED0E42" w:rsidP="004E2DCC">
            <w:pPr>
              <w:pStyle w:val="NormalWeb"/>
              <w:jc w:val="center"/>
              <w:rPr>
                <w:color w:val="FFFFFF" w:themeColor="background1"/>
              </w:rPr>
            </w:pPr>
            <w:r w:rsidRPr="00612184">
              <w:rPr>
                <w:color w:val="FFFFFF" w:themeColor="background1"/>
              </w:rPr>
              <w:t>CFR</w:t>
            </w:r>
          </w:p>
        </w:tc>
        <w:tc>
          <w:tcPr>
            <w:tcW w:w="2241" w:type="dxa"/>
            <w:hideMark/>
          </w:tcPr>
          <w:p w14:paraId="77E3F36C" w14:textId="77777777" w:rsidR="00ED0E42" w:rsidRPr="00612184" w:rsidRDefault="00ED0E42" w:rsidP="004E2DCC">
            <w:pPr>
              <w:pStyle w:val="NormalWeb"/>
              <w:jc w:val="center"/>
              <w:rPr>
                <w:color w:val="FFFFFF" w:themeColor="background1"/>
              </w:rPr>
            </w:pPr>
            <w:r w:rsidRPr="00612184">
              <w:rPr>
                <w:color w:val="FFFFFF" w:themeColor="background1"/>
              </w:rPr>
              <w:t>Total cases</w:t>
            </w:r>
          </w:p>
        </w:tc>
        <w:tc>
          <w:tcPr>
            <w:tcW w:w="2241" w:type="dxa"/>
            <w:hideMark/>
          </w:tcPr>
          <w:p w14:paraId="7EFE6E44" w14:textId="77777777" w:rsidR="00ED0E42" w:rsidRPr="00612184" w:rsidRDefault="00ED0E42" w:rsidP="004E2DCC">
            <w:pPr>
              <w:pStyle w:val="NormalWeb"/>
              <w:jc w:val="center"/>
              <w:rPr>
                <w:color w:val="FFFFFF" w:themeColor="background1"/>
              </w:rPr>
            </w:pPr>
            <w:r w:rsidRPr="00612184">
              <w:rPr>
                <w:color w:val="FFFFFF" w:themeColor="background1"/>
              </w:rPr>
              <w:t>CFR</w:t>
            </w:r>
          </w:p>
        </w:tc>
        <w:tc>
          <w:tcPr>
            <w:tcW w:w="2241" w:type="dxa"/>
            <w:hideMark/>
          </w:tcPr>
          <w:p w14:paraId="01D9269C" w14:textId="77777777" w:rsidR="00ED0E42" w:rsidRPr="00612184" w:rsidRDefault="00ED0E42" w:rsidP="004E2DCC">
            <w:pPr>
              <w:pStyle w:val="NormalWeb"/>
              <w:jc w:val="center"/>
              <w:rPr>
                <w:color w:val="FFFFFF" w:themeColor="background1"/>
              </w:rPr>
            </w:pPr>
            <w:r w:rsidRPr="00612184">
              <w:rPr>
                <w:color w:val="FFFFFF" w:themeColor="background1"/>
              </w:rPr>
              <w:t>Total cases</w:t>
            </w:r>
          </w:p>
        </w:tc>
      </w:tr>
      <w:tr w:rsidR="00ED0E42" w14:paraId="7F104CD4" w14:textId="77777777" w:rsidTr="00F975DD">
        <w:tc>
          <w:tcPr>
            <w:tcW w:w="0" w:type="auto"/>
            <w:hideMark/>
          </w:tcPr>
          <w:p w14:paraId="710E9956" w14:textId="77777777" w:rsidR="00ED0E42" w:rsidRDefault="00ED0E42">
            <w:pPr>
              <w:pStyle w:val="NormalWeb"/>
            </w:pPr>
            <w:r>
              <w:t>All age groups</w:t>
            </w:r>
          </w:p>
        </w:tc>
        <w:tc>
          <w:tcPr>
            <w:tcW w:w="2241" w:type="dxa"/>
            <w:hideMark/>
          </w:tcPr>
          <w:p w14:paraId="581D7E35" w14:textId="77777777" w:rsidR="00ED0E42" w:rsidRDefault="00ED0E42" w:rsidP="004E2DCC">
            <w:pPr>
              <w:pStyle w:val="NormalWeb"/>
              <w:jc w:val="center"/>
            </w:pPr>
            <w:r>
              <w:t>1.3%</w:t>
            </w:r>
          </w:p>
        </w:tc>
        <w:tc>
          <w:tcPr>
            <w:tcW w:w="2241" w:type="dxa"/>
            <w:hideMark/>
          </w:tcPr>
          <w:p w14:paraId="7E7FA745" w14:textId="77777777" w:rsidR="00ED0E42" w:rsidRDefault="00ED0E42" w:rsidP="004E2DCC">
            <w:pPr>
              <w:pStyle w:val="NormalWeb"/>
              <w:jc w:val="center"/>
            </w:pPr>
            <w:r>
              <w:t>6,784</w:t>
            </w:r>
          </w:p>
        </w:tc>
        <w:tc>
          <w:tcPr>
            <w:tcW w:w="2241" w:type="dxa"/>
            <w:hideMark/>
          </w:tcPr>
          <w:p w14:paraId="0240F11D" w14:textId="77777777" w:rsidR="00ED0E42" w:rsidRDefault="00ED0E42" w:rsidP="004E2DCC">
            <w:pPr>
              <w:pStyle w:val="NormalWeb"/>
              <w:jc w:val="center"/>
            </w:pPr>
            <w:r>
              <w:t>7.6%</w:t>
            </w:r>
          </w:p>
        </w:tc>
        <w:tc>
          <w:tcPr>
            <w:tcW w:w="2241" w:type="dxa"/>
            <w:hideMark/>
          </w:tcPr>
          <w:p w14:paraId="106EA082" w14:textId="77777777" w:rsidR="00ED0E42" w:rsidRDefault="00ED0E42" w:rsidP="004E2DCC">
            <w:pPr>
              <w:pStyle w:val="NormalWeb"/>
              <w:jc w:val="center"/>
            </w:pPr>
            <w:r>
              <w:t>850</w:t>
            </w:r>
          </w:p>
        </w:tc>
      </w:tr>
      <w:tr w:rsidR="00ED0E42" w14:paraId="757C703D" w14:textId="77777777" w:rsidTr="00F975DD">
        <w:trPr>
          <w:cnfStyle w:val="000000010000" w:firstRow="0" w:lastRow="0" w:firstColumn="0" w:lastColumn="0" w:oddVBand="0" w:evenVBand="0" w:oddHBand="0" w:evenHBand="1" w:firstRowFirstColumn="0" w:firstRowLastColumn="0" w:lastRowFirstColumn="0" w:lastRowLastColumn="0"/>
        </w:trPr>
        <w:tc>
          <w:tcPr>
            <w:tcW w:w="0" w:type="auto"/>
            <w:hideMark/>
          </w:tcPr>
          <w:p w14:paraId="2F605B4D" w14:textId="77777777" w:rsidR="00ED0E42" w:rsidRDefault="00ED0E42">
            <w:pPr>
              <w:pStyle w:val="NormalWeb"/>
            </w:pPr>
            <w:r>
              <w:t>Under 50</w:t>
            </w:r>
          </w:p>
        </w:tc>
        <w:tc>
          <w:tcPr>
            <w:tcW w:w="2241" w:type="dxa"/>
            <w:hideMark/>
          </w:tcPr>
          <w:p w14:paraId="1E9B5D3C" w14:textId="77777777" w:rsidR="00ED0E42" w:rsidRDefault="00ED0E42" w:rsidP="004E2DCC">
            <w:pPr>
              <w:pStyle w:val="NormalWeb"/>
              <w:jc w:val="center"/>
            </w:pPr>
            <w:r>
              <w:t>0.03%</w:t>
            </w:r>
          </w:p>
        </w:tc>
        <w:tc>
          <w:tcPr>
            <w:tcW w:w="2241" w:type="dxa"/>
            <w:hideMark/>
          </w:tcPr>
          <w:p w14:paraId="49548C7B" w14:textId="77777777" w:rsidR="00ED0E42" w:rsidRDefault="00ED0E42" w:rsidP="004E2DCC">
            <w:pPr>
              <w:pStyle w:val="NormalWeb"/>
              <w:jc w:val="center"/>
            </w:pPr>
            <w:r>
              <w:t>3,618</w:t>
            </w:r>
          </w:p>
        </w:tc>
        <w:tc>
          <w:tcPr>
            <w:tcW w:w="2241" w:type="dxa"/>
            <w:hideMark/>
          </w:tcPr>
          <w:p w14:paraId="4B9E21AD" w14:textId="77777777" w:rsidR="00ED0E42" w:rsidRDefault="00ED0E42" w:rsidP="004E2DCC">
            <w:pPr>
              <w:pStyle w:val="NormalWeb"/>
              <w:jc w:val="center"/>
            </w:pPr>
            <w:r>
              <w:t>0.4%</w:t>
            </w:r>
          </w:p>
        </w:tc>
        <w:tc>
          <w:tcPr>
            <w:tcW w:w="2241" w:type="dxa"/>
            <w:hideMark/>
          </w:tcPr>
          <w:p w14:paraId="0C7EBF45" w14:textId="77777777" w:rsidR="00ED0E42" w:rsidRDefault="00ED0E42" w:rsidP="004E2DCC">
            <w:pPr>
              <w:pStyle w:val="NormalWeb"/>
              <w:jc w:val="center"/>
            </w:pPr>
            <w:r>
              <w:t>270</w:t>
            </w:r>
          </w:p>
        </w:tc>
      </w:tr>
      <w:tr w:rsidR="00ED0E42" w14:paraId="475E5F1E" w14:textId="77777777" w:rsidTr="00F975DD">
        <w:tc>
          <w:tcPr>
            <w:tcW w:w="0" w:type="auto"/>
            <w:hideMark/>
          </w:tcPr>
          <w:p w14:paraId="41EABA83" w14:textId="77777777" w:rsidR="00ED0E42" w:rsidRDefault="00ED0E42">
            <w:pPr>
              <w:pStyle w:val="NormalWeb"/>
            </w:pPr>
            <w:r>
              <w:t xml:space="preserve">50–59 </w:t>
            </w:r>
          </w:p>
        </w:tc>
        <w:tc>
          <w:tcPr>
            <w:tcW w:w="2241" w:type="dxa"/>
            <w:hideMark/>
          </w:tcPr>
          <w:p w14:paraId="65021239" w14:textId="77777777" w:rsidR="00ED0E42" w:rsidRDefault="00ED0E42" w:rsidP="004E2DCC">
            <w:pPr>
              <w:pStyle w:val="NormalWeb"/>
              <w:jc w:val="center"/>
            </w:pPr>
            <w:r>
              <w:t>0.2%</w:t>
            </w:r>
          </w:p>
        </w:tc>
        <w:tc>
          <w:tcPr>
            <w:tcW w:w="2241" w:type="dxa"/>
            <w:hideMark/>
          </w:tcPr>
          <w:p w14:paraId="1B81FE5C" w14:textId="77777777" w:rsidR="00ED0E42" w:rsidRDefault="00ED0E42" w:rsidP="004E2DCC">
            <w:pPr>
              <w:pStyle w:val="NormalWeb"/>
              <w:jc w:val="center"/>
            </w:pPr>
            <w:r>
              <w:t>1,086</w:t>
            </w:r>
          </w:p>
        </w:tc>
        <w:tc>
          <w:tcPr>
            <w:tcW w:w="2241" w:type="dxa"/>
            <w:hideMark/>
          </w:tcPr>
          <w:p w14:paraId="6507C73E" w14:textId="77777777" w:rsidR="00ED0E42" w:rsidRDefault="00ED0E42" w:rsidP="004E2DCC">
            <w:pPr>
              <w:pStyle w:val="NormalWeb"/>
              <w:jc w:val="center"/>
            </w:pPr>
            <w:r>
              <w:t>1.5%</w:t>
            </w:r>
          </w:p>
        </w:tc>
        <w:tc>
          <w:tcPr>
            <w:tcW w:w="2241" w:type="dxa"/>
            <w:hideMark/>
          </w:tcPr>
          <w:p w14:paraId="76737BB9" w14:textId="77777777" w:rsidR="00ED0E42" w:rsidRDefault="00ED0E42" w:rsidP="004E2DCC">
            <w:pPr>
              <w:pStyle w:val="NormalWeb"/>
              <w:jc w:val="center"/>
            </w:pPr>
            <w:r>
              <w:t>132</w:t>
            </w:r>
          </w:p>
        </w:tc>
      </w:tr>
      <w:tr w:rsidR="00ED0E42" w14:paraId="6DC6BA40" w14:textId="77777777" w:rsidTr="00F975DD">
        <w:trPr>
          <w:cnfStyle w:val="000000010000" w:firstRow="0" w:lastRow="0" w:firstColumn="0" w:lastColumn="0" w:oddVBand="0" w:evenVBand="0" w:oddHBand="0" w:evenHBand="1" w:firstRowFirstColumn="0" w:firstRowLastColumn="0" w:lastRowFirstColumn="0" w:lastRowLastColumn="0"/>
        </w:trPr>
        <w:tc>
          <w:tcPr>
            <w:tcW w:w="0" w:type="auto"/>
            <w:hideMark/>
          </w:tcPr>
          <w:p w14:paraId="0A73E5EE" w14:textId="77777777" w:rsidR="00ED0E42" w:rsidRDefault="00ED0E42">
            <w:pPr>
              <w:pStyle w:val="NormalWeb"/>
            </w:pPr>
            <w:r>
              <w:t>60–69</w:t>
            </w:r>
          </w:p>
        </w:tc>
        <w:tc>
          <w:tcPr>
            <w:tcW w:w="2241" w:type="dxa"/>
            <w:hideMark/>
          </w:tcPr>
          <w:p w14:paraId="1B48A1BF" w14:textId="77777777" w:rsidR="00ED0E42" w:rsidRDefault="00ED0E42" w:rsidP="004E2DCC">
            <w:pPr>
              <w:pStyle w:val="NormalWeb"/>
              <w:jc w:val="center"/>
            </w:pPr>
            <w:r>
              <w:t>1.0%</w:t>
            </w:r>
          </w:p>
        </w:tc>
        <w:tc>
          <w:tcPr>
            <w:tcW w:w="2241" w:type="dxa"/>
            <w:hideMark/>
          </w:tcPr>
          <w:p w14:paraId="4C71DE66" w14:textId="77777777" w:rsidR="00ED0E42" w:rsidRDefault="00ED0E42" w:rsidP="004E2DCC">
            <w:pPr>
              <w:pStyle w:val="NormalWeb"/>
              <w:jc w:val="center"/>
            </w:pPr>
            <w:r>
              <w:t>1,127</w:t>
            </w:r>
          </w:p>
        </w:tc>
        <w:tc>
          <w:tcPr>
            <w:tcW w:w="2241" w:type="dxa"/>
            <w:hideMark/>
          </w:tcPr>
          <w:p w14:paraId="476DC9DE" w14:textId="77777777" w:rsidR="00ED0E42" w:rsidRDefault="00ED0E42" w:rsidP="004E2DCC">
            <w:pPr>
              <w:pStyle w:val="NormalWeb"/>
              <w:jc w:val="center"/>
            </w:pPr>
            <w:r>
              <w:t>5.6%</w:t>
            </w:r>
          </w:p>
        </w:tc>
        <w:tc>
          <w:tcPr>
            <w:tcW w:w="2241" w:type="dxa"/>
            <w:hideMark/>
          </w:tcPr>
          <w:p w14:paraId="59E6292E" w14:textId="77777777" w:rsidR="00ED0E42" w:rsidRDefault="00ED0E42" w:rsidP="004E2DCC">
            <w:pPr>
              <w:pStyle w:val="NormalWeb"/>
              <w:jc w:val="center"/>
            </w:pPr>
            <w:r>
              <w:t>177</w:t>
            </w:r>
          </w:p>
        </w:tc>
      </w:tr>
      <w:tr w:rsidR="00ED0E42" w14:paraId="43227126" w14:textId="77777777" w:rsidTr="00F975DD">
        <w:tc>
          <w:tcPr>
            <w:tcW w:w="0" w:type="auto"/>
            <w:hideMark/>
          </w:tcPr>
          <w:p w14:paraId="7BE422B5" w14:textId="77777777" w:rsidR="00ED0E42" w:rsidRDefault="00ED0E42">
            <w:pPr>
              <w:pStyle w:val="NormalWeb"/>
            </w:pPr>
            <w:r>
              <w:t>70 and over</w:t>
            </w:r>
          </w:p>
        </w:tc>
        <w:tc>
          <w:tcPr>
            <w:tcW w:w="2241" w:type="dxa"/>
            <w:hideMark/>
          </w:tcPr>
          <w:p w14:paraId="7A146486" w14:textId="77777777" w:rsidR="00ED0E42" w:rsidRDefault="00ED0E42" w:rsidP="004E2DCC">
            <w:pPr>
              <w:pStyle w:val="NormalWeb"/>
              <w:jc w:val="center"/>
            </w:pPr>
            <w:r>
              <w:t>7.9%</w:t>
            </w:r>
          </w:p>
        </w:tc>
        <w:tc>
          <w:tcPr>
            <w:tcW w:w="2241" w:type="dxa"/>
            <w:hideMark/>
          </w:tcPr>
          <w:p w14:paraId="7B6162BC" w14:textId="77777777" w:rsidR="00ED0E42" w:rsidRDefault="00ED0E42" w:rsidP="004E2DCC">
            <w:pPr>
              <w:pStyle w:val="NormalWeb"/>
              <w:jc w:val="center"/>
            </w:pPr>
            <w:r>
              <w:t>953</w:t>
            </w:r>
          </w:p>
        </w:tc>
        <w:tc>
          <w:tcPr>
            <w:tcW w:w="2241" w:type="dxa"/>
            <w:hideMark/>
          </w:tcPr>
          <w:p w14:paraId="6215C274" w14:textId="77777777" w:rsidR="00ED0E42" w:rsidRDefault="00ED0E42" w:rsidP="004E2DCC">
            <w:pPr>
              <w:pStyle w:val="NormalWeb"/>
              <w:jc w:val="center"/>
            </w:pPr>
            <w:r>
              <w:t>19.2%</w:t>
            </w:r>
          </w:p>
        </w:tc>
        <w:tc>
          <w:tcPr>
            <w:tcW w:w="2241" w:type="dxa"/>
            <w:hideMark/>
          </w:tcPr>
          <w:p w14:paraId="77D1B53A" w14:textId="77777777" w:rsidR="00ED0E42" w:rsidRDefault="00ED0E42" w:rsidP="004E2DCC">
            <w:pPr>
              <w:pStyle w:val="NormalWeb"/>
              <w:jc w:val="center"/>
            </w:pPr>
            <w:r>
              <w:t>271</w:t>
            </w:r>
          </w:p>
        </w:tc>
      </w:tr>
    </w:tbl>
    <w:p w14:paraId="1B5B9B0B" w14:textId="77777777" w:rsidR="008B5348" w:rsidRDefault="008B5348">
      <w:pPr>
        <w:rPr>
          <w:rStyle w:val="A10"/>
        </w:rPr>
        <w:sectPr w:rsidR="008B5348"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2457BF7A"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555973ED"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63C1254F" w14:textId="77777777" w:rsidR="000A5F42" w:rsidRPr="000606CC" w:rsidRDefault="000A5F42" w:rsidP="000A5F42">
      <w:pPr>
        <w:pStyle w:val="NoSpacing"/>
        <w:rPr>
          <w:rStyle w:val="URI"/>
          <w:rFonts w:cstheme="minorHAnsi"/>
          <w:sz w:val="20"/>
          <w:szCs w:val="18"/>
        </w:rPr>
      </w:pPr>
    </w:p>
    <w:p w14:paraId="03C13C37"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272FCEC4" w14:textId="77777777" w:rsidR="000A5F42" w:rsidRPr="000606CC" w:rsidRDefault="000A5F42" w:rsidP="000A5F42">
      <w:pPr>
        <w:pStyle w:val="NoSpacing"/>
        <w:rPr>
          <w:rStyle w:val="Strong"/>
          <w:rFonts w:cstheme="minorHAnsi"/>
          <w:sz w:val="20"/>
          <w:szCs w:val="18"/>
        </w:rPr>
      </w:pPr>
    </w:p>
    <w:p w14:paraId="701C054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C42834">
        <w:rPr>
          <w:rFonts w:cstheme="minorHAnsi"/>
          <w:sz w:val="20"/>
          <w:szCs w:val="18"/>
        </w:rPr>
        <w:t>Tanja Farmer</w:t>
      </w:r>
    </w:p>
    <w:p w14:paraId="7E043B7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036AB5BA"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2FCA6488"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w:t>
      </w:r>
      <w:proofErr w:type="spellStart"/>
      <w:r w:rsidR="00F55648">
        <w:rPr>
          <w:rStyle w:val="nobreak"/>
          <w:rFonts w:cstheme="minorHAnsi"/>
          <w:sz w:val="20"/>
          <w:szCs w:val="18"/>
        </w:rPr>
        <w:t>Selvey</w:t>
      </w:r>
      <w:proofErr w:type="spellEnd"/>
    </w:p>
    <w:p w14:paraId="027F8595" w14:textId="77777777" w:rsidR="000A5F42" w:rsidRPr="000606CC" w:rsidRDefault="000A5F42" w:rsidP="000A5F42">
      <w:pPr>
        <w:pStyle w:val="NoSpacing"/>
        <w:rPr>
          <w:rStyle w:val="Strong"/>
          <w:rFonts w:cstheme="minorHAnsi"/>
          <w:sz w:val="20"/>
          <w:szCs w:val="18"/>
        </w:rPr>
      </w:pPr>
    </w:p>
    <w:p w14:paraId="7134663D" w14:textId="62D3044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02432C73" w14:textId="77777777" w:rsidR="000A5F42" w:rsidRPr="000606CC" w:rsidRDefault="000A5F42" w:rsidP="000A5F42">
      <w:pPr>
        <w:pStyle w:val="NoSpacing"/>
        <w:rPr>
          <w:rStyle w:val="Strong"/>
          <w:rFonts w:cstheme="minorHAnsi"/>
          <w:sz w:val="20"/>
          <w:szCs w:val="18"/>
        </w:rPr>
      </w:pPr>
    </w:p>
    <w:p w14:paraId="660CECC0"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18E36BB4" w14:textId="77777777" w:rsidR="000A5F42" w:rsidRPr="000606CC" w:rsidRDefault="000A5F42" w:rsidP="000A5F42">
      <w:pPr>
        <w:pStyle w:val="NoSpacing"/>
        <w:rPr>
          <w:rStyle w:val="Strong"/>
          <w:rFonts w:cstheme="minorHAnsi"/>
          <w:sz w:val="20"/>
          <w:szCs w:val="18"/>
        </w:rPr>
      </w:pPr>
    </w:p>
    <w:p w14:paraId="67A79CB9" w14:textId="3C616E21"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24345839" w14:textId="77777777" w:rsidR="000A5F42" w:rsidRPr="000606CC" w:rsidRDefault="000A5F42" w:rsidP="000A5F42">
      <w:pPr>
        <w:pStyle w:val="NoSpacing"/>
        <w:rPr>
          <w:rStyle w:val="Strong"/>
          <w:rFonts w:cstheme="minorHAnsi"/>
          <w:sz w:val="20"/>
          <w:szCs w:val="18"/>
        </w:rPr>
      </w:pPr>
    </w:p>
    <w:p w14:paraId="07295595" w14:textId="42596194"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57C4E48F" w14:textId="6F9C2055"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37811AF7" w14:textId="77777777" w:rsidR="000A5F42" w:rsidRPr="000606CC" w:rsidRDefault="000A5F42" w:rsidP="000A5F42">
      <w:pPr>
        <w:pStyle w:val="NoSpacing"/>
        <w:pBdr>
          <w:bottom w:val="single" w:sz="6" w:space="1" w:color="auto"/>
        </w:pBdr>
        <w:rPr>
          <w:rStyle w:val="Strong"/>
          <w:rFonts w:cstheme="minorHAnsi"/>
          <w:sz w:val="12"/>
          <w:szCs w:val="18"/>
        </w:rPr>
      </w:pPr>
    </w:p>
    <w:p w14:paraId="6EF4477A" w14:textId="77777777" w:rsidR="000A5F42" w:rsidRPr="000606CC" w:rsidRDefault="000A5F42" w:rsidP="000A5F42">
      <w:pPr>
        <w:pStyle w:val="NoSpacing"/>
        <w:rPr>
          <w:rFonts w:cstheme="minorHAnsi"/>
          <w:sz w:val="20"/>
          <w:szCs w:val="18"/>
        </w:rPr>
      </w:pPr>
    </w:p>
    <w:p w14:paraId="2C66F3AE"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049F2478" w14:textId="77777777" w:rsidR="000A5F42" w:rsidRPr="000606CC" w:rsidRDefault="000A5F42" w:rsidP="000A5F42">
      <w:pPr>
        <w:pStyle w:val="NoSpacing"/>
        <w:rPr>
          <w:rFonts w:cstheme="minorHAnsi"/>
          <w:sz w:val="20"/>
          <w:szCs w:val="18"/>
        </w:rPr>
      </w:pPr>
    </w:p>
    <w:p w14:paraId="6846C34B"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7DBEFAD2"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2020</w:t>
      </w:r>
      <w:r w:rsidRPr="000606CC">
        <w:rPr>
          <w:rFonts w:cstheme="minorHAnsi"/>
          <w:sz w:val="20"/>
          <w:szCs w:val="18"/>
        </w:rPr>
        <w:t xml:space="preserve"> Commonwealth of Australia as represented by the Department of Health</w:t>
      </w:r>
    </w:p>
    <w:p w14:paraId="22A93DAE" w14:textId="4C2E321E"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51B00B8F" w14:textId="77777777" w:rsidR="000A5F42" w:rsidRPr="000606CC" w:rsidRDefault="000A5F42" w:rsidP="000A5F42">
      <w:pPr>
        <w:pStyle w:val="NoSpacing"/>
        <w:rPr>
          <w:rFonts w:cstheme="minorHAnsi"/>
          <w:sz w:val="20"/>
          <w:szCs w:val="18"/>
        </w:rPr>
      </w:pPr>
    </w:p>
    <w:p w14:paraId="69B8547F"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5F8E8D63" w14:textId="1D24058F"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7AD2F57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0A1FC2A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7F7B5436"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395A89C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6163D847" w14:textId="77777777" w:rsidR="000A5F42" w:rsidRPr="000606CC" w:rsidRDefault="000A5F42" w:rsidP="000A5F42">
      <w:pPr>
        <w:pStyle w:val="NoSpacing"/>
        <w:rPr>
          <w:rStyle w:val="Strong"/>
          <w:rFonts w:cstheme="minorHAnsi"/>
          <w:sz w:val="20"/>
          <w:szCs w:val="18"/>
        </w:rPr>
      </w:pPr>
    </w:p>
    <w:p w14:paraId="4E6CFED9"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4679A99E" w14:textId="77777777" w:rsidR="000A5F42" w:rsidRPr="000606CC" w:rsidRDefault="000A5F42" w:rsidP="000A5F42">
      <w:pPr>
        <w:pStyle w:val="NoSpacing"/>
        <w:rPr>
          <w:rStyle w:val="Strong"/>
          <w:rFonts w:cstheme="minorHAnsi"/>
          <w:sz w:val="20"/>
          <w:szCs w:val="18"/>
        </w:rPr>
      </w:pPr>
    </w:p>
    <w:p w14:paraId="446CE39F" w14:textId="5AB9D7F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206520B5" w14:textId="77777777" w:rsidR="000A5F42" w:rsidRPr="000606CC" w:rsidRDefault="000A5F42" w:rsidP="000A5F42">
      <w:pPr>
        <w:pStyle w:val="NoSpacing"/>
        <w:rPr>
          <w:rStyle w:val="URI"/>
          <w:rFonts w:cstheme="minorHAnsi"/>
          <w:sz w:val="20"/>
          <w:szCs w:val="18"/>
        </w:rPr>
      </w:pPr>
    </w:p>
    <w:p w14:paraId="62A48057" w14:textId="004D184E"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5BDC7979"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51B3A" w14:textId="77777777" w:rsidR="000C7916" w:rsidRDefault="000C7916" w:rsidP="00E54DBA">
      <w:r>
        <w:separator/>
      </w:r>
    </w:p>
    <w:p w14:paraId="02E2478E" w14:textId="77777777" w:rsidR="000C7916" w:rsidRDefault="000C7916"/>
    <w:p w14:paraId="3DDFD100" w14:textId="77777777" w:rsidR="000C7916" w:rsidRDefault="000C7916" w:rsidP="008714B0"/>
  </w:endnote>
  <w:endnote w:type="continuationSeparator" w:id="0">
    <w:p w14:paraId="19D95A7B" w14:textId="77777777" w:rsidR="000C7916" w:rsidRDefault="000C7916" w:rsidP="00E54DBA">
      <w:r>
        <w:continuationSeparator/>
      </w:r>
    </w:p>
    <w:p w14:paraId="4270CFD0" w14:textId="77777777" w:rsidR="000C7916" w:rsidRDefault="000C7916"/>
    <w:p w14:paraId="7CE14210" w14:textId="77777777" w:rsidR="000C7916" w:rsidRDefault="000C7916"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7BC47"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D73F1D">
      <w:rPr>
        <w:noProof/>
        <w:sz w:val="18"/>
      </w:rPr>
      <w:t>2</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D73F1D">
      <w:rPr>
        <w:noProof/>
        <w:sz w:val="18"/>
      </w:rPr>
      <w:t>2</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A164D5">
      <w:rPr>
        <w:b/>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0C7916">
      <w:rPr>
        <w:sz w:val="18"/>
      </w:rPr>
      <w:t>2020</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0C7916">
      <w:rPr>
        <w:sz w:val="18"/>
      </w:rPr>
      <w:t>44</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D73F1D">
      <w:rPr>
        <w:sz w:val="18"/>
      </w:rPr>
      <w:t>https://doi.org/10.33321/cdi.2020.44.44</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D73F1D">
      <w:rPr>
        <w:sz w:val="18"/>
      </w:rPr>
      <w:t>15/5/2020</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DE599"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D73F1D">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D73F1D">
      <w:rPr>
        <w:noProof/>
        <w:sz w:val="18"/>
      </w:rPr>
      <w:t>1</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A164D5">
      <w:rPr>
        <w:b/>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0C7916">
      <w:rPr>
        <w:sz w:val="18"/>
      </w:rPr>
      <w:t>2020</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0C7916">
      <w:rPr>
        <w:sz w:val="18"/>
      </w:rPr>
      <w:t>44</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4E2DCC">
      <w:rPr>
        <w:sz w:val="18"/>
      </w:rPr>
      <w:t>https://doi.org/10.33321/cdi.2020.44.44</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4E2DCC">
      <w:rPr>
        <w:sz w:val="18"/>
      </w:rPr>
      <w:t>15/5/2020</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CF811" w14:textId="77777777" w:rsidR="000C7916" w:rsidRDefault="000C7916" w:rsidP="00E54DBA">
      <w:r>
        <w:separator/>
      </w:r>
    </w:p>
  </w:footnote>
  <w:footnote w:type="continuationSeparator" w:id="0">
    <w:p w14:paraId="67C65870" w14:textId="77777777" w:rsidR="000C7916" w:rsidRDefault="000C7916" w:rsidP="00E54DBA">
      <w:r>
        <w:continuationSeparator/>
      </w:r>
    </w:p>
  </w:footnote>
  <w:footnote w:type="continuationNotice" w:id="1">
    <w:p w14:paraId="70589409" w14:textId="77777777" w:rsidR="000C7916" w:rsidRPr="00224EFF" w:rsidRDefault="000C7916"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23CB7" w14:textId="77777777" w:rsidR="00257484" w:rsidRPr="00A153B6" w:rsidRDefault="002B4FF3"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921FB0">
          <w:t>Errata</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9B146"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60D135A4"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5718862">
    <w:abstractNumId w:val="1"/>
  </w:num>
  <w:num w:numId="2" w16cid:durableId="929121527">
    <w:abstractNumId w:val="2"/>
  </w:num>
  <w:num w:numId="3" w16cid:durableId="190143224">
    <w:abstractNumId w:val="3"/>
  </w:num>
  <w:num w:numId="4" w16cid:durableId="2003655921">
    <w:abstractNumId w:val="0"/>
  </w:num>
  <w:num w:numId="5" w16cid:durableId="697438696">
    <w:abstractNumId w:val="4"/>
  </w:num>
  <w:num w:numId="6" w16cid:durableId="18473583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noPunctuationKerning/>
  <w:characterSpacingControl w:val="doNotCompress"/>
  <w:hdrShapeDefaults>
    <o:shapedefaults v:ext="edit" spidmax="614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916"/>
    <w:rsid w:val="00000B5B"/>
    <w:rsid w:val="00001611"/>
    <w:rsid w:val="000104A8"/>
    <w:rsid w:val="0001246E"/>
    <w:rsid w:val="000124B1"/>
    <w:rsid w:val="00016FE6"/>
    <w:rsid w:val="00031064"/>
    <w:rsid w:val="00031692"/>
    <w:rsid w:val="00032531"/>
    <w:rsid w:val="000471BF"/>
    <w:rsid w:val="00047B68"/>
    <w:rsid w:val="00052600"/>
    <w:rsid w:val="0005643C"/>
    <w:rsid w:val="0006264A"/>
    <w:rsid w:val="00073D77"/>
    <w:rsid w:val="00081655"/>
    <w:rsid w:val="000864E0"/>
    <w:rsid w:val="000969B3"/>
    <w:rsid w:val="000A5F42"/>
    <w:rsid w:val="000C7916"/>
    <w:rsid w:val="000D4B4D"/>
    <w:rsid w:val="00113D58"/>
    <w:rsid w:val="001200CB"/>
    <w:rsid w:val="001378A3"/>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1F406D"/>
    <w:rsid w:val="001F604D"/>
    <w:rsid w:val="00224EFF"/>
    <w:rsid w:val="002276DC"/>
    <w:rsid w:val="00227E00"/>
    <w:rsid w:val="002307CB"/>
    <w:rsid w:val="00231046"/>
    <w:rsid w:val="00234F21"/>
    <w:rsid w:val="00242659"/>
    <w:rsid w:val="002428F7"/>
    <w:rsid w:val="0024315F"/>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4FF3"/>
    <w:rsid w:val="002B75A9"/>
    <w:rsid w:val="002C21B0"/>
    <w:rsid w:val="002E2FB3"/>
    <w:rsid w:val="002F327B"/>
    <w:rsid w:val="00301626"/>
    <w:rsid w:val="003059EC"/>
    <w:rsid w:val="00316CCD"/>
    <w:rsid w:val="00324F7E"/>
    <w:rsid w:val="003323BC"/>
    <w:rsid w:val="00346D42"/>
    <w:rsid w:val="00346E11"/>
    <w:rsid w:val="003601C0"/>
    <w:rsid w:val="003635F5"/>
    <w:rsid w:val="00372A88"/>
    <w:rsid w:val="00381A0F"/>
    <w:rsid w:val="003A1B3A"/>
    <w:rsid w:val="003A40F5"/>
    <w:rsid w:val="003B5B8C"/>
    <w:rsid w:val="003D79B1"/>
    <w:rsid w:val="003E74EE"/>
    <w:rsid w:val="003F0552"/>
    <w:rsid w:val="003F3BC2"/>
    <w:rsid w:val="00401ED1"/>
    <w:rsid w:val="0040224C"/>
    <w:rsid w:val="00413EE1"/>
    <w:rsid w:val="004164BB"/>
    <w:rsid w:val="00421ECE"/>
    <w:rsid w:val="00422FEB"/>
    <w:rsid w:val="0042435E"/>
    <w:rsid w:val="004315F5"/>
    <w:rsid w:val="00433456"/>
    <w:rsid w:val="00433DFA"/>
    <w:rsid w:val="00435D67"/>
    <w:rsid w:val="00464A58"/>
    <w:rsid w:val="00473D2D"/>
    <w:rsid w:val="004A2125"/>
    <w:rsid w:val="004A38F6"/>
    <w:rsid w:val="004B4EB6"/>
    <w:rsid w:val="004C083C"/>
    <w:rsid w:val="004C67C6"/>
    <w:rsid w:val="004D29DE"/>
    <w:rsid w:val="004E2DCC"/>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D2465"/>
    <w:rsid w:val="005E33DD"/>
    <w:rsid w:val="005E4229"/>
    <w:rsid w:val="005E540E"/>
    <w:rsid w:val="005E55FB"/>
    <w:rsid w:val="005F16BB"/>
    <w:rsid w:val="00607115"/>
    <w:rsid w:val="00612184"/>
    <w:rsid w:val="00620768"/>
    <w:rsid w:val="0062594B"/>
    <w:rsid w:val="00631406"/>
    <w:rsid w:val="006324FF"/>
    <w:rsid w:val="006351D6"/>
    <w:rsid w:val="00636E0D"/>
    <w:rsid w:val="0064142F"/>
    <w:rsid w:val="00643CB4"/>
    <w:rsid w:val="00656427"/>
    <w:rsid w:val="00660255"/>
    <w:rsid w:val="006971F3"/>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86329"/>
    <w:rsid w:val="00792C7D"/>
    <w:rsid w:val="00794A4D"/>
    <w:rsid w:val="007A5234"/>
    <w:rsid w:val="007B7854"/>
    <w:rsid w:val="007C56A1"/>
    <w:rsid w:val="007C6454"/>
    <w:rsid w:val="007E01E0"/>
    <w:rsid w:val="007F0B93"/>
    <w:rsid w:val="007F2ECA"/>
    <w:rsid w:val="00811708"/>
    <w:rsid w:val="00816B90"/>
    <w:rsid w:val="00817799"/>
    <w:rsid w:val="00822F5F"/>
    <w:rsid w:val="00824FD3"/>
    <w:rsid w:val="00826589"/>
    <w:rsid w:val="00834BCC"/>
    <w:rsid w:val="00850D54"/>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1FB0"/>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5BDD"/>
    <w:rsid w:val="00A46A0A"/>
    <w:rsid w:val="00A553F8"/>
    <w:rsid w:val="00A6708F"/>
    <w:rsid w:val="00A71BF6"/>
    <w:rsid w:val="00A86F9A"/>
    <w:rsid w:val="00AA35E6"/>
    <w:rsid w:val="00AA50B6"/>
    <w:rsid w:val="00AB3472"/>
    <w:rsid w:val="00AD0762"/>
    <w:rsid w:val="00AE4452"/>
    <w:rsid w:val="00AE7C38"/>
    <w:rsid w:val="00B01F99"/>
    <w:rsid w:val="00B02B37"/>
    <w:rsid w:val="00B05276"/>
    <w:rsid w:val="00B132DB"/>
    <w:rsid w:val="00B31427"/>
    <w:rsid w:val="00B33861"/>
    <w:rsid w:val="00B40DE2"/>
    <w:rsid w:val="00B50210"/>
    <w:rsid w:val="00B53955"/>
    <w:rsid w:val="00B6408A"/>
    <w:rsid w:val="00B714B8"/>
    <w:rsid w:val="00B82C2C"/>
    <w:rsid w:val="00B8720B"/>
    <w:rsid w:val="00B876EF"/>
    <w:rsid w:val="00BA4697"/>
    <w:rsid w:val="00BB5378"/>
    <w:rsid w:val="00BC0BD3"/>
    <w:rsid w:val="00BD0107"/>
    <w:rsid w:val="00BE0C33"/>
    <w:rsid w:val="00BE262C"/>
    <w:rsid w:val="00BE6C3D"/>
    <w:rsid w:val="00C07606"/>
    <w:rsid w:val="00C12542"/>
    <w:rsid w:val="00C24725"/>
    <w:rsid w:val="00C30BA9"/>
    <w:rsid w:val="00C3541E"/>
    <w:rsid w:val="00C36A8F"/>
    <w:rsid w:val="00C42834"/>
    <w:rsid w:val="00C42FFA"/>
    <w:rsid w:val="00C507D8"/>
    <w:rsid w:val="00C62EAC"/>
    <w:rsid w:val="00C63F9F"/>
    <w:rsid w:val="00C7723C"/>
    <w:rsid w:val="00C838F5"/>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3F1D"/>
    <w:rsid w:val="00D74140"/>
    <w:rsid w:val="00DA6E56"/>
    <w:rsid w:val="00DC6705"/>
    <w:rsid w:val="00DD2DE8"/>
    <w:rsid w:val="00DE38B4"/>
    <w:rsid w:val="00DE5D02"/>
    <w:rsid w:val="00E005A9"/>
    <w:rsid w:val="00E1166E"/>
    <w:rsid w:val="00E24DC0"/>
    <w:rsid w:val="00E2519C"/>
    <w:rsid w:val="00E25F2A"/>
    <w:rsid w:val="00E41455"/>
    <w:rsid w:val="00E42AD2"/>
    <w:rsid w:val="00E50856"/>
    <w:rsid w:val="00E538CC"/>
    <w:rsid w:val="00E54DBA"/>
    <w:rsid w:val="00E63D7C"/>
    <w:rsid w:val="00E640D5"/>
    <w:rsid w:val="00E66E2E"/>
    <w:rsid w:val="00E67691"/>
    <w:rsid w:val="00E7504F"/>
    <w:rsid w:val="00E92237"/>
    <w:rsid w:val="00E951EF"/>
    <w:rsid w:val="00EA3D54"/>
    <w:rsid w:val="00EA56D9"/>
    <w:rsid w:val="00EA5CE3"/>
    <w:rsid w:val="00EB51C1"/>
    <w:rsid w:val="00EB5AE1"/>
    <w:rsid w:val="00EB5E0B"/>
    <w:rsid w:val="00EC2171"/>
    <w:rsid w:val="00ED0E42"/>
    <w:rsid w:val="00ED442D"/>
    <w:rsid w:val="00ED70C2"/>
    <w:rsid w:val="00EE18FF"/>
    <w:rsid w:val="00EE489F"/>
    <w:rsid w:val="00F0647F"/>
    <w:rsid w:val="00F10CE3"/>
    <w:rsid w:val="00F14F3B"/>
    <w:rsid w:val="00F16362"/>
    <w:rsid w:val="00F207C7"/>
    <w:rsid w:val="00F36B6D"/>
    <w:rsid w:val="00F43FA3"/>
    <w:rsid w:val="00F55648"/>
    <w:rsid w:val="00F70046"/>
    <w:rsid w:val="00F748C2"/>
    <w:rsid w:val="00F76C5C"/>
    <w:rsid w:val="00F81EF3"/>
    <w:rsid w:val="00F84496"/>
    <w:rsid w:val="00F85DCB"/>
    <w:rsid w:val="00F86F9C"/>
    <w:rsid w:val="00F90D76"/>
    <w:rsid w:val="00F975DD"/>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FC53E9"/>
  <w15:docId w15:val="{987955F4-D680-48E3-B3EB-8C44F1681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FE40A9-C952-4AF6-87F4-D3F0B5056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494</Words>
  <Characters>3634</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Communicable Diseases Intelligence 2020 - Erratum: COVID-19, Australia:Epidemiology Report 14.Reporting week ending 23:59 AEST 3 May 2020</vt:lpstr>
      <vt:lpstr>Erratum: COVID-19, Australia: Epidemiology Report 14.</vt:lpstr>
    </vt:vector>
  </TitlesOfParts>
  <Company>Australian Government, Department of Health</Company>
  <LinksUpToDate>false</LinksUpToDate>
  <CharactersWithSpaces>4120</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2020 - Erratum: COVID-19, Australia:Epidemiology Report 14.Reporting week ending 23:59 AEST 3 May 2020</dc:title>
  <dc:creator>COVID-19 National Incident Room Surveillance Team</dc:creator>
  <dc:description>© Commonwealth of Australia CC BY-NC-ND ISSN: 2209-6051 (Online)</dc:description>
  <cp:lastPrinted>2018-05-10T02:19:00Z</cp:lastPrinted>
  <dcterms:created xsi:type="dcterms:W3CDTF">2024-08-29T00:54:00Z</dcterms:created>
  <dcterms:modified xsi:type="dcterms:W3CDTF">2024-08-29T00:54:00Z</dcterms:modified>
  <cp:category>Errata</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15/5/2020</vt:lpwstr>
  </property>
  <property fmtid="{D5CDD505-2E9C-101B-9397-08002B2CF9AE}" pid="5" name="DOI">
    <vt:lpwstr>https://doi.org/10.33321/cdi.2020.44.44</vt:lpwstr>
  </property>
</Properties>
</file>