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D4471" w14:textId="2AFFA664" w:rsidR="00E4281B" w:rsidRPr="00EB4F41" w:rsidRDefault="00E4281B" w:rsidP="00EB4F41">
      <w:pPr>
        <w:pStyle w:val="Title"/>
      </w:pPr>
      <w:r w:rsidRPr="00EB4F41">
        <w:t>COVID-19, Australia: Epidemiology Report 1</w:t>
      </w:r>
      <w:r w:rsidR="00BF48D4" w:rsidRPr="00EB4F41">
        <w:t>2</w:t>
      </w:r>
      <w:r w:rsidRPr="00EB4F41">
        <w:t xml:space="preserve">: </w:t>
      </w:r>
    </w:p>
    <w:p w14:paraId="29D76DD5" w14:textId="6BB7CB48" w:rsidR="00E4281B" w:rsidRPr="00EB4F41" w:rsidRDefault="00E4281B" w:rsidP="00EB4F41">
      <w:pPr>
        <w:pStyle w:val="Subtitle"/>
      </w:pPr>
      <w:r w:rsidRPr="00EB4F41">
        <w:t xml:space="preserve">Reporting week ending 23:59 AEST </w:t>
      </w:r>
      <w:r w:rsidR="007C67CD" w:rsidRPr="00EB4F41">
        <w:t>1</w:t>
      </w:r>
      <w:r w:rsidR="00BF48D4" w:rsidRPr="00EB4F41">
        <w:t>9</w:t>
      </w:r>
      <w:r w:rsidRPr="00EB4F41">
        <w:t xml:space="preserve"> April 2020 </w:t>
      </w:r>
    </w:p>
    <w:p w14:paraId="489D427F" w14:textId="77777777" w:rsidR="00E4281B" w:rsidRPr="00CA2B70" w:rsidRDefault="00E4281B" w:rsidP="006B39B3">
      <w:r w:rsidRPr="00E01F7D">
        <w:t>COVID-19 National Incident Room Surveillance Team</w:t>
      </w:r>
    </w:p>
    <w:p w14:paraId="38E6D102" w14:textId="6ACD0537" w:rsidR="000D48B8" w:rsidRDefault="00E4281B" w:rsidP="00444C2B">
      <w:pPr>
        <w:spacing w:after="0" w:line="240" w:lineRule="auto"/>
      </w:pPr>
      <w:r w:rsidRPr="00E4281B">
        <w:rPr>
          <w:i/>
        </w:rPr>
        <w:t xml:space="preserve">Notified cases of COVID-19 and associated deaths reported to the National Notifiable Diseases Surveillance System (NNDSS) to </w:t>
      </w:r>
      <w:r w:rsidR="007C67CD">
        <w:rPr>
          <w:i/>
        </w:rPr>
        <w:t>1</w:t>
      </w:r>
      <w:r w:rsidR="00BF48D4">
        <w:rPr>
          <w:i/>
        </w:rPr>
        <w:t>9</w:t>
      </w:r>
      <w:r w:rsidRPr="00E4281B">
        <w:rPr>
          <w:i/>
        </w:rPr>
        <w:t xml:space="preserve"> April 2020.</w:t>
      </w:r>
      <w:r w:rsidR="000D48B8">
        <w:t xml:space="preserve"> </w:t>
      </w:r>
    </w:p>
    <w:p w14:paraId="09F5D34D" w14:textId="2BD8D818" w:rsidR="00E4281B" w:rsidRPr="006B39B3" w:rsidRDefault="00E4281B" w:rsidP="00444C2B">
      <w:pPr>
        <w:pStyle w:val="Heading1"/>
        <w:spacing w:before="80" w:after="80" w:line="240" w:lineRule="auto"/>
      </w:pPr>
      <w:r w:rsidRPr="006B39B3">
        <w:t>Summary</w:t>
      </w:r>
    </w:p>
    <w:tbl>
      <w:tblPr>
        <w:tblStyle w:val="CDI-StandardTable"/>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4" w:type="dxa"/>
          <w:right w:w="284" w:type="dxa"/>
        </w:tblCellMar>
        <w:tblLook w:val="01E0" w:firstRow="1" w:lastRow="1" w:firstColumn="1" w:lastColumn="1" w:noHBand="0" w:noVBand="0"/>
        <w:tblDescription w:val="Text box provides working definitions for the terms ‘cluster’ and ‘outbreak’ as used in this report. The term ‘cluster’ in relation to COVID-19 refers to two or more cases that are epidemiologically related in time, place or person where a common source (such as an event or within a community) of infection is suspected but not yet established. The term ‘outbreak’ refers to two or more cases among a specific group of people and/or over a specific period of time where illness is associated with a common source (such as an event or within a community)."/>
      </w:tblPr>
      <w:tblGrid>
        <w:gridCol w:w="2694"/>
        <w:gridCol w:w="3685"/>
      </w:tblGrid>
      <w:tr w:rsidR="00E4281B" w:rsidRPr="00D61149" w14:paraId="483F7BE3" w14:textId="77777777" w:rsidTr="00444C2B">
        <w:trPr>
          <w:cnfStyle w:val="100000000000" w:firstRow="1" w:lastRow="0" w:firstColumn="0" w:lastColumn="0" w:oddVBand="0" w:evenVBand="0" w:oddHBand="0" w:evenHBand="0" w:firstRowFirstColumn="0" w:firstRowLastColumn="0" w:lastRowFirstColumn="0" w:lastRowLastColumn="0"/>
          <w:trHeight w:hRule="exact" w:val="284"/>
          <w:tblHeader/>
        </w:trPr>
        <w:tc>
          <w:tcPr>
            <w:tcW w:w="6379" w:type="dxa"/>
            <w:gridSpan w:val="2"/>
            <w:vAlign w:val="center"/>
          </w:tcPr>
          <w:p w14:paraId="36B7E7AC" w14:textId="2BF74A9B" w:rsidR="00E4281B" w:rsidRPr="00D61149" w:rsidRDefault="00E4281B" w:rsidP="00BF48D4">
            <w:pPr>
              <w:contextualSpacing/>
              <w:rPr>
                <w:b w:val="0"/>
                <w:color w:val="FFFFFF" w:themeColor="background1"/>
                <w:sz w:val="18"/>
                <w:szCs w:val="18"/>
              </w:rPr>
            </w:pPr>
            <w:r w:rsidRPr="00D61149">
              <w:rPr>
                <w:color w:val="FFFFFF" w:themeColor="background1"/>
                <w:w w:val="115"/>
                <w:sz w:val="18"/>
                <w:szCs w:val="18"/>
              </w:rPr>
              <w:t xml:space="preserve">Confirmed cases in Australia notified up to </w:t>
            </w:r>
            <w:r w:rsidR="007C67CD" w:rsidRPr="00D61149">
              <w:rPr>
                <w:color w:val="FFFFFF" w:themeColor="background1"/>
                <w:w w:val="115"/>
                <w:sz w:val="18"/>
                <w:szCs w:val="18"/>
              </w:rPr>
              <w:t>1</w:t>
            </w:r>
            <w:r w:rsidR="00BF48D4" w:rsidRPr="00D61149">
              <w:rPr>
                <w:color w:val="FFFFFF" w:themeColor="background1"/>
                <w:w w:val="115"/>
                <w:sz w:val="18"/>
                <w:szCs w:val="18"/>
              </w:rPr>
              <w:t>9</w:t>
            </w:r>
            <w:r w:rsidRPr="00D61149">
              <w:rPr>
                <w:color w:val="FFFFFF" w:themeColor="background1"/>
                <w:w w:val="115"/>
                <w:sz w:val="18"/>
                <w:szCs w:val="18"/>
              </w:rPr>
              <w:t xml:space="preserve"> April 2020</w:t>
            </w:r>
            <w:r w:rsidRPr="00D61149">
              <w:rPr>
                <w:rStyle w:val="FootnoteReference"/>
                <w:b w:val="0"/>
                <w:color w:val="FFFFFF" w:themeColor="background1"/>
                <w:sz w:val="18"/>
                <w:szCs w:val="18"/>
              </w:rPr>
              <w:footnoteReference w:id="2"/>
            </w:r>
          </w:p>
        </w:tc>
      </w:tr>
      <w:tr w:rsidR="005A38CF" w:rsidRPr="00D61149" w14:paraId="76444273" w14:textId="77777777" w:rsidTr="00444C2B">
        <w:tblPrEx>
          <w:tblCellMar>
            <w:top w:w="0" w:type="dxa"/>
            <w:bottom w:w="0" w:type="dxa"/>
          </w:tblCellMar>
        </w:tblPrEx>
        <w:trPr>
          <w:trHeight w:hRule="exact" w:val="284"/>
        </w:trPr>
        <w:tc>
          <w:tcPr>
            <w:tcW w:w="2694" w:type="dxa"/>
            <w:vAlign w:val="center"/>
          </w:tcPr>
          <w:p w14:paraId="46809B77" w14:textId="77777777" w:rsidR="00E4281B" w:rsidRPr="00D61149" w:rsidRDefault="00E4281B" w:rsidP="00FF766F">
            <w:pPr>
              <w:contextualSpacing/>
              <w:rPr>
                <w:sz w:val="18"/>
                <w:szCs w:val="18"/>
              </w:rPr>
            </w:pPr>
            <w:r w:rsidRPr="00D61149">
              <w:rPr>
                <w:w w:val="115"/>
                <w:sz w:val="18"/>
                <w:szCs w:val="18"/>
              </w:rPr>
              <w:t>Notifications</w:t>
            </w:r>
          </w:p>
        </w:tc>
        <w:tc>
          <w:tcPr>
            <w:tcW w:w="3685" w:type="dxa"/>
            <w:vAlign w:val="center"/>
          </w:tcPr>
          <w:p w14:paraId="4ED90291" w14:textId="55FF2D61" w:rsidR="00E4281B" w:rsidRPr="00D61149" w:rsidRDefault="003F435B" w:rsidP="00661351">
            <w:pPr>
              <w:contextualSpacing/>
              <w:jc w:val="center"/>
              <w:rPr>
                <w:sz w:val="18"/>
                <w:szCs w:val="18"/>
              </w:rPr>
            </w:pPr>
            <w:r w:rsidRPr="00D61149">
              <w:rPr>
                <w:w w:val="115"/>
                <w:sz w:val="18"/>
                <w:szCs w:val="18"/>
              </w:rPr>
              <w:t>6,606</w:t>
            </w:r>
          </w:p>
        </w:tc>
      </w:tr>
      <w:tr w:rsidR="005A38CF" w:rsidRPr="00D61149" w14:paraId="56AA5367" w14:textId="77777777" w:rsidTr="00444C2B">
        <w:tblPrEx>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Height w:hRule="exact" w:val="284"/>
        </w:trPr>
        <w:tc>
          <w:tcPr>
            <w:tcW w:w="2694" w:type="dxa"/>
            <w:vAlign w:val="center"/>
          </w:tcPr>
          <w:p w14:paraId="33B62473" w14:textId="77777777" w:rsidR="00E4281B" w:rsidRPr="00D61149" w:rsidRDefault="00E4281B" w:rsidP="00FF766F">
            <w:pPr>
              <w:contextualSpacing/>
              <w:rPr>
                <w:sz w:val="18"/>
                <w:szCs w:val="18"/>
              </w:rPr>
            </w:pPr>
            <w:r w:rsidRPr="00D61149">
              <w:rPr>
                <w:w w:val="115"/>
                <w:sz w:val="18"/>
                <w:szCs w:val="18"/>
              </w:rPr>
              <w:t>Deaths</w:t>
            </w:r>
          </w:p>
        </w:tc>
        <w:tc>
          <w:tcPr>
            <w:tcW w:w="3685" w:type="dxa"/>
            <w:vAlign w:val="center"/>
          </w:tcPr>
          <w:p w14:paraId="6DA10E31" w14:textId="23E59AEB" w:rsidR="00E4281B" w:rsidRPr="00D61149" w:rsidRDefault="003F435B" w:rsidP="00661351">
            <w:pPr>
              <w:contextualSpacing/>
              <w:jc w:val="center"/>
              <w:rPr>
                <w:sz w:val="18"/>
                <w:szCs w:val="18"/>
              </w:rPr>
            </w:pPr>
            <w:r w:rsidRPr="00D61149">
              <w:rPr>
                <w:w w:val="115"/>
                <w:sz w:val="18"/>
                <w:szCs w:val="18"/>
              </w:rPr>
              <w:t>69</w:t>
            </w:r>
          </w:p>
        </w:tc>
      </w:tr>
    </w:tbl>
    <w:p w14:paraId="2E56A168" w14:textId="77777777" w:rsidR="000C5878" w:rsidRDefault="000C5878" w:rsidP="00444C2B">
      <w:pPr>
        <w:spacing w:after="0" w:line="240" w:lineRule="auto"/>
      </w:pPr>
    </w:p>
    <w:p w14:paraId="163CC0E3" w14:textId="2B45C300" w:rsidR="00910E27" w:rsidRDefault="00910E27" w:rsidP="006B39B3">
      <w:r>
        <w:t>The reduction in international travel</w:t>
      </w:r>
      <w:r w:rsidR="00F24CE5">
        <w:t xml:space="preserve"> and</w:t>
      </w:r>
      <w:r>
        <w:t xml:space="preserve"> domestic movement, social distancing measures and public health action have likely slowed the spread of the disease (Figure </w:t>
      </w:r>
      <w:r w:rsidR="009607FD">
        <w:t>1</w:t>
      </w:r>
      <w:r>
        <w:t>).</w:t>
      </w:r>
    </w:p>
    <w:p w14:paraId="3E79E17A" w14:textId="4EE6B58B" w:rsidR="008C4CEB" w:rsidRDefault="008C4CEB" w:rsidP="006B39B3">
      <w:r>
        <w:t xml:space="preserve">Notifications in Australia remain predominantly among people with recent overseas travel, with some locally-acquired cases being detected. Most locally-acquired cases </w:t>
      </w:r>
      <w:r w:rsidR="00B41990">
        <w:t>can</w:t>
      </w:r>
      <w:r>
        <w:t xml:space="preserve"> be linked back to a confirmed case, with a small portion unable to be epidemiologically linked. The distribution of overseas-acquired cases to locally-acquired cases varies by jurisdiction.</w:t>
      </w:r>
    </w:p>
    <w:p w14:paraId="078FA078" w14:textId="6B497F82" w:rsidR="00976237" w:rsidRPr="00E6405D" w:rsidRDefault="00E6405D" w:rsidP="006B39B3">
      <w:r w:rsidRPr="00E6405D">
        <w:t>T</w:t>
      </w:r>
      <w:r w:rsidR="00976237" w:rsidRPr="00E6405D">
        <w:t>he</w:t>
      </w:r>
      <w:r w:rsidRPr="00E6405D">
        <w:t xml:space="preserve"> crude</w:t>
      </w:r>
      <w:r w:rsidR="00976237" w:rsidRPr="00E6405D">
        <w:t xml:space="preserve"> </w:t>
      </w:r>
      <w:r w:rsidRPr="00E6405D">
        <w:t>case fatality rate</w:t>
      </w:r>
      <w:r>
        <w:t xml:space="preserve"> (CFR)</w:t>
      </w:r>
      <w:r w:rsidRPr="00E6405D">
        <w:t xml:space="preserve"> in Australia remains low (1</w:t>
      </w:r>
      <w:r w:rsidR="008C4CEB">
        <w:t>.0</w:t>
      </w:r>
      <w:r w:rsidR="00976237" w:rsidRPr="00E6405D">
        <w:t xml:space="preserve">%) compared to the </w:t>
      </w:r>
      <w:r w:rsidRPr="00E6405D">
        <w:t>World Health Organization</w:t>
      </w:r>
      <w:r w:rsidR="00B41990">
        <w:t>’s</w:t>
      </w:r>
      <w:r w:rsidRPr="00E6405D">
        <w:t xml:space="preserve"> globally</w:t>
      </w:r>
      <w:r w:rsidR="00B41990">
        <w:t>-</w:t>
      </w:r>
      <w:r w:rsidR="00976237" w:rsidRPr="00E6405D">
        <w:t>reported rate (6</w:t>
      </w:r>
      <w:r w:rsidRPr="00E6405D">
        <w:t>.8</w:t>
      </w:r>
      <w:r w:rsidR="00976237" w:rsidRPr="00E6405D">
        <w:t>%) and to other comparable high</w:t>
      </w:r>
      <w:r w:rsidR="00B41990">
        <w:t>-</w:t>
      </w:r>
      <w:r w:rsidR="00976237" w:rsidRPr="00E6405D">
        <w:t>in</w:t>
      </w:r>
      <w:r w:rsidRPr="00E6405D">
        <w:t xml:space="preserve">come countries such as the </w:t>
      </w:r>
      <w:r w:rsidR="00F9258B">
        <w:t>United States of America</w:t>
      </w:r>
      <w:r w:rsidR="00F9258B" w:rsidRPr="00E6405D">
        <w:t xml:space="preserve"> </w:t>
      </w:r>
      <w:r w:rsidRPr="00E6405D">
        <w:t xml:space="preserve">(4.7%) and the </w:t>
      </w:r>
      <w:r w:rsidR="00F9258B">
        <w:t>United Kingdom</w:t>
      </w:r>
      <w:r w:rsidR="00F9258B" w:rsidRPr="00E6405D">
        <w:t xml:space="preserve"> </w:t>
      </w:r>
      <w:r w:rsidRPr="00E6405D">
        <w:t>(13.5%</w:t>
      </w:r>
      <w:r w:rsidR="00976237" w:rsidRPr="00E6405D">
        <w:t xml:space="preserve">). The low CFR is likely reflective of high case ascertainment including detection of mild cases.  High case ascertainment </w:t>
      </w:r>
      <w:r w:rsidR="00052AC3">
        <w:t xml:space="preserve">and prompt identification of contacts </w:t>
      </w:r>
      <w:r w:rsidR="00976237" w:rsidRPr="00E6405D">
        <w:t xml:space="preserve">enables </w:t>
      </w:r>
      <w:r w:rsidR="004815BD">
        <w:t xml:space="preserve">the </w:t>
      </w:r>
      <w:r w:rsidR="00976237" w:rsidRPr="00E6405D">
        <w:t xml:space="preserve">public health response and </w:t>
      </w:r>
      <w:r w:rsidR="00052AC3">
        <w:t xml:space="preserve">a </w:t>
      </w:r>
      <w:r w:rsidR="00976237" w:rsidRPr="00E6405D">
        <w:t xml:space="preserve">reduction of disease transmission.  </w:t>
      </w:r>
    </w:p>
    <w:p w14:paraId="1B4FDC86" w14:textId="2B676E31" w:rsidR="00E4281B" w:rsidRDefault="00E4281B" w:rsidP="006B39B3">
      <w:pPr>
        <w:rPr>
          <w:noProof/>
        </w:rPr>
      </w:pPr>
      <w:r w:rsidRPr="00BC4E99">
        <w:rPr>
          <w:noProof/>
        </w:rPr>
        <w:t>Internationally,</w:t>
      </w:r>
      <w:r w:rsidR="009B4D90" w:rsidRPr="00BC4E99">
        <w:rPr>
          <w:noProof/>
        </w:rPr>
        <w:t xml:space="preserve"> </w:t>
      </w:r>
      <w:r w:rsidR="003962B5" w:rsidRPr="00BC4E99">
        <w:rPr>
          <w:noProof/>
        </w:rPr>
        <w:t>cases continue to increase</w:t>
      </w:r>
      <w:r w:rsidR="002D581D" w:rsidRPr="00BC4E99">
        <w:rPr>
          <w:noProof/>
        </w:rPr>
        <w:t>. T</w:t>
      </w:r>
      <w:r w:rsidR="003962B5" w:rsidRPr="00BC4E99">
        <w:rPr>
          <w:noProof/>
        </w:rPr>
        <w:t>he</w:t>
      </w:r>
      <w:r w:rsidRPr="00BC4E99">
        <w:rPr>
          <w:noProof/>
        </w:rPr>
        <w:t xml:space="preserve"> </w:t>
      </w:r>
      <w:r w:rsidR="007D2B6F" w:rsidRPr="00BC4E99">
        <w:rPr>
          <w:noProof/>
        </w:rPr>
        <w:t xml:space="preserve">rates of increase have started to slow in several regions, </w:t>
      </w:r>
      <w:r w:rsidR="003962B5" w:rsidRPr="00BC4E99">
        <w:rPr>
          <w:noProof/>
        </w:rPr>
        <w:t>although</w:t>
      </w:r>
      <w:r w:rsidR="007D2B6F" w:rsidRPr="00BC4E99">
        <w:rPr>
          <w:noProof/>
        </w:rPr>
        <w:t xml:space="preserve"> it is too soon to tell whether this trend will be sustained</w:t>
      </w:r>
      <w:r w:rsidRPr="00BC4E99">
        <w:rPr>
          <w:noProof/>
        </w:rPr>
        <w:t xml:space="preserve">. </w:t>
      </w:r>
      <w:r w:rsidR="008C4CEB" w:rsidRPr="008C4CEB">
        <w:rPr>
          <w:noProof/>
        </w:rPr>
        <w:t>Interpretation of international</w:t>
      </w:r>
      <w:r w:rsidRPr="008C4CEB">
        <w:rPr>
          <w:noProof/>
        </w:rPr>
        <w:t xml:space="preserve"> epidemiology</w:t>
      </w:r>
      <w:r w:rsidR="008C4CEB" w:rsidRPr="008C4CEB">
        <w:rPr>
          <w:noProof/>
        </w:rPr>
        <w:t xml:space="preserve"> should be conducted with caution as it</w:t>
      </w:r>
      <w:r w:rsidRPr="008C4CEB">
        <w:rPr>
          <w:noProof/>
        </w:rPr>
        <w:t xml:space="preserve"> differs from country to country depending not only on the disease</w:t>
      </w:r>
      <w:r w:rsidR="00AD59C3" w:rsidRPr="008C4CEB">
        <w:rPr>
          <w:noProof/>
        </w:rPr>
        <w:t xml:space="preserve"> dynamics, </w:t>
      </w:r>
      <w:r w:rsidRPr="008C4CEB">
        <w:rPr>
          <w:noProof/>
        </w:rPr>
        <w:t>but also on differences in case detection, testing and implemented public health measures.</w:t>
      </w:r>
    </w:p>
    <w:p w14:paraId="21845BFE" w14:textId="77777777" w:rsidR="00693582" w:rsidRDefault="00F24CE5" w:rsidP="006B39B3">
      <w:r>
        <w:t xml:space="preserve">Keywords: </w:t>
      </w:r>
      <w:r w:rsidRPr="00F24CE5">
        <w:t>SARS-CoV-2; novel coronavirus; 2019-nCoV; coronavirus disease 2019; COVID-19; acute respiratory disease; epidemiology; Australia</w:t>
      </w:r>
    </w:p>
    <w:p w14:paraId="1BD58339" w14:textId="171E0DF4" w:rsidR="002D6CC8" w:rsidRDefault="00693582" w:rsidP="00444C2B">
      <w:pPr>
        <w:jc w:val="center"/>
        <w:sectPr w:rsidR="002D6CC8" w:rsidSect="00F72330">
          <w:footerReference w:type="default" r:id="rId9"/>
          <w:footerReference w:type="first" r:id="rId10"/>
          <w:footnotePr>
            <w:numFmt w:val="lowerRoman"/>
          </w:footnotePr>
          <w:type w:val="continuous"/>
          <w:pgSz w:w="11906" w:h="16838"/>
          <w:pgMar w:top="720" w:right="720" w:bottom="1134" w:left="720" w:header="709" w:footer="284" w:gutter="0"/>
          <w:cols w:space="708"/>
          <w:titlePg/>
          <w:docGrid w:linePitch="360"/>
        </w:sectPr>
      </w:pPr>
      <w:r>
        <w:rPr>
          <w:noProof/>
        </w:rPr>
        <w:lastRenderedPageBreak/>
        <w:drawing>
          <wp:inline distT="0" distB="0" distL="0" distR="0" wp14:anchorId="090EC56D" wp14:editId="0FF30364">
            <wp:extent cx="5791598" cy="1923691"/>
            <wp:effectExtent l="0" t="0" r="0" b="635"/>
            <wp:docPr id="9" name="Picture 9" descr="Bar chart showing COVID-19 notifications by date of illness onset, for the 6,606 Australian cases. Notifications for the cases shown have onset dates ranging from 13 January 2020 to 19 April 2020. The chart also shows the curve of cumulative cases, which rises most steeply between 15 and 25 March before levelling off to a much more gradual rise throughout the first several weeks of Apr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xsl_figures.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61989" cy="1947071"/>
                    </a:xfrm>
                    <a:prstGeom prst="rect">
                      <a:avLst/>
                    </a:prstGeom>
                  </pic:spPr>
                </pic:pic>
              </a:graphicData>
            </a:graphic>
          </wp:inline>
        </w:drawing>
      </w:r>
    </w:p>
    <w:p w14:paraId="60971F82" w14:textId="1C925CC4" w:rsidR="00E4281B" w:rsidRPr="00E4281B" w:rsidRDefault="00E4281B" w:rsidP="00E4281B">
      <w:pPr>
        <w:pStyle w:val="CDIFigures"/>
      </w:pPr>
      <w:r w:rsidRPr="00E4281B">
        <w:lastRenderedPageBreak/>
        <w:t xml:space="preserve">Figure </w:t>
      </w:r>
      <w:r w:rsidR="00681BB2">
        <w:t>1</w:t>
      </w:r>
      <w:r w:rsidRPr="00E4281B">
        <w:t>: COVID-19 notifications in Au</w:t>
      </w:r>
      <w:r w:rsidR="00E83A00">
        <w:t xml:space="preserve">stralia by date of onset, from </w:t>
      </w:r>
      <w:r w:rsidRPr="00E4281B">
        <w:t xml:space="preserve">13 January to </w:t>
      </w:r>
      <w:r w:rsidR="00D61F1C">
        <w:t>1</w:t>
      </w:r>
      <w:r w:rsidR="00BF48D4">
        <w:t>9</w:t>
      </w:r>
      <w:r w:rsidRPr="00E4281B">
        <w:t xml:space="preserve"> April 2020,</w:t>
      </w:r>
      <w:r w:rsidRPr="00E83A00">
        <w:rPr>
          <w:vertAlign w:val="superscript"/>
        </w:rPr>
        <w:t>a</w:t>
      </w:r>
      <w:r w:rsidRPr="00E4281B">
        <w:t xml:space="preserve"> with timing of key public health measures</w:t>
      </w:r>
    </w:p>
    <w:p w14:paraId="20A0B6CA" w14:textId="7DE81AB2" w:rsidR="00E4281B" w:rsidRDefault="00CA537D" w:rsidP="00972C75">
      <w:pPr>
        <w:spacing w:after="0" w:line="240" w:lineRule="auto"/>
        <w:jc w:val="center"/>
        <w:rPr>
          <w:noProof/>
        </w:rPr>
      </w:pPr>
      <w:r>
        <w:rPr>
          <w:noProof/>
        </w:rPr>
        <w:drawing>
          <wp:inline distT="0" distB="0" distL="0" distR="0" wp14:anchorId="6AE6A532" wp14:editId="3C43CBEC">
            <wp:extent cx="8167823" cy="5322499"/>
            <wp:effectExtent l="0" t="0" r="5080" b="0"/>
            <wp:docPr id="17" name="Picture 17" descr="Bar chart showing COVID-19 notifications by date of illness onset, for the 6,606 Australian cases. Notifications for the cases shown have onset dates ranging from 13 January 2020 to 19 April 2020. The chart also highlights the timing of key public health measures such as quarantine and self-isolation advice and restrictions on gatherings and tra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8174114" cy="5326598"/>
                    </a:xfrm>
                    <a:prstGeom prst="rect">
                      <a:avLst/>
                    </a:prstGeom>
                    <a:noFill/>
                  </pic:spPr>
                </pic:pic>
              </a:graphicData>
            </a:graphic>
          </wp:inline>
        </w:drawing>
      </w:r>
    </w:p>
    <w:p w14:paraId="509120D3" w14:textId="30BD34E9" w:rsidR="00E4281B" w:rsidRPr="00115C45" w:rsidRDefault="00E4281B" w:rsidP="00650D81">
      <w:pPr>
        <w:spacing w:after="0" w:line="240" w:lineRule="auto"/>
        <w:jc w:val="center"/>
        <w:rPr>
          <w:rFonts w:cstheme="minorHAnsi"/>
          <w:noProof/>
        </w:rPr>
      </w:pPr>
    </w:p>
    <w:p w14:paraId="6AA51664" w14:textId="77777777" w:rsidR="00E4281B" w:rsidRPr="00E4281B" w:rsidRDefault="00E4281B" w:rsidP="00E4281B">
      <w:pPr>
        <w:pStyle w:val="CDIfootnotes"/>
        <w:sectPr w:rsidR="00E4281B" w:rsidRPr="00E4281B" w:rsidSect="00650D81">
          <w:footnotePr>
            <w:numFmt w:val="lowerRoman"/>
          </w:footnotePr>
          <w:pgSz w:w="16838" w:h="11906" w:orient="landscape"/>
          <w:pgMar w:top="851" w:right="709" w:bottom="851" w:left="425" w:header="709" w:footer="709" w:gutter="0"/>
          <w:cols w:space="708"/>
          <w:docGrid w:linePitch="360"/>
        </w:sectPr>
      </w:pPr>
      <w:r w:rsidRPr="00E4281B">
        <w:t>a</w:t>
      </w:r>
      <w:r w:rsidRPr="00E4281B">
        <w:tab/>
        <w:t>Due to reporting delays, interpret the latest days’ new cases with caution.</w:t>
      </w:r>
    </w:p>
    <w:p w14:paraId="5A58EF11" w14:textId="77777777" w:rsidR="00E4281B" w:rsidRPr="006B39B3" w:rsidRDefault="00E4281B" w:rsidP="006B39B3">
      <w:pPr>
        <w:pStyle w:val="Heading1"/>
      </w:pPr>
      <w:r w:rsidRPr="006B39B3">
        <w:lastRenderedPageBreak/>
        <w:t xml:space="preserve">Australian cases: descriptive epidemiology </w:t>
      </w:r>
    </w:p>
    <w:p w14:paraId="20D838DE" w14:textId="77777777" w:rsidR="006304AF" w:rsidRPr="006B39B3" w:rsidRDefault="006304AF" w:rsidP="006B39B3">
      <w:pPr>
        <w:pStyle w:val="Heading2"/>
      </w:pPr>
      <w:bookmarkStart w:id="0" w:name="_Ref512339903"/>
      <w:bookmarkStart w:id="1" w:name="_Ref522005646"/>
      <w:r w:rsidRPr="006B39B3">
        <w:t xml:space="preserve">National trends </w:t>
      </w:r>
    </w:p>
    <w:p w14:paraId="3570838E" w14:textId="10110B65" w:rsidR="00F72D09" w:rsidRDefault="008C4CEB" w:rsidP="006B39B3">
      <w:r>
        <w:t>For the week ending 19 April 2020</w:t>
      </w:r>
      <w:r w:rsidR="00F72D09" w:rsidRPr="002001DA">
        <w:t xml:space="preserve">, </w:t>
      </w:r>
      <w:r w:rsidR="00645958">
        <w:t xml:space="preserve">there were </w:t>
      </w:r>
      <w:r w:rsidR="00F72D09" w:rsidRPr="002001DA">
        <w:t xml:space="preserve">212 cases of COVID-19 notified to the NNDSS, bringing the total number of confirmed cases notified in Australia to 6,606 </w:t>
      </w:r>
      <w:r w:rsidR="00F72D09" w:rsidRPr="00731BF0">
        <w:t>(</w:t>
      </w:r>
      <w:r w:rsidR="00645958">
        <w:t>as of</w:t>
      </w:r>
      <w:r w:rsidR="00F72D09" w:rsidRPr="00731BF0">
        <w:t xml:space="preserve"> 23:59 AEST 19 April 2020). </w:t>
      </w:r>
    </w:p>
    <w:p w14:paraId="1FE648BB" w14:textId="423DE1FC" w:rsidR="00B624BC" w:rsidRPr="002001DA" w:rsidRDefault="00B624BC" w:rsidP="006B39B3">
      <w:r w:rsidRPr="002001DA">
        <w:t xml:space="preserve">The </w:t>
      </w:r>
      <w:r w:rsidR="00BC4E99">
        <w:t xml:space="preserve">number </w:t>
      </w:r>
      <w:r w:rsidRPr="002001DA">
        <w:t>of new cases continues to decrease</w:t>
      </w:r>
      <w:r w:rsidR="00161059">
        <w:t xml:space="preserve"> (Table 1)</w:t>
      </w:r>
      <w:r w:rsidRPr="002001DA">
        <w:t xml:space="preserve"> </w:t>
      </w:r>
      <w:r w:rsidR="008C4CEB">
        <w:t>which indicates</w:t>
      </w:r>
      <w:r w:rsidRPr="002001DA">
        <w:t xml:space="preserve"> a reduction in disease transmission, as demonstrated by a flattening of the cumulative cases curve. While </w:t>
      </w:r>
      <w:r w:rsidR="00B41990">
        <w:t xml:space="preserve">the </w:t>
      </w:r>
      <w:r w:rsidRPr="002001DA">
        <w:t>reduction in international travel has decreased the number of imported cases</w:t>
      </w:r>
      <w:r w:rsidR="00BC12B7">
        <w:t>,</w:t>
      </w:r>
      <w:r w:rsidRPr="002001DA">
        <w:t xml:space="preserve"> </w:t>
      </w:r>
      <w:r w:rsidR="00645958">
        <w:t xml:space="preserve">the </w:t>
      </w:r>
      <w:r w:rsidRPr="002001DA">
        <w:t>public health response</w:t>
      </w:r>
      <w:r w:rsidR="008C4CEB">
        <w:t xml:space="preserve"> </w:t>
      </w:r>
      <w:r w:rsidR="00645958">
        <w:t>(</w:t>
      </w:r>
      <w:r w:rsidR="008C4CEB">
        <w:t>such as</w:t>
      </w:r>
      <w:r w:rsidRPr="002001DA">
        <w:t xml:space="preserve"> </w:t>
      </w:r>
      <w:r w:rsidR="008C4CEB" w:rsidRPr="002001DA">
        <w:t>social distancing measures</w:t>
      </w:r>
      <w:r w:rsidR="00645958">
        <w:t>)</w:t>
      </w:r>
      <w:r w:rsidR="008C4CEB" w:rsidRPr="002001DA">
        <w:t xml:space="preserve"> </w:t>
      </w:r>
      <w:r w:rsidRPr="002001DA">
        <w:t>remain</w:t>
      </w:r>
      <w:r w:rsidR="00645958">
        <w:t>s</w:t>
      </w:r>
      <w:r w:rsidRPr="002001DA">
        <w:t xml:space="preserve"> important in</w:t>
      </w:r>
      <w:r w:rsidR="008C4CEB">
        <w:t xml:space="preserve"> continuing to limi</w:t>
      </w:r>
      <w:r w:rsidR="00645958">
        <w:t>t</w:t>
      </w:r>
      <w:r w:rsidRPr="002001DA">
        <w:t xml:space="preserve"> domestic </w:t>
      </w:r>
      <w:r w:rsidR="00052AC3">
        <w:t>transmission</w:t>
      </w:r>
      <w:r w:rsidRPr="002001DA">
        <w:t xml:space="preserve">. </w:t>
      </w:r>
    </w:p>
    <w:p w14:paraId="7F2F56E5" w14:textId="327B174C" w:rsidR="00F72D09" w:rsidRPr="0092004B" w:rsidRDefault="00F72D09" w:rsidP="0092004B">
      <w:pPr>
        <w:pStyle w:val="CDIFigures"/>
      </w:pPr>
      <w:r w:rsidRPr="0092004B">
        <w:t xml:space="preserve">Table 1: </w:t>
      </w:r>
      <w:r w:rsidR="008C4CEB" w:rsidRPr="0092004B">
        <w:t>R</w:t>
      </w:r>
      <w:r w:rsidR="002001DA" w:rsidRPr="0092004B">
        <w:t>ate</w:t>
      </w:r>
      <w:r w:rsidR="008C4CEB" w:rsidRPr="0092004B">
        <w:t xml:space="preserve"> </w:t>
      </w:r>
      <w:r w:rsidR="00C011C9" w:rsidRPr="0092004B">
        <w:t>of</w:t>
      </w:r>
      <w:r w:rsidRPr="0092004B">
        <w:t xml:space="preserve"> weekly notifications of</w:t>
      </w:r>
      <w:r w:rsidR="008C4CEB" w:rsidRPr="0092004B">
        <w:t xml:space="preserve"> COVID-19</w:t>
      </w:r>
      <w:r w:rsidRPr="0092004B">
        <w:t>,</w:t>
      </w:r>
      <w:r w:rsidR="008C4CEB" w:rsidRPr="0092004B">
        <w:t xml:space="preserve"> March to April,</w:t>
      </w:r>
      <w:r w:rsidRPr="0092004B">
        <w:t xml:space="preserve"> Australia</w:t>
      </w:r>
    </w:p>
    <w:tbl>
      <w:tblPr>
        <w:tblStyle w:val="CDI-StandardTable"/>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57" w:type="dxa"/>
          <w:left w:w="57" w:type="dxa"/>
          <w:bottom w:w="57" w:type="dxa"/>
          <w:right w:w="57" w:type="dxa"/>
        </w:tblCellMar>
        <w:tblLook w:val="04A0" w:firstRow="1" w:lastRow="0" w:firstColumn="1" w:lastColumn="0" w:noHBand="0" w:noVBand="1"/>
        <w:tblDescription w:val="Table 1 shows the rate of weekly notifications in each state and territory, as well as across Australia, for the current reporting week as well as for the two preceding weeks. In this reporting week, Tasmania had the highest rate of 10.2 notifications per 100,000 population, followed by NSW on 1.3 notifications per 100,000 population. Both the Northern Territory and the Australian Capital Territory reported no new cases for this reporting week; numbers of new case notifications for all jurisdictions, and across Australia, were down compared to the previous week."/>
      </w:tblPr>
      <w:tblGrid>
        <w:gridCol w:w="2408"/>
        <w:gridCol w:w="2596"/>
        <w:gridCol w:w="2596"/>
        <w:gridCol w:w="2598"/>
      </w:tblGrid>
      <w:tr w:rsidR="0092004B" w:rsidRPr="0092004B" w14:paraId="621864D4" w14:textId="77777777" w:rsidTr="0092004B">
        <w:trPr>
          <w:cnfStyle w:val="100000000000" w:firstRow="1" w:lastRow="0" w:firstColumn="0" w:lastColumn="0" w:oddVBand="0" w:evenVBand="0" w:oddHBand="0" w:evenHBand="0" w:firstRowFirstColumn="0" w:firstRowLastColumn="0" w:lastRowFirstColumn="0" w:lastRowLastColumn="0"/>
          <w:trHeight w:val="290"/>
          <w:tblHeader/>
        </w:trPr>
        <w:tc>
          <w:tcPr>
            <w:tcW w:w="1180" w:type="pct"/>
            <w:noWrap/>
            <w:hideMark/>
          </w:tcPr>
          <w:p w14:paraId="57501E41" w14:textId="77777777" w:rsidR="002001DA" w:rsidRPr="0092004B" w:rsidRDefault="002001DA">
            <w:pPr>
              <w:rPr>
                <w:color w:val="FFFFFF" w:themeColor="background1"/>
              </w:rPr>
            </w:pPr>
          </w:p>
        </w:tc>
        <w:tc>
          <w:tcPr>
            <w:tcW w:w="3820" w:type="pct"/>
            <w:gridSpan w:val="3"/>
            <w:noWrap/>
            <w:hideMark/>
          </w:tcPr>
          <w:p w14:paraId="37A578CF" w14:textId="65BEB873" w:rsidR="002001DA" w:rsidRPr="0092004B" w:rsidRDefault="002001DA" w:rsidP="008C4CEB">
            <w:pPr>
              <w:jc w:val="center"/>
              <w:rPr>
                <w:color w:val="FFFFFF" w:themeColor="background1"/>
              </w:rPr>
            </w:pPr>
            <w:r w:rsidRPr="0092004B">
              <w:rPr>
                <w:color w:val="FFFFFF" w:themeColor="background1"/>
              </w:rPr>
              <w:t>Incidence</w:t>
            </w:r>
            <w:r w:rsidR="0098734B" w:rsidRPr="0092004B">
              <w:rPr>
                <w:color w:val="FFFFFF" w:themeColor="background1"/>
              </w:rPr>
              <w:t xml:space="preserve"> (per</w:t>
            </w:r>
            <w:r w:rsidRPr="0092004B">
              <w:rPr>
                <w:color w:val="FFFFFF" w:themeColor="background1"/>
              </w:rPr>
              <w:t xml:space="preserve"> 100,000</w:t>
            </w:r>
            <w:r w:rsidR="0098734B" w:rsidRPr="0092004B">
              <w:rPr>
                <w:color w:val="FFFFFF" w:themeColor="background1"/>
              </w:rPr>
              <w:t xml:space="preserve"> population</w:t>
            </w:r>
            <w:r w:rsidRPr="0092004B">
              <w:rPr>
                <w:color w:val="FFFFFF" w:themeColor="background1"/>
              </w:rPr>
              <w:t>)</w:t>
            </w:r>
          </w:p>
        </w:tc>
      </w:tr>
      <w:tr w:rsidR="0092004B" w:rsidRPr="0092004B" w14:paraId="5F27FEFF" w14:textId="77777777" w:rsidTr="0092004B">
        <w:trPr>
          <w:cnfStyle w:val="100000000000" w:firstRow="1" w:lastRow="0" w:firstColumn="0" w:lastColumn="0" w:oddVBand="0" w:evenVBand="0" w:oddHBand="0" w:evenHBand="0" w:firstRowFirstColumn="0" w:firstRowLastColumn="0" w:lastRowFirstColumn="0" w:lastRowLastColumn="0"/>
          <w:trHeight w:val="290"/>
          <w:tblHeader/>
        </w:trPr>
        <w:tc>
          <w:tcPr>
            <w:tcW w:w="1180" w:type="pct"/>
            <w:noWrap/>
            <w:hideMark/>
          </w:tcPr>
          <w:p w14:paraId="5CE10BBB" w14:textId="7E3153B0" w:rsidR="002001DA" w:rsidRPr="0092004B" w:rsidRDefault="002001DA">
            <w:pPr>
              <w:rPr>
                <w:color w:val="FFFFFF" w:themeColor="background1"/>
              </w:rPr>
            </w:pPr>
            <w:r w:rsidRPr="0092004B">
              <w:rPr>
                <w:color w:val="FFFFFF" w:themeColor="background1"/>
              </w:rPr>
              <w:t xml:space="preserve">Jurisdiction </w:t>
            </w:r>
          </w:p>
        </w:tc>
        <w:tc>
          <w:tcPr>
            <w:tcW w:w="1273" w:type="pct"/>
            <w:noWrap/>
            <w:hideMark/>
          </w:tcPr>
          <w:p w14:paraId="408BE24B" w14:textId="7132E019" w:rsidR="002001DA" w:rsidRPr="0092004B" w:rsidRDefault="008C4CEB" w:rsidP="00F9258B">
            <w:pPr>
              <w:rPr>
                <w:color w:val="FFFFFF" w:themeColor="background1"/>
              </w:rPr>
            </w:pPr>
            <w:r w:rsidRPr="0092004B">
              <w:rPr>
                <w:color w:val="FFFFFF" w:themeColor="background1"/>
              </w:rPr>
              <w:t>13</w:t>
            </w:r>
            <w:r w:rsidR="00F9258B" w:rsidRPr="0092004B">
              <w:rPr>
                <w:color w:val="FFFFFF" w:themeColor="background1"/>
              </w:rPr>
              <w:t>–</w:t>
            </w:r>
            <w:r w:rsidR="002001DA" w:rsidRPr="0092004B">
              <w:rPr>
                <w:color w:val="FFFFFF" w:themeColor="background1"/>
              </w:rPr>
              <w:t>19</w:t>
            </w:r>
            <w:r w:rsidR="00F9258B" w:rsidRPr="0092004B">
              <w:rPr>
                <w:color w:val="FFFFFF" w:themeColor="background1"/>
              </w:rPr>
              <w:t xml:space="preserve"> </w:t>
            </w:r>
            <w:r w:rsidR="002001DA" w:rsidRPr="0092004B">
              <w:rPr>
                <w:color w:val="FFFFFF" w:themeColor="background1"/>
              </w:rPr>
              <w:t>Apr</w:t>
            </w:r>
            <w:r w:rsidR="00F9258B" w:rsidRPr="0092004B">
              <w:rPr>
                <w:color w:val="FFFFFF" w:themeColor="background1"/>
              </w:rPr>
              <w:t>il</w:t>
            </w:r>
          </w:p>
        </w:tc>
        <w:tc>
          <w:tcPr>
            <w:tcW w:w="1273" w:type="pct"/>
            <w:noWrap/>
            <w:hideMark/>
          </w:tcPr>
          <w:p w14:paraId="51753D86" w14:textId="6396FAE8" w:rsidR="002001DA" w:rsidRPr="0092004B" w:rsidRDefault="00B67C0C" w:rsidP="0009500D">
            <w:pPr>
              <w:rPr>
                <w:color w:val="FFFFFF" w:themeColor="background1"/>
              </w:rPr>
            </w:pPr>
            <w:r w:rsidRPr="0092004B">
              <w:rPr>
                <w:color w:val="FFFFFF" w:themeColor="background1"/>
              </w:rPr>
              <w:t>6</w:t>
            </w:r>
            <w:r w:rsidR="0009500D" w:rsidRPr="0092004B">
              <w:rPr>
                <w:color w:val="FFFFFF" w:themeColor="background1"/>
              </w:rPr>
              <w:t>–12</w:t>
            </w:r>
            <w:r w:rsidRPr="0092004B">
              <w:rPr>
                <w:color w:val="FFFFFF" w:themeColor="background1"/>
              </w:rPr>
              <w:t xml:space="preserve"> April</w:t>
            </w:r>
          </w:p>
        </w:tc>
        <w:tc>
          <w:tcPr>
            <w:tcW w:w="1274" w:type="pct"/>
            <w:noWrap/>
            <w:hideMark/>
          </w:tcPr>
          <w:p w14:paraId="19C61533" w14:textId="16AED4C6" w:rsidR="002001DA" w:rsidRPr="0092004B" w:rsidRDefault="00B67C0C" w:rsidP="00F9258B">
            <w:pPr>
              <w:rPr>
                <w:color w:val="FFFFFF" w:themeColor="background1"/>
              </w:rPr>
            </w:pPr>
            <w:r w:rsidRPr="0092004B">
              <w:rPr>
                <w:color w:val="FFFFFF" w:themeColor="background1"/>
              </w:rPr>
              <w:t>30 March to 5 April</w:t>
            </w:r>
          </w:p>
        </w:tc>
      </w:tr>
      <w:tr w:rsidR="00B67C0C" w:rsidRPr="002001DA" w14:paraId="6FDD1F71" w14:textId="77777777" w:rsidTr="0092004B">
        <w:trPr>
          <w:trHeight w:val="290"/>
        </w:trPr>
        <w:tc>
          <w:tcPr>
            <w:tcW w:w="1180" w:type="pct"/>
            <w:noWrap/>
            <w:hideMark/>
          </w:tcPr>
          <w:p w14:paraId="1C6E62B1" w14:textId="77777777" w:rsidR="002001DA" w:rsidRPr="002001DA" w:rsidRDefault="002001DA">
            <w:r w:rsidRPr="002001DA">
              <w:t>NSW</w:t>
            </w:r>
          </w:p>
        </w:tc>
        <w:tc>
          <w:tcPr>
            <w:tcW w:w="1273" w:type="pct"/>
            <w:noWrap/>
            <w:hideMark/>
          </w:tcPr>
          <w:p w14:paraId="51CCE2E9" w14:textId="77777777" w:rsidR="002001DA" w:rsidRPr="002001DA" w:rsidRDefault="002001DA" w:rsidP="00F9258B">
            <w:pPr>
              <w:jc w:val="center"/>
            </w:pPr>
            <w:r w:rsidRPr="002001DA">
              <w:t>1.3</w:t>
            </w:r>
          </w:p>
        </w:tc>
        <w:tc>
          <w:tcPr>
            <w:tcW w:w="1273" w:type="pct"/>
            <w:noWrap/>
            <w:hideMark/>
          </w:tcPr>
          <w:p w14:paraId="3C29F0D7" w14:textId="77777777" w:rsidR="002001DA" w:rsidRPr="002001DA" w:rsidRDefault="002001DA" w:rsidP="00F9258B">
            <w:pPr>
              <w:jc w:val="center"/>
            </w:pPr>
            <w:r w:rsidRPr="002001DA">
              <w:t>2.6</w:t>
            </w:r>
          </w:p>
        </w:tc>
        <w:tc>
          <w:tcPr>
            <w:tcW w:w="1274" w:type="pct"/>
            <w:noWrap/>
            <w:hideMark/>
          </w:tcPr>
          <w:p w14:paraId="30094D09" w14:textId="77777777" w:rsidR="002001DA" w:rsidRPr="002001DA" w:rsidRDefault="002001DA" w:rsidP="00F9258B">
            <w:pPr>
              <w:jc w:val="center"/>
            </w:pPr>
            <w:r w:rsidRPr="002001DA">
              <w:t>8.5</w:t>
            </w:r>
          </w:p>
        </w:tc>
      </w:tr>
      <w:tr w:rsidR="00B67C0C" w:rsidRPr="002001DA" w14:paraId="28547FF1" w14:textId="77777777" w:rsidTr="0092004B">
        <w:trPr>
          <w:cnfStyle w:val="000000010000" w:firstRow="0" w:lastRow="0" w:firstColumn="0" w:lastColumn="0" w:oddVBand="0" w:evenVBand="0" w:oddHBand="0" w:evenHBand="1" w:firstRowFirstColumn="0" w:firstRowLastColumn="0" w:lastRowFirstColumn="0" w:lastRowLastColumn="0"/>
          <w:trHeight w:val="290"/>
        </w:trPr>
        <w:tc>
          <w:tcPr>
            <w:tcW w:w="1180" w:type="pct"/>
            <w:noWrap/>
            <w:hideMark/>
          </w:tcPr>
          <w:p w14:paraId="110C35B4" w14:textId="77777777" w:rsidR="002001DA" w:rsidRPr="002001DA" w:rsidRDefault="002001DA">
            <w:r w:rsidRPr="002001DA">
              <w:t>Vic</w:t>
            </w:r>
          </w:p>
        </w:tc>
        <w:tc>
          <w:tcPr>
            <w:tcW w:w="1273" w:type="pct"/>
            <w:noWrap/>
            <w:hideMark/>
          </w:tcPr>
          <w:p w14:paraId="1C74F36A" w14:textId="77777777" w:rsidR="002001DA" w:rsidRPr="002001DA" w:rsidRDefault="002001DA" w:rsidP="00F9258B">
            <w:pPr>
              <w:jc w:val="center"/>
            </w:pPr>
            <w:r w:rsidRPr="002001DA">
              <w:t>0.1</w:t>
            </w:r>
          </w:p>
        </w:tc>
        <w:tc>
          <w:tcPr>
            <w:tcW w:w="1273" w:type="pct"/>
            <w:noWrap/>
            <w:hideMark/>
          </w:tcPr>
          <w:p w14:paraId="4DAAE5C0" w14:textId="77777777" w:rsidR="002001DA" w:rsidRPr="002001DA" w:rsidRDefault="002001DA" w:rsidP="00F9258B">
            <w:pPr>
              <w:jc w:val="center"/>
            </w:pPr>
            <w:r w:rsidRPr="002001DA">
              <w:t>2.3</w:t>
            </w:r>
          </w:p>
        </w:tc>
        <w:tc>
          <w:tcPr>
            <w:tcW w:w="1274" w:type="pct"/>
            <w:noWrap/>
            <w:hideMark/>
          </w:tcPr>
          <w:p w14:paraId="303CD217" w14:textId="77777777" w:rsidR="002001DA" w:rsidRPr="002001DA" w:rsidRDefault="002001DA" w:rsidP="00F9258B">
            <w:pPr>
              <w:jc w:val="center"/>
            </w:pPr>
            <w:r w:rsidRPr="002001DA">
              <w:t>7.6</w:t>
            </w:r>
          </w:p>
        </w:tc>
      </w:tr>
      <w:tr w:rsidR="00B67C0C" w:rsidRPr="002001DA" w14:paraId="1B501A15" w14:textId="77777777" w:rsidTr="0092004B">
        <w:trPr>
          <w:trHeight w:val="290"/>
        </w:trPr>
        <w:tc>
          <w:tcPr>
            <w:tcW w:w="1180" w:type="pct"/>
            <w:noWrap/>
            <w:hideMark/>
          </w:tcPr>
          <w:p w14:paraId="4CBD143F" w14:textId="77777777" w:rsidR="002001DA" w:rsidRPr="002001DA" w:rsidRDefault="002001DA">
            <w:r w:rsidRPr="002001DA">
              <w:t>Qld</w:t>
            </w:r>
          </w:p>
        </w:tc>
        <w:tc>
          <w:tcPr>
            <w:tcW w:w="1273" w:type="pct"/>
            <w:noWrap/>
            <w:hideMark/>
          </w:tcPr>
          <w:p w14:paraId="0CBE8A9C" w14:textId="77777777" w:rsidR="002001DA" w:rsidRPr="002001DA" w:rsidRDefault="002001DA" w:rsidP="00F9258B">
            <w:pPr>
              <w:jc w:val="center"/>
            </w:pPr>
            <w:r w:rsidRPr="002001DA">
              <w:t>0.4</w:t>
            </w:r>
          </w:p>
        </w:tc>
        <w:tc>
          <w:tcPr>
            <w:tcW w:w="1273" w:type="pct"/>
            <w:noWrap/>
            <w:hideMark/>
          </w:tcPr>
          <w:p w14:paraId="04D82E5C" w14:textId="77777777" w:rsidR="002001DA" w:rsidRPr="002001DA" w:rsidRDefault="002001DA" w:rsidP="00F9258B">
            <w:pPr>
              <w:jc w:val="center"/>
            </w:pPr>
            <w:r w:rsidRPr="002001DA">
              <w:t>1.4</w:t>
            </w:r>
          </w:p>
        </w:tc>
        <w:tc>
          <w:tcPr>
            <w:tcW w:w="1274" w:type="pct"/>
            <w:noWrap/>
            <w:hideMark/>
          </w:tcPr>
          <w:p w14:paraId="74772EEC" w14:textId="77777777" w:rsidR="002001DA" w:rsidRPr="002001DA" w:rsidRDefault="002001DA" w:rsidP="00F9258B">
            <w:pPr>
              <w:jc w:val="center"/>
            </w:pPr>
            <w:r w:rsidRPr="002001DA">
              <w:t>3.9</w:t>
            </w:r>
          </w:p>
        </w:tc>
      </w:tr>
      <w:tr w:rsidR="00B67C0C" w:rsidRPr="002001DA" w14:paraId="29A4EFE4" w14:textId="77777777" w:rsidTr="0092004B">
        <w:trPr>
          <w:cnfStyle w:val="000000010000" w:firstRow="0" w:lastRow="0" w:firstColumn="0" w:lastColumn="0" w:oddVBand="0" w:evenVBand="0" w:oddHBand="0" w:evenHBand="1" w:firstRowFirstColumn="0" w:firstRowLastColumn="0" w:lastRowFirstColumn="0" w:lastRowLastColumn="0"/>
          <w:trHeight w:val="290"/>
        </w:trPr>
        <w:tc>
          <w:tcPr>
            <w:tcW w:w="1180" w:type="pct"/>
            <w:noWrap/>
            <w:hideMark/>
          </w:tcPr>
          <w:p w14:paraId="6B056554" w14:textId="77777777" w:rsidR="002001DA" w:rsidRPr="002001DA" w:rsidRDefault="002001DA">
            <w:r w:rsidRPr="002001DA">
              <w:t>WA</w:t>
            </w:r>
          </w:p>
        </w:tc>
        <w:tc>
          <w:tcPr>
            <w:tcW w:w="1273" w:type="pct"/>
            <w:noWrap/>
            <w:hideMark/>
          </w:tcPr>
          <w:p w14:paraId="490D2F37" w14:textId="77777777" w:rsidR="002001DA" w:rsidRPr="002001DA" w:rsidRDefault="002001DA" w:rsidP="00F9258B">
            <w:pPr>
              <w:jc w:val="center"/>
            </w:pPr>
            <w:r w:rsidRPr="002001DA">
              <w:t>1.0</w:t>
            </w:r>
          </w:p>
        </w:tc>
        <w:tc>
          <w:tcPr>
            <w:tcW w:w="1273" w:type="pct"/>
            <w:noWrap/>
            <w:hideMark/>
          </w:tcPr>
          <w:p w14:paraId="19D939CF" w14:textId="77777777" w:rsidR="002001DA" w:rsidRPr="002001DA" w:rsidRDefault="002001DA" w:rsidP="00F9258B">
            <w:pPr>
              <w:jc w:val="center"/>
            </w:pPr>
            <w:r w:rsidRPr="002001DA">
              <w:t>2.2</w:t>
            </w:r>
          </w:p>
        </w:tc>
        <w:tc>
          <w:tcPr>
            <w:tcW w:w="1274" w:type="pct"/>
            <w:noWrap/>
            <w:hideMark/>
          </w:tcPr>
          <w:p w14:paraId="3D8B7219" w14:textId="77777777" w:rsidR="002001DA" w:rsidRPr="002001DA" w:rsidRDefault="002001DA" w:rsidP="00F9258B">
            <w:pPr>
              <w:jc w:val="center"/>
            </w:pPr>
            <w:r w:rsidRPr="002001DA">
              <w:t>5.0</w:t>
            </w:r>
          </w:p>
        </w:tc>
      </w:tr>
      <w:tr w:rsidR="00B67C0C" w:rsidRPr="002001DA" w14:paraId="2C369741" w14:textId="77777777" w:rsidTr="0092004B">
        <w:trPr>
          <w:trHeight w:val="290"/>
        </w:trPr>
        <w:tc>
          <w:tcPr>
            <w:tcW w:w="1180" w:type="pct"/>
            <w:noWrap/>
            <w:hideMark/>
          </w:tcPr>
          <w:p w14:paraId="3793CA41" w14:textId="77777777" w:rsidR="002001DA" w:rsidRPr="002001DA" w:rsidRDefault="002001DA">
            <w:r w:rsidRPr="002001DA">
              <w:t>SA</w:t>
            </w:r>
          </w:p>
        </w:tc>
        <w:tc>
          <w:tcPr>
            <w:tcW w:w="1273" w:type="pct"/>
            <w:noWrap/>
            <w:hideMark/>
          </w:tcPr>
          <w:p w14:paraId="3BC303F1" w14:textId="77777777" w:rsidR="002001DA" w:rsidRPr="002001DA" w:rsidRDefault="002001DA" w:rsidP="00F9258B">
            <w:pPr>
              <w:jc w:val="center"/>
            </w:pPr>
            <w:r w:rsidRPr="002001DA">
              <w:t>0.3</w:t>
            </w:r>
          </w:p>
        </w:tc>
        <w:tc>
          <w:tcPr>
            <w:tcW w:w="1273" w:type="pct"/>
            <w:noWrap/>
            <w:hideMark/>
          </w:tcPr>
          <w:p w14:paraId="437B16B5" w14:textId="77777777" w:rsidR="002001DA" w:rsidRPr="002001DA" w:rsidRDefault="002001DA" w:rsidP="00F9258B">
            <w:pPr>
              <w:jc w:val="center"/>
            </w:pPr>
            <w:r w:rsidRPr="002001DA">
              <w:t>1.3</w:t>
            </w:r>
          </w:p>
        </w:tc>
        <w:tc>
          <w:tcPr>
            <w:tcW w:w="1274" w:type="pct"/>
            <w:noWrap/>
            <w:hideMark/>
          </w:tcPr>
          <w:p w14:paraId="6422F5A5" w14:textId="77777777" w:rsidR="002001DA" w:rsidRPr="002001DA" w:rsidRDefault="002001DA" w:rsidP="00F9258B">
            <w:pPr>
              <w:jc w:val="center"/>
            </w:pPr>
            <w:r w:rsidRPr="002001DA">
              <w:t>6.0</w:t>
            </w:r>
          </w:p>
        </w:tc>
      </w:tr>
      <w:tr w:rsidR="00B67C0C" w:rsidRPr="002001DA" w14:paraId="1E4811F2" w14:textId="77777777" w:rsidTr="0092004B">
        <w:trPr>
          <w:cnfStyle w:val="000000010000" w:firstRow="0" w:lastRow="0" w:firstColumn="0" w:lastColumn="0" w:oddVBand="0" w:evenVBand="0" w:oddHBand="0" w:evenHBand="1" w:firstRowFirstColumn="0" w:firstRowLastColumn="0" w:lastRowFirstColumn="0" w:lastRowLastColumn="0"/>
          <w:trHeight w:val="290"/>
        </w:trPr>
        <w:tc>
          <w:tcPr>
            <w:tcW w:w="1180" w:type="pct"/>
            <w:noWrap/>
            <w:hideMark/>
          </w:tcPr>
          <w:p w14:paraId="45556A0F" w14:textId="77777777" w:rsidR="002001DA" w:rsidRPr="002001DA" w:rsidRDefault="002001DA">
            <w:r w:rsidRPr="002001DA">
              <w:t>Tas</w:t>
            </w:r>
          </w:p>
        </w:tc>
        <w:tc>
          <w:tcPr>
            <w:tcW w:w="1273" w:type="pct"/>
            <w:noWrap/>
            <w:hideMark/>
          </w:tcPr>
          <w:p w14:paraId="78D2AC4B" w14:textId="77777777" w:rsidR="002001DA" w:rsidRPr="002001DA" w:rsidRDefault="002001DA" w:rsidP="00F9258B">
            <w:pPr>
              <w:jc w:val="center"/>
            </w:pPr>
            <w:r w:rsidRPr="002001DA">
              <w:t>10.2</w:t>
            </w:r>
          </w:p>
        </w:tc>
        <w:tc>
          <w:tcPr>
            <w:tcW w:w="1273" w:type="pct"/>
            <w:noWrap/>
            <w:hideMark/>
          </w:tcPr>
          <w:p w14:paraId="4528BA33" w14:textId="77777777" w:rsidR="002001DA" w:rsidRPr="002001DA" w:rsidRDefault="002001DA" w:rsidP="00F9258B">
            <w:pPr>
              <w:jc w:val="center"/>
            </w:pPr>
            <w:r w:rsidRPr="002001DA">
              <w:t>13.4</w:t>
            </w:r>
          </w:p>
        </w:tc>
        <w:tc>
          <w:tcPr>
            <w:tcW w:w="1274" w:type="pct"/>
            <w:noWrap/>
            <w:hideMark/>
          </w:tcPr>
          <w:p w14:paraId="467C013B" w14:textId="77777777" w:rsidR="002001DA" w:rsidRPr="002001DA" w:rsidRDefault="002001DA" w:rsidP="00F9258B">
            <w:pPr>
              <w:jc w:val="center"/>
            </w:pPr>
            <w:r w:rsidRPr="002001DA">
              <w:t>3.2</w:t>
            </w:r>
          </w:p>
        </w:tc>
      </w:tr>
      <w:tr w:rsidR="00B67C0C" w:rsidRPr="002001DA" w14:paraId="25B64219" w14:textId="77777777" w:rsidTr="0092004B">
        <w:trPr>
          <w:trHeight w:val="290"/>
        </w:trPr>
        <w:tc>
          <w:tcPr>
            <w:tcW w:w="1180" w:type="pct"/>
            <w:noWrap/>
            <w:hideMark/>
          </w:tcPr>
          <w:p w14:paraId="4DE53EC4" w14:textId="77777777" w:rsidR="002001DA" w:rsidRPr="002001DA" w:rsidRDefault="002001DA">
            <w:r w:rsidRPr="002001DA">
              <w:t>NT</w:t>
            </w:r>
          </w:p>
        </w:tc>
        <w:tc>
          <w:tcPr>
            <w:tcW w:w="1273" w:type="pct"/>
            <w:noWrap/>
            <w:hideMark/>
          </w:tcPr>
          <w:p w14:paraId="6EA5B47A" w14:textId="77777777" w:rsidR="002001DA" w:rsidRPr="002001DA" w:rsidRDefault="002001DA" w:rsidP="00F9258B">
            <w:pPr>
              <w:jc w:val="center"/>
            </w:pPr>
            <w:r w:rsidRPr="002001DA">
              <w:t>0</w:t>
            </w:r>
          </w:p>
        </w:tc>
        <w:tc>
          <w:tcPr>
            <w:tcW w:w="1273" w:type="pct"/>
            <w:noWrap/>
            <w:hideMark/>
          </w:tcPr>
          <w:p w14:paraId="66098CE7" w14:textId="77777777" w:rsidR="002001DA" w:rsidRPr="002001DA" w:rsidRDefault="002001DA" w:rsidP="00F9258B">
            <w:pPr>
              <w:jc w:val="center"/>
            </w:pPr>
            <w:r w:rsidRPr="002001DA">
              <w:t>0</w:t>
            </w:r>
          </w:p>
        </w:tc>
        <w:tc>
          <w:tcPr>
            <w:tcW w:w="1274" w:type="pct"/>
            <w:noWrap/>
            <w:hideMark/>
          </w:tcPr>
          <w:p w14:paraId="176F5901" w14:textId="77777777" w:rsidR="002001DA" w:rsidRPr="002001DA" w:rsidRDefault="002001DA" w:rsidP="00F9258B">
            <w:pPr>
              <w:jc w:val="center"/>
            </w:pPr>
            <w:r w:rsidRPr="002001DA">
              <w:t>5.3</w:t>
            </w:r>
          </w:p>
        </w:tc>
      </w:tr>
      <w:tr w:rsidR="00B67C0C" w:rsidRPr="002001DA" w14:paraId="2D366101" w14:textId="77777777" w:rsidTr="0092004B">
        <w:trPr>
          <w:cnfStyle w:val="000000010000" w:firstRow="0" w:lastRow="0" w:firstColumn="0" w:lastColumn="0" w:oddVBand="0" w:evenVBand="0" w:oddHBand="0" w:evenHBand="1" w:firstRowFirstColumn="0" w:firstRowLastColumn="0" w:lastRowFirstColumn="0" w:lastRowLastColumn="0"/>
          <w:trHeight w:val="290"/>
        </w:trPr>
        <w:tc>
          <w:tcPr>
            <w:tcW w:w="1180" w:type="pct"/>
            <w:noWrap/>
            <w:hideMark/>
          </w:tcPr>
          <w:p w14:paraId="5C127E8A" w14:textId="77777777" w:rsidR="002001DA" w:rsidRPr="002001DA" w:rsidRDefault="002001DA">
            <w:r w:rsidRPr="002001DA">
              <w:t>ACT</w:t>
            </w:r>
          </w:p>
        </w:tc>
        <w:tc>
          <w:tcPr>
            <w:tcW w:w="1273" w:type="pct"/>
            <w:noWrap/>
            <w:hideMark/>
          </w:tcPr>
          <w:p w14:paraId="4C8D5C95" w14:textId="77777777" w:rsidR="002001DA" w:rsidRPr="002001DA" w:rsidRDefault="002001DA" w:rsidP="00F9258B">
            <w:pPr>
              <w:jc w:val="center"/>
            </w:pPr>
            <w:r w:rsidRPr="002001DA">
              <w:t>0</w:t>
            </w:r>
          </w:p>
        </w:tc>
        <w:tc>
          <w:tcPr>
            <w:tcW w:w="1273" w:type="pct"/>
            <w:noWrap/>
            <w:hideMark/>
          </w:tcPr>
          <w:p w14:paraId="6625A1E9" w14:textId="77777777" w:rsidR="002001DA" w:rsidRPr="002001DA" w:rsidRDefault="002001DA" w:rsidP="00F9258B">
            <w:pPr>
              <w:jc w:val="center"/>
            </w:pPr>
            <w:r w:rsidRPr="002001DA">
              <w:t>2.9</w:t>
            </w:r>
          </w:p>
        </w:tc>
        <w:tc>
          <w:tcPr>
            <w:tcW w:w="1274" w:type="pct"/>
            <w:noWrap/>
            <w:hideMark/>
          </w:tcPr>
          <w:p w14:paraId="4CC1430E" w14:textId="77777777" w:rsidR="002001DA" w:rsidRPr="002001DA" w:rsidRDefault="002001DA" w:rsidP="00F9258B">
            <w:pPr>
              <w:jc w:val="center"/>
            </w:pPr>
            <w:r w:rsidRPr="002001DA">
              <w:t>3.6</w:t>
            </w:r>
          </w:p>
        </w:tc>
      </w:tr>
      <w:tr w:rsidR="00B67C0C" w:rsidRPr="0092004B" w14:paraId="1E06F09A" w14:textId="77777777" w:rsidTr="0092004B">
        <w:trPr>
          <w:trHeight w:val="290"/>
        </w:trPr>
        <w:tc>
          <w:tcPr>
            <w:tcW w:w="1180" w:type="pct"/>
            <w:shd w:val="clear" w:color="auto" w:fill="FDE9D9" w:themeFill="accent6" w:themeFillTint="33"/>
            <w:noWrap/>
            <w:hideMark/>
          </w:tcPr>
          <w:p w14:paraId="1A3432F1" w14:textId="77777777" w:rsidR="002001DA" w:rsidRPr="0092004B" w:rsidRDefault="002001DA">
            <w:pPr>
              <w:rPr>
                <w:b/>
              </w:rPr>
            </w:pPr>
            <w:r w:rsidRPr="0092004B">
              <w:rPr>
                <w:b/>
              </w:rPr>
              <w:t>Australia</w:t>
            </w:r>
          </w:p>
        </w:tc>
        <w:tc>
          <w:tcPr>
            <w:tcW w:w="1273" w:type="pct"/>
            <w:shd w:val="clear" w:color="auto" w:fill="FDE9D9" w:themeFill="accent6" w:themeFillTint="33"/>
            <w:noWrap/>
            <w:hideMark/>
          </w:tcPr>
          <w:p w14:paraId="5F92F747" w14:textId="77777777" w:rsidR="002001DA" w:rsidRPr="0092004B" w:rsidRDefault="002001DA" w:rsidP="00F9258B">
            <w:pPr>
              <w:jc w:val="center"/>
              <w:rPr>
                <w:b/>
              </w:rPr>
            </w:pPr>
            <w:r w:rsidRPr="0092004B">
              <w:rPr>
                <w:b/>
              </w:rPr>
              <w:t>0.8</w:t>
            </w:r>
          </w:p>
        </w:tc>
        <w:tc>
          <w:tcPr>
            <w:tcW w:w="1273" w:type="pct"/>
            <w:shd w:val="clear" w:color="auto" w:fill="FDE9D9" w:themeFill="accent6" w:themeFillTint="33"/>
            <w:noWrap/>
            <w:hideMark/>
          </w:tcPr>
          <w:p w14:paraId="242553AF" w14:textId="77777777" w:rsidR="002001DA" w:rsidRPr="0092004B" w:rsidRDefault="002001DA" w:rsidP="00F9258B">
            <w:pPr>
              <w:jc w:val="center"/>
              <w:rPr>
                <w:b/>
              </w:rPr>
            </w:pPr>
            <w:r w:rsidRPr="0092004B">
              <w:rPr>
                <w:b/>
              </w:rPr>
              <w:t>2.4</w:t>
            </w:r>
          </w:p>
        </w:tc>
        <w:tc>
          <w:tcPr>
            <w:tcW w:w="1274" w:type="pct"/>
            <w:shd w:val="clear" w:color="auto" w:fill="FDE9D9" w:themeFill="accent6" w:themeFillTint="33"/>
            <w:noWrap/>
            <w:hideMark/>
          </w:tcPr>
          <w:p w14:paraId="470821D6" w14:textId="77777777" w:rsidR="002001DA" w:rsidRPr="0092004B" w:rsidRDefault="002001DA" w:rsidP="00F9258B">
            <w:pPr>
              <w:jc w:val="center"/>
              <w:rPr>
                <w:b/>
              </w:rPr>
            </w:pPr>
            <w:r w:rsidRPr="0092004B">
              <w:rPr>
                <w:b/>
              </w:rPr>
              <w:t>6.6</w:t>
            </w:r>
          </w:p>
        </w:tc>
      </w:tr>
    </w:tbl>
    <w:p w14:paraId="6014BE4E" w14:textId="77777777" w:rsidR="00F72D09" w:rsidRPr="00B624BC" w:rsidRDefault="00F72D09" w:rsidP="00F72D09">
      <w:pPr>
        <w:rPr>
          <w:color w:val="FF0000"/>
        </w:rPr>
      </w:pPr>
    </w:p>
    <w:p w14:paraId="44358423" w14:textId="4DA8C359" w:rsidR="00CC7866" w:rsidRPr="006B39B3" w:rsidRDefault="00CC7866" w:rsidP="006B39B3">
      <w:pPr>
        <w:pStyle w:val="Heading2"/>
      </w:pPr>
      <w:r w:rsidRPr="006B39B3">
        <w:t>Aboriginal and Torres Strait Islander pe</w:t>
      </w:r>
      <w:r w:rsidR="00524C9C" w:rsidRPr="006B39B3">
        <w:t>rsons</w:t>
      </w:r>
    </w:p>
    <w:p w14:paraId="15955E40" w14:textId="7511011A" w:rsidR="00524C9C" w:rsidRDefault="002001DA" w:rsidP="006B39B3">
      <w:r>
        <w:t>Forty-seven</w:t>
      </w:r>
      <w:r w:rsidR="00CC7866" w:rsidRPr="00731BF0">
        <w:t xml:space="preserve"> cases (0.7%) have been reported in Aboriginal and Torres Strait Islander persons since the start of the outbreak. These cases were reported across several jurisdictions, with the majority reported in areas classified as ‘major cities of Australia’ based on the case’s usual place of residence</w:t>
      </w:r>
      <w:r w:rsidR="00524C9C">
        <w:t xml:space="preserve"> (Table </w:t>
      </w:r>
      <w:r w:rsidR="00F72D09">
        <w:t>2</w:t>
      </w:r>
      <w:r w:rsidR="00524C9C">
        <w:t>)</w:t>
      </w:r>
      <w:r w:rsidR="00CC7866" w:rsidRPr="00731BF0">
        <w:t xml:space="preserve">. </w:t>
      </w:r>
      <w:r w:rsidR="00584787">
        <w:t>No cases have been notified from remote or very remote Australia.</w:t>
      </w:r>
    </w:p>
    <w:p w14:paraId="31574B97" w14:textId="05A06F79" w:rsidR="00CC7866" w:rsidRDefault="00CC7866" w:rsidP="006B39B3">
      <w:r w:rsidRPr="00731BF0">
        <w:t>Across all Australian cases, completeness of the Indigenous s</w:t>
      </w:r>
      <w:r w:rsidR="005A2198">
        <w:t>tatus field was approximately 92%.</w:t>
      </w:r>
    </w:p>
    <w:p w14:paraId="7A12FC4C" w14:textId="77777777" w:rsidR="00645958" w:rsidRDefault="00645958">
      <w:pPr>
        <w:rPr>
          <w:b/>
        </w:rPr>
      </w:pPr>
      <w:r>
        <w:br w:type="page"/>
      </w:r>
    </w:p>
    <w:p w14:paraId="343C278E" w14:textId="4F740331" w:rsidR="00524C9C" w:rsidRPr="006B39B3" w:rsidRDefault="00524C9C" w:rsidP="006B39B3">
      <w:pPr>
        <w:pStyle w:val="CDIFigures"/>
      </w:pPr>
      <w:r w:rsidRPr="006B39B3">
        <w:lastRenderedPageBreak/>
        <w:t xml:space="preserve">Table </w:t>
      </w:r>
      <w:r w:rsidR="00F72D09" w:rsidRPr="006B39B3">
        <w:t>2</w:t>
      </w:r>
      <w:r w:rsidRPr="006B39B3">
        <w:t xml:space="preserve">: COVID-19 cases notified among Aboriginal and Torres Strait Islander persons, Australia, by remoteness </w:t>
      </w:r>
      <w:proofErr w:type="gramStart"/>
      <w:r w:rsidR="0009500D" w:rsidRPr="006B39B3">
        <w:t>classification</w:t>
      </w:r>
      <w:proofErr w:type="gramEnd"/>
    </w:p>
    <w:tbl>
      <w:tblPr>
        <w:tblStyle w:val="CDI-Standard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Description w:val="Table 2 shows the notifications among Aboriginal and Torres Strait Islander people, by remoteness classification. There have been 47 such notifications in total. Nationwide, most notifications among Aboriginal and Torres Strait Islander people have occurred within major cities of Australia (32 cases) rather than in inner regional Australia (11 cases) or outer regional Australia (4 cases)."/>
      </w:tblPr>
      <w:tblGrid>
        <w:gridCol w:w="2646"/>
        <w:gridCol w:w="2646"/>
        <w:gridCol w:w="2646"/>
      </w:tblGrid>
      <w:tr w:rsidR="0009500D" w:rsidRPr="00624836" w14:paraId="0C27A4B9" w14:textId="77777777" w:rsidTr="006B39B3">
        <w:trPr>
          <w:cnfStyle w:val="100000000000" w:firstRow="1" w:lastRow="0" w:firstColumn="0" w:lastColumn="0" w:oddVBand="0" w:evenVBand="0" w:oddHBand="0" w:evenHBand="0" w:firstRowFirstColumn="0" w:firstRowLastColumn="0" w:lastRowFirstColumn="0" w:lastRowLastColumn="0"/>
          <w:tblHeader/>
        </w:trPr>
        <w:tc>
          <w:tcPr>
            <w:tcW w:w="2646" w:type="dxa"/>
          </w:tcPr>
          <w:p w14:paraId="39AE2BBB" w14:textId="5356CCFD" w:rsidR="0009500D" w:rsidRPr="00624836" w:rsidRDefault="0009500D" w:rsidP="00524C9C">
            <w:pPr>
              <w:jc w:val="center"/>
              <w:rPr>
                <w:rFonts w:cstheme="minorHAnsi"/>
                <w:b w:val="0"/>
                <w:color w:val="FFFFFF" w:themeColor="background1"/>
              </w:rPr>
            </w:pPr>
            <w:r>
              <w:rPr>
                <w:rFonts w:cstheme="minorHAnsi"/>
                <w:color w:val="FFFFFF" w:themeColor="background1"/>
              </w:rPr>
              <w:t>Major cities of Australia</w:t>
            </w:r>
          </w:p>
        </w:tc>
        <w:tc>
          <w:tcPr>
            <w:tcW w:w="2646" w:type="dxa"/>
          </w:tcPr>
          <w:p w14:paraId="7DADAE55" w14:textId="46494C09" w:rsidR="0009500D" w:rsidRPr="00624836" w:rsidRDefault="0009500D" w:rsidP="00524C9C">
            <w:pPr>
              <w:jc w:val="center"/>
              <w:rPr>
                <w:rFonts w:cstheme="minorHAnsi"/>
                <w:b w:val="0"/>
                <w:color w:val="FFFFFF" w:themeColor="background1"/>
              </w:rPr>
            </w:pPr>
            <w:r>
              <w:rPr>
                <w:rFonts w:cstheme="minorHAnsi"/>
                <w:color w:val="FFFFFF" w:themeColor="background1"/>
              </w:rPr>
              <w:t>Inner regional Australia</w:t>
            </w:r>
          </w:p>
        </w:tc>
        <w:tc>
          <w:tcPr>
            <w:tcW w:w="2646" w:type="dxa"/>
          </w:tcPr>
          <w:p w14:paraId="7DBE64A2" w14:textId="58BE87D9" w:rsidR="0009500D" w:rsidRPr="00624836" w:rsidRDefault="0009500D" w:rsidP="00524C9C">
            <w:pPr>
              <w:jc w:val="center"/>
              <w:rPr>
                <w:rFonts w:cstheme="minorHAnsi"/>
                <w:b w:val="0"/>
                <w:color w:val="FFFFFF" w:themeColor="background1"/>
              </w:rPr>
            </w:pPr>
            <w:r>
              <w:rPr>
                <w:rFonts w:cstheme="minorHAnsi"/>
                <w:color w:val="FFFFFF" w:themeColor="background1"/>
              </w:rPr>
              <w:t>Outer regional Australia</w:t>
            </w:r>
          </w:p>
        </w:tc>
      </w:tr>
      <w:tr w:rsidR="0009500D" w:rsidRPr="00BE4A07" w14:paraId="20F07FE6" w14:textId="77777777" w:rsidTr="006B39B3">
        <w:trPr>
          <w:trHeight w:val="397"/>
        </w:trPr>
        <w:tc>
          <w:tcPr>
            <w:tcW w:w="2646" w:type="dxa"/>
            <w:shd w:val="clear" w:color="auto" w:fill="FFFFFF" w:themeFill="background1"/>
            <w:vAlign w:val="center"/>
          </w:tcPr>
          <w:p w14:paraId="2553FCC3" w14:textId="0C3D47CC" w:rsidR="0009500D" w:rsidRPr="00BE4A07" w:rsidRDefault="0009500D" w:rsidP="00524C9C">
            <w:pPr>
              <w:jc w:val="center"/>
              <w:rPr>
                <w:rFonts w:asciiTheme="minorHAnsi" w:hAnsiTheme="minorHAnsi" w:cstheme="minorHAnsi"/>
              </w:rPr>
            </w:pPr>
            <w:r>
              <w:rPr>
                <w:rFonts w:asciiTheme="minorHAnsi" w:hAnsiTheme="minorHAnsi" w:cstheme="minorHAnsi"/>
              </w:rPr>
              <w:t>32</w:t>
            </w:r>
          </w:p>
        </w:tc>
        <w:tc>
          <w:tcPr>
            <w:tcW w:w="2646" w:type="dxa"/>
            <w:shd w:val="clear" w:color="auto" w:fill="FFFFFF" w:themeFill="background1"/>
            <w:vAlign w:val="center"/>
          </w:tcPr>
          <w:p w14:paraId="22149D08" w14:textId="3383C755" w:rsidR="0009500D" w:rsidRPr="00BE4A07" w:rsidRDefault="0009500D" w:rsidP="00524C9C">
            <w:pPr>
              <w:jc w:val="center"/>
              <w:rPr>
                <w:rFonts w:asciiTheme="minorHAnsi" w:hAnsiTheme="minorHAnsi" w:cstheme="minorHAnsi"/>
              </w:rPr>
            </w:pPr>
            <w:r>
              <w:rPr>
                <w:rFonts w:asciiTheme="minorHAnsi" w:hAnsiTheme="minorHAnsi" w:cstheme="minorHAnsi"/>
              </w:rPr>
              <w:t>11</w:t>
            </w:r>
          </w:p>
        </w:tc>
        <w:tc>
          <w:tcPr>
            <w:tcW w:w="2646" w:type="dxa"/>
            <w:shd w:val="clear" w:color="auto" w:fill="FFFFFF" w:themeFill="background1"/>
            <w:vAlign w:val="center"/>
          </w:tcPr>
          <w:p w14:paraId="0BD90DBB" w14:textId="200294D5" w:rsidR="0009500D" w:rsidRPr="00BE4A07" w:rsidRDefault="0009500D" w:rsidP="00524C9C">
            <w:pPr>
              <w:jc w:val="center"/>
              <w:rPr>
                <w:rFonts w:asciiTheme="minorHAnsi" w:hAnsiTheme="minorHAnsi" w:cstheme="minorHAnsi"/>
              </w:rPr>
            </w:pPr>
            <w:r>
              <w:rPr>
                <w:rFonts w:asciiTheme="minorHAnsi" w:hAnsiTheme="minorHAnsi" w:cstheme="minorHAnsi"/>
              </w:rPr>
              <w:t>4</w:t>
            </w:r>
          </w:p>
        </w:tc>
      </w:tr>
    </w:tbl>
    <w:p w14:paraId="5B45DE7E" w14:textId="77777777" w:rsidR="0048755B" w:rsidRDefault="0048755B" w:rsidP="00731BF0"/>
    <w:p w14:paraId="64ED063E" w14:textId="5EAE3AE7" w:rsidR="00EC07BD" w:rsidRPr="004158DE" w:rsidRDefault="005A0D64" w:rsidP="006B39B3">
      <w:r>
        <w:t>Fifty-five percent (n</w:t>
      </w:r>
      <w:r w:rsidR="0048755B">
        <w:t xml:space="preserve"> </w:t>
      </w:r>
      <w:r>
        <w:t>=</w:t>
      </w:r>
      <w:r w:rsidR="0048755B">
        <w:t xml:space="preserve"> </w:t>
      </w:r>
      <w:r>
        <w:t xml:space="preserve">26) </w:t>
      </w:r>
      <w:r w:rsidR="0048755B">
        <w:t xml:space="preserve">of </w:t>
      </w:r>
      <w:r w:rsidR="00EC07BD" w:rsidRPr="004158DE">
        <w:t xml:space="preserve">cases in Aboriginal and Torres Strait Islander persons have acquired their infection overseas, with </w:t>
      </w:r>
      <w:r w:rsidR="004158DE" w:rsidRPr="004158DE">
        <w:t>36% (n</w:t>
      </w:r>
      <w:r w:rsidR="0048755B">
        <w:t xml:space="preserve"> </w:t>
      </w:r>
      <w:r w:rsidR="004158DE" w:rsidRPr="004158DE">
        <w:t>=</w:t>
      </w:r>
      <w:r w:rsidR="0048755B">
        <w:t xml:space="preserve"> </w:t>
      </w:r>
      <w:r w:rsidR="004158DE" w:rsidRPr="004158DE">
        <w:t xml:space="preserve">17) </w:t>
      </w:r>
      <w:r w:rsidR="0048755B">
        <w:t xml:space="preserve">of </w:t>
      </w:r>
      <w:r w:rsidR="005A2198" w:rsidRPr="004158DE">
        <w:t>cases acquired domestically</w:t>
      </w:r>
      <w:r w:rsidR="0048755B">
        <w:t>. Four cases</w:t>
      </w:r>
      <w:r w:rsidR="0048755B" w:rsidRPr="004158DE">
        <w:t xml:space="preserve"> </w:t>
      </w:r>
      <w:r w:rsidR="0048755B">
        <w:t>(9</w:t>
      </w:r>
      <w:r w:rsidR="004158DE" w:rsidRPr="004158DE">
        <w:t>%</w:t>
      </w:r>
      <w:r w:rsidR="0048755B">
        <w:t>)</w:t>
      </w:r>
      <w:r w:rsidR="004158DE" w:rsidRPr="004158DE">
        <w:t xml:space="preserve"> are still under investigation. </w:t>
      </w:r>
    </w:p>
    <w:p w14:paraId="5EF0222C" w14:textId="76C8F1D6" w:rsidR="004158DE" w:rsidRPr="007110AF" w:rsidRDefault="004158DE" w:rsidP="006B39B3">
      <w:r w:rsidRPr="007110AF">
        <w:t xml:space="preserve">The median age of COVID-19 cases among Aboriginal and Torres Strait Islander persons was 36 years (interquartile range: </w:t>
      </w:r>
      <w:r w:rsidR="00B67C0C">
        <w:t>23.5</w:t>
      </w:r>
      <w:r w:rsidR="008C4CEB">
        <w:softHyphen/>
        <w:t>–</w:t>
      </w:r>
      <w:r w:rsidR="00B67C0C">
        <w:t>56.8</w:t>
      </w:r>
      <w:r w:rsidRPr="007110AF">
        <w:t xml:space="preserve"> years), which </w:t>
      </w:r>
      <w:r w:rsidR="0048755B">
        <w:t>i</w:t>
      </w:r>
      <w:r w:rsidRPr="007110AF">
        <w:t>s lower than the median age of non-Indigenous COVID-19 cases</w:t>
      </w:r>
      <w:r w:rsidR="00161059">
        <w:t>.</w:t>
      </w:r>
      <w:r w:rsidRPr="007110AF">
        <w:t xml:space="preserve"> </w:t>
      </w:r>
    </w:p>
    <w:bookmarkEnd w:id="0"/>
    <w:p w14:paraId="703EDDF6" w14:textId="45EFE5B1" w:rsidR="007110AF" w:rsidRDefault="007110AF" w:rsidP="006B39B3">
      <w:r w:rsidRPr="00731BF0">
        <w:t>Of</w:t>
      </w:r>
      <w:r w:rsidR="005A0D64">
        <w:t xml:space="preserve"> the</w:t>
      </w:r>
      <w:r w:rsidRPr="00731BF0">
        <w:t xml:space="preserve"> cases </w:t>
      </w:r>
      <w:r w:rsidR="005A0D64">
        <w:t xml:space="preserve">notified </w:t>
      </w:r>
      <w:r>
        <w:t xml:space="preserve">amongst </w:t>
      </w:r>
      <w:r w:rsidRPr="007110AF">
        <w:t>Aboriginal and Torres Strait Islander persons</w:t>
      </w:r>
      <w:r w:rsidR="00B41990">
        <w:t>,</w:t>
      </w:r>
      <w:r w:rsidRPr="007110AF">
        <w:t xml:space="preserve"> </w:t>
      </w:r>
      <w:r>
        <w:t>10%</w:t>
      </w:r>
      <w:r w:rsidRPr="001303C7">
        <w:t xml:space="preserve"> were</w:t>
      </w:r>
      <w:r>
        <w:t xml:space="preserve"> admitted to hospital</w:t>
      </w:r>
      <w:r w:rsidR="005A0D64">
        <w:t>, with no</w:t>
      </w:r>
      <w:r w:rsidR="00E37900">
        <w:t xml:space="preserve"> such</w:t>
      </w:r>
      <w:r w:rsidR="005A0D64">
        <w:t xml:space="preserve"> cases reported as </w:t>
      </w:r>
      <w:r>
        <w:t xml:space="preserve">being admitted to ICU. This is less </w:t>
      </w:r>
      <w:r w:rsidR="004158DE">
        <w:t>than</w:t>
      </w:r>
      <w:r>
        <w:t xml:space="preserve"> the proportion of cases </w:t>
      </w:r>
      <w:r w:rsidR="004158DE">
        <w:t>hospitalised from the</w:t>
      </w:r>
      <w:r>
        <w:t xml:space="preserve"> non-</w:t>
      </w:r>
      <w:r w:rsidR="004158DE">
        <w:t>I</w:t>
      </w:r>
      <w:r>
        <w:t xml:space="preserve">ndigenous </w:t>
      </w:r>
      <w:r w:rsidR="004158DE">
        <w:t>population.</w:t>
      </w:r>
    </w:p>
    <w:p w14:paraId="488D5B9A" w14:textId="44EC98D4" w:rsidR="00CA537D" w:rsidRPr="00BC4E13" w:rsidRDefault="00CA537D" w:rsidP="00BC4E13">
      <w:pPr>
        <w:pStyle w:val="Heading2"/>
      </w:pPr>
      <w:r w:rsidRPr="00BC4E13">
        <w:t xml:space="preserve">Geographical </w:t>
      </w:r>
      <w:r w:rsidR="00935A13">
        <w:t>d</w:t>
      </w:r>
      <w:r w:rsidRPr="00BC4E13">
        <w:t>istribution</w:t>
      </w:r>
    </w:p>
    <w:p w14:paraId="71FFF284" w14:textId="13376ED7" w:rsidR="00CA537D" w:rsidRPr="002E60AD" w:rsidRDefault="00052AC3" w:rsidP="00BC4E13">
      <w:r>
        <w:t>During the reporting week</w:t>
      </w:r>
      <w:r w:rsidR="0009500D">
        <w:t>,</w:t>
      </w:r>
      <w:r>
        <w:t xml:space="preserve"> c</w:t>
      </w:r>
      <w:r w:rsidR="00CA537D" w:rsidRPr="00624836">
        <w:t xml:space="preserve">ases of COVID-19 </w:t>
      </w:r>
      <w:r>
        <w:t>were</w:t>
      </w:r>
      <w:r w:rsidR="00CA537D" w:rsidRPr="00F540D3">
        <w:t xml:space="preserve"> reported </w:t>
      </w:r>
      <w:r w:rsidR="006059A0">
        <w:t>from all jurisdictions except the Northern Territory and the ACT</w:t>
      </w:r>
      <w:r w:rsidR="00CA537D" w:rsidRPr="00624836">
        <w:t xml:space="preserve"> (Table </w:t>
      </w:r>
      <w:r w:rsidR="00F72D09">
        <w:t>3</w:t>
      </w:r>
      <w:r w:rsidR="00CA537D" w:rsidRPr="00624836">
        <w:t>)</w:t>
      </w:r>
      <w:r w:rsidR="00CA537D">
        <w:t xml:space="preserve">. </w:t>
      </w:r>
      <w:r w:rsidR="00CA537D" w:rsidRPr="002001DA">
        <w:t>New South Wales and Tasmania had the highest year-to-date rate of COVID-19 notifications (</w:t>
      </w:r>
      <w:r w:rsidR="002001DA" w:rsidRPr="002001DA">
        <w:t>37.1</w:t>
      </w:r>
      <w:r w:rsidR="00CA537D" w:rsidRPr="002001DA">
        <w:t xml:space="preserve"> and </w:t>
      </w:r>
      <w:r w:rsidR="002001DA" w:rsidRPr="002001DA">
        <w:t>38.1</w:t>
      </w:r>
      <w:r w:rsidR="00CA537D" w:rsidRPr="002001DA">
        <w:t xml:space="preserve"> per 100,000 respectively) and the Northern Territory had the lowest (1</w:t>
      </w:r>
      <w:r w:rsidR="002001DA" w:rsidRPr="002001DA">
        <w:t>0.9</w:t>
      </w:r>
      <w:r w:rsidR="00CA537D" w:rsidRPr="002001DA">
        <w:t xml:space="preserve"> per 100,000). The</w:t>
      </w:r>
      <w:r w:rsidR="00CA537D" w:rsidRPr="00731BF0">
        <w:t xml:space="preserve"> majority of new cases </w:t>
      </w:r>
      <w:r w:rsidR="00E37900">
        <w:t xml:space="preserve">over this past week </w:t>
      </w:r>
      <w:r w:rsidR="00CA537D" w:rsidRPr="00731BF0">
        <w:t xml:space="preserve">continue to </w:t>
      </w:r>
      <w:r w:rsidR="00E37900">
        <w:t xml:space="preserve">have </w:t>
      </w:r>
      <w:r w:rsidR="00CA537D" w:rsidRPr="00731BF0">
        <w:t>be</w:t>
      </w:r>
      <w:r w:rsidR="00E37900">
        <w:t>en</w:t>
      </w:r>
      <w:r w:rsidR="00CA537D" w:rsidRPr="00731BF0">
        <w:t xml:space="preserve"> reported in New South Wales and Victoria</w:t>
      </w:r>
      <w:r w:rsidR="00CA537D" w:rsidRPr="002E60AD">
        <w:t>.</w:t>
      </w:r>
      <w:r w:rsidR="00CA537D">
        <w:t xml:space="preserve"> </w:t>
      </w:r>
    </w:p>
    <w:p w14:paraId="58BAC0BE" w14:textId="1CC56996" w:rsidR="00CA537D" w:rsidRPr="00CA537D" w:rsidRDefault="00CA537D" w:rsidP="00BC4E13">
      <w:pPr>
        <w:rPr>
          <w:color w:val="FF0000"/>
        </w:rPr>
      </w:pPr>
      <w:r w:rsidRPr="005A1CF8">
        <w:t xml:space="preserve">Compared to the </w:t>
      </w:r>
      <w:r w:rsidR="00E37900">
        <w:t>previous</w:t>
      </w:r>
      <w:r w:rsidR="00E37900" w:rsidRPr="005A1CF8">
        <w:t xml:space="preserve"> </w:t>
      </w:r>
      <w:r w:rsidRPr="005A1CF8">
        <w:t xml:space="preserve">reporting week, the number of new cases in the current reporting period </w:t>
      </w:r>
      <w:r w:rsidR="006059A0">
        <w:t>decreased</w:t>
      </w:r>
      <w:r w:rsidRPr="005A1CF8">
        <w:t xml:space="preserve"> in all jurisdictions except </w:t>
      </w:r>
      <w:r w:rsidR="00E37900">
        <w:t xml:space="preserve">the </w:t>
      </w:r>
      <w:r>
        <w:t>Northern Territory</w:t>
      </w:r>
      <w:r w:rsidR="006059A0">
        <w:t xml:space="preserve"> which reported no new cases in either reporting week</w:t>
      </w:r>
      <w:r>
        <w:t xml:space="preserve">. </w:t>
      </w:r>
    </w:p>
    <w:p w14:paraId="0F8127A0" w14:textId="186420C5" w:rsidR="00CA537D" w:rsidRDefault="00F67724" w:rsidP="00BC4E13">
      <w:r>
        <w:t>Outside of Tasmania, m</w:t>
      </w:r>
      <w:r w:rsidR="00CA537D" w:rsidRPr="00731BF0">
        <w:t>ost cases over the past fortnight were reported to reside in major metropolitan areas</w:t>
      </w:r>
      <w:r w:rsidR="00CA537D">
        <w:t xml:space="preserve"> </w:t>
      </w:r>
      <w:r w:rsidR="00CA537D" w:rsidRPr="00731BF0">
        <w:t>(Figure 2 and Figure 3).</w:t>
      </w:r>
    </w:p>
    <w:p w14:paraId="0E291FF6" w14:textId="77777777" w:rsidR="00645958" w:rsidRDefault="00645958">
      <w:pPr>
        <w:rPr>
          <w:b/>
        </w:rPr>
      </w:pPr>
      <w:r>
        <w:br w:type="page"/>
      </w:r>
    </w:p>
    <w:p w14:paraId="329A0684" w14:textId="2DAE2E0B" w:rsidR="00CA537D" w:rsidRPr="00BC4E13" w:rsidRDefault="00CA537D" w:rsidP="00BC4E13">
      <w:pPr>
        <w:pStyle w:val="CDIFigures"/>
      </w:pPr>
      <w:r w:rsidRPr="00BC4E13">
        <w:lastRenderedPageBreak/>
        <w:t xml:space="preserve">Table </w:t>
      </w:r>
      <w:r w:rsidR="00F72D09" w:rsidRPr="00BC4E13">
        <w:t>3</w:t>
      </w:r>
      <w:r w:rsidRPr="00BC4E13">
        <w:t xml:space="preserve">: Notifications and rates of COVID-19 and diagnostic tests performed, Australia, by </w:t>
      </w:r>
      <w:proofErr w:type="gramStart"/>
      <w:r w:rsidRPr="00BC4E13">
        <w:t>jurisdiction</w:t>
      </w:r>
      <w:proofErr w:type="gramEnd"/>
    </w:p>
    <w:tbl>
      <w:tblPr>
        <w:tblStyle w:val="CDI-StandardTable"/>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57" w:type="dxa"/>
          <w:left w:w="57" w:type="dxa"/>
          <w:bottom w:w="57" w:type="dxa"/>
          <w:right w:w="57" w:type="dxa"/>
        </w:tblCellMar>
        <w:tblLook w:val="04A0" w:firstRow="1" w:lastRow="0" w:firstColumn="1" w:lastColumn="0" w:noHBand="0" w:noVBand="1"/>
        <w:tblDescription w:val="Table 3 shows the cumulative confirmed cases of COVID-19 in Australia by current and prior reporting period and jurisdiction. In this reporting period 212 new cases were reported: 102 in New South Wales, 54 in Tasmania, 25 in Western Australia, 21 in Queensland, 5 in Victoria, 5 in South Australia, and none in the Australian Capital Territory and the Northern Territory."/>
      </w:tblPr>
      <w:tblGrid>
        <w:gridCol w:w="1617"/>
        <w:gridCol w:w="2536"/>
        <w:gridCol w:w="1843"/>
        <w:gridCol w:w="1843"/>
        <w:gridCol w:w="2126"/>
      </w:tblGrid>
      <w:tr w:rsidR="00CA537D" w:rsidRPr="00624836" w14:paraId="6A571E0F" w14:textId="77777777" w:rsidTr="00912DA8">
        <w:trPr>
          <w:cnfStyle w:val="100000000000" w:firstRow="1" w:lastRow="0" w:firstColumn="0" w:lastColumn="0" w:oddVBand="0" w:evenVBand="0" w:oddHBand="0" w:evenHBand="0" w:firstRowFirstColumn="0" w:firstRowLastColumn="0" w:lastRowFirstColumn="0" w:lastRowLastColumn="0"/>
          <w:tblHeader/>
        </w:trPr>
        <w:tc>
          <w:tcPr>
            <w:tcW w:w="1617" w:type="dxa"/>
            <w:vAlign w:val="center"/>
          </w:tcPr>
          <w:p w14:paraId="59F8D795" w14:textId="77777777" w:rsidR="00CA537D" w:rsidRPr="00624836" w:rsidRDefault="00CA537D" w:rsidP="00912DA8">
            <w:pPr>
              <w:rPr>
                <w:rFonts w:cstheme="minorHAnsi"/>
                <w:b w:val="0"/>
                <w:color w:val="FFFFFF" w:themeColor="background1"/>
              </w:rPr>
            </w:pPr>
            <w:r w:rsidRPr="00624836">
              <w:rPr>
                <w:rFonts w:cstheme="minorHAnsi"/>
                <w:color w:val="FFFFFF" w:themeColor="background1"/>
              </w:rPr>
              <w:t>Jurisdiction</w:t>
            </w:r>
          </w:p>
        </w:tc>
        <w:tc>
          <w:tcPr>
            <w:tcW w:w="2536" w:type="dxa"/>
            <w:vAlign w:val="center"/>
          </w:tcPr>
          <w:p w14:paraId="3A7362F8" w14:textId="77777777" w:rsidR="00CA537D" w:rsidRPr="00624836" w:rsidRDefault="00CA537D" w:rsidP="00912DA8">
            <w:pPr>
              <w:jc w:val="center"/>
              <w:rPr>
                <w:rFonts w:cstheme="minorHAnsi"/>
                <w:b w:val="0"/>
                <w:color w:val="FFFFFF" w:themeColor="background1"/>
              </w:rPr>
            </w:pPr>
            <w:r w:rsidRPr="00624836">
              <w:rPr>
                <w:rFonts w:cstheme="minorHAnsi"/>
                <w:color w:val="FFFFFF" w:themeColor="background1"/>
              </w:rPr>
              <w:t>Number of new cases this reporting period (00:00 AE</w:t>
            </w:r>
            <w:r>
              <w:rPr>
                <w:rFonts w:cstheme="minorHAnsi"/>
                <w:color w:val="FFFFFF" w:themeColor="background1"/>
              </w:rPr>
              <w:t>S</w:t>
            </w:r>
            <w:r w:rsidRPr="00624836">
              <w:rPr>
                <w:rFonts w:cstheme="minorHAnsi"/>
                <w:color w:val="FFFFFF" w:themeColor="background1"/>
              </w:rPr>
              <w:t xml:space="preserve">T </w:t>
            </w:r>
            <w:r>
              <w:rPr>
                <w:rFonts w:cstheme="minorHAnsi"/>
                <w:color w:val="FFFFFF" w:themeColor="background1"/>
              </w:rPr>
              <w:t>13</w:t>
            </w:r>
            <w:r w:rsidRPr="00624836">
              <w:rPr>
                <w:rFonts w:cstheme="minorHAnsi"/>
                <w:color w:val="FFFFFF" w:themeColor="background1"/>
              </w:rPr>
              <w:t xml:space="preserve"> </w:t>
            </w:r>
            <w:r>
              <w:rPr>
                <w:rFonts w:cstheme="minorHAnsi"/>
                <w:color w:val="FFFFFF" w:themeColor="background1"/>
              </w:rPr>
              <w:t>April</w:t>
            </w:r>
            <w:r w:rsidRPr="00624836">
              <w:rPr>
                <w:rFonts w:cstheme="minorHAnsi"/>
                <w:color w:val="FFFFFF" w:themeColor="background1"/>
              </w:rPr>
              <w:t xml:space="preserve"> to 23:59 AE</w:t>
            </w:r>
            <w:r>
              <w:rPr>
                <w:rFonts w:cstheme="minorHAnsi"/>
                <w:color w:val="FFFFFF" w:themeColor="background1"/>
              </w:rPr>
              <w:t>S</w:t>
            </w:r>
            <w:r w:rsidRPr="00624836">
              <w:rPr>
                <w:rFonts w:cstheme="minorHAnsi"/>
                <w:color w:val="FFFFFF" w:themeColor="background1"/>
              </w:rPr>
              <w:t xml:space="preserve">T </w:t>
            </w:r>
            <w:r>
              <w:rPr>
                <w:rFonts w:cstheme="minorHAnsi"/>
                <w:color w:val="FFFFFF" w:themeColor="background1"/>
              </w:rPr>
              <w:t>19</w:t>
            </w:r>
            <w:r w:rsidRPr="00624836">
              <w:rPr>
                <w:rFonts w:cstheme="minorHAnsi"/>
                <w:color w:val="FFFFFF" w:themeColor="background1"/>
              </w:rPr>
              <w:t xml:space="preserve"> April 2020)</w:t>
            </w:r>
          </w:p>
        </w:tc>
        <w:tc>
          <w:tcPr>
            <w:tcW w:w="1843" w:type="dxa"/>
            <w:vAlign w:val="center"/>
          </w:tcPr>
          <w:p w14:paraId="77A896E3" w14:textId="77777777" w:rsidR="00CA537D" w:rsidRPr="00624836" w:rsidRDefault="00CA537D" w:rsidP="00912DA8">
            <w:pPr>
              <w:jc w:val="center"/>
              <w:rPr>
                <w:rFonts w:cstheme="minorHAnsi"/>
                <w:b w:val="0"/>
                <w:color w:val="FFFFFF" w:themeColor="background1"/>
              </w:rPr>
            </w:pPr>
            <w:r w:rsidRPr="00624836">
              <w:rPr>
                <w:rFonts w:cstheme="minorHAnsi"/>
                <w:color w:val="FFFFFF" w:themeColor="background1"/>
              </w:rPr>
              <w:t>Total cases</w:t>
            </w:r>
          </w:p>
          <w:p w14:paraId="19B177A8" w14:textId="77777777" w:rsidR="00CA537D" w:rsidRPr="00624836" w:rsidRDefault="00CA537D" w:rsidP="00912DA8">
            <w:pPr>
              <w:jc w:val="center"/>
              <w:rPr>
                <w:rFonts w:cstheme="minorHAnsi"/>
                <w:b w:val="0"/>
                <w:color w:val="FFFFFF" w:themeColor="background1"/>
              </w:rPr>
            </w:pPr>
            <w:r w:rsidRPr="00624836">
              <w:rPr>
                <w:rFonts w:cstheme="minorHAnsi"/>
                <w:color w:val="FFFFFF" w:themeColor="background1"/>
              </w:rPr>
              <w:t>(to 23:59 AE</w:t>
            </w:r>
            <w:r>
              <w:rPr>
                <w:rFonts w:cstheme="minorHAnsi"/>
                <w:color w:val="FFFFFF" w:themeColor="background1"/>
              </w:rPr>
              <w:t>S</w:t>
            </w:r>
            <w:r w:rsidRPr="00624836">
              <w:rPr>
                <w:rFonts w:cstheme="minorHAnsi"/>
                <w:color w:val="FFFFFF" w:themeColor="background1"/>
              </w:rPr>
              <w:t xml:space="preserve">T </w:t>
            </w:r>
            <w:r>
              <w:rPr>
                <w:rFonts w:cstheme="minorHAnsi"/>
                <w:color w:val="FFFFFF" w:themeColor="background1"/>
              </w:rPr>
              <w:t>19</w:t>
            </w:r>
            <w:r w:rsidRPr="00624836">
              <w:rPr>
                <w:rFonts w:cstheme="minorHAnsi"/>
                <w:color w:val="FFFFFF" w:themeColor="background1"/>
              </w:rPr>
              <w:t xml:space="preserve"> April 2020)</w:t>
            </w:r>
          </w:p>
        </w:tc>
        <w:tc>
          <w:tcPr>
            <w:tcW w:w="1843" w:type="dxa"/>
            <w:vAlign w:val="center"/>
          </w:tcPr>
          <w:p w14:paraId="48481ECE" w14:textId="77777777" w:rsidR="00CA537D" w:rsidRPr="00624836" w:rsidRDefault="00CA537D" w:rsidP="00912DA8">
            <w:pPr>
              <w:jc w:val="center"/>
              <w:rPr>
                <w:rFonts w:cstheme="minorHAnsi"/>
                <w:b w:val="0"/>
                <w:color w:val="FFFFFF" w:themeColor="background1"/>
              </w:rPr>
            </w:pPr>
            <w:r w:rsidRPr="00624836">
              <w:rPr>
                <w:rFonts w:cstheme="minorHAnsi"/>
                <w:color w:val="FFFFFF" w:themeColor="background1"/>
              </w:rPr>
              <w:t>Rate</w:t>
            </w:r>
          </w:p>
          <w:p w14:paraId="11D29636" w14:textId="77777777" w:rsidR="00CA537D" w:rsidRPr="00624836" w:rsidRDefault="00CA537D" w:rsidP="00912DA8">
            <w:pPr>
              <w:jc w:val="center"/>
              <w:rPr>
                <w:rFonts w:cstheme="minorHAnsi"/>
                <w:b w:val="0"/>
                <w:color w:val="FFFFFF" w:themeColor="background1"/>
              </w:rPr>
            </w:pPr>
            <w:r w:rsidRPr="00624836">
              <w:rPr>
                <w:rFonts w:cstheme="minorHAnsi"/>
                <w:color w:val="FFFFFF" w:themeColor="background1"/>
              </w:rPr>
              <w:t>(per 100,000 population)</w:t>
            </w:r>
          </w:p>
        </w:tc>
        <w:tc>
          <w:tcPr>
            <w:tcW w:w="2126" w:type="dxa"/>
            <w:vAlign w:val="center"/>
          </w:tcPr>
          <w:p w14:paraId="56D95322" w14:textId="77777777" w:rsidR="00CA537D" w:rsidRPr="00624836" w:rsidRDefault="00CA537D" w:rsidP="00912DA8">
            <w:pPr>
              <w:jc w:val="center"/>
              <w:rPr>
                <w:rFonts w:cstheme="minorHAnsi"/>
                <w:b w:val="0"/>
                <w:color w:val="FFFFFF" w:themeColor="background1"/>
              </w:rPr>
            </w:pPr>
            <w:r w:rsidRPr="00624836">
              <w:rPr>
                <w:rFonts w:cstheme="minorHAnsi"/>
                <w:color w:val="FFFFFF" w:themeColor="background1"/>
              </w:rPr>
              <w:t>Cumulative number of tests performed (proportion of tests positive %)</w:t>
            </w:r>
          </w:p>
        </w:tc>
      </w:tr>
      <w:tr w:rsidR="00CA537D" w:rsidRPr="00115C45" w14:paraId="35861813" w14:textId="77777777" w:rsidTr="00912DA8">
        <w:trPr>
          <w:trHeight w:val="397"/>
        </w:trPr>
        <w:tc>
          <w:tcPr>
            <w:tcW w:w="1617" w:type="dxa"/>
            <w:vAlign w:val="center"/>
          </w:tcPr>
          <w:p w14:paraId="2B291611" w14:textId="77777777" w:rsidR="00CA537D" w:rsidRPr="00BE4A07" w:rsidRDefault="00CA537D" w:rsidP="00912DA8">
            <w:pPr>
              <w:rPr>
                <w:rFonts w:asciiTheme="minorHAnsi" w:hAnsiTheme="minorHAnsi" w:cstheme="minorHAnsi"/>
                <w:b/>
              </w:rPr>
            </w:pPr>
            <w:r w:rsidRPr="00BE4A07">
              <w:rPr>
                <w:rFonts w:asciiTheme="minorHAnsi" w:hAnsiTheme="minorHAnsi" w:cstheme="minorHAnsi"/>
                <w:b/>
              </w:rPr>
              <w:t>NSW</w:t>
            </w:r>
          </w:p>
        </w:tc>
        <w:tc>
          <w:tcPr>
            <w:tcW w:w="2536" w:type="dxa"/>
            <w:vAlign w:val="center"/>
          </w:tcPr>
          <w:p w14:paraId="6240643D" w14:textId="2B1C819C" w:rsidR="00CA537D" w:rsidRPr="00BE4A07" w:rsidRDefault="008F628D" w:rsidP="00912DA8">
            <w:pPr>
              <w:jc w:val="center"/>
              <w:rPr>
                <w:rFonts w:asciiTheme="minorHAnsi" w:hAnsiTheme="minorHAnsi" w:cstheme="minorHAnsi"/>
              </w:rPr>
            </w:pPr>
            <w:r>
              <w:rPr>
                <w:rFonts w:asciiTheme="minorHAnsi" w:hAnsiTheme="minorHAnsi" w:cstheme="minorHAnsi"/>
              </w:rPr>
              <w:t>102</w:t>
            </w:r>
          </w:p>
        </w:tc>
        <w:tc>
          <w:tcPr>
            <w:tcW w:w="1843" w:type="dxa"/>
            <w:vAlign w:val="center"/>
          </w:tcPr>
          <w:p w14:paraId="5B525EBC" w14:textId="17247852" w:rsidR="00CA537D" w:rsidRPr="00BE4A07" w:rsidRDefault="00403265" w:rsidP="00912DA8">
            <w:pPr>
              <w:jc w:val="center"/>
              <w:rPr>
                <w:rFonts w:asciiTheme="minorHAnsi" w:hAnsiTheme="minorHAnsi" w:cstheme="minorHAnsi"/>
              </w:rPr>
            </w:pPr>
            <w:r>
              <w:rPr>
                <w:rFonts w:asciiTheme="minorHAnsi" w:hAnsiTheme="minorHAnsi" w:cstheme="minorHAnsi"/>
              </w:rPr>
              <w:t>2969</w:t>
            </w:r>
          </w:p>
        </w:tc>
        <w:tc>
          <w:tcPr>
            <w:tcW w:w="1843" w:type="dxa"/>
            <w:vAlign w:val="center"/>
          </w:tcPr>
          <w:p w14:paraId="020945B1" w14:textId="6E00D71A" w:rsidR="00CA537D" w:rsidRPr="002001DA" w:rsidRDefault="00465D9D" w:rsidP="00912DA8">
            <w:pPr>
              <w:jc w:val="center"/>
              <w:rPr>
                <w:rFonts w:asciiTheme="minorHAnsi" w:hAnsiTheme="minorHAnsi" w:cstheme="minorHAnsi"/>
              </w:rPr>
            </w:pPr>
            <w:r w:rsidRPr="002001DA">
              <w:rPr>
                <w:rFonts w:asciiTheme="minorHAnsi" w:hAnsiTheme="minorHAnsi" w:cstheme="minorHAnsi"/>
              </w:rPr>
              <w:t>37</w:t>
            </w:r>
            <w:r w:rsidR="00CA537D" w:rsidRPr="002001DA">
              <w:rPr>
                <w:rFonts w:asciiTheme="minorHAnsi" w:hAnsiTheme="minorHAnsi" w:cstheme="minorHAnsi"/>
              </w:rPr>
              <w:t>.</w:t>
            </w:r>
            <w:r w:rsidRPr="002001DA">
              <w:rPr>
                <w:rFonts w:asciiTheme="minorHAnsi" w:hAnsiTheme="minorHAnsi" w:cstheme="minorHAnsi"/>
              </w:rPr>
              <w:t>1</w:t>
            </w:r>
          </w:p>
        </w:tc>
        <w:tc>
          <w:tcPr>
            <w:tcW w:w="2126" w:type="dxa"/>
            <w:vAlign w:val="center"/>
          </w:tcPr>
          <w:p w14:paraId="38C3404A" w14:textId="77777777" w:rsidR="00CA537D" w:rsidRPr="002001DA" w:rsidRDefault="00CA537D" w:rsidP="00912DA8">
            <w:pPr>
              <w:jc w:val="center"/>
              <w:rPr>
                <w:rFonts w:asciiTheme="minorHAnsi" w:hAnsiTheme="minorHAnsi" w:cstheme="minorHAnsi"/>
              </w:rPr>
            </w:pPr>
            <w:r w:rsidRPr="002001DA">
              <w:rPr>
                <w:rFonts w:asciiTheme="minorHAnsi" w:hAnsiTheme="minorHAnsi" w:cstheme="minorHAnsi"/>
              </w:rPr>
              <w:t>165,137 (1.79)</w:t>
            </w:r>
          </w:p>
        </w:tc>
      </w:tr>
      <w:tr w:rsidR="00CA537D" w:rsidRPr="00115C45" w14:paraId="51E4B3FA" w14:textId="77777777" w:rsidTr="00912DA8">
        <w:trPr>
          <w:cnfStyle w:val="000000010000" w:firstRow="0" w:lastRow="0" w:firstColumn="0" w:lastColumn="0" w:oddVBand="0" w:evenVBand="0" w:oddHBand="0" w:evenHBand="1" w:firstRowFirstColumn="0" w:firstRowLastColumn="0" w:lastRowFirstColumn="0" w:lastRowLastColumn="0"/>
          <w:trHeight w:val="397"/>
        </w:trPr>
        <w:tc>
          <w:tcPr>
            <w:tcW w:w="1617" w:type="dxa"/>
            <w:vAlign w:val="center"/>
          </w:tcPr>
          <w:p w14:paraId="74565C6D" w14:textId="77777777" w:rsidR="00CA537D" w:rsidRPr="00BE4A07" w:rsidRDefault="00CA537D" w:rsidP="00912DA8">
            <w:pPr>
              <w:rPr>
                <w:rFonts w:asciiTheme="minorHAnsi" w:hAnsiTheme="minorHAnsi" w:cstheme="minorHAnsi"/>
                <w:b/>
              </w:rPr>
            </w:pPr>
            <w:r w:rsidRPr="00BE4A07">
              <w:rPr>
                <w:rFonts w:asciiTheme="minorHAnsi" w:hAnsiTheme="minorHAnsi" w:cstheme="minorHAnsi"/>
                <w:b/>
              </w:rPr>
              <w:t>Vic</w:t>
            </w:r>
          </w:p>
        </w:tc>
        <w:tc>
          <w:tcPr>
            <w:tcW w:w="2536" w:type="dxa"/>
            <w:vAlign w:val="center"/>
          </w:tcPr>
          <w:p w14:paraId="3024C566" w14:textId="1B9716B4" w:rsidR="00CA537D" w:rsidRPr="00BE4A07" w:rsidRDefault="008F628D" w:rsidP="00912DA8">
            <w:pPr>
              <w:jc w:val="center"/>
              <w:rPr>
                <w:rFonts w:asciiTheme="minorHAnsi" w:hAnsiTheme="minorHAnsi" w:cstheme="minorHAnsi"/>
              </w:rPr>
            </w:pPr>
            <w:r>
              <w:rPr>
                <w:rFonts w:asciiTheme="minorHAnsi" w:hAnsiTheme="minorHAnsi" w:cstheme="minorHAnsi"/>
              </w:rPr>
              <w:t>5</w:t>
            </w:r>
          </w:p>
        </w:tc>
        <w:tc>
          <w:tcPr>
            <w:tcW w:w="1843" w:type="dxa"/>
            <w:vAlign w:val="center"/>
          </w:tcPr>
          <w:p w14:paraId="0DB5A104" w14:textId="39E7BABF" w:rsidR="00CA537D" w:rsidRPr="00BE4A07" w:rsidRDefault="00403265" w:rsidP="00912DA8">
            <w:pPr>
              <w:jc w:val="center"/>
              <w:rPr>
                <w:rFonts w:asciiTheme="minorHAnsi" w:hAnsiTheme="minorHAnsi" w:cstheme="minorHAnsi"/>
              </w:rPr>
            </w:pPr>
            <w:r>
              <w:rPr>
                <w:rFonts w:asciiTheme="minorHAnsi" w:hAnsiTheme="minorHAnsi" w:cstheme="minorHAnsi"/>
              </w:rPr>
              <w:t>1322</w:t>
            </w:r>
          </w:p>
        </w:tc>
        <w:tc>
          <w:tcPr>
            <w:tcW w:w="1843" w:type="dxa"/>
            <w:vAlign w:val="center"/>
          </w:tcPr>
          <w:p w14:paraId="0BEECA75" w14:textId="1722390E" w:rsidR="00CA537D" w:rsidRPr="002001DA" w:rsidRDefault="00465D9D" w:rsidP="00912DA8">
            <w:pPr>
              <w:jc w:val="center"/>
              <w:rPr>
                <w:rFonts w:asciiTheme="minorHAnsi" w:hAnsiTheme="minorHAnsi" w:cstheme="minorHAnsi"/>
              </w:rPr>
            </w:pPr>
            <w:r w:rsidRPr="002001DA">
              <w:rPr>
                <w:rFonts w:asciiTheme="minorHAnsi" w:hAnsiTheme="minorHAnsi" w:cstheme="minorHAnsi"/>
              </w:rPr>
              <w:t>20.5</w:t>
            </w:r>
          </w:p>
        </w:tc>
        <w:tc>
          <w:tcPr>
            <w:tcW w:w="2126" w:type="dxa"/>
            <w:vAlign w:val="center"/>
          </w:tcPr>
          <w:p w14:paraId="62D9A03A" w14:textId="77777777" w:rsidR="00CA537D" w:rsidRPr="002001DA" w:rsidRDefault="00CA537D" w:rsidP="00912DA8">
            <w:pPr>
              <w:jc w:val="center"/>
              <w:rPr>
                <w:rFonts w:asciiTheme="minorHAnsi" w:hAnsiTheme="minorHAnsi" w:cstheme="minorHAnsi"/>
              </w:rPr>
            </w:pPr>
            <w:r w:rsidRPr="002001DA">
              <w:rPr>
                <w:rFonts w:asciiTheme="minorHAnsi" w:hAnsiTheme="minorHAnsi" w:cstheme="minorHAnsi"/>
              </w:rPr>
              <w:t>82,000 (1.62)</w:t>
            </w:r>
          </w:p>
        </w:tc>
      </w:tr>
      <w:tr w:rsidR="00CA537D" w:rsidRPr="00115C45" w14:paraId="19E0DBB1" w14:textId="77777777" w:rsidTr="00912DA8">
        <w:trPr>
          <w:trHeight w:val="397"/>
        </w:trPr>
        <w:tc>
          <w:tcPr>
            <w:tcW w:w="1617" w:type="dxa"/>
            <w:vAlign w:val="center"/>
          </w:tcPr>
          <w:p w14:paraId="4DD94EAB" w14:textId="77777777" w:rsidR="00CA537D" w:rsidRPr="00BE4A07" w:rsidRDefault="00CA537D" w:rsidP="00912DA8">
            <w:pPr>
              <w:rPr>
                <w:rFonts w:asciiTheme="minorHAnsi" w:hAnsiTheme="minorHAnsi" w:cstheme="minorHAnsi"/>
                <w:b/>
              </w:rPr>
            </w:pPr>
            <w:r w:rsidRPr="00BE4A07">
              <w:rPr>
                <w:rFonts w:asciiTheme="minorHAnsi" w:hAnsiTheme="minorHAnsi" w:cstheme="minorHAnsi"/>
                <w:b/>
              </w:rPr>
              <w:t>Qld</w:t>
            </w:r>
          </w:p>
        </w:tc>
        <w:tc>
          <w:tcPr>
            <w:tcW w:w="2536" w:type="dxa"/>
            <w:vAlign w:val="center"/>
          </w:tcPr>
          <w:p w14:paraId="24ABCF96" w14:textId="6642CE42" w:rsidR="00CA537D" w:rsidRPr="00BE4A07" w:rsidRDefault="008F628D" w:rsidP="00912DA8">
            <w:pPr>
              <w:jc w:val="center"/>
              <w:rPr>
                <w:rFonts w:asciiTheme="minorHAnsi" w:hAnsiTheme="minorHAnsi" w:cstheme="minorHAnsi"/>
              </w:rPr>
            </w:pPr>
            <w:r>
              <w:rPr>
                <w:rFonts w:asciiTheme="minorHAnsi" w:hAnsiTheme="minorHAnsi" w:cstheme="minorHAnsi"/>
              </w:rPr>
              <w:t>21</w:t>
            </w:r>
          </w:p>
        </w:tc>
        <w:tc>
          <w:tcPr>
            <w:tcW w:w="1843" w:type="dxa"/>
            <w:vAlign w:val="center"/>
          </w:tcPr>
          <w:p w14:paraId="6E4782AF" w14:textId="3DB7B9C4" w:rsidR="00CA537D" w:rsidRPr="00BE4A07" w:rsidRDefault="00403265" w:rsidP="00912DA8">
            <w:pPr>
              <w:jc w:val="center"/>
              <w:rPr>
                <w:rFonts w:asciiTheme="minorHAnsi" w:hAnsiTheme="minorHAnsi" w:cstheme="minorHAnsi"/>
              </w:rPr>
            </w:pPr>
            <w:r>
              <w:rPr>
                <w:rFonts w:asciiTheme="minorHAnsi" w:hAnsiTheme="minorHAnsi" w:cstheme="minorHAnsi"/>
              </w:rPr>
              <w:t>1021</w:t>
            </w:r>
          </w:p>
        </w:tc>
        <w:tc>
          <w:tcPr>
            <w:tcW w:w="1843" w:type="dxa"/>
            <w:vAlign w:val="center"/>
          </w:tcPr>
          <w:p w14:paraId="486D6192" w14:textId="6FB68605" w:rsidR="00CA537D" w:rsidRPr="002001DA" w:rsidRDefault="00465D9D" w:rsidP="00912DA8">
            <w:pPr>
              <w:jc w:val="center"/>
              <w:rPr>
                <w:rFonts w:asciiTheme="minorHAnsi" w:hAnsiTheme="minorHAnsi" w:cstheme="minorHAnsi"/>
              </w:rPr>
            </w:pPr>
            <w:r w:rsidRPr="002001DA">
              <w:rPr>
                <w:rFonts w:asciiTheme="minorHAnsi" w:hAnsiTheme="minorHAnsi" w:cstheme="minorHAnsi"/>
              </w:rPr>
              <w:t>20.3</w:t>
            </w:r>
          </w:p>
        </w:tc>
        <w:tc>
          <w:tcPr>
            <w:tcW w:w="2126" w:type="dxa"/>
            <w:vAlign w:val="center"/>
          </w:tcPr>
          <w:p w14:paraId="2744EA65" w14:textId="77777777" w:rsidR="00CA537D" w:rsidRPr="002001DA" w:rsidRDefault="00CA537D" w:rsidP="00912DA8">
            <w:pPr>
              <w:jc w:val="center"/>
              <w:rPr>
                <w:rFonts w:asciiTheme="minorHAnsi" w:hAnsiTheme="minorHAnsi" w:cstheme="minorHAnsi"/>
              </w:rPr>
            </w:pPr>
            <w:r w:rsidRPr="002001DA">
              <w:rPr>
                <w:rFonts w:asciiTheme="minorHAnsi" w:hAnsiTheme="minorHAnsi" w:cstheme="minorHAnsi"/>
              </w:rPr>
              <w:t>84,735 (1.20)</w:t>
            </w:r>
          </w:p>
        </w:tc>
      </w:tr>
      <w:tr w:rsidR="00CA537D" w:rsidRPr="00115C45" w14:paraId="0D915BB5" w14:textId="77777777" w:rsidTr="00912DA8">
        <w:trPr>
          <w:cnfStyle w:val="000000010000" w:firstRow="0" w:lastRow="0" w:firstColumn="0" w:lastColumn="0" w:oddVBand="0" w:evenVBand="0" w:oddHBand="0" w:evenHBand="1" w:firstRowFirstColumn="0" w:firstRowLastColumn="0" w:lastRowFirstColumn="0" w:lastRowLastColumn="0"/>
          <w:trHeight w:val="397"/>
        </w:trPr>
        <w:tc>
          <w:tcPr>
            <w:tcW w:w="1617" w:type="dxa"/>
            <w:vAlign w:val="center"/>
          </w:tcPr>
          <w:p w14:paraId="6258D536" w14:textId="77777777" w:rsidR="00CA537D" w:rsidRPr="00BE4A07" w:rsidRDefault="00CA537D" w:rsidP="00912DA8">
            <w:pPr>
              <w:rPr>
                <w:rFonts w:asciiTheme="minorHAnsi" w:hAnsiTheme="minorHAnsi" w:cstheme="minorHAnsi"/>
                <w:b/>
              </w:rPr>
            </w:pPr>
            <w:r w:rsidRPr="00BE4A07">
              <w:rPr>
                <w:rFonts w:asciiTheme="minorHAnsi" w:hAnsiTheme="minorHAnsi" w:cstheme="minorHAnsi"/>
                <w:b/>
              </w:rPr>
              <w:t>WA</w:t>
            </w:r>
          </w:p>
        </w:tc>
        <w:tc>
          <w:tcPr>
            <w:tcW w:w="2536" w:type="dxa"/>
            <w:vAlign w:val="center"/>
          </w:tcPr>
          <w:p w14:paraId="04F87680" w14:textId="043F1405" w:rsidR="00CA537D" w:rsidRPr="00BE4A07" w:rsidRDefault="008F628D" w:rsidP="00912DA8">
            <w:pPr>
              <w:jc w:val="center"/>
              <w:rPr>
                <w:rFonts w:asciiTheme="minorHAnsi" w:hAnsiTheme="minorHAnsi" w:cstheme="minorHAnsi"/>
              </w:rPr>
            </w:pPr>
            <w:r>
              <w:rPr>
                <w:rFonts w:asciiTheme="minorHAnsi" w:hAnsiTheme="minorHAnsi" w:cstheme="minorHAnsi"/>
              </w:rPr>
              <w:t>25</w:t>
            </w:r>
          </w:p>
        </w:tc>
        <w:tc>
          <w:tcPr>
            <w:tcW w:w="1843" w:type="dxa"/>
            <w:vAlign w:val="center"/>
          </w:tcPr>
          <w:p w14:paraId="4AE6C5F8" w14:textId="637C0ED9" w:rsidR="00CA537D" w:rsidRPr="00BE4A07" w:rsidRDefault="00403265" w:rsidP="00912DA8">
            <w:pPr>
              <w:jc w:val="center"/>
              <w:rPr>
                <w:rFonts w:asciiTheme="minorHAnsi" w:hAnsiTheme="minorHAnsi" w:cstheme="minorHAnsi"/>
              </w:rPr>
            </w:pPr>
            <w:r>
              <w:rPr>
                <w:rFonts w:asciiTheme="minorHAnsi" w:hAnsiTheme="minorHAnsi" w:cstheme="minorHAnsi"/>
              </w:rPr>
              <w:t>526</w:t>
            </w:r>
          </w:p>
        </w:tc>
        <w:tc>
          <w:tcPr>
            <w:tcW w:w="1843" w:type="dxa"/>
            <w:vAlign w:val="center"/>
          </w:tcPr>
          <w:p w14:paraId="1245A126" w14:textId="5B6527CF" w:rsidR="00CA537D" w:rsidRPr="002001DA" w:rsidRDefault="00465D9D" w:rsidP="00912DA8">
            <w:pPr>
              <w:jc w:val="center"/>
              <w:rPr>
                <w:rFonts w:asciiTheme="minorHAnsi" w:hAnsiTheme="minorHAnsi" w:cstheme="minorHAnsi"/>
              </w:rPr>
            </w:pPr>
            <w:r w:rsidRPr="002001DA">
              <w:rPr>
                <w:rFonts w:asciiTheme="minorHAnsi" w:hAnsiTheme="minorHAnsi" w:cstheme="minorHAnsi"/>
              </w:rPr>
              <w:t>20.3</w:t>
            </w:r>
          </w:p>
        </w:tc>
        <w:tc>
          <w:tcPr>
            <w:tcW w:w="2126" w:type="dxa"/>
            <w:vAlign w:val="center"/>
          </w:tcPr>
          <w:p w14:paraId="1443F16B" w14:textId="77777777" w:rsidR="00CA537D" w:rsidRPr="002001DA" w:rsidRDefault="00CA537D" w:rsidP="00912DA8">
            <w:pPr>
              <w:jc w:val="center"/>
              <w:rPr>
                <w:rFonts w:asciiTheme="minorHAnsi" w:hAnsiTheme="minorHAnsi" w:cstheme="minorHAnsi"/>
              </w:rPr>
            </w:pPr>
            <w:r w:rsidRPr="002001DA">
              <w:rPr>
                <w:rFonts w:asciiTheme="minorHAnsi" w:hAnsiTheme="minorHAnsi" w:cstheme="minorHAnsi"/>
              </w:rPr>
              <w:t>28,888 (1.89)</w:t>
            </w:r>
          </w:p>
        </w:tc>
      </w:tr>
      <w:tr w:rsidR="00CA537D" w:rsidRPr="00115C45" w14:paraId="5CB467C7" w14:textId="77777777" w:rsidTr="00912DA8">
        <w:trPr>
          <w:trHeight w:val="397"/>
        </w:trPr>
        <w:tc>
          <w:tcPr>
            <w:tcW w:w="1617" w:type="dxa"/>
            <w:vAlign w:val="center"/>
          </w:tcPr>
          <w:p w14:paraId="1C77ED52" w14:textId="77777777" w:rsidR="00CA537D" w:rsidRPr="00BE4A07" w:rsidRDefault="00CA537D" w:rsidP="00912DA8">
            <w:pPr>
              <w:rPr>
                <w:rFonts w:asciiTheme="minorHAnsi" w:hAnsiTheme="minorHAnsi" w:cstheme="minorHAnsi"/>
                <w:b/>
              </w:rPr>
            </w:pPr>
            <w:r w:rsidRPr="00BE4A07">
              <w:rPr>
                <w:rFonts w:asciiTheme="minorHAnsi" w:hAnsiTheme="minorHAnsi" w:cstheme="minorHAnsi"/>
                <w:b/>
              </w:rPr>
              <w:t>SA</w:t>
            </w:r>
          </w:p>
        </w:tc>
        <w:tc>
          <w:tcPr>
            <w:tcW w:w="2536" w:type="dxa"/>
            <w:vAlign w:val="center"/>
          </w:tcPr>
          <w:p w14:paraId="3FD82FF7" w14:textId="6C777DC0" w:rsidR="00CA537D" w:rsidRPr="00BE4A07" w:rsidRDefault="008F628D" w:rsidP="00912DA8">
            <w:pPr>
              <w:jc w:val="center"/>
              <w:rPr>
                <w:rFonts w:asciiTheme="minorHAnsi" w:hAnsiTheme="minorHAnsi" w:cstheme="minorHAnsi"/>
              </w:rPr>
            </w:pPr>
            <w:r>
              <w:rPr>
                <w:rFonts w:asciiTheme="minorHAnsi" w:hAnsiTheme="minorHAnsi" w:cstheme="minorHAnsi"/>
              </w:rPr>
              <w:t>5</w:t>
            </w:r>
          </w:p>
        </w:tc>
        <w:tc>
          <w:tcPr>
            <w:tcW w:w="1843" w:type="dxa"/>
            <w:vAlign w:val="center"/>
          </w:tcPr>
          <w:p w14:paraId="63B4F404" w14:textId="11459C16" w:rsidR="00CA537D" w:rsidRPr="00BE4A07" w:rsidRDefault="00403265" w:rsidP="00912DA8">
            <w:pPr>
              <w:jc w:val="center"/>
              <w:rPr>
                <w:rFonts w:asciiTheme="minorHAnsi" w:hAnsiTheme="minorHAnsi" w:cstheme="minorHAnsi"/>
              </w:rPr>
            </w:pPr>
            <w:r>
              <w:rPr>
                <w:rFonts w:asciiTheme="minorHAnsi" w:hAnsiTheme="minorHAnsi" w:cstheme="minorHAnsi"/>
              </w:rPr>
              <w:t>436</w:t>
            </w:r>
          </w:p>
        </w:tc>
        <w:tc>
          <w:tcPr>
            <w:tcW w:w="1843" w:type="dxa"/>
            <w:vAlign w:val="center"/>
          </w:tcPr>
          <w:p w14:paraId="30021CC3" w14:textId="52A96CB5" w:rsidR="00CA537D" w:rsidRPr="002001DA" w:rsidRDefault="00465D9D" w:rsidP="00912DA8">
            <w:pPr>
              <w:jc w:val="center"/>
              <w:rPr>
                <w:rFonts w:asciiTheme="minorHAnsi" w:hAnsiTheme="minorHAnsi" w:cstheme="minorHAnsi"/>
              </w:rPr>
            </w:pPr>
            <w:r w:rsidRPr="002001DA">
              <w:rPr>
                <w:rFonts w:asciiTheme="minorHAnsi" w:hAnsiTheme="minorHAnsi" w:cstheme="minorHAnsi"/>
              </w:rPr>
              <w:t>25.1</w:t>
            </w:r>
          </w:p>
        </w:tc>
        <w:tc>
          <w:tcPr>
            <w:tcW w:w="2126" w:type="dxa"/>
            <w:vAlign w:val="center"/>
          </w:tcPr>
          <w:p w14:paraId="5C16407A" w14:textId="77777777" w:rsidR="00CA537D" w:rsidRPr="002001DA" w:rsidRDefault="00CA537D" w:rsidP="00912DA8">
            <w:pPr>
              <w:jc w:val="center"/>
              <w:rPr>
                <w:rFonts w:asciiTheme="minorHAnsi" w:hAnsiTheme="minorHAnsi" w:cstheme="minorHAnsi"/>
              </w:rPr>
            </w:pPr>
            <w:r w:rsidRPr="002001DA">
              <w:rPr>
                <w:rFonts w:asciiTheme="minorHAnsi" w:hAnsiTheme="minorHAnsi" w:cstheme="minorHAnsi"/>
              </w:rPr>
              <w:t>43,310 (1.00)</w:t>
            </w:r>
          </w:p>
        </w:tc>
      </w:tr>
      <w:tr w:rsidR="00CA537D" w:rsidRPr="00115C45" w14:paraId="039339D6" w14:textId="77777777" w:rsidTr="00912DA8">
        <w:trPr>
          <w:cnfStyle w:val="000000010000" w:firstRow="0" w:lastRow="0" w:firstColumn="0" w:lastColumn="0" w:oddVBand="0" w:evenVBand="0" w:oddHBand="0" w:evenHBand="1" w:firstRowFirstColumn="0" w:firstRowLastColumn="0" w:lastRowFirstColumn="0" w:lastRowLastColumn="0"/>
          <w:trHeight w:val="397"/>
        </w:trPr>
        <w:tc>
          <w:tcPr>
            <w:tcW w:w="1617" w:type="dxa"/>
            <w:vAlign w:val="center"/>
          </w:tcPr>
          <w:p w14:paraId="0FFE26DF" w14:textId="77777777" w:rsidR="00CA537D" w:rsidRPr="00BE4A07" w:rsidRDefault="00CA537D" w:rsidP="00912DA8">
            <w:pPr>
              <w:rPr>
                <w:rFonts w:asciiTheme="minorHAnsi" w:hAnsiTheme="minorHAnsi" w:cstheme="minorHAnsi"/>
                <w:b/>
              </w:rPr>
            </w:pPr>
            <w:r w:rsidRPr="00BE4A07">
              <w:rPr>
                <w:rFonts w:asciiTheme="minorHAnsi" w:hAnsiTheme="minorHAnsi" w:cstheme="minorHAnsi"/>
                <w:b/>
              </w:rPr>
              <w:t>Tas</w:t>
            </w:r>
          </w:p>
        </w:tc>
        <w:tc>
          <w:tcPr>
            <w:tcW w:w="2536" w:type="dxa"/>
            <w:vAlign w:val="center"/>
          </w:tcPr>
          <w:p w14:paraId="2425E9DE" w14:textId="2EAF1F14" w:rsidR="00CA537D" w:rsidRPr="00BE4A07" w:rsidRDefault="008F628D" w:rsidP="00912DA8">
            <w:pPr>
              <w:jc w:val="center"/>
              <w:rPr>
                <w:rFonts w:asciiTheme="minorHAnsi" w:hAnsiTheme="minorHAnsi" w:cstheme="minorHAnsi"/>
              </w:rPr>
            </w:pPr>
            <w:r>
              <w:rPr>
                <w:rFonts w:asciiTheme="minorHAnsi" w:hAnsiTheme="minorHAnsi" w:cstheme="minorHAnsi"/>
              </w:rPr>
              <w:t>54</w:t>
            </w:r>
          </w:p>
        </w:tc>
        <w:tc>
          <w:tcPr>
            <w:tcW w:w="1843" w:type="dxa"/>
            <w:vAlign w:val="center"/>
          </w:tcPr>
          <w:p w14:paraId="5D89AD9B" w14:textId="2A0FF1CA" w:rsidR="00CA537D" w:rsidRPr="00BE4A07" w:rsidRDefault="00403265" w:rsidP="00912DA8">
            <w:pPr>
              <w:jc w:val="center"/>
              <w:rPr>
                <w:rFonts w:asciiTheme="minorHAnsi" w:hAnsiTheme="minorHAnsi" w:cstheme="minorHAnsi"/>
              </w:rPr>
            </w:pPr>
            <w:r>
              <w:rPr>
                <w:rFonts w:asciiTheme="minorHAnsi" w:hAnsiTheme="minorHAnsi" w:cstheme="minorHAnsi"/>
              </w:rPr>
              <w:t>201</w:t>
            </w:r>
          </w:p>
        </w:tc>
        <w:tc>
          <w:tcPr>
            <w:tcW w:w="1843" w:type="dxa"/>
            <w:vAlign w:val="center"/>
          </w:tcPr>
          <w:p w14:paraId="05D609D9" w14:textId="000F7697" w:rsidR="00CA537D" w:rsidRPr="002001DA" w:rsidRDefault="00465D9D" w:rsidP="00912DA8">
            <w:pPr>
              <w:jc w:val="center"/>
              <w:rPr>
                <w:rFonts w:asciiTheme="minorHAnsi" w:hAnsiTheme="minorHAnsi" w:cstheme="minorHAnsi"/>
              </w:rPr>
            </w:pPr>
            <w:r w:rsidRPr="002001DA">
              <w:rPr>
                <w:rFonts w:asciiTheme="minorHAnsi" w:hAnsiTheme="minorHAnsi" w:cstheme="minorHAnsi"/>
              </w:rPr>
              <w:t>38.1</w:t>
            </w:r>
          </w:p>
        </w:tc>
        <w:tc>
          <w:tcPr>
            <w:tcW w:w="2126" w:type="dxa"/>
            <w:vAlign w:val="center"/>
          </w:tcPr>
          <w:p w14:paraId="7F448AF1" w14:textId="77777777" w:rsidR="00CA537D" w:rsidRPr="002001DA" w:rsidRDefault="00CA537D" w:rsidP="00912DA8">
            <w:pPr>
              <w:jc w:val="center"/>
              <w:rPr>
                <w:rFonts w:asciiTheme="minorHAnsi" w:hAnsiTheme="minorHAnsi" w:cstheme="minorHAnsi"/>
              </w:rPr>
            </w:pPr>
            <w:r w:rsidRPr="002001DA">
              <w:rPr>
                <w:rFonts w:asciiTheme="minorHAnsi" w:hAnsiTheme="minorHAnsi" w:cstheme="minorHAnsi"/>
              </w:rPr>
              <w:t>6,320 (3.04)</w:t>
            </w:r>
          </w:p>
        </w:tc>
      </w:tr>
      <w:tr w:rsidR="00CA537D" w:rsidRPr="00115C45" w14:paraId="18DEC5E5" w14:textId="77777777" w:rsidTr="00912DA8">
        <w:trPr>
          <w:trHeight w:val="397"/>
        </w:trPr>
        <w:tc>
          <w:tcPr>
            <w:tcW w:w="1617" w:type="dxa"/>
            <w:vAlign w:val="center"/>
          </w:tcPr>
          <w:p w14:paraId="421E8B01" w14:textId="77777777" w:rsidR="00CA537D" w:rsidRPr="00BE4A07" w:rsidRDefault="00CA537D" w:rsidP="00912DA8">
            <w:pPr>
              <w:rPr>
                <w:rFonts w:asciiTheme="minorHAnsi" w:hAnsiTheme="minorHAnsi" w:cstheme="minorHAnsi"/>
                <w:b/>
              </w:rPr>
            </w:pPr>
            <w:r w:rsidRPr="00BE4A07">
              <w:rPr>
                <w:rFonts w:asciiTheme="minorHAnsi" w:hAnsiTheme="minorHAnsi" w:cstheme="minorHAnsi"/>
                <w:b/>
              </w:rPr>
              <w:t>NT</w:t>
            </w:r>
          </w:p>
        </w:tc>
        <w:tc>
          <w:tcPr>
            <w:tcW w:w="2536" w:type="dxa"/>
            <w:vAlign w:val="center"/>
          </w:tcPr>
          <w:p w14:paraId="28C76B0C" w14:textId="18B60037" w:rsidR="00CA537D" w:rsidRPr="00BE4A07" w:rsidRDefault="008F628D" w:rsidP="00912DA8">
            <w:pPr>
              <w:jc w:val="center"/>
              <w:rPr>
                <w:rFonts w:asciiTheme="minorHAnsi" w:hAnsiTheme="minorHAnsi" w:cstheme="minorHAnsi"/>
              </w:rPr>
            </w:pPr>
            <w:r>
              <w:rPr>
                <w:rFonts w:asciiTheme="minorHAnsi" w:hAnsiTheme="minorHAnsi" w:cstheme="minorHAnsi"/>
              </w:rPr>
              <w:t>0</w:t>
            </w:r>
          </w:p>
        </w:tc>
        <w:tc>
          <w:tcPr>
            <w:tcW w:w="1843" w:type="dxa"/>
            <w:vAlign w:val="center"/>
          </w:tcPr>
          <w:p w14:paraId="0562825B" w14:textId="066DB1D5" w:rsidR="00CA537D" w:rsidRPr="00BE4A07" w:rsidRDefault="00403265" w:rsidP="00912DA8">
            <w:pPr>
              <w:jc w:val="center"/>
              <w:rPr>
                <w:rFonts w:asciiTheme="minorHAnsi" w:hAnsiTheme="minorHAnsi" w:cstheme="minorHAnsi"/>
              </w:rPr>
            </w:pPr>
            <w:r>
              <w:rPr>
                <w:rFonts w:asciiTheme="minorHAnsi" w:hAnsiTheme="minorHAnsi" w:cstheme="minorHAnsi"/>
              </w:rPr>
              <w:t>27</w:t>
            </w:r>
          </w:p>
        </w:tc>
        <w:tc>
          <w:tcPr>
            <w:tcW w:w="1843" w:type="dxa"/>
            <w:vAlign w:val="center"/>
          </w:tcPr>
          <w:p w14:paraId="2F2F8C1D" w14:textId="19E6594F" w:rsidR="00CA537D" w:rsidRPr="002001DA" w:rsidRDefault="00465D9D" w:rsidP="00912DA8">
            <w:pPr>
              <w:jc w:val="center"/>
              <w:rPr>
                <w:rFonts w:asciiTheme="minorHAnsi" w:hAnsiTheme="minorHAnsi" w:cstheme="minorHAnsi"/>
              </w:rPr>
            </w:pPr>
            <w:r w:rsidRPr="002001DA">
              <w:rPr>
                <w:rFonts w:asciiTheme="minorHAnsi" w:hAnsiTheme="minorHAnsi" w:cstheme="minorHAnsi"/>
              </w:rPr>
              <w:t>10.9</w:t>
            </w:r>
          </w:p>
        </w:tc>
        <w:tc>
          <w:tcPr>
            <w:tcW w:w="2126" w:type="dxa"/>
            <w:vAlign w:val="center"/>
          </w:tcPr>
          <w:p w14:paraId="4E1F1112" w14:textId="77777777" w:rsidR="00CA537D" w:rsidRPr="002001DA" w:rsidRDefault="00CA537D" w:rsidP="00912DA8">
            <w:pPr>
              <w:jc w:val="center"/>
              <w:rPr>
                <w:rFonts w:asciiTheme="minorHAnsi" w:hAnsiTheme="minorHAnsi" w:cstheme="minorHAnsi"/>
              </w:rPr>
            </w:pPr>
            <w:r w:rsidRPr="002001DA">
              <w:rPr>
                <w:rFonts w:asciiTheme="minorHAnsi" w:hAnsiTheme="minorHAnsi" w:cstheme="minorHAnsi"/>
              </w:rPr>
              <w:t>3,713 (0.73)</w:t>
            </w:r>
          </w:p>
        </w:tc>
      </w:tr>
      <w:tr w:rsidR="00CA537D" w:rsidRPr="00115C45" w14:paraId="6466B667" w14:textId="77777777" w:rsidTr="00912DA8">
        <w:trPr>
          <w:cnfStyle w:val="000000010000" w:firstRow="0" w:lastRow="0" w:firstColumn="0" w:lastColumn="0" w:oddVBand="0" w:evenVBand="0" w:oddHBand="0" w:evenHBand="1" w:firstRowFirstColumn="0" w:firstRowLastColumn="0" w:lastRowFirstColumn="0" w:lastRowLastColumn="0"/>
          <w:trHeight w:val="397"/>
        </w:trPr>
        <w:tc>
          <w:tcPr>
            <w:tcW w:w="1617" w:type="dxa"/>
            <w:vAlign w:val="center"/>
          </w:tcPr>
          <w:p w14:paraId="355A9A50" w14:textId="77777777" w:rsidR="00CA537D" w:rsidRPr="00BE4A07" w:rsidRDefault="00CA537D" w:rsidP="00912DA8">
            <w:pPr>
              <w:rPr>
                <w:rFonts w:asciiTheme="minorHAnsi" w:hAnsiTheme="minorHAnsi" w:cstheme="minorHAnsi"/>
                <w:b/>
              </w:rPr>
            </w:pPr>
            <w:r w:rsidRPr="00BE4A07">
              <w:rPr>
                <w:rFonts w:asciiTheme="minorHAnsi" w:hAnsiTheme="minorHAnsi" w:cstheme="minorHAnsi"/>
                <w:b/>
              </w:rPr>
              <w:t>ACT</w:t>
            </w:r>
          </w:p>
        </w:tc>
        <w:tc>
          <w:tcPr>
            <w:tcW w:w="2536" w:type="dxa"/>
            <w:vAlign w:val="center"/>
          </w:tcPr>
          <w:p w14:paraId="6FDECAC6" w14:textId="630FD343" w:rsidR="00CA537D" w:rsidRPr="00BE4A07" w:rsidRDefault="008F628D" w:rsidP="00912DA8">
            <w:pPr>
              <w:jc w:val="center"/>
              <w:rPr>
                <w:rFonts w:asciiTheme="minorHAnsi" w:hAnsiTheme="minorHAnsi" w:cstheme="minorHAnsi"/>
              </w:rPr>
            </w:pPr>
            <w:r>
              <w:rPr>
                <w:rFonts w:asciiTheme="minorHAnsi" w:hAnsiTheme="minorHAnsi" w:cstheme="minorHAnsi"/>
              </w:rPr>
              <w:t>0</w:t>
            </w:r>
          </w:p>
        </w:tc>
        <w:tc>
          <w:tcPr>
            <w:tcW w:w="1843" w:type="dxa"/>
            <w:vAlign w:val="center"/>
          </w:tcPr>
          <w:p w14:paraId="5115F45B" w14:textId="2D713894" w:rsidR="00CA537D" w:rsidRPr="00BE4A07" w:rsidRDefault="00403265" w:rsidP="00912DA8">
            <w:pPr>
              <w:jc w:val="center"/>
              <w:rPr>
                <w:rFonts w:asciiTheme="minorHAnsi" w:hAnsiTheme="minorHAnsi" w:cstheme="minorHAnsi"/>
              </w:rPr>
            </w:pPr>
            <w:r>
              <w:rPr>
                <w:rFonts w:asciiTheme="minorHAnsi" w:hAnsiTheme="minorHAnsi" w:cstheme="minorHAnsi"/>
              </w:rPr>
              <w:t>104</w:t>
            </w:r>
          </w:p>
        </w:tc>
        <w:tc>
          <w:tcPr>
            <w:tcW w:w="1843" w:type="dxa"/>
            <w:vAlign w:val="center"/>
          </w:tcPr>
          <w:p w14:paraId="524C2C96" w14:textId="5FA41316" w:rsidR="00CA537D" w:rsidRPr="002001DA" w:rsidRDefault="00465D9D" w:rsidP="00912DA8">
            <w:pPr>
              <w:jc w:val="center"/>
              <w:rPr>
                <w:rFonts w:asciiTheme="minorHAnsi" w:hAnsiTheme="minorHAnsi" w:cstheme="minorHAnsi"/>
              </w:rPr>
            </w:pPr>
            <w:r w:rsidRPr="002001DA">
              <w:rPr>
                <w:rFonts w:asciiTheme="minorHAnsi" w:hAnsiTheme="minorHAnsi" w:cstheme="minorHAnsi"/>
              </w:rPr>
              <w:t>24.7</w:t>
            </w:r>
          </w:p>
        </w:tc>
        <w:tc>
          <w:tcPr>
            <w:tcW w:w="2126" w:type="dxa"/>
            <w:vAlign w:val="center"/>
          </w:tcPr>
          <w:p w14:paraId="4F57550D" w14:textId="77777777" w:rsidR="00CA537D" w:rsidRPr="002001DA" w:rsidRDefault="00CA537D" w:rsidP="00912DA8">
            <w:pPr>
              <w:jc w:val="center"/>
              <w:rPr>
                <w:rFonts w:asciiTheme="minorHAnsi" w:hAnsiTheme="minorHAnsi" w:cstheme="minorHAnsi"/>
              </w:rPr>
            </w:pPr>
            <w:r w:rsidRPr="002001DA">
              <w:rPr>
                <w:rFonts w:asciiTheme="minorHAnsi" w:hAnsiTheme="minorHAnsi" w:cstheme="minorHAnsi"/>
              </w:rPr>
              <w:t>6,893 (1.49)</w:t>
            </w:r>
          </w:p>
        </w:tc>
      </w:tr>
      <w:tr w:rsidR="00CA537D" w:rsidRPr="009A27BE" w14:paraId="0E3F8D8A" w14:textId="77777777" w:rsidTr="00912DA8">
        <w:trPr>
          <w:trHeight w:val="397"/>
        </w:trPr>
        <w:tc>
          <w:tcPr>
            <w:tcW w:w="1617" w:type="dxa"/>
            <w:shd w:val="clear" w:color="auto" w:fill="FDE9D9" w:themeFill="accent6" w:themeFillTint="33"/>
            <w:vAlign w:val="center"/>
          </w:tcPr>
          <w:p w14:paraId="53706FB9" w14:textId="77777777" w:rsidR="00CA537D" w:rsidRPr="009A27BE" w:rsidRDefault="00CA537D" w:rsidP="00912DA8">
            <w:pPr>
              <w:rPr>
                <w:rFonts w:asciiTheme="minorHAnsi" w:hAnsiTheme="minorHAnsi" w:cstheme="minorHAnsi"/>
                <w:b/>
              </w:rPr>
            </w:pPr>
            <w:r w:rsidRPr="009A27BE">
              <w:rPr>
                <w:rFonts w:asciiTheme="minorHAnsi" w:hAnsiTheme="minorHAnsi" w:cstheme="minorHAnsi"/>
                <w:b/>
              </w:rPr>
              <w:t>Australia</w:t>
            </w:r>
          </w:p>
        </w:tc>
        <w:tc>
          <w:tcPr>
            <w:tcW w:w="2536" w:type="dxa"/>
            <w:shd w:val="clear" w:color="auto" w:fill="FDE9D9" w:themeFill="accent6" w:themeFillTint="33"/>
            <w:vAlign w:val="center"/>
          </w:tcPr>
          <w:p w14:paraId="1B7AF20A" w14:textId="308BFFCD" w:rsidR="00CA537D" w:rsidRPr="009A27BE" w:rsidRDefault="008F628D" w:rsidP="00912DA8">
            <w:pPr>
              <w:jc w:val="center"/>
              <w:rPr>
                <w:rFonts w:asciiTheme="minorHAnsi" w:hAnsiTheme="minorHAnsi" w:cstheme="minorHAnsi"/>
                <w:b/>
              </w:rPr>
            </w:pPr>
            <w:r w:rsidRPr="009A27BE">
              <w:rPr>
                <w:b/>
              </w:rPr>
              <w:t>212</w:t>
            </w:r>
          </w:p>
        </w:tc>
        <w:tc>
          <w:tcPr>
            <w:tcW w:w="1843" w:type="dxa"/>
            <w:shd w:val="clear" w:color="auto" w:fill="FDE9D9" w:themeFill="accent6" w:themeFillTint="33"/>
            <w:vAlign w:val="center"/>
          </w:tcPr>
          <w:p w14:paraId="56A41757" w14:textId="77777777" w:rsidR="00CA537D" w:rsidRPr="009A27BE" w:rsidRDefault="00CA537D" w:rsidP="00912DA8">
            <w:pPr>
              <w:jc w:val="center"/>
              <w:rPr>
                <w:rFonts w:asciiTheme="minorHAnsi" w:hAnsiTheme="minorHAnsi" w:cstheme="minorHAnsi"/>
                <w:b/>
              </w:rPr>
            </w:pPr>
            <w:r w:rsidRPr="009A27BE">
              <w:rPr>
                <w:b/>
              </w:rPr>
              <w:t>6,606</w:t>
            </w:r>
          </w:p>
        </w:tc>
        <w:tc>
          <w:tcPr>
            <w:tcW w:w="1843" w:type="dxa"/>
            <w:shd w:val="clear" w:color="auto" w:fill="FDE9D9" w:themeFill="accent6" w:themeFillTint="33"/>
            <w:vAlign w:val="center"/>
          </w:tcPr>
          <w:p w14:paraId="702036CD" w14:textId="32F0568C" w:rsidR="00CA537D" w:rsidRPr="009A27BE" w:rsidRDefault="00465D9D" w:rsidP="00912DA8">
            <w:pPr>
              <w:jc w:val="center"/>
              <w:rPr>
                <w:rFonts w:asciiTheme="minorHAnsi" w:hAnsiTheme="minorHAnsi" w:cstheme="minorHAnsi"/>
                <w:b/>
              </w:rPr>
            </w:pPr>
            <w:r w:rsidRPr="009A27BE">
              <w:rPr>
                <w:rFonts w:asciiTheme="minorHAnsi" w:hAnsiTheme="minorHAnsi" w:cstheme="minorHAnsi"/>
                <w:b/>
              </w:rPr>
              <w:t>26.4</w:t>
            </w:r>
          </w:p>
        </w:tc>
        <w:tc>
          <w:tcPr>
            <w:tcW w:w="2126" w:type="dxa"/>
            <w:shd w:val="clear" w:color="auto" w:fill="FDE9D9" w:themeFill="accent6" w:themeFillTint="33"/>
            <w:vAlign w:val="center"/>
          </w:tcPr>
          <w:p w14:paraId="1EE33A48" w14:textId="77777777" w:rsidR="00CA537D" w:rsidRPr="009A27BE" w:rsidRDefault="00CA537D" w:rsidP="00912DA8">
            <w:pPr>
              <w:jc w:val="center"/>
              <w:rPr>
                <w:rFonts w:asciiTheme="minorHAnsi" w:hAnsiTheme="minorHAnsi" w:cstheme="minorHAnsi"/>
                <w:b/>
              </w:rPr>
            </w:pPr>
            <w:r w:rsidRPr="009A27BE">
              <w:rPr>
                <w:rFonts w:asciiTheme="minorHAnsi" w:hAnsiTheme="minorHAnsi" w:cstheme="minorHAnsi"/>
                <w:b/>
              </w:rPr>
              <w:t>420,996 (1.57)</w:t>
            </w:r>
          </w:p>
        </w:tc>
      </w:tr>
    </w:tbl>
    <w:p w14:paraId="4DF6EBEF" w14:textId="17FFD3BB" w:rsidR="00C64DD6" w:rsidRPr="00C64DD6" w:rsidRDefault="00CA537D" w:rsidP="00C64DD6">
      <w:pPr>
        <w:pStyle w:val="CDIFigures"/>
      </w:pPr>
      <w:r w:rsidRPr="00C64DD6">
        <w:br w:type="page"/>
      </w:r>
      <w:r w:rsidR="00C64DD6" w:rsidRPr="00C64DD6">
        <w:lastRenderedPageBreak/>
        <w:t>Figure 2: Number of cumulative new confirmed cases of COVID-19, Australia, by location of usual residence and statistical area level 3 (SA3)</w:t>
      </w:r>
      <w:r w:rsidR="00C64DD6" w:rsidRPr="00C61179">
        <w:rPr>
          <w:vertAlign w:val="superscript"/>
        </w:rPr>
        <w:t>a</w:t>
      </w:r>
      <w:r w:rsidR="00C64DD6" w:rsidRPr="00C64DD6">
        <w:t xml:space="preserve">, 7 day heat maps as </w:t>
      </w:r>
      <w:proofErr w:type="gramStart"/>
      <w:r w:rsidR="00C64DD6" w:rsidRPr="00C64DD6">
        <w:t>at</w:t>
      </w:r>
      <w:proofErr w:type="gramEnd"/>
      <w:r w:rsidR="00C64DD6" w:rsidRPr="00C64DD6">
        <w:t xml:space="preserve"> 12 April and 19 April 2020</w:t>
      </w:r>
      <w:r w:rsidR="00C64DD6" w:rsidRPr="00C61179">
        <w:rPr>
          <w:vertAlign w:val="superscript"/>
        </w:rPr>
        <w:t>b</w:t>
      </w:r>
    </w:p>
    <w:p w14:paraId="1D5BAA4B" w14:textId="055F11E9" w:rsidR="00C64DD6" w:rsidRDefault="00CA537D" w:rsidP="00C61179">
      <w:pPr>
        <w:pStyle w:val="CDIFigures"/>
        <w:jc w:val="center"/>
      </w:pPr>
      <w:r>
        <w:rPr>
          <w:noProof/>
        </w:rPr>
        <w:drawing>
          <wp:inline distT="0" distB="0" distL="0" distR="0" wp14:anchorId="6537F620" wp14:editId="4DB623CA">
            <wp:extent cx="5486400" cy="7760601"/>
            <wp:effectExtent l="0" t="0" r="0" b="0"/>
            <wp:docPr id="18" name="Picture 18" descr="Heat maps of Australia showing the location of residence, aggregated at Statistical Area Level 3, of confirmed cases of COVID-19 notified between 6 and 12 April 2020, and between 13 and 19 April 2020. An outbreak in northwestern Tasmania is responsible for a sizeable proportion of each week’s confirmed cases. Most other cases reside within major metropolitan areas, with a small number of cases reported outside these areas, and new case numbers for the current reporting week systematically lower than for the previous reporting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NDSS 7-Day Cumulative Cases by SA3 - 6-12 April and 13-19 April National Compar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86400" cy="7760601"/>
                    </a:xfrm>
                    <a:prstGeom prst="rect">
                      <a:avLst/>
                    </a:prstGeom>
                  </pic:spPr>
                </pic:pic>
              </a:graphicData>
            </a:graphic>
          </wp:inline>
        </w:drawing>
      </w:r>
    </w:p>
    <w:p w14:paraId="36F15822" w14:textId="4AC75DFE" w:rsidR="00CA537D" w:rsidRDefault="00CA537D" w:rsidP="00CA537D">
      <w:pPr>
        <w:pStyle w:val="CDIFigures"/>
        <w:numPr>
          <w:ilvl w:val="0"/>
          <w:numId w:val="37"/>
        </w:numPr>
        <w:rPr>
          <w:b w:val="0"/>
          <w:sz w:val="20"/>
          <w:szCs w:val="20"/>
        </w:rPr>
      </w:pPr>
      <w:r w:rsidRPr="000A76A7">
        <w:rPr>
          <w:b w:val="0"/>
          <w:sz w:val="20"/>
          <w:szCs w:val="20"/>
        </w:rPr>
        <w:t>Represents the usual location of residence of a case, which does not necessarily mean that this is the place where they acquired their infection or were diagnosed. Overseas residents who do not have a usual place of residence in Australia are not shown.</w:t>
      </w:r>
    </w:p>
    <w:p w14:paraId="63CED416" w14:textId="77777777" w:rsidR="00CA537D" w:rsidRPr="000A76A7" w:rsidRDefault="00CA537D" w:rsidP="00CA537D">
      <w:pPr>
        <w:pStyle w:val="CDIFigures"/>
        <w:numPr>
          <w:ilvl w:val="0"/>
          <w:numId w:val="37"/>
        </w:numPr>
        <w:rPr>
          <w:b w:val="0"/>
          <w:sz w:val="20"/>
          <w:szCs w:val="20"/>
        </w:rPr>
      </w:pPr>
      <w:r>
        <w:rPr>
          <w:b w:val="0"/>
          <w:sz w:val="20"/>
          <w:szCs w:val="20"/>
        </w:rPr>
        <w:t>Based on diagnosis date from NNDSS reporting period up to 23:59 AEST 19 April 2020.</w:t>
      </w:r>
    </w:p>
    <w:p w14:paraId="10AB31A1" w14:textId="746150BD" w:rsidR="00CA537D" w:rsidRDefault="00CA537D" w:rsidP="00CA537D">
      <w:pPr>
        <w:pStyle w:val="CDIFigures"/>
        <w:rPr>
          <w:vertAlign w:val="superscript"/>
        </w:rPr>
      </w:pPr>
      <w:r>
        <w:lastRenderedPageBreak/>
        <w:t xml:space="preserve">Figure 3. </w:t>
      </w:r>
      <w:r w:rsidRPr="00887EBC">
        <w:t>Number of cumulative new confirmed cases of COVID-19,</w:t>
      </w:r>
      <w:r w:rsidR="00E37900">
        <w:t xml:space="preserve"> across selected regions within</w:t>
      </w:r>
      <w:r w:rsidRPr="00887EBC">
        <w:t xml:space="preserve"> Australia, by location of usual residence and</w:t>
      </w:r>
      <w:r>
        <w:t xml:space="preserve"> selected </w:t>
      </w:r>
      <w:proofErr w:type="spellStart"/>
      <w:r>
        <w:t>areas</w:t>
      </w:r>
      <w:r w:rsidRPr="00887EBC">
        <w:rPr>
          <w:vertAlign w:val="superscript"/>
        </w:rPr>
        <w:t>a</w:t>
      </w:r>
      <w:proofErr w:type="spellEnd"/>
      <w:r w:rsidRPr="00887EBC">
        <w:t>, 7 day heat map</w:t>
      </w:r>
      <w:r w:rsidR="00E37900">
        <w:t>s</w:t>
      </w:r>
      <w:r w:rsidRPr="00887EBC">
        <w:t xml:space="preserve"> as </w:t>
      </w:r>
      <w:proofErr w:type="gramStart"/>
      <w:r w:rsidRPr="00887EBC">
        <w:t>at</w:t>
      </w:r>
      <w:proofErr w:type="gramEnd"/>
      <w:r w:rsidRPr="00887EBC">
        <w:t xml:space="preserve"> </w:t>
      </w:r>
      <w:r w:rsidR="00E37900">
        <w:t xml:space="preserve">12 April and </w:t>
      </w:r>
      <w:r w:rsidRPr="00887EBC">
        <w:t>19 April 2020</w:t>
      </w:r>
      <w:r w:rsidRPr="00887EBC">
        <w:rPr>
          <w:vertAlign w:val="superscript"/>
        </w:rPr>
        <w:t>b</w:t>
      </w:r>
    </w:p>
    <w:p w14:paraId="129B949B" w14:textId="77777777" w:rsidR="00CA537D" w:rsidRDefault="00CA537D" w:rsidP="00CA537D">
      <w:pPr>
        <w:pStyle w:val="CDIFigures"/>
        <w:jc w:val="center"/>
      </w:pPr>
      <w:r>
        <w:rPr>
          <w:noProof/>
        </w:rPr>
        <w:drawing>
          <wp:inline distT="0" distB="0" distL="0" distR="0" wp14:anchorId="569E3E1C" wp14:editId="46B892A9">
            <wp:extent cx="4685151" cy="6627222"/>
            <wp:effectExtent l="0" t="0" r="1270" b="2540"/>
            <wp:docPr id="3" name="Picture 3" descr="Heat maps of Sydney, Melbourne, Brisbane, Perth, Adelaide and Tasmania showing the location of residence, aggregated at Statistical Area Level 3, of confirmed cases of COVID-19 notified between 6 and 12 April 2020, and between 13 and 19 April 2020. An outbreak in northwestern Tasmania is apparent for both weeks, while an outbreak in western Sydney has a larger number of new cases for the current reporting week than for the previous week. Case numbers for the current reporting week are otherwise markedly down in most locations on the numbers from the previous week (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NDSS 7-Day Cumulative Cases by SA3 - 6-12 April and 13-19 April Cities Compare.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85151" cy="6627222"/>
                    </a:xfrm>
                    <a:prstGeom prst="rect">
                      <a:avLst/>
                    </a:prstGeom>
                  </pic:spPr>
                </pic:pic>
              </a:graphicData>
            </a:graphic>
          </wp:inline>
        </w:drawing>
      </w:r>
    </w:p>
    <w:p w14:paraId="75A0AABD" w14:textId="77777777" w:rsidR="00CA537D" w:rsidRDefault="00CA537D" w:rsidP="00CA537D">
      <w:pPr>
        <w:pStyle w:val="CDIFigures"/>
        <w:numPr>
          <w:ilvl w:val="0"/>
          <w:numId w:val="38"/>
        </w:numPr>
        <w:rPr>
          <w:b w:val="0"/>
          <w:sz w:val="20"/>
          <w:szCs w:val="20"/>
        </w:rPr>
      </w:pPr>
      <w:r>
        <w:rPr>
          <w:b w:val="0"/>
          <w:sz w:val="20"/>
          <w:szCs w:val="20"/>
        </w:rPr>
        <w:t>R</w:t>
      </w:r>
      <w:r w:rsidRPr="000A76A7">
        <w:rPr>
          <w:b w:val="0"/>
          <w:sz w:val="20"/>
          <w:szCs w:val="20"/>
        </w:rPr>
        <w:t>epresents the usual location of residence of a case, which does not necessarily mean that this is the place where they acquired their infection or were diagnosed. Overseas residents who do not have a usual place of residence in Australia are not shown.</w:t>
      </w:r>
    </w:p>
    <w:p w14:paraId="2FC309D9" w14:textId="2103A6C5" w:rsidR="00CA537D" w:rsidRPr="00887EBC" w:rsidRDefault="00CA537D" w:rsidP="00CA537D">
      <w:pPr>
        <w:pStyle w:val="CDIFigures"/>
        <w:numPr>
          <w:ilvl w:val="0"/>
          <w:numId w:val="38"/>
        </w:numPr>
        <w:rPr>
          <w:b w:val="0"/>
          <w:sz w:val="20"/>
          <w:szCs w:val="20"/>
        </w:rPr>
      </w:pPr>
      <w:r w:rsidRPr="00887EBC">
        <w:rPr>
          <w:b w:val="0"/>
          <w:sz w:val="20"/>
          <w:szCs w:val="20"/>
        </w:rPr>
        <w:t>Based on diagnosis date from NNDSS reporting period up to 23:59 AEST 19 April 2020</w:t>
      </w:r>
      <w:r w:rsidR="00F67724">
        <w:rPr>
          <w:b w:val="0"/>
          <w:sz w:val="20"/>
          <w:szCs w:val="20"/>
        </w:rPr>
        <w:t>.</w:t>
      </w:r>
    </w:p>
    <w:p w14:paraId="254EAA5F" w14:textId="68CE2C7B" w:rsidR="00E4281B" w:rsidRPr="00911389" w:rsidRDefault="00E4281B" w:rsidP="00911389">
      <w:pPr>
        <w:pStyle w:val="CDIfootnotes"/>
        <w:sectPr w:rsidR="00E4281B" w:rsidRPr="00911389" w:rsidSect="00CA537D">
          <w:footnotePr>
            <w:numFmt w:val="lowerRoman"/>
          </w:footnotePr>
          <w:pgSz w:w="11906" w:h="16838"/>
          <w:pgMar w:top="709" w:right="851" w:bottom="425" w:left="851" w:header="709" w:footer="709" w:gutter="0"/>
          <w:cols w:space="708"/>
          <w:docGrid w:linePitch="360"/>
        </w:sectPr>
      </w:pPr>
    </w:p>
    <w:bookmarkEnd w:id="1"/>
    <w:p w14:paraId="55EAD820" w14:textId="689B6167" w:rsidR="00E4281B" w:rsidRPr="00BC4E13" w:rsidRDefault="00E4281B" w:rsidP="00BC4E13">
      <w:pPr>
        <w:pStyle w:val="Heading2"/>
      </w:pPr>
      <w:r w:rsidRPr="00BC4E13">
        <w:lastRenderedPageBreak/>
        <w:t xml:space="preserve">Age and </w:t>
      </w:r>
      <w:r w:rsidR="003F616F" w:rsidRPr="00BC4E13">
        <w:t>gender</w:t>
      </w:r>
      <w:r w:rsidRPr="00BC4E13">
        <w:t xml:space="preserve"> distribution </w:t>
      </w:r>
    </w:p>
    <w:p w14:paraId="6D37051C" w14:textId="2914062D" w:rsidR="00B379E6" w:rsidRDefault="00B379E6" w:rsidP="00BC4E13">
      <w:bookmarkStart w:id="2" w:name="_Ref521066527"/>
      <w:r w:rsidRPr="00D06D90">
        <w:t xml:space="preserve">Cases of COVID-19 </w:t>
      </w:r>
      <w:r w:rsidRPr="004158DE">
        <w:t xml:space="preserve">were reported across all age groups. The median age of all COVID-19 cases was </w:t>
      </w:r>
      <w:r w:rsidR="008236DB" w:rsidRPr="004158DE">
        <w:t>48</w:t>
      </w:r>
      <w:r w:rsidRPr="004158DE">
        <w:t xml:space="preserve"> years (interquartile range</w:t>
      </w:r>
      <w:r w:rsidR="00F9258B">
        <w:t>, IQR</w:t>
      </w:r>
      <w:r w:rsidRPr="004158DE">
        <w:t xml:space="preserve">: </w:t>
      </w:r>
      <w:r w:rsidR="008236DB" w:rsidRPr="004158DE">
        <w:t>3</w:t>
      </w:r>
      <w:r w:rsidR="00692B34">
        <w:t>0</w:t>
      </w:r>
      <w:r w:rsidR="00E37900">
        <w:t>–</w:t>
      </w:r>
      <w:r w:rsidR="008236DB" w:rsidRPr="004158DE">
        <w:t>6</w:t>
      </w:r>
      <w:r w:rsidR="00692B34">
        <w:t>2</w:t>
      </w:r>
      <w:r w:rsidRPr="004158DE">
        <w:t xml:space="preserve"> years) (Figure </w:t>
      </w:r>
      <w:r w:rsidRPr="00731BF0">
        <w:t>4)</w:t>
      </w:r>
      <w:r>
        <w:t>.</w:t>
      </w:r>
    </w:p>
    <w:p w14:paraId="5EEE0A8D" w14:textId="67DB726E" w:rsidR="00B379E6" w:rsidRPr="008236DB" w:rsidRDefault="00B379E6" w:rsidP="00BC4E13">
      <w:r w:rsidRPr="008236DB">
        <w:t>The median a</w:t>
      </w:r>
      <w:r w:rsidR="00757817" w:rsidRPr="008236DB">
        <w:t>ge</w:t>
      </w:r>
      <w:r w:rsidR="00964CDE">
        <w:t>s</w:t>
      </w:r>
      <w:r w:rsidR="00757817" w:rsidRPr="008236DB">
        <w:t xml:space="preserve"> of hospitalisation (median: 6</w:t>
      </w:r>
      <w:r w:rsidRPr="008236DB">
        <w:t>0</w:t>
      </w:r>
      <w:r w:rsidR="00757817" w:rsidRPr="008236DB">
        <w:t>.5</w:t>
      </w:r>
      <w:r w:rsidRPr="008236DB">
        <w:t xml:space="preserve">, IQR: </w:t>
      </w:r>
      <w:r w:rsidR="008236DB" w:rsidRPr="008236DB">
        <w:t>4</w:t>
      </w:r>
      <w:r w:rsidR="00692B34">
        <w:t>2</w:t>
      </w:r>
      <w:r w:rsidR="00E37900">
        <w:t>–</w:t>
      </w:r>
      <w:r w:rsidR="008236DB" w:rsidRPr="008236DB">
        <w:t>7</w:t>
      </w:r>
      <w:r w:rsidR="00692B34">
        <w:t>2</w:t>
      </w:r>
      <w:r w:rsidR="008236DB">
        <w:t xml:space="preserve"> </w:t>
      </w:r>
      <w:r w:rsidR="00AD75F9">
        <w:t>years) and death (median: 79</w:t>
      </w:r>
      <w:r w:rsidRPr="008236DB">
        <w:t xml:space="preserve">, IQR: </w:t>
      </w:r>
      <w:r w:rsidR="00AD75F9">
        <w:t>74</w:t>
      </w:r>
      <w:r w:rsidR="00E37900">
        <w:t>–</w:t>
      </w:r>
      <w:r w:rsidR="00AD75F9">
        <w:t>84</w:t>
      </w:r>
      <w:r w:rsidRPr="008236DB">
        <w:t xml:space="preserve">) were higher than for cases overall. This is consistent with international reporting and reflects a greater risk of severe disease, </w:t>
      </w:r>
      <w:proofErr w:type="gramStart"/>
      <w:r w:rsidRPr="008236DB">
        <w:t>complications</w:t>
      </w:r>
      <w:proofErr w:type="gramEnd"/>
      <w:r w:rsidRPr="008236DB">
        <w:t xml:space="preserve"> and deaths in the elderly</w:t>
      </w:r>
      <w:r w:rsidR="003D1043">
        <w:t xml:space="preserve"> and those with co</w:t>
      </w:r>
      <w:r w:rsidR="003D1043" w:rsidRPr="008236DB">
        <w:t xml:space="preserve">morbidities </w:t>
      </w:r>
      <w:r w:rsidR="00161059">
        <w:t>(Table 4 and Figure 4)</w:t>
      </w:r>
      <w:r w:rsidRPr="008236DB">
        <w:t xml:space="preserve">. </w:t>
      </w:r>
    </w:p>
    <w:p w14:paraId="513FCD6D" w14:textId="3B2A241F" w:rsidR="00F72D09" w:rsidRPr="00BC4E13" w:rsidRDefault="00F72D09" w:rsidP="00BC4E13">
      <w:pPr>
        <w:pStyle w:val="CDIFigures"/>
      </w:pPr>
      <w:r w:rsidRPr="00BC4E13">
        <w:t xml:space="preserve">Table 4: Demographics of all cases, hospitalised </w:t>
      </w:r>
      <w:proofErr w:type="gramStart"/>
      <w:r w:rsidRPr="00BC4E13">
        <w:t>cases</w:t>
      </w:r>
      <w:proofErr w:type="gramEnd"/>
      <w:r w:rsidRPr="00BC4E13">
        <w:t xml:space="preserve"> and deaths</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4 summarises the demographics of notified cases, hospitalised cases, and deaths within Australia. Expressed as a proportion of notified cases, the crude case fatality rate (CFR) is approximately 1%, rising to 6% among hospitalised cases. Notified cases and hospitalised cases display an approximately 1:1 male:female gender ratio; among non-survivors, the male: female gender ratio is approximately 3:2.&#10;"/>
      </w:tblPr>
      <w:tblGrid>
        <w:gridCol w:w="3415"/>
        <w:gridCol w:w="1980"/>
        <w:gridCol w:w="2340"/>
        <w:gridCol w:w="2340"/>
      </w:tblGrid>
      <w:tr w:rsidR="003337B8" w:rsidRPr="003337B8" w14:paraId="58D93BFD" w14:textId="77777777" w:rsidTr="00CD3056">
        <w:trPr>
          <w:cnfStyle w:val="100000000000" w:firstRow="1" w:lastRow="0" w:firstColumn="0" w:lastColumn="0" w:oddVBand="0" w:evenVBand="0" w:oddHBand="0" w:evenHBand="0" w:firstRowFirstColumn="0" w:firstRowLastColumn="0" w:lastRowFirstColumn="0" w:lastRowLastColumn="0"/>
          <w:tblHeader/>
        </w:trPr>
        <w:tc>
          <w:tcPr>
            <w:tcW w:w="10075" w:type="dxa"/>
            <w:gridSpan w:val="4"/>
          </w:tcPr>
          <w:p w14:paraId="3A2FDA5F" w14:textId="77777777" w:rsidR="00B379E6" w:rsidRPr="003337B8" w:rsidRDefault="00B379E6" w:rsidP="00F72D09">
            <w:pPr>
              <w:pStyle w:val="CDIFigures"/>
              <w:rPr>
                <w:b/>
                <w:color w:val="FFFFFF" w:themeColor="background1"/>
              </w:rPr>
            </w:pPr>
            <w:r w:rsidRPr="003337B8">
              <w:rPr>
                <w:b/>
                <w:color w:val="FFFFFF" w:themeColor="background1"/>
              </w:rPr>
              <w:t xml:space="preserve">Demographics of all cases, hospitalised </w:t>
            </w:r>
            <w:proofErr w:type="gramStart"/>
            <w:r w:rsidRPr="003337B8">
              <w:rPr>
                <w:b/>
                <w:color w:val="FFFFFF" w:themeColor="background1"/>
              </w:rPr>
              <w:t>cases</w:t>
            </w:r>
            <w:proofErr w:type="gramEnd"/>
            <w:r w:rsidRPr="003337B8">
              <w:rPr>
                <w:b/>
                <w:color w:val="FFFFFF" w:themeColor="background1"/>
              </w:rPr>
              <w:t xml:space="preserve"> and deaths</w:t>
            </w:r>
          </w:p>
        </w:tc>
      </w:tr>
      <w:tr w:rsidR="003337B8" w:rsidRPr="003337B8" w14:paraId="0CE8E8C4" w14:textId="77777777" w:rsidTr="00CD3056">
        <w:trPr>
          <w:cnfStyle w:val="100000000000" w:firstRow="1" w:lastRow="0" w:firstColumn="0" w:lastColumn="0" w:oddVBand="0" w:evenVBand="0" w:oddHBand="0" w:evenHBand="0" w:firstRowFirstColumn="0" w:firstRowLastColumn="0" w:lastRowFirstColumn="0" w:lastRowLastColumn="0"/>
          <w:tblHeader/>
        </w:trPr>
        <w:tc>
          <w:tcPr>
            <w:tcW w:w="3415" w:type="dxa"/>
          </w:tcPr>
          <w:p w14:paraId="20DF2BB5" w14:textId="77777777" w:rsidR="00B379E6" w:rsidRPr="003337B8" w:rsidRDefault="00B379E6" w:rsidP="00B379E6">
            <w:pPr>
              <w:widowControl w:val="0"/>
              <w:rPr>
                <w:rFonts w:ascii="Calibri" w:eastAsia="Calibri" w:hAnsi="Calibri" w:cs="Calibri"/>
                <w:color w:val="FFFFFF" w:themeColor="background1"/>
              </w:rPr>
            </w:pPr>
          </w:p>
        </w:tc>
        <w:tc>
          <w:tcPr>
            <w:tcW w:w="1980" w:type="dxa"/>
          </w:tcPr>
          <w:p w14:paraId="2C9C8D94" w14:textId="77777777" w:rsidR="00B379E6" w:rsidRPr="003337B8" w:rsidRDefault="00B379E6" w:rsidP="00CD3056">
            <w:pPr>
              <w:widowControl w:val="0"/>
              <w:jc w:val="center"/>
              <w:rPr>
                <w:rFonts w:ascii="Calibri" w:eastAsia="Calibri" w:hAnsi="Calibri" w:cs="Calibri"/>
                <w:color w:val="FFFFFF" w:themeColor="background1"/>
              </w:rPr>
            </w:pPr>
            <w:r w:rsidRPr="003337B8">
              <w:rPr>
                <w:rFonts w:ascii="Calibri" w:eastAsia="Calibri" w:hAnsi="Calibri" w:cs="Calibri"/>
                <w:color w:val="FFFFFF" w:themeColor="background1"/>
              </w:rPr>
              <w:t>All cases</w:t>
            </w:r>
          </w:p>
        </w:tc>
        <w:tc>
          <w:tcPr>
            <w:tcW w:w="2340" w:type="dxa"/>
          </w:tcPr>
          <w:p w14:paraId="0CF043E8" w14:textId="5BA64C4A" w:rsidR="00B379E6" w:rsidRPr="003337B8" w:rsidRDefault="00C72FC6" w:rsidP="00CD3056">
            <w:pPr>
              <w:widowControl w:val="0"/>
              <w:jc w:val="center"/>
              <w:rPr>
                <w:rFonts w:ascii="Calibri" w:eastAsia="Calibri" w:hAnsi="Calibri" w:cs="Calibri"/>
                <w:color w:val="FFFFFF" w:themeColor="background1"/>
              </w:rPr>
            </w:pPr>
            <w:r w:rsidRPr="003337B8">
              <w:rPr>
                <w:rFonts w:ascii="Calibri" w:eastAsia="Calibri" w:hAnsi="Calibri" w:cs="Calibri"/>
                <w:color w:val="FFFFFF" w:themeColor="background1"/>
              </w:rPr>
              <w:t>H</w:t>
            </w:r>
            <w:r w:rsidR="00B379E6" w:rsidRPr="003337B8">
              <w:rPr>
                <w:rFonts w:ascii="Calibri" w:eastAsia="Calibri" w:hAnsi="Calibri" w:cs="Calibri"/>
                <w:color w:val="FFFFFF" w:themeColor="background1"/>
              </w:rPr>
              <w:t>ospitalisation</w:t>
            </w:r>
          </w:p>
        </w:tc>
        <w:tc>
          <w:tcPr>
            <w:tcW w:w="2340" w:type="dxa"/>
          </w:tcPr>
          <w:p w14:paraId="7869C649" w14:textId="77777777" w:rsidR="00B379E6" w:rsidRPr="003337B8" w:rsidRDefault="00B379E6" w:rsidP="00CD3056">
            <w:pPr>
              <w:widowControl w:val="0"/>
              <w:jc w:val="center"/>
              <w:rPr>
                <w:rFonts w:ascii="Calibri" w:eastAsia="Calibri" w:hAnsi="Calibri" w:cs="Calibri"/>
                <w:color w:val="FFFFFF" w:themeColor="background1"/>
              </w:rPr>
            </w:pPr>
            <w:r w:rsidRPr="003337B8">
              <w:rPr>
                <w:rFonts w:ascii="Calibri" w:eastAsia="Calibri" w:hAnsi="Calibri" w:cs="Calibri"/>
                <w:color w:val="FFFFFF" w:themeColor="background1"/>
              </w:rPr>
              <w:t>Death</w:t>
            </w:r>
          </w:p>
        </w:tc>
      </w:tr>
      <w:tr w:rsidR="00B379E6" w:rsidRPr="00DA3585" w14:paraId="1B67DF42" w14:textId="77777777" w:rsidTr="00E83C5E">
        <w:tc>
          <w:tcPr>
            <w:tcW w:w="3415" w:type="dxa"/>
          </w:tcPr>
          <w:p w14:paraId="5E365F9F" w14:textId="77777777" w:rsidR="00B379E6" w:rsidRPr="00DA3585" w:rsidRDefault="00B379E6" w:rsidP="00B379E6">
            <w:pPr>
              <w:widowControl w:val="0"/>
              <w:rPr>
                <w:rFonts w:eastAsia="Calibri" w:cs="Calibri"/>
              </w:rPr>
            </w:pPr>
            <w:r w:rsidRPr="00DA3585">
              <w:rPr>
                <w:rFonts w:eastAsia="Calibri" w:cs="Calibri"/>
              </w:rPr>
              <w:t>Crude CFR</w:t>
            </w:r>
          </w:p>
        </w:tc>
        <w:tc>
          <w:tcPr>
            <w:tcW w:w="1980" w:type="dxa"/>
          </w:tcPr>
          <w:p w14:paraId="66FF4E58" w14:textId="77777777" w:rsidR="00B379E6" w:rsidRPr="00757817" w:rsidRDefault="00B379E6" w:rsidP="00CD3056">
            <w:pPr>
              <w:widowControl w:val="0"/>
              <w:jc w:val="center"/>
              <w:rPr>
                <w:rFonts w:eastAsia="Calibri" w:cs="Calibri"/>
              </w:rPr>
            </w:pPr>
            <w:r w:rsidRPr="00757817">
              <w:rPr>
                <w:rFonts w:eastAsia="Calibri" w:cs="Calibri"/>
              </w:rPr>
              <w:t>1%</w:t>
            </w:r>
          </w:p>
        </w:tc>
        <w:tc>
          <w:tcPr>
            <w:tcW w:w="2340" w:type="dxa"/>
          </w:tcPr>
          <w:p w14:paraId="6B6D8246" w14:textId="77777777" w:rsidR="00B379E6" w:rsidRPr="00757817" w:rsidRDefault="00B379E6" w:rsidP="00CD3056">
            <w:pPr>
              <w:widowControl w:val="0"/>
              <w:jc w:val="center"/>
              <w:rPr>
                <w:rFonts w:eastAsia="Calibri" w:cs="Calibri"/>
              </w:rPr>
            </w:pPr>
            <w:r w:rsidRPr="00757817">
              <w:rPr>
                <w:rFonts w:eastAsia="Calibri" w:cs="Calibri"/>
              </w:rPr>
              <w:t>6%</w:t>
            </w:r>
          </w:p>
        </w:tc>
        <w:tc>
          <w:tcPr>
            <w:tcW w:w="2340" w:type="dxa"/>
          </w:tcPr>
          <w:p w14:paraId="632B9E61" w14:textId="3DE72A9A" w:rsidR="00B379E6" w:rsidRPr="00757817" w:rsidRDefault="00964CDE" w:rsidP="00CD3056">
            <w:pPr>
              <w:widowControl w:val="0"/>
              <w:jc w:val="center"/>
              <w:rPr>
                <w:rFonts w:eastAsia="Calibri" w:cs="Calibri"/>
              </w:rPr>
            </w:pPr>
            <w:r>
              <w:rPr>
                <w:rFonts w:eastAsia="Calibri" w:cs="Calibri"/>
              </w:rPr>
              <w:t>–</w:t>
            </w:r>
          </w:p>
        </w:tc>
      </w:tr>
      <w:tr w:rsidR="00B379E6" w:rsidRPr="00DA3585" w14:paraId="583792B7" w14:textId="77777777" w:rsidTr="00E83C5E">
        <w:trPr>
          <w:cnfStyle w:val="000000010000" w:firstRow="0" w:lastRow="0" w:firstColumn="0" w:lastColumn="0" w:oddVBand="0" w:evenVBand="0" w:oddHBand="0" w:evenHBand="1" w:firstRowFirstColumn="0" w:firstRowLastColumn="0" w:lastRowFirstColumn="0" w:lastRowLastColumn="0"/>
        </w:trPr>
        <w:tc>
          <w:tcPr>
            <w:tcW w:w="3415" w:type="dxa"/>
          </w:tcPr>
          <w:p w14:paraId="7AECAFA7" w14:textId="77777777" w:rsidR="00B379E6" w:rsidRPr="00DA3585" w:rsidRDefault="00B379E6" w:rsidP="00B379E6">
            <w:pPr>
              <w:widowControl w:val="0"/>
              <w:rPr>
                <w:rFonts w:eastAsia="Calibri" w:cs="Calibri"/>
              </w:rPr>
            </w:pPr>
            <w:r w:rsidRPr="00DA3585">
              <w:rPr>
                <w:rFonts w:eastAsia="Calibri" w:cs="Calibri"/>
              </w:rPr>
              <w:t>Median age (</w:t>
            </w:r>
            <w:r>
              <w:rPr>
                <w:rFonts w:eastAsia="Calibri" w:cs="Calibri"/>
              </w:rPr>
              <w:t>interquartile range</w:t>
            </w:r>
            <w:r w:rsidRPr="00DA3585">
              <w:rPr>
                <w:rFonts w:eastAsia="Calibri" w:cs="Calibri"/>
              </w:rPr>
              <w:t>)</w:t>
            </w:r>
          </w:p>
        </w:tc>
        <w:tc>
          <w:tcPr>
            <w:tcW w:w="1980" w:type="dxa"/>
          </w:tcPr>
          <w:p w14:paraId="651BA136" w14:textId="0DF4C7EB" w:rsidR="00B379E6" w:rsidRPr="00757817" w:rsidRDefault="008236DB" w:rsidP="00CD3056">
            <w:pPr>
              <w:widowControl w:val="0"/>
              <w:jc w:val="center"/>
              <w:rPr>
                <w:rFonts w:eastAsia="Calibri" w:cs="Calibri"/>
              </w:rPr>
            </w:pPr>
            <w:r>
              <w:rPr>
                <w:rFonts w:eastAsia="Calibri" w:cs="Calibri"/>
              </w:rPr>
              <w:t>48</w:t>
            </w:r>
            <w:r w:rsidR="00B379E6" w:rsidRPr="00757817">
              <w:rPr>
                <w:rFonts w:eastAsia="Calibri" w:cs="Calibri"/>
              </w:rPr>
              <w:t xml:space="preserve"> (</w:t>
            </w:r>
            <w:r w:rsidRPr="008236DB">
              <w:rPr>
                <w:rFonts w:eastAsia="Calibri" w:cs="Calibri"/>
              </w:rPr>
              <w:t>3</w:t>
            </w:r>
            <w:r w:rsidR="00692B34">
              <w:rPr>
                <w:rFonts w:eastAsia="Calibri" w:cs="Calibri"/>
              </w:rPr>
              <w:t>0</w:t>
            </w:r>
            <w:r w:rsidR="00964CDE">
              <w:rPr>
                <w:rFonts w:eastAsia="Calibri" w:cs="Calibri"/>
              </w:rPr>
              <w:t>–</w:t>
            </w:r>
            <w:r w:rsidRPr="008236DB">
              <w:rPr>
                <w:rFonts w:eastAsia="Calibri" w:cs="Calibri"/>
              </w:rPr>
              <w:t>6</w:t>
            </w:r>
            <w:r w:rsidR="00692B34">
              <w:rPr>
                <w:rFonts w:eastAsia="Calibri" w:cs="Calibri"/>
              </w:rPr>
              <w:t>2</w:t>
            </w:r>
            <w:r w:rsidR="00B379E6" w:rsidRPr="00757817">
              <w:rPr>
                <w:rFonts w:eastAsia="Calibri" w:cs="Calibri"/>
              </w:rPr>
              <w:t>)</w:t>
            </w:r>
          </w:p>
        </w:tc>
        <w:tc>
          <w:tcPr>
            <w:tcW w:w="2340" w:type="dxa"/>
          </w:tcPr>
          <w:p w14:paraId="70048515" w14:textId="4B4050FF" w:rsidR="00B379E6" w:rsidRPr="00757817" w:rsidRDefault="008236DB" w:rsidP="00CD3056">
            <w:pPr>
              <w:widowControl w:val="0"/>
              <w:jc w:val="center"/>
              <w:rPr>
                <w:rFonts w:eastAsia="Calibri" w:cs="Calibri"/>
              </w:rPr>
            </w:pPr>
            <w:r>
              <w:rPr>
                <w:rFonts w:eastAsia="Calibri" w:cs="Calibri"/>
              </w:rPr>
              <w:t>60.5</w:t>
            </w:r>
            <w:r w:rsidR="00B379E6" w:rsidRPr="00757817">
              <w:rPr>
                <w:rFonts w:eastAsia="Calibri" w:cs="Calibri"/>
              </w:rPr>
              <w:t xml:space="preserve"> (</w:t>
            </w:r>
            <w:r w:rsidRPr="008236DB">
              <w:rPr>
                <w:rFonts w:eastAsia="Calibri" w:cs="Calibri"/>
              </w:rPr>
              <w:t>4</w:t>
            </w:r>
            <w:r w:rsidR="00692B34">
              <w:rPr>
                <w:rFonts w:eastAsia="Calibri" w:cs="Calibri"/>
              </w:rPr>
              <w:t>2</w:t>
            </w:r>
            <w:r w:rsidR="00964CDE">
              <w:rPr>
                <w:rFonts w:eastAsia="Calibri" w:cs="Calibri"/>
              </w:rPr>
              <w:t>–</w:t>
            </w:r>
            <w:r w:rsidRPr="008236DB">
              <w:rPr>
                <w:rFonts w:eastAsia="Calibri" w:cs="Calibri"/>
              </w:rPr>
              <w:t>7</w:t>
            </w:r>
            <w:r w:rsidR="00692B34">
              <w:rPr>
                <w:rFonts w:eastAsia="Calibri" w:cs="Calibri"/>
              </w:rPr>
              <w:t>2</w:t>
            </w:r>
            <w:r w:rsidR="00B379E6" w:rsidRPr="00757817">
              <w:rPr>
                <w:rFonts w:eastAsia="Calibri" w:cs="Calibri"/>
              </w:rPr>
              <w:t>)</w:t>
            </w:r>
          </w:p>
        </w:tc>
        <w:tc>
          <w:tcPr>
            <w:tcW w:w="2340" w:type="dxa"/>
          </w:tcPr>
          <w:p w14:paraId="7872691E" w14:textId="2FAD6273" w:rsidR="00B379E6" w:rsidRPr="00757817" w:rsidRDefault="00EF137C" w:rsidP="00CD3056">
            <w:pPr>
              <w:widowControl w:val="0"/>
              <w:jc w:val="center"/>
              <w:rPr>
                <w:rFonts w:eastAsia="Calibri" w:cs="Calibri"/>
              </w:rPr>
            </w:pPr>
            <w:r>
              <w:rPr>
                <w:rFonts w:eastAsia="Calibri" w:cs="Calibri"/>
              </w:rPr>
              <w:t>79</w:t>
            </w:r>
            <w:r w:rsidRPr="00EF137C">
              <w:rPr>
                <w:rFonts w:eastAsia="Calibri" w:cs="Calibri"/>
              </w:rPr>
              <w:t xml:space="preserve"> </w:t>
            </w:r>
            <w:r>
              <w:rPr>
                <w:rFonts w:eastAsia="Calibri" w:cs="Calibri"/>
              </w:rPr>
              <w:t>(</w:t>
            </w:r>
            <w:r w:rsidRPr="00EF137C">
              <w:rPr>
                <w:rFonts w:eastAsia="Calibri" w:cs="Calibri"/>
              </w:rPr>
              <w:t>74</w:t>
            </w:r>
            <w:r w:rsidR="00964CDE">
              <w:rPr>
                <w:rFonts w:eastAsia="Calibri" w:cs="Calibri"/>
              </w:rPr>
              <w:t>–</w:t>
            </w:r>
            <w:r w:rsidRPr="00EF137C">
              <w:rPr>
                <w:rFonts w:eastAsia="Calibri" w:cs="Calibri"/>
              </w:rPr>
              <w:t>84</w:t>
            </w:r>
            <w:r>
              <w:rPr>
                <w:rFonts w:eastAsia="Calibri" w:cs="Calibri"/>
              </w:rPr>
              <w:t>)</w:t>
            </w:r>
          </w:p>
        </w:tc>
      </w:tr>
      <w:tr w:rsidR="00B379E6" w:rsidRPr="00DA3585" w14:paraId="73022E26" w14:textId="77777777" w:rsidTr="00E83C5E">
        <w:tc>
          <w:tcPr>
            <w:tcW w:w="3415" w:type="dxa"/>
          </w:tcPr>
          <w:p w14:paraId="67046932" w14:textId="77777777" w:rsidR="00B379E6" w:rsidRPr="00DA3585" w:rsidRDefault="00B379E6" w:rsidP="00B379E6">
            <w:pPr>
              <w:widowControl w:val="0"/>
              <w:rPr>
                <w:rFonts w:eastAsia="Calibri" w:cs="Calibri"/>
              </w:rPr>
            </w:pPr>
            <w:r w:rsidRPr="00DA3585">
              <w:rPr>
                <w:rFonts w:eastAsia="Calibri" w:cs="Calibri"/>
              </w:rPr>
              <w:t>Gender (male to female)</w:t>
            </w:r>
          </w:p>
        </w:tc>
        <w:tc>
          <w:tcPr>
            <w:tcW w:w="1980" w:type="dxa"/>
          </w:tcPr>
          <w:p w14:paraId="2F448087" w14:textId="390D9729" w:rsidR="00B379E6" w:rsidRPr="00757817" w:rsidRDefault="00B379E6" w:rsidP="00CD3056">
            <w:pPr>
              <w:widowControl w:val="0"/>
              <w:jc w:val="center"/>
              <w:rPr>
                <w:rFonts w:eastAsia="Calibri" w:cs="Calibri"/>
              </w:rPr>
            </w:pPr>
            <w:r w:rsidRPr="00757817">
              <w:rPr>
                <w:rFonts w:eastAsia="Calibri" w:cs="Calibri"/>
              </w:rPr>
              <w:t>1:1</w:t>
            </w:r>
          </w:p>
        </w:tc>
        <w:tc>
          <w:tcPr>
            <w:tcW w:w="2340" w:type="dxa"/>
          </w:tcPr>
          <w:p w14:paraId="72037AF4" w14:textId="3F3E0C98" w:rsidR="00B379E6" w:rsidRPr="00757817" w:rsidRDefault="00B379E6" w:rsidP="00CD3056">
            <w:pPr>
              <w:widowControl w:val="0"/>
              <w:jc w:val="center"/>
              <w:rPr>
                <w:rFonts w:eastAsia="Calibri" w:cs="Calibri"/>
              </w:rPr>
            </w:pPr>
            <w:r w:rsidRPr="00757817">
              <w:rPr>
                <w:rFonts w:eastAsia="Calibri" w:cs="Calibri"/>
              </w:rPr>
              <w:t>1:1</w:t>
            </w:r>
          </w:p>
        </w:tc>
        <w:tc>
          <w:tcPr>
            <w:tcW w:w="2340" w:type="dxa"/>
          </w:tcPr>
          <w:p w14:paraId="0A90E086" w14:textId="53B25AFC" w:rsidR="00B379E6" w:rsidRPr="00757817" w:rsidRDefault="00EF137C" w:rsidP="00CD3056">
            <w:pPr>
              <w:widowControl w:val="0"/>
              <w:jc w:val="center"/>
              <w:rPr>
                <w:rFonts w:eastAsia="Calibri" w:cs="Calibri"/>
              </w:rPr>
            </w:pPr>
            <w:r>
              <w:rPr>
                <w:rFonts w:eastAsia="Calibri" w:cs="Calibri"/>
              </w:rPr>
              <w:t>3:2</w:t>
            </w:r>
          </w:p>
        </w:tc>
      </w:tr>
    </w:tbl>
    <w:p w14:paraId="61456492" w14:textId="77777777" w:rsidR="00777CAA" w:rsidRDefault="00777CAA" w:rsidP="004B14A7">
      <w:bookmarkStart w:id="3" w:name="_Ref525049417"/>
      <w:bookmarkEnd w:id="2"/>
    </w:p>
    <w:p w14:paraId="131FD7B6" w14:textId="713D8C89" w:rsidR="003D5C30" w:rsidRDefault="00B379E6" w:rsidP="004B14A7">
      <w:r w:rsidRPr="008A180D">
        <w:t>The number of cases was highest in the 20–29 years age group</w:t>
      </w:r>
      <w:r w:rsidR="0048755B">
        <w:t>;</w:t>
      </w:r>
      <w:r w:rsidRPr="008A180D">
        <w:t xml:space="preserve"> </w:t>
      </w:r>
      <w:r w:rsidR="0027485A">
        <w:t>a high proportion have</w:t>
      </w:r>
      <w:r w:rsidRPr="008A180D">
        <w:t xml:space="preserve"> reported </w:t>
      </w:r>
      <w:r w:rsidR="00C72FC6">
        <w:t>recent overseas travel history</w:t>
      </w:r>
      <w:r w:rsidRPr="008A180D">
        <w:t xml:space="preserve">. The highest rate of disease was among those in the 60–69 years age group, followed closely by the 70–79 years age group (Figure 5). </w:t>
      </w:r>
      <w:r w:rsidR="003D5C30">
        <w:t xml:space="preserve"> The high rate amongst those in the 60</w:t>
      </w:r>
      <w:r w:rsidR="00964CDE">
        <w:t>–</w:t>
      </w:r>
      <w:r w:rsidR="003D5C30">
        <w:t>69 and 70</w:t>
      </w:r>
      <w:r w:rsidR="00964CDE">
        <w:t>–</w:t>
      </w:r>
      <w:r w:rsidR="003D5C30">
        <w:t>79 years age group may be linked to outbreaks on cruise ships</w:t>
      </w:r>
      <w:r w:rsidR="00964CDE">
        <w:t>,</w:t>
      </w:r>
      <w:r w:rsidR="003D5C30">
        <w:t xml:space="preserve"> with 28.3% of cases in the </w:t>
      </w:r>
      <w:r w:rsidR="003D5C30" w:rsidRPr="008A180D">
        <w:t>60–69 years age group</w:t>
      </w:r>
      <w:r w:rsidR="003D5C30">
        <w:t xml:space="preserve"> and 42.0% in the 70</w:t>
      </w:r>
      <w:r w:rsidR="00964CDE">
        <w:t>–</w:t>
      </w:r>
      <w:r w:rsidR="003D5C30">
        <w:t>79 years age group acquiring their infection at sea.</w:t>
      </w:r>
    </w:p>
    <w:p w14:paraId="2A7D6902" w14:textId="5AC2C502" w:rsidR="00B379E6" w:rsidRPr="00731BF0" w:rsidRDefault="00B379E6" w:rsidP="004B14A7">
      <w:r w:rsidRPr="00731BF0">
        <w:t>Children make up a very small proportion of cases nationally</w:t>
      </w:r>
      <w:r w:rsidR="00964CDE">
        <w:t>,</w:t>
      </w:r>
      <w:r w:rsidRPr="00731BF0">
        <w:t xml:space="preserve"> with 1% </w:t>
      </w:r>
      <w:r w:rsidR="00964CDE">
        <w:t xml:space="preserve">of cases </w:t>
      </w:r>
      <w:r w:rsidRPr="00731BF0">
        <w:t>aged less</w:t>
      </w:r>
      <w:r>
        <w:t xml:space="preserve"> than 10 years and 3% aged 10–19 years. </w:t>
      </w:r>
      <w:r w:rsidR="00964CDE">
        <w:t xml:space="preserve">One hundred and fifty-six </w:t>
      </w:r>
      <w:r w:rsidRPr="00025857">
        <w:t>cases were school</w:t>
      </w:r>
      <w:r w:rsidR="00964CDE">
        <w:t>-</w:t>
      </w:r>
      <w:r w:rsidRPr="00025857">
        <w:t>aged children aged 5</w:t>
      </w:r>
      <w:r w:rsidR="00964CDE">
        <w:t>–</w:t>
      </w:r>
      <w:r w:rsidRPr="00025857">
        <w:t xml:space="preserve">18 years. This is consistent with international studies which suggest that children are not a primary driver of transmission. </w:t>
      </w:r>
    </w:p>
    <w:p w14:paraId="283234A4" w14:textId="14A99CF1" w:rsidR="00B379E6" w:rsidRPr="00025857" w:rsidRDefault="00B379E6" w:rsidP="004B14A7">
      <w:r w:rsidRPr="00731BF0">
        <w:t xml:space="preserve">Notifications by gender were approximately </w:t>
      </w:r>
      <w:r w:rsidRPr="00025857">
        <w:t>equal in most jurisdictions except the ACT and Tas</w:t>
      </w:r>
      <w:r w:rsidR="00964CDE">
        <w:t>mania</w:t>
      </w:r>
      <w:r w:rsidRPr="00025857">
        <w:t>. Among cases reported in the ACT, there were slightly more males than females; among cases reported in Tas</w:t>
      </w:r>
      <w:r w:rsidR="00964CDE">
        <w:t>mania</w:t>
      </w:r>
      <w:r w:rsidRPr="00025857">
        <w:t xml:space="preserve">, there were slightly more females than males. </w:t>
      </w:r>
    </w:p>
    <w:p w14:paraId="291A32EC" w14:textId="1A3A53FB" w:rsidR="00B379E6" w:rsidRDefault="00B379E6" w:rsidP="004B14A7">
      <w:r w:rsidRPr="00025857">
        <w:t>Notifications by gender differed by age group with a higher rate of disease in females in the 20</w:t>
      </w:r>
      <w:r w:rsidR="00964CDE">
        <w:t>–</w:t>
      </w:r>
      <w:r w:rsidRPr="00025857">
        <w:t xml:space="preserve">29 age group and a higher rate of disease in males in those aged over 60. It is unlikely that this disparity reflects differences in underlying </w:t>
      </w:r>
      <w:r w:rsidR="00CD6873" w:rsidRPr="00CD6873">
        <w:t>susceptibility</w:t>
      </w:r>
      <w:r w:rsidR="005D6EB9">
        <w:t xml:space="preserve"> </w:t>
      </w:r>
      <w:r w:rsidRPr="00025857">
        <w:t xml:space="preserve">to COVID-19, instead it is more likely linked to transmission and possibly differences in behavioural patterns. </w:t>
      </w:r>
    </w:p>
    <w:p w14:paraId="5C1C5950" w14:textId="7DB2D372" w:rsidR="002E3240" w:rsidRPr="00731BF0" w:rsidRDefault="002E3240" w:rsidP="002E3240"/>
    <w:p w14:paraId="0659A3DD" w14:textId="77777777" w:rsidR="00645958" w:rsidRDefault="00645958">
      <w:pPr>
        <w:rPr>
          <w:b/>
          <w:szCs w:val="24"/>
        </w:rPr>
      </w:pPr>
      <w:r>
        <w:rPr>
          <w:b/>
          <w:szCs w:val="24"/>
        </w:rPr>
        <w:br w:type="page"/>
      </w:r>
    </w:p>
    <w:p w14:paraId="5678A011" w14:textId="4240CE4A" w:rsidR="00FF766F" w:rsidRPr="00731BF0" w:rsidRDefault="00A25CC8" w:rsidP="004B14A7">
      <w:pPr>
        <w:pStyle w:val="CDIFigures"/>
      </w:pPr>
      <w:r w:rsidRPr="00731BF0">
        <w:lastRenderedPageBreak/>
        <w:t xml:space="preserve">Figure </w:t>
      </w:r>
      <w:r w:rsidR="00681BB2" w:rsidRPr="00731BF0">
        <w:t>4</w:t>
      </w:r>
      <w:r w:rsidR="00FF766F" w:rsidRPr="00731BF0">
        <w:t xml:space="preserve">: </w:t>
      </w:r>
      <w:r w:rsidRPr="00731BF0">
        <w:t>Age distribution of all cases</w:t>
      </w:r>
      <w:r w:rsidR="002A70B8" w:rsidRPr="00731BF0">
        <w:t>,</w:t>
      </w:r>
      <w:r w:rsidRPr="00731BF0">
        <w:t xml:space="preserve"> hospitalised cases,</w:t>
      </w:r>
      <w:r w:rsidR="002A70B8" w:rsidRPr="00731BF0">
        <w:t xml:space="preserve"> and deaths</w:t>
      </w:r>
      <w:r w:rsidRPr="00731BF0">
        <w:t xml:space="preserve"> with median</w:t>
      </w:r>
      <w:r w:rsidR="00521202" w:rsidRPr="00731BF0">
        <w:t>,</w:t>
      </w:r>
      <w:r w:rsidRPr="00731BF0">
        <w:t xml:space="preserve"> interquartile range, and</w:t>
      </w:r>
      <w:r w:rsidR="0047430A">
        <w:t> </w:t>
      </w:r>
      <w:r w:rsidRPr="00731BF0">
        <w:t>range</w:t>
      </w:r>
    </w:p>
    <w:p w14:paraId="6CA18F9A" w14:textId="2D8808D9" w:rsidR="00FF766F" w:rsidRDefault="002001DA" w:rsidP="00FF766F">
      <w:pPr>
        <w:pStyle w:val="CDIFigures"/>
        <w:jc w:val="center"/>
      </w:pPr>
      <w:r>
        <w:rPr>
          <w:noProof/>
        </w:rPr>
        <w:drawing>
          <wp:inline distT="0" distB="0" distL="0" distR="0" wp14:anchorId="75146A54" wp14:editId="169A65E5">
            <wp:extent cx="5857336" cy="3810621"/>
            <wp:effectExtent l="0" t="0" r="0" b="0"/>
            <wp:docPr id="4" name="Picture 4" descr="Stacked column chart showing the age range, median and upper and lower quartile ages of all confirmed cases (range 0–100 years, median = 48 years, interquartile range 30–62 years), of hospitalised cases  (range 0–94 years, median = 60.5 years, interquartile range 42–72 years) and deaths attributed to COVID-19 in Australia (range 60–94 years, median = 79 years, interquartile range 74–84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61892.053883D0"/>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862017" cy="3813666"/>
                    </a:xfrm>
                    <a:prstGeom prst="rect">
                      <a:avLst/>
                    </a:prstGeom>
                    <a:noFill/>
                    <a:ln>
                      <a:noFill/>
                    </a:ln>
                  </pic:spPr>
                </pic:pic>
              </a:graphicData>
            </a:graphic>
          </wp:inline>
        </w:drawing>
      </w:r>
    </w:p>
    <w:p w14:paraId="0D0F0893" w14:textId="032B8557" w:rsidR="00E4281B" w:rsidRPr="004B14A7" w:rsidRDefault="00E4281B" w:rsidP="004B14A7">
      <w:pPr>
        <w:pStyle w:val="CDIFigures"/>
      </w:pPr>
      <w:r w:rsidRPr="004B14A7">
        <w:t>Figur</w:t>
      </w:r>
      <w:r w:rsidR="008D5C3E" w:rsidRPr="004B14A7">
        <w:t xml:space="preserve">e </w:t>
      </w:r>
      <w:r w:rsidR="00681BB2" w:rsidRPr="004B14A7">
        <w:t>5</w:t>
      </w:r>
      <w:r w:rsidR="008D5C3E" w:rsidRPr="004B14A7">
        <w:t xml:space="preserve">: </w:t>
      </w:r>
      <w:r w:rsidRPr="004B14A7">
        <w:t>COVID-19</w:t>
      </w:r>
      <w:r w:rsidR="0062641D" w:rsidRPr="004B14A7">
        <w:t xml:space="preserve"> rates per 100,000</w:t>
      </w:r>
      <w:r w:rsidR="0098734B" w:rsidRPr="004B14A7">
        <w:t xml:space="preserve"> population of all cases notified in</w:t>
      </w:r>
      <w:r w:rsidRPr="004B14A7">
        <w:t xml:space="preserve"> Australia, by age group and </w:t>
      </w:r>
      <w:proofErr w:type="gramStart"/>
      <w:r w:rsidR="006D12F5" w:rsidRPr="004B14A7">
        <w:t>gender</w:t>
      </w:r>
      <w:proofErr w:type="gramEnd"/>
    </w:p>
    <w:p w14:paraId="14C8AC2C" w14:textId="6DA67BF7" w:rsidR="00F85FFE" w:rsidRPr="00911389" w:rsidRDefault="00B379E6" w:rsidP="00911389">
      <w:pPr>
        <w:pStyle w:val="CDIFigures"/>
      </w:pPr>
      <w:r w:rsidRPr="00B379E6">
        <w:rPr>
          <w:noProof/>
        </w:rPr>
        <w:drawing>
          <wp:inline distT="0" distB="0" distL="0" distR="0" wp14:anchorId="5058570E" wp14:editId="034F5C73">
            <wp:extent cx="6271202" cy="4213074"/>
            <wp:effectExtent l="0" t="0" r="0" b="0"/>
            <wp:docPr id="7" name="Picture 7" descr="Bar chart showing age-specific COVID-19 notification rates, in Australia, for males and females. The male:female ratio is approximately 1:1. Reported case rates per 100,000 are highest in the 60–69 ag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271202" cy="4213074"/>
                    </a:xfrm>
                    <a:prstGeom prst="rect">
                      <a:avLst/>
                    </a:prstGeom>
                    <a:noFill/>
                    <a:ln>
                      <a:noFill/>
                    </a:ln>
                  </pic:spPr>
                </pic:pic>
              </a:graphicData>
            </a:graphic>
          </wp:inline>
        </w:drawing>
      </w:r>
    </w:p>
    <w:bookmarkEnd w:id="3"/>
    <w:p w14:paraId="3787FB6E" w14:textId="2BD35483" w:rsidR="00CA537D" w:rsidRPr="008F34C4" w:rsidRDefault="00CA537D" w:rsidP="008F34C4">
      <w:pPr>
        <w:pStyle w:val="Heading2"/>
      </w:pPr>
      <w:r w:rsidRPr="008F34C4">
        <w:lastRenderedPageBreak/>
        <w:t>Source of infection</w:t>
      </w:r>
    </w:p>
    <w:p w14:paraId="76C573A3" w14:textId="57A593A2" w:rsidR="00CA537D" w:rsidRPr="00731BF0" w:rsidRDefault="00CA537D" w:rsidP="004B14A7">
      <w:r>
        <w:t>The</w:t>
      </w:r>
      <w:r w:rsidR="00B13D0E">
        <w:t xml:space="preserve"> incidence</w:t>
      </w:r>
      <w:r>
        <w:t xml:space="preserve"> </w:t>
      </w:r>
      <w:r w:rsidR="00B13D0E">
        <w:t xml:space="preserve">rate </w:t>
      </w:r>
      <w:r>
        <w:t>of</w:t>
      </w:r>
      <w:r w:rsidRPr="00D06D90">
        <w:t xml:space="preserve"> </w:t>
      </w:r>
      <w:r w:rsidRPr="00731BF0">
        <w:t>overseas</w:t>
      </w:r>
      <w:r w:rsidR="00964CDE">
        <w:t>-</w:t>
      </w:r>
      <w:r w:rsidRPr="00731BF0">
        <w:t xml:space="preserve">acquired </w:t>
      </w:r>
      <w:r w:rsidRPr="00D06D90">
        <w:t>COVID-</w:t>
      </w:r>
      <w:r w:rsidRPr="00731BF0">
        <w:t xml:space="preserve">19 cases in Australia </w:t>
      </w:r>
      <w:r>
        <w:t xml:space="preserve">has decreased in the last </w:t>
      </w:r>
      <w:r w:rsidR="00B13D0E">
        <w:t>three weeks</w:t>
      </w:r>
      <w:r w:rsidR="00F9258B">
        <w:t>. T</w:t>
      </w:r>
      <w:r w:rsidR="00B13D0E">
        <w:t xml:space="preserve">he rate of locally acquired cases has also decreased </w:t>
      </w:r>
      <w:r w:rsidR="00B44D76">
        <w:t>(Table 5</w:t>
      </w:r>
      <w:r w:rsidR="00B13D0E">
        <w:t xml:space="preserve">). </w:t>
      </w:r>
    </w:p>
    <w:p w14:paraId="0FF23BC3" w14:textId="77777777" w:rsidR="00CA537D" w:rsidRPr="00731BF0" w:rsidRDefault="00CA537D" w:rsidP="004B14A7">
      <w:r w:rsidRPr="00731BF0">
        <w:t xml:space="preserve">Of cases with a reported place of acquisition, </w:t>
      </w:r>
      <w:r>
        <w:t>64</w:t>
      </w:r>
      <w:r w:rsidRPr="00731BF0">
        <w:t>% had a recent in</w:t>
      </w:r>
      <w:r>
        <w:t>ternational travel history and 25</w:t>
      </w:r>
      <w:r w:rsidRPr="00731BF0">
        <w:t>% were considered to have been locally acquired (Figure 6):</w:t>
      </w:r>
    </w:p>
    <w:p w14:paraId="5AEB71F1" w14:textId="77777777" w:rsidR="00CA537D" w:rsidRPr="00731BF0" w:rsidRDefault="00CA537D" w:rsidP="004B14A7">
      <w:pPr>
        <w:pStyle w:val="ListParagraph"/>
        <w:numPr>
          <w:ilvl w:val="0"/>
          <w:numId w:val="44"/>
        </w:numPr>
      </w:pPr>
      <w:r w:rsidRPr="00731BF0">
        <w:t xml:space="preserve">The majority of overseas-acquired </w:t>
      </w:r>
      <w:r w:rsidRPr="00874AE4">
        <w:t xml:space="preserve">cases continue to report </w:t>
      </w:r>
      <w:r w:rsidRPr="00731BF0">
        <w:t>a travel history to the European Region, the Americas Region or on board cruise ships (Figure 7</w:t>
      </w:r>
      <w:proofErr w:type="gramStart"/>
      <w:r w:rsidRPr="00731BF0">
        <w:t>);</w:t>
      </w:r>
      <w:proofErr w:type="gramEnd"/>
    </w:p>
    <w:p w14:paraId="157F1D0B" w14:textId="77777777" w:rsidR="00CA537D" w:rsidRPr="00731BF0" w:rsidRDefault="00CA537D" w:rsidP="004B14A7">
      <w:pPr>
        <w:pStyle w:val="ListParagraph"/>
        <w:numPr>
          <w:ilvl w:val="0"/>
          <w:numId w:val="44"/>
        </w:numPr>
      </w:pPr>
      <w:r w:rsidRPr="00731BF0">
        <w:t>Of the locally-acquired cases, most were considered to be contacts of a confirmed case, with a very small proportion of cases not able to be epidemiologically linked to a confirmed case; and</w:t>
      </w:r>
    </w:p>
    <w:p w14:paraId="4889F774" w14:textId="77777777" w:rsidR="00CA537D" w:rsidRDefault="00CA537D" w:rsidP="004B14A7">
      <w:pPr>
        <w:pStyle w:val="ListParagraph"/>
        <w:numPr>
          <w:ilvl w:val="0"/>
          <w:numId w:val="44"/>
        </w:numPr>
      </w:pPr>
      <w:r w:rsidRPr="00731BF0">
        <w:t xml:space="preserve">Cases where a place of acquisition has not been reported </w:t>
      </w:r>
      <w:r>
        <w:t>(0.9</w:t>
      </w:r>
      <w:r w:rsidRPr="00731BF0">
        <w:t xml:space="preserve">%) are currently under public health investigation. </w:t>
      </w:r>
    </w:p>
    <w:p w14:paraId="6FE6E96A" w14:textId="57621C29" w:rsidR="00CA537D" w:rsidRPr="004B14A7" w:rsidRDefault="00CA537D" w:rsidP="004B14A7">
      <w:pPr>
        <w:pStyle w:val="CDIFigures"/>
      </w:pPr>
      <w:r w:rsidRPr="004B14A7">
        <w:t xml:space="preserve">Table </w:t>
      </w:r>
      <w:r w:rsidR="00161059" w:rsidRPr="004B14A7">
        <w:t>5</w:t>
      </w:r>
      <w:r w:rsidRPr="004B14A7">
        <w:t xml:space="preserve">: </w:t>
      </w:r>
      <w:r w:rsidR="00B13D0E" w:rsidRPr="004B14A7">
        <w:t>Rate</w:t>
      </w:r>
      <w:r w:rsidRPr="004B14A7">
        <w:t xml:space="preserve"> of weekly confirmed cases by date of illness </w:t>
      </w:r>
      <w:proofErr w:type="spellStart"/>
      <w:r w:rsidRPr="004B14A7">
        <w:t>onset</w:t>
      </w:r>
      <w:r w:rsidRPr="008F34C4">
        <w:rPr>
          <w:vertAlign w:val="superscript"/>
        </w:rPr>
        <w:t>a</w:t>
      </w:r>
      <w:proofErr w:type="spellEnd"/>
      <w:r w:rsidRPr="004B14A7">
        <w:t xml:space="preserve"> and place of acquisition, Australia, 23 March to 19 April 2020</w:t>
      </w:r>
    </w:p>
    <w:tbl>
      <w:tblPr>
        <w:tblStyle w:val="CDI-StandardTable"/>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57" w:type="dxa"/>
          <w:left w:w="57" w:type="dxa"/>
          <w:bottom w:w="57" w:type="dxa"/>
          <w:right w:w="57" w:type="dxa"/>
        </w:tblCellMar>
        <w:tblLook w:val="04A0" w:firstRow="1" w:lastRow="0" w:firstColumn="1" w:lastColumn="0" w:noHBand="0" w:noVBand="1"/>
        <w:tblDescription w:val="Table 5 shows the rate of weekly confirmed cases for the current reporting week as well as for the three preceding weeks, by place of acquisition Most cases have been overseas acquired rather than locally acquired; both overseas and local acquisitions have broadly diminished in rate in successive reporting weeks.&#10;"/>
      </w:tblPr>
      <w:tblGrid>
        <w:gridCol w:w="2122"/>
        <w:gridCol w:w="1325"/>
        <w:gridCol w:w="1786"/>
        <w:gridCol w:w="1867"/>
        <w:gridCol w:w="2975"/>
      </w:tblGrid>
      <w:tr w:rsidR="00B13D0E" w:rsidRPr="008F34C4" w14:paraId="59A8F181" w14:textId="77777777" w:rsidTr="008F34C4">
        <w:trPr>
          <w:cnfStyle w:val="100000000000" w:firstRow="1" w:lastRow="0" w:firstColumn="0" w:lastColumn="0" w:oddVBand="0" w:evenVBand="0" w:oddHBand="0" w:evenHBand="0" w:firstRowFirstColumn="0" w:firstRowLastColumn="0" w:lastRowFirstColumn="0" w:lastRowLastColumn="0"/>
          <w:tblHeader/>
        </w:trPr>
        <w:tc>
          <w:tcPr>
            <w:tcW w:w="2122" w:type="dxa"/>
          </w:tcPr>
          <w:p w14:paraId="61394D6B" w14:textId="77777777" w:rsidR="00B13D0E" w:rsidRPr="008F34C4" w:rsidRDefault="00B13D0E">
            <w:pPr>
              <w:pStyle w:val="NormalWeb"/>
              <w:rPr>
                <w:rFonts w:ascii="Arial" w:hAnsi="Arial" w:cs="Arial"/>
                <w:bCs/>
                <w:color w:val="FFFFFF"/>
                <w:sz w:val="18"/>
                <w:szCs w:val="18"/>
              </w:rPr>
            </w:pPr>
          </w:p>
        </w:tc>
        <w:tc>
          <w:tcPr>
            <w:tcW w:w="7953" w:type="dxa"/>
            <w:gridSpan w:val="4"/>
            <w:hideMark/>
          </w:tcPr>
          <w:p w14:paraId="6E5BFA94" w14:textId="29AF4CDC" w:rsidR="00B13D0E" w:rsidRPr="008F34C4" w:rsidRDefault="00B13D0E" w:rsidP="00F9258B">
            <w:pPr>
              <w:pStyle w:val="NormalWeb"/>
              <w:jc w:val="center"/>
              <w:rPr>
                <w:rFonts w:ascii="Arial" w:hAnsi="Arial" w:cs="Arial"/>
                <w:bCs/>
                <w:color w:val="FFFFFF"/>
                <w:sz w:val="18"/>
                <w:szCs w:val="18"/>
              </w:rPr>
            </w:pPr>
            <w:r w:rsidRPr="008F34C4">
              <w:rPr>
                <w:rFonts w:ascii="Arial" w:hAnsi="Arial" w:cs="Arial"/>
                <w:bCs/>
                <w:color w:val="FFFFFF"/>
                <w:sz w:val="18"/>
                <w:szCs w:val="18"/>
              </w:rPr>
              <w:t xml:space="preserve">Place of acquisition </w:t>
            </w:r>
            <w:r w:rsidR="00F9258B" w:rsidRPr="008F34C4">
              <w:rPr>
                <w:rFonts w:ascii="Arial" w:hAnsi="Arial" w:cs="Arial"/>
                <w:bCs/>
                <w:color w:val="FFFFFF"/>
                <w:sz w:val="18"/>
                <w:szCs w:val="18"/>
              </w:rPr>
              <w:t xml:space="preserve">– </w:t>
            </w:r>
            <w:r w:rsidRPr="008F34C4">
              <w:rPr>
                <w:rFonts w:ascii="Arial" w:hAnsi="Arial" w:cs="Arial"/>
                <w:bCs/>
                <w:color w:val="FFFFFF"/>
                <w:sz w:val="18"/>
                <w:szCs w:val="18"/>
              </w:rPr>
              <w:t>rate (per 100,000 population)</w:t>
            </w:r>
          </w:p>
        </w:tc>
      </w:tr>
      <w:tr w:rsidR="00B13D0E" w:rsidRPr="008F34C4" w14:paraId="1F4D2F78" w14:textId="77777777" w:rsidTr="008F34C4">
        <w:trPr>
          <w:cnfStyle w:val="100000000000" w:firstRow="1" w:lastRow="0" w:firstColumn="0" w:lastColumn="0" w:oddVBand="0" w:evenVBand="0" w:oddHBand="0" w:evenHBand="0" w:firstRowFirstColumn="0" w:firstRowLastColumn="0" w:lastRowFirstColumn="0" w:lastRowLastColumn="0"/>
          <w:tblHeader/>
        </w:trPr>
        <w:tc>
          <w:tcPr>
            <w:tcW w:w="2122" w:type="dxa"/>
            <w:hideMark/>
          </w:tcPr>
          <w:p w14:paraId="4145D7E0" w14:textId="77777777" w:rsidR="00B13D0E" w:rsidRPr="008F34C4" w:rsidRDefault="00B13D0E">
            <w:pPr>
              <w:pStyle w:val="NormalWeb"/>
              <w:rPr>
                <w:rFonts w:ascii="Arial" w:hAnsi="Arial" w:cs="Arial"/>
                <w:bCs/>
                <w:color w:val="FFFFFF"/>
                <w:sz w:val="18"/>
                <w:szCs w:val="18"/>
              </w:rPr>
            </w:pPr>
            <w:r w:rsidRPr="008F34C4">
              <w:rPr>
                <w:rFonts w:ascii="Arial" w:hAnsi="Arial" w:cs="Arial"/>
                <w:bCs/>
                <w:color w:val="FFFFFF"/>
                <w:sz w:val="18"/>
                <w:szCs w:val="18"/>
              </w:rPr>
              <w:t xml:space="preserve">Date of illness </w:t>
            </w:r>
            <w:proofErr w:type="spellStart"/>
            <w:r w:rsidRPr="008F34C4">
              <w:rPr>
                <w:rFonts w:ascii="Arial" w:hAnsi="Arial" w:cs="Arial"/>
                <w:bCs/>
                <w:color w:val="FFFFFF"/>
                <w:sz w:val="18"/>
                <w:szCs w:val="18"/>
              </w:rPr>
              <w:t>onset</w:t>
            </w:r>
            <w:r w:rsidRPr="008F34C4">
              <w:rPr>
                <w:rFonts w:ascii="Arial" w:hAnsi="Arial" w:cs="Arial"/>
                <w:bCs/>
                <w:color w:val="FFFFFF"/>
                <w:sz w:val="18"/>
                <w:szCs w:val="18"/>
                <w:vertAlign w:val="superscript"/>
              </w:rPr>
              <w:t>a</w:t>
            </w:r>
            <w:proofErr w:type="spellEnd"/>
          </w:p>
        </w:tc>
        <w:tc>
          <w:tcPr>
            <w:tcW w:w="1325" w:type="dxa"/>
            <w:hideMark/>
          </w:tcPr>
          <w:p w14:paraId="2F778970" w14:textId="77777777" w:rsidR="00B13D0E" w:rsidRPr="008F34C4" w:rsidRDefault="00B13D0E">
            <w:pPr>
              <w:pStyle w:val="NormalWeb"/>
              <w:jc w:val="center"/>
              <w:rPr>
                <w:rFonts w:ascii="Arial" w:hAnsi="Arial" w:cs="Arial"/>
                <w:bCs/>
                <w:color w:val="FFFFFF"/>
                <w:sz w:val="18"/>
                <w:szCs w:val="18"/>
              </w:rPr>
            </w:pPr>
            <w:r w:rsidRPr="008F34C4">
              <w:rPr>
                <w:rFonts w:ascii="Arial" w:hAnsi="Arial" w:cs="Arial"/>
                <w:bCs/>
                <w:color w:val="FFFFFF"/>
                <w:sz w:val="18"/>
                <w:szCs w:val="18"/>
              </w:rPr>
              <w:t>Overseas acquired</w:t>
            </w:r>
          </w:p>
        </w:tc>
        <w:tc>
          <w:tcPr>
            <w:tcW w:w="1786" w:type="dxa"/>
            <w:hideMark/>
          </w:tcPr>
          <w:p w14:paraId="17E05818" w14:textId="77777777" w:rsidR="00B13D0E" w:rsidRPr="008F34C4" w:rsidRDefault="00B13D0E">
            <w:pPr>
              <w:pStyle w:val="NormalWeb"/>
              <w:jc w:val="center"/>
              <w:rPr>
                <w:rFonts w:ascii="Arial" w:hAnsi="Arial" w:cs="Arial"/>
                <w:bCs/>
                <w:color w:val="FFFFFF"/>
                <w:sz w:val="18"/>
                <w:szCs w:val="18"/>
              </w:rPr>
            </w:pPr>
            <w:r w:rsidRPr="008F34C4">
              <w:rPr>
                <w:rFonts w:ascii="Arial" w:hAnsi="Arial" w:cs="Arial"/>
                <w:bCs/>
                <w:color w:val="FFFFFF"/>
                <w:sz w:val="18"/>
                <w:szCs w:val="18"/>
              </w:rPr>
              <w:t>Locally acquired-close contact of a confirmed case</w:t>
            </w:r>
          </w:p>
        </w:tc>
        <w:tc>
          <w:tcPr>
            <w:tcW w:w="1867" w:type="dxa"/>
            <w:hideMark/>
          </w:tcPr>
          <w:p w14:paraId="14A0525C" w14:textId="77777777" w:rsidR="00B13D0E" w:rsidRPr="008F34C4" w:rsidRDefault="00B13D0E">
            <w:pPr>
              <w:pStyle w:val="NormalWeb"/>
              <w:jc w:val="center"/>
              <w:rPr>
                <w:rFonts w:ascii="Arial" w:hAnsi="Arial" w:cs="Arial"/>
                <w:bCs/>
                <w:color w:val="FFFFFF"/>
                <w:sz w:val="18"/>
                <w:szCs w:val="18"/>
              </w:rPr>
            </w:pPr>
            <w:r w:rsidRPr="008F34C4">
              <w:rPr>
                <w:rFonts w:ascii="Arial" w:hAnsi="Arial" w:cs="Arial"/>
                <w:bCs/>
                <w:color w:val="FFFFFF"/>
                <w:sz w:val="18"/>
                <w:szCs w:val="18"/>
              </w:rPr>
              <w:t>Locally acquired, not epi linked</w:t>
            </w:r>
          </w:p>
        </w:tc>
        <w:tc>
          <w:tcPr>
            <w:tcW w:w="2975" w:type="dxa"/>
            <w:hideMark/>
          </w:tcPr>
          <w:p w14:paraId="65844B64" w14:textId="77777777" w:rsidR="00B13D0E" w:rsidRPr="008F34C4" w:rsidRDefault="00B13D0E">
            <w:pPr>
              <w:pStyle w:val="NormalWeb"/>
              <w:jc w:val="center"/>
              <w:rPr>
                <w:rFonts w:ascii="Arial" w:hAnsi="Arial" w:cs="Arial"/>
                <w:bCs/>
                <w:color w:val="FFFFFF"/>
                <w:sz w:val="18"/>
                <w:szCs w:val="18"/>
              </w:rPr>
            </w:pPr>
            <w:r w:rsidRPr="008F34C4">
              <w:rPr>
                <w:rFonts w:ascii="Arial" w:hAnsi="Arial" w:cs="Arial"/>
                <w:bCs/>
                <w:color w:val="FFFFFF"/>
                <w:sz w:val="18"/>
                <w:szCs w:val="18"/>
              </w:rPr>
              <w:t>Under investigation</w:t>
            </w:r>
          </w:p>
        </w:tc>
      </w:tr>
      <w:tr w:rsidR="00B13D0E" w14:paraId="60577FA8" w14:textId="77777777" w:rsidTr="008F34C4">
        <w:tc>
          <w:tcPr>
            <w:tcW w:w="2122" w:type="dxa"/>
            <w:hideMark/>
          </w:tcPr>
          <w:p w14:paraId="6F22D6E6" w14:textId="227F3930" w:rsidR="00B13D0E" w:rsidRDefault="00B13D0E" w:rsidP="00F9258B">
            <w:pPr>
              <w:pStyle w:val="NormalWeb"/>
              <w:rPr>
                <w:rFonts w:ascii="Arial" w:hAnsi="Arial" w:cs="Arial"/>
                <w:sz w:val="18"/>
                <w:szCs w:val="18"/>
              </w:rPr>
            </w:pPr>
            <w:r>
              <w:rPr>
                <w:rFonts w:ascii="Arial" w:hAnsi="Arial" w:cs="Arial"/>
                <w:sz w:val="18"/>
                <w:szCs w:val="18"/>
              </w:rPr>
              <w:t>23–29 Mar</w:t>
            </w:r>
            <w:r w:rsidR="00F9258B">
              <w:rPr>
                <w:rFonts w:ascii="Arial" w:hAnsi="Arial" w:cs="Arial"/>
                <w:sz w:val="18"/>
                <w:szCs w:val="18"/>
              </w:rPr>
              <w:t>ch</w:t>
            </w:r>
          </w:p>
        </w:tc>
        <w:tc>
          <w:tcPr>
            <w:tcW w:w="1325" w:type="dxa"/>
            <w:hideMark/>
          </w:tcPr>
          <w:p w14:paraId="269B1A43" w14:textId="77777777" w:rsidR="00B13D0E" w:rsidRDefault="00B13D0E">
            <w:pPr>
              <w:pStyle w:val="NormalWeb"/>
              <w:jc w:val="center"/>
              <w:rPr>
                <w:rFonts w:ascii="Arial" w:hAnsi="Arial" w:cs="Arial"/>
                <w:sz w:val="18"/>
                <w:szCs w:val="18"/>
              </w:rPr>
            </w:pPr>
            <w:r>
              <w:rPr>
                <w:rFonts w:ascii="Arial" w:hAnsi="Arial" w:cs="Arial"/>
                <w:sz w:val="18"/>
                <w:szCs w:val="18"/>
              </w:rPr>
              <w:t>3.6</w:t>
            </w:r>
          </w:p>
        </w:tc>
        <w:tc>
          <w:tcPr>
            <w:tcW w:w="1786" w:type="dxa"/>
            <w:hideMark/>
          </w:tcPr>
          <w:p w14:paraId="274B349D" w14:textId="77777777" w:rsidR="00B13D0E" w:rsidRDefault="00B13D0E">
            <w:pPr>
              <w:pStyle w:val="NormalWeb"/>
              <w:jc w:val="center"/>
              <w:rPr>
                <w:rFonts w:ascii="Arial" w:hAnsi="Arial" w:cs="Arial"/>
                <w:sz w:val="18"/>
                <w:szCs w:val="18"/>
              </w:rPr>
            </w:pPr>
            <w:r>
              <w:rPr>
                <w:rFonts w:ascii="Arial" w:hAnsi="Arial" w:cs="Arial"/>
                <w:sz w:val="18"/>
                <w:szCs w:val="18"/>
              </w:rPr>
              <w:t>1.8</w:t>
            </w:r>
          </w:p>
        </w:tc>
        <w:tc>
          <w:tcPr>
            <w:tcW w:w="1867" w:type="dxa"/>
            <w:hideMark/>
          </w:tcPr>
          <w:p w14:paraId="0B2E2E53" w14:textId="20D84485" w:rsidR="00B13D0E" w:rsidRDefault="0027485A">
            <w:pPr>
              <w:pStyle w:val="NormalWeb"/>
              <w:jc w:val="center"/>
              <w:rPr>
                <w:rFonts w:ascii="Arial" w:hAnsi="Arial" w:cs="Arial"/>
                <w:sz w:val="18"/>
                <w:szCs w:val="18"/>
              </w:rPr>
            </w:pPr>
            <w:r>
              <w:rPr>
                <w:rFonts w:ascii="Arial" w:hAnsi="Arial" w:cs="Arial"/>
                <w:sz w:val="18"/>
                <w:szCs w:val="18"/>
              </w:rPr>
              <w:t>&lt;</w:t>
            </w:r>
            <w:r w:rsidR="00B13D0E">
              <w:rPr>
                <w:rFonts w:ascii="Arial" w:hAnsi="Arial" w:cs="Arial"/>
                <w:sz w:val="18"/>
                <w:szCs w:val="18"/>
              </w:rPr>
              <w:t>0.1</w:t>
            </w:r>
          </w:p>
        </w:tc>
        <w:tc>
          <w:tcPr>
            <w:tcW w:w="2975" w:type="dxa"/>
            <w:hideMark/>
          </w:tcPr>
          <w:p w14:paraId="05B3DDFA" w14:textId="77777777" w:rsidR="00B13D0E" w:rsidRDefault="00B13D0E">
            <w:pPr>
              <w:pStyle w:val="NormalWeb"/>
              <w:jc w:val="center"/>
              <w:rPr>
                <w:rFonts w:ascii="Arial" w:hAnsi="Arial" w:cs="Arial"/>
                <w:sz w:val="18"/>
                <w:szCs w:val="18"/>
              </w:rPr>
            </w:pPr>
            <w:r>
              <w:rPr>
                <w:rFonts w:ascii="Arial" w:hAnsi="Arial" w:cs="Arial"/>
                <w:sz w:val="18"/>
                <w:szCs w:val="18"/>
              </w:rPr>
              <w:t>1.5</w:t>
            </w:r>
          </w:p>
        </w:tc>
      </w:tr>
      <w:tr w:rsidR="00B13D0E" w14:paraId="6CE6E43A" w14:textId="77777777" w:rsidTr="008F34C4">
        <w:trPr>
          <w:cnfStyle w:val="000000010000" w:firstRow="0" w:lastRow="0" w:firstColumn="0" w:lastColumn="0" w:oddVBand="0" w:evenVBand="0" w:oddHBand="0" w:evenHBand="1" w:firstRowFirstColumn="0" w:firstRowLastColumn="0" w:lastRowFirstColumn="0" w:lastRowLastColumn="0"/>
        </w:trPr>
        <w:tc>
          <w:tcPr>
            <w:tcW w:w="2122" w:type="dxa"/>
            <w:hideMark/>
          </w:tcPr>
          <w:p w14:paraId="17C946F2" w14:textId="3E776A87" w:rsidR="00B13D0E" w:rsidRDefault="00B13D0E" w:rsidP="00F9258B">
            <w:pPr>
              <w:pStyle w:val="NormalWeb"/>
              <w:rPr>
                <w:rFonts w:ascii="Arial" w:hAnsi="Arial" w:cs="Arial"/>
                <w:sz w:val="18"/>
                <w:szCs w:val="18"/>
              </w:rPr>
            </w:pPr>
            <w:r>
              <w:rPr>
                <w:rFonts w:ascii="Arial" w:hAnsi="Arial" w:cs="Arial"/>
                <w:sz w:val="18"/>
                <w:szCs w:val="18"/>
              </w:rPr>
              <w:t>30 Mar</w:t>
            </w:r>
            <w:r w:rsidR="00F9258B">
              <w:rPr>
                <w:rFonts w:ascii="Arial" w:hAnsi="Arial" w:cs="Arial"/>
                <w:sz w:val="18"/>
                <w:szCs w:val="18"/>
              </w:rPr>
              <w:t>ch</w:t>
            </w:r>
            <w:r>
              <w:rPr>
                <w:rFonts w:ascii="Arial" w:hAnsi="Arial" w:cs="Arial"/>
                <w:sz w:val="18"/>
                <w:szCs w:val="18"/>
              </w:rPr>
              <w:t xml:space="preserve"> </w:t>
            </w:r>
            <w:r w:rsidR="00F9258B">
              <w:rPr>
                <w:rFonts w:ascii="Arial" w:hAnsi="Arial" w:cs="Arial"/>
                <w:sz w:val="18"/>
                <w:szCs w:val="18"/>
              </w:rPr>
              <w:t xml:space="preserve">– </w:t>
            </w:r>
            <w:r>
              <w:rPr>
                <w:rFonts w:ascii="Arial" w:hAnsi="Arial" w:cs="Arial"/>
                <w:sz w:val="18"/>
                <w:szCs w:val="18"/>
              </w:rPr>
              <w:t>5 Apr</w:t>
            </w:r>
            <w:r w:rsidR="00F9258B">
              <w:rPr>
                <w:rFonts w:ascii="Arial" w:hAnsi="Arial" w:cs="Arial"/>
                <w:sz w:val="18"/>
                <w:szCs w:val="18"/>
              </w:rPr>
              <w:t>il</w:t>
            </w:r>
          </w:p>
        </w:tc>
        <w:tc>
          <w:tcPr>
            <w:tcW w:w="1325" w:type="dxa"/>
            <w:hideMark/>
          </w:tcPr>
          <w:p w14:paraId="1FB36F82" w14:textId="77777777" w:rsidR="00B13D0E" w:rsidRDefault="00B13D0E">
            <w:pPr>
              <w:pStyle w:val="NormalWeb"/>
              <w:jc w:val="center"/>
              <w:rPr>
                <w:rFonts w:ascii="Arial" w:hAnsi="Arial" w:cs="Arial"/>
                <w:sz w:val="18"/>
                <w:szCs w:val="18"/>
              </w:rPr>
            </w:pPr>
            <w:r>
              <w:rPr>
                <w:rFonts w:ascii="Arial" w:hAnsi="Arial" w:cs="Arial"/>
                <w:sz w:val="18"/>
                <w:szCs w:val="18"/>
              </w:rPr>
              <w:t>0.9</w:t>
            </w:r>
          </w:p>
        </w:tc>
        <w:tc>
          <w:tcPr>
            <w:tcW w:w="1786" w:type="dxa"/>
            <w:hideMark/>
          </w:tcPr>
          <w:p w14:paraId="41C98D8B" w14:textId="77777777" w:rsidR="00B13D0E" w:rsidRDefault="00B13D0E">
            <w:pPr>
              <w:pStyle w:val="NormalWeb"/>
              <w:jc w:val="center"/>
              <w:rPr>
                <w:rFonts w:ascii="Arial" w:hAnsi="Arial" w:cs="Arial"/>
                <w:sz w:val="18"/>
                <w:szCs w:val="18"/>
              </w:rPr>
            </w:pPr>
            <w:r>
              <w:rPr>
                <w:rFonts w:ascii="Arial" w:hAnsi="Arial" w:cs="Arial"/>
                <w:sz w:val="18"/>
                <w:szCs w:val="18"/>
              </w:rPr>
              <w:t>0.8</w:t>
            </w:r>
          </w:p>
        </w:tc>
        <w:tc>
          <w:tcPr>
            <w:tcW w:w="1867" w:type="dxa"/>
            <w:hideMark/>
          </w:tcPr>
          <w:p w14:paraId="6C47D3A0" w14:textId="25016613" w:rsidR="00B13D0E" w:rsidRDefault="00B13D0E" w:rsidP="00B13D0E">
            <w:pPr>
              <w:pStyle w:val="NormalWeb"/>
              <w:jc w:val="center"/>
              <w:rPr>
                <w:rFonts w:ascii="Arial" w:hAnsi="Arial" w:cs="Arial"/>
                <w:sz w:val="18"/>
                <w:szCs w:val="18"/>
              </w:rPr>
            </w:pPr>
            <w:r>
              <w:rPr>
                <w:rFonts w:ascii="Arial" w:hAnsi="Arial" w:cs="Arial"/>
                <w:sz w:val="18"/>
                <w:szCs w:val="18"/>
              </w:rPr>
              <w:t>&lt;</w:t>
            </w:r>
            <w:r w:rsidR="00C7076B">
              <w:rPr>
                <w:rFonts w:ascii="Arial" w:hAnsi="Arial" w:cs="Arial"/>
                <w:sz w:val="18"/>
                <w:szCs w:val="18"/>
              </w:rPr>
              <w:t xml:space="preserve"> </w:t>
            </w:r>
            <w:r>
              <w:rPr>
                <w:rFonts w:ascii="Arial" w:hAnsi="Arial" w:cs="Arial"/>
                <w:sz w:val="18"/>
                <w:szCs w:val="18"/>
              </w:rPr>
              <w:t>0.1</w:t>
            </w:r>
          </w:p>
        </w:tc>
        <w:tc>
          <w:tcPr>
            <w:tcW w:w="2975" w:type="dxa"/>
            <w:hideMark/>
          </w:tcPr>
          <w:p w14:paraId="1A8EA1EE" w14:textId="77777777" w:rsidR="00B13D0E" w:rsidRDefault="00B13D0E">
            <w:pPr>
              <w:pStyle w:val="NormalWeb"/>
              <w:jc w:val="center"/>
              <w:rPr>
                <w:rFonts w:ascii="Arial" w:hAnsi="Arial" w:cs="Arial"/>
                <w:sz w:val="18"/>
                <w:szCs w:val="18"/>
              </w:rPr>
            </w:pPr>
            <w:r>
              <w:rPr>
                <w:rFonts w:ascii="Arial" w:hAnsi="Arial" w:cs="Arial"/>
                <w:sz w:val="18"/>
                <w:szCs w:val="18"/>
              </w:rPr>
              <w:t>0.7</w:t>
            </w:r>
          </w:p>
        </w:tc>
      </w:tr>
      <w:tr w:rsidR="00B13D0E" w14:paraId="0D8C7BC8" w14:textId="77777777" w:rsidTr="008F34C4">
        <w:tc>
          <w:tcPr>
            <w:tcW w:w="2122" w:type="dxa"/>
            <w:hideMark/>
          </w:tcPr>
          <w:p w14:paraId="70CE6AD2" w14:textId="5DEEFDD1" w:rsidR="00B13D0E" w:rsidRDefault="00B13D0E" w:rsidP="00F9258B">
            <w:pPr>
              <w:pStyle w:val="NormalWeb"/>
              <w:rPr>
                <w:rFonts w:ascii="Arial" w:hAnsi="Arial" w:cs="Arial"/>
                <w:sz w:val="18"/>
                <w:szCs w:val="18"/>
              </w:rPr>
            </w:pPr>
            <w:r>
              <w:rPr>
                <w:rFonts w:ascii="Arial" w:hAnsi="Arial" w:cs="Arial"/>
                <w:sz w:val="18"/>
                <w:szCs w:val="18"/>
              </w:rPr>
              <w:t>6</w:t>
            </w:r>
            <w:r w:rsidR="00F9258B">
              <w:rPr>
                <w:rFonts w:ascii="Arial" w:hAnsi="Arial" w:cs="Arial"/>
                <w:sz w:val="18"/>
                <w:szCs w:val="18"/>
              </w:rPr>
              <w:t>–</w:t>
            </w:r>
            <w:r>
              <w:rPr>
                <w:rFonts w:ascii="Arial" w:hAnsi="Arial" w:cs="Arial"/>
                <w:sz w:val="18"/>
                <w:szCs w:val="18"/>
              </w:rPr>
              <w:t>12 Apr</w:t>
            </w:r>
            <w:r w:rsidR="00F9258B">
              <w:rPr>
                <w:rFonts w:ascii="Arial" w:hAnsi="Arial" w:cs="Arial"/>
                <w:sz w:val="18"/>
                <w:szCs w:val="18"/>
              </w:rPr>
              <w:t>il</w:t>
            </w:r>
          </w:p>
        </w:tc>
        <w:tc>
          <w:tcPr>
            <w:tcW w:w="1325" w:type="dxa"/>
            <w:hideMark/>
          </w:tcPr>
          <w:p w14:paraId="39E4EDE7" w14:textId="00C831E0" w:rsidR="00B13D0E" w:rsidRDefault="00B13D0E">
            <w:pPr>
              <w:pStyle w:val="NormalWeb"/>
              <w:jc w:val="center"/>
              <w:rPr>
                <w:rFonts w:ascii="Arial" w:hAnsi="Arial" w:cs="Arial"/>
                <w:sz w:val="18"/>
                <w:szCs w:val="18"/>
              </w:rPr>
            </w:pPr>
            <w:r>
              <w:rPr>
                <w:rFonts w:ascii="Arial" w:hAnsi="Arial" w:cs="Arial"/>
                <w:sz w:val="18"/>
                <w:szCs w:val="18"/>
              </w:rPr>
              <w:t>0.</w:t>
            </w:r>
            <w:r w:rsidR="0027485A">
              <w:rPr>
                <w:rFonts w:ascii="Arial" w:hAnsi="Arial" w:cs="Arial"/>
                <w:sz w:val="18"/>
                <w:szCs w:val="18"/>
              </w:rPr>
              <w:t>4</w:t>
            </w:r>
          </w:p>
        </w:tc>
        <w:tc>
          <w:tcPr>
            <w:tcW w:w="1786" w:type="dxa"/>
            <w:hideMark/>
          </w:tcPr>
          <w:p w14:paraId="1E879B40" w14:textId="77777777" w:rsidR="00B13D0E" w:rsidRDefault="00B13D0E">
            <w:pPr>
              <w:pStyle w:val="NormalWeb"/>
              <w:jc w:val="center"/>
              <w:rPr>
                <w:rFonts w:ascii="Arial" w:hAnsi="Arial" w:cs="Arial"/>
                <w:sz w:val="18"/>
                <w:szCs w:val="18"/>
              </w:rPr>
            </w:pPr>
            <w:r>
              <w:rPr>
                <w:rFonts w:ascii="Arial" w:hAnsi="Arial" w:cs="Arial"/>
                <w:sz w:val="18"/>
                <w:szCs w:val="18"/>
              </w:rPr>
              <w:t>0.5</w:t>
            </w:r>
          </w:p>
        </w:tc>
        <w:tc>
          <w:tcPr>
            <w:tcW w:w="1867" w:type="dxa"/>
            <w:hideMark/>
          </w:tcPr>
          <w:p w14:paraId="535BA20B" w14:textId="303AAF9F" w:rsidR="00B13D0E" w:rsidRDefault="00B13D0E">
            <w:pPr>
              <w:pStyle w:val="NormalWeb"/>
              <w:jc w:val="center"/>
              <w:rPr>
                <w:rFonts w:ascii="Arial" w:hAnsi="Arial" w:cs="Arial"/>
                <w:sz w:val="18"/>
                <w:szCs w:val="18"/>
              </w:rPr>
            </w:pPr>
            <w:r>
              <w:rPr>
                <w:rFonts w:ascii="Arial" w:hAnsi="Arial" w:cs="Arial"/>
                <w:sz w:val="18"/>
                <w:szCs w:val="18"/>
              </w:rPr>
              <w:t>&lt;</w:t>
            </w:r>
            <w:r w:rsidR="00C7076B">
              <w:rPr>
                <w:rFonts w:ascii="Arial" w:hAnsi="Arial" w:cs="Arial"/>
                <w:sz w:val="18"/>
                <w:szCs w:val="18"/>
              </w:rPr>
              <w:t xml:space="preserve"> </w:t>
            </w:r>
            <w:r>
              <w:rPr>
                <w:rFonts w:ascii="Arial" w:hAnsi="Arial" w:cs="Arial"/>
                <w:sz w:val="18"/>
                <w:szCs w:val="18"/>
              </w:rPr>
              <w:t>0.1</w:t>
            </w:r>
          </w:p>
        </w:tc>
        <w:tc>
          <w:tcPr>
            <w:tcW w:w="2975" w:type="dxa"/>
            <w:hideMark/>
          </w:tcPr>
          <w:p w14:paraId="7D6457E2" w14:textId="77777777" w:rsidR="00B13D0E" w:rsidRDefault="00B13D0E">
            <w:pPr>
              <w:pStyle w:val="NormalWeb"/>
              <w:jc w:val="center"/>
              <w:rPr>
                <w:rFonts w:ascii="Arial" w:hAnsi="Arial" w:cs="Arial"/>
                <w:sz w:val="18"/>
                <w:szCs w:val="18"/>
              </w:rPr>
            </w:pPr>
            <w:r>
              <w:rPr>
                <w:rFonts w:ascii="Arial" w:hAnsi="Arial" w:cs="Arial"/>
                <w:sz w:val="18"/>
                <w:szCs w:val="18"/>
              </w:rPr>
              <w:t>0.2</w:t>
            </w:r>
          </w:p>
        </w:tc>
      </w:tr>
      <w:tr w:rsidR="00B13D0E" w14:paraId="1A936FDA" w14:textId="77777777" w:rsidTr="008F34C4">
        <w:trPr>
          <w:cnfStyle w:val="000000010000" w:firstRow="0" w:lastRow="0" w:firstColumn="0" w:lastColumn="0" w:oddVBand="0" w:evenVBand="0" w:oddHBand="0" w:evenHBand="1" w:firstRowFirstColumn="0" w:firstRowLastColumn="0" w:lastRowFirstColumn="0" w:lastRowLastColumn="0"/>
        </w:trPr>
        <w:tc>
          <w:tcPr>
            <w:tcW w:w="2122" w:type="dxa"/>
            <w:hideMark/>
          </w:tcPr>
          <w:p w14:paraId="617552BD" w14:textId="2C9A3FE4" w:rsidR="00B13D0E" w:rsidRDefault="00B13D0E" w:rsidP="00F9258B">
            <w:pPr>
              <w:pStyle w:val="NormalWeb"/>
              <w:rPr>
                <w:rFonts w:ascii="Arial" w:hAnsi="Arial" w:cs="Arial"/>
                <w:sz w:val="18"/>
                <w:szCs w:val="18"/>
              </w:rPr>
            </w:pPr>
            <w:r>
              <w:rPr>
                <w:rFonts w:ascii="Arial" w:hAnsi="Arial" w:cs="Arial"/>
                <w:sz w:val="18"/>
                <w:szCs w:val="18"/>
              </w:rPr>
              <w:t>13</w:t>
            </w:r>
            <w:r w:rsidR="00F9258B">
              <w:rPr>
                <w:rFonts w:ascii="Arial" w:hAnsi="Arial" w:cs="Arial"/>
                <w:sz w:val="18"/>
                <w:szCs w:val="18"/>
              </w:rPr>
              <w:t>–</w:t>
            </w:r>
            <w:r>
              <w:rPr>
                <w:rFonts w:ascii="Arial" w:hAnsi="Arial" w:cs="Arial"/>
                <w:sz w:val="18"/>
                <w:szCs w:val="18"/>
              </w:rPr>
              <w:t>19 Apr</w:t>
            </w:r>
            <w:r w:rsidR="00F9258B">
              <w:rPr>
                <w:rFonts w:ascii="Arial" w:hAnsi="Arial" w:cs="Arial"/>
                <w:sz w:val="18"/>
                <w:szCs w:val="18"/>
              </w:rPr>
              <w:t>il</w:t>
            </w:r>
          </w:p>
        </w:tc>
        <w:tc>
          <w:tcPr>
            <w:tcW w:w="1325" w:type="dxa"/>
            <w:hideMark/>
          </w:tcPr>
          <w:p w14:paraId="6CF40781" w14:textId="1FF0F685" w:rsidR="00B13D0E" w:rsidRDefault="00B13D0E">
            <w:pPr>
              <w:pStyle w:val="NormalWeb"/>
              <w:jc w:val="center"/>
              <w:rPr>
                <w:rFonts w:ascii="Arial" w:hAnsi="Arial" w:cs="Arial"/>
                <w:sz w:val="18"/>
                <w:szCs w:val="18"/>
              </w:rPr>
            </w:pPr>
            <w:r>
              <w:rPr>
                <w:rFonts w:ascii="Arial" w:hAnsi="Arial" w:cs="Arial"/>
                <w:sz w:val="18"/>
                <w:szCs w:val="18"/>
              </w:rPr>
              <w:t>&lt;</w:t>
            </w:r>
            <w:r w:rsidR="00C7076B">
              <w:rPr>
                <w:rFonts w:ascii="Arial" w:hAnsi="Arial" w:cs="Arial"/>
                <w:sz w:val="18"/>
                <w:szCs w:val="18"/>
              </w:rPr>
              <w:t xml:space="preserve"> </w:t>
            </w:r>
            <w:r>
              <w:rPr>
                <w:rFonts w:ascii="Arial" w:hAnsi="Arial" w:cs="Arial"/>
                <w:sz w:val="18"/>
                <w:szCs w:val="18"/>
              </w:rPr>
              <w:t>0.1</w:t>
            </w:r>
          </w:p>
        </w:tc>
        <w:tc>
          <w:tcPr>
            <w:tcW w:w="1786" w:type="dxa"/>
            <w:hideMark/>
          </w:tcPr>
          <w:p w14:paraId="68D0E0D0" w14:textId="04947ED4" w:rsidR="00B13D0E" w:rsidRDefault="0027485A">
            <w:pPr>
              <w:pStyle w:val="NormalWeb"/>
              <w:jc w:val="center"/>
              <w:rPr>
                <w:rFonts w:ascii="Arial" w:hAnsi="Arial" w:cs="Arial"/>
                <w:sz w:val="18"/>
                <w:szCs w:val="18"/>
              </w:rPr>
            </w:pPr>
            <w:r>
              <w:rPr>
                <w:rFonts w:ascii="Arial" w:hAnsi="Arial" w:cs="Arial"/>
                <w:sz w:val="18"/>
                <w:szCs w:val="18"/>
              </w:rPr>
              <w:t>0.3</w:t>
            </w:r>
          </w:p>
        </w:tc>
        <w:tc>
          <w:tcPr>
            <w:tcW w:w="1867" w:type="dxa"/>
            <w:hideMark/>
          </w:tcPr>
          <w:p w14:paraId="304D7CA1" w14:textId="77777777" w:rsidR="00B13D0E" w:rsidRDefault="00B13D0E">
            <w:pPr>
              <w:pStyle w:val="NormalWeb"/>
              <w:jc w:val="center"/>
              <w:rPr>
                <w:rFonts w:ascii="Arial" w:hAnsi="Arial" w:cs="Arial"/>
                <w:sz w:val="18"/>
                <w:szCs w:val="18"/>
              </w:rPr>
            </w:pPr>
            <w:r>
              <w:rPr>
                <w:rFonts w:ascii="Arial" w:hAnsi="Arial" w:cs="Arial"/>
                <w:sz w:val="18"/>
                <w:szCs w:val="18"/>
              </w:rPr>
              <w:t>0.1</w:t>
            </w:r>
          </w:p>
        </w:tc>
        <w:tc>
          <w:tcPr>
            <w:tcW w:w="2975" w:type="dxa"/>
            <w:hideMark/>
          </w:tcPr>
          <w:p w14:paraId="27B30A00" w14:textId="77046CD8" w:rsidR="00B13D0E" w:rsidRDefault="00B13D0E">
            <w:pPr>
              <w:pStyle w:val="NormalWeb"/>
              <w:jc w:val="center"/>
              <w:rPr>
                <w:rFonts w:ascii="Arial" w:hAnsi="Arial" w:cs="Arial"/>
                <w:sz w:val="18"/>
                <w:szCs w:val="18"/>
              </w:rPr>
            </w:pPr>
            <w:r>
              <w:rPr>
                <w:rFonts w:ascii="Arial" w:hAnsi="Arial" w:cs="Arial"/>
                <w:sz w:val="18"/>
                <w:szCs w:val="18"/>
              </w:rPr>
              <w:t>&lt;</w:t>
            </w:r>
            <w:r w:rsidR="00C7076B">
              <w:rPr>
                <w:rFonts w:ascii="Arial" w:hAnsi="Arial" w:cs="Arial"/>
                <w:sz w:val="18"/>
                <w:szCs w:val="18"/>
              </w:rPr>
              <w:t xml:space="preserve"> </w:t>
            </w:r>
            <w:r>
              <w:rPr>
                <w:rFonts w:ascii="Arial" w:hAnsi="Arial" w:cs="Arial"/>
                <w:sz w:val="18"/>
                <w:szCs w:val="18"/>
              </w:rPr>
              <w:t>0.1</w:t>
            </w:r>
          </w:p>
        </w:tc>
      </w:tr>
    </w:tbl>
    <w:p w14:paraId="3BC5265C" w14:textId="13D0768F" w:rsidR="00CA537D" w:rsidRDefault="004C1E3B" w:rsidP="00885347">
      <w:pPr>
        <w:pStyle w:val="CDIfootnotes"/>
      </w:pPr>
      <w:r>
        <w:t>a</w:t>
      </w:r>
      <w:r>
        <w:tab/>
      </w:r>
      <w:r w:rsidR="00B13D0E">
        <w:t>Based on diagnosis date from NNDSS reporting period up to 23:59 AEST 19 April 2020.</w:t>
      </w:r>
      <w:r w:rsidR="00885347">
        <w:t xml:space="preserve"> </w:t>
      </w:r>
    </w:p>
    <w:p w14:paraId="205814B1" w14:textId="77777777" w:rsidR="00DD658A" w:rsidRDefault="00CA537D" w:rsidP="00DD658A">
      <w:pPr>
        <w:pStyle w:val="CDIFigures"/>
        <w:sectPr w:rsidR="00DD658A" w:rsidSect="00465E56">
          <w:footnotePr>
            <w:numFmt w:val="lowerRoman"/>
          </w:footnotePr>
          <w:pgSz w:w="11906" w:h="16838"/>
          <w:pgMar w:top="709" w:right="851" w:bottom="425" w:left="851" w:header="709" w:footer="709" w:gutter="0"/>
          <w:cols w:space="708"/>
          <w:docGrid w:linePitch="360"/>
        </w:sectPr>
      </w:pPr>
      <w:r>
        <w:br w:type="page"/>
      </w:r>
    </w:p>
    <w:p w14:paraId="5CB14536" w14:textId="069BC16D" w:rsidR="00CA537D" w:rsidRDefault="00CA537D" w:rsidP="00DD658A">
      <w:pPr>
        <w:pStyle w:val="CDIFigures"/>
      </w:pPr>
    </w:p>
    <w:p w14:paraId="155D60DB" w14:textId="02307093" w:rsidR="00CA537D" w:rsidRDefault="00CA537D" w:rsidP="00CA537D">
      <w:pPr>
        <w:pStyle w:val="CDIFigures"/>
        <w:rPr>
          <w:vertAlign w:val="superscript"/>
        </w:rPr>
      </w:pPr>
      <w:r w:rsidRPr="00C121D6">
        <w:t xml:space="preserve">Figure </w:t>
      </w:r>
      <w:r>
        <w:t>6</w:t>
      </w:r>
      <w:r w:rsidRPr="00C121D6">
        <w:t>: Number of COVID-19 cases by place of acquis</w:t>
      </w:r>
      <w:r w:rsidR="0036335A">
        <w:t xml:space="preserve">ition over time, </w:t>
      </w:r>
      <w:proofErr w:type="spellStart"/>
      <w:r w:rsidR="0036335A">
        <w:t>Australia</w:t>
      </w:r>
      <w:r>
        <w:rPr>
          <w:vertAlign w:val="superscript"/>
        </w:rPr>
        <w:t>a</w:t>
      </w:r>
      <w:proofErr w:type="spellEnd"/>
    </w:p>
    <w:p w14:paraId="3A596556" w14:textId="77777777" w:rsidR="00CA537D" w:rsidRPr="006F4E56" w:rsidRDefault="00CA537D" w:rsidP="00442D81">
      <w:pPr>
        <w:pStyle w:val="CDIFigures"/>
        <w:jc w:val="center"/>
      </w:pPr>
      <w:r>
        <w:rPr>
          <w:noProof/>
        </w:rPr>
        <w:drawing>
          <wp:inline distT="0" distB="0" distL="0" distR="0" wp14:anchorId="1F0825F7" wp14:editId="37C107A7">
            <wp:extent cx="8407185" cy="5132717"/>
            <wp:effectExtent l="0" t="0" r="0" b="0"/>
            <wp:docPr id="19" name="Picture 19" descr="Bar chart showing the number of COVID-19 cases by place of acquisition over time. The chart shows that for the cases for which a place of acquisition has been determined, the majority (64%) of cases have been acquired overseas, with 25% of cases acquired locally and the remainder still under investig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8413978" cy="5136864"/>
                    </a:xfrm>
                    <a:prstGeom prst="rect">
                      <a:avLst/>
                    </a:prstGeom>
                    <a:noFill/>
                  </pic:spPr>
                </pic:pic>
              </a:graphicData>
            </a:graphic>
          </wp:inline>
        </w:drawing>
      </w:r>
    </w:p>
    <w:p w14:paraId="12915B6D" w14:textId="77777777" w:rsidR="00CA537D" w:rsidRPr="00911389" w:rsidRDefault="00CA537D" w:rsidP="00CA537D">
      <w:pPr>
        <w:pStyle w:val="CDIfootnotes"/>
        <w:numPr>
          <w:ilvl w:val="0"/>
          <w:numId w:val="39"/>
        </w:numPr>
      </w:pPr>
      <w:r>
        <w:t>Note that this graph is from NNDSS where there is a data completeness lag compared to more current proportions presented in text.</w:t>
      </w:r>
      <w:r w:rsidRPr="00911389">
        <w:br w:type="page"/>
      </w:r>
    </w:p>
    <w:p w14:paraId="077DFB0E" w14:textId="77777777" w:rsidR="00CA537D" w:rsidRDefault="00CA537D" w:rsidP="00CA537D">
      <w:pPr>
        <w:pStyle w:val="CDIFigures"/>
        <w:sectPr w:rsidR="00CA537D" w:rsidSect="00DD658A">
          <w:footnotePr>
            <w:numFmt w:val="lowerRoman"/>
          </w:footnotePr>
          <w:pgSz w:w="16838" w:h="11906" w:orient="landscape"/>
          <w:pgMar w:top="851" w:right="709" w:bottom="851" w:left="425" w:header="709" w:footer="709" w:gutter="0"/>
          <w:cols w:space="708"/>
          <w:docGrid w:linePitch="360"/>
        </w:sectPr>
      </w:pPr>
    </w:p>
    <w:p w14:paraId="6D6D2D80" w14:textId="1634ED3D" w:rsidR="00CA537D" w:rsidRPr="00911389" w:rsidRDefault="00CA537D" w:rsidP="00CA537D">
      <w:pPr>
        <w:pStyle w:val="CDIFigures"/>
      </w:pPr>
      <w:r w:rsidRPr="00911389">
        <w:lastRenderedPageBreak/>
        <w:t xml:space="preserve">Figure </w:t>
      </w:r>
      <w:r>
        <w:t>7</w:t>
      </w:r>
      <w:r w:rsidRPr="00911389">
        <w:t xml:space="preserve">: Confirmed cases of overseas-acquired COVID-19 infections (n = </w:t>
      </w:r>
      <w:r>
        <w:t>3,638</w:t>
      </w:r>
      <w:r w:rsidRPr="00911389">
        <w:t>)</w:t>
      </w:r>
      <w:r w:rsidRPr="009A043D">
        <w:rPr>
          <w:vertAlign w:val="superscript"/>
        </w:rPr>
        <w:t>a</w:t>
      </w:r>
    </w:p>
    <w:p w14:paraId="10777D97" w14:textId="77777777" w:rsidR="00CA537D" w:rsidRDefault="00CA537D" w:rsidP="00442D81">
      <w:pPr>
        <w:pStyle w:val="CDIFigures"/>
        <w:ind w:left="720"/>
        <w:jc w:val="center"/>
        <w:rPr>
          <w:noProof/>
        </w:rPr>
      </w:pPr>
      <w:r>
        <w:rPr>
          <w:noProof/>
        </w:rPr>
        <w:drawing>
          <wp:inline distT="0" distB="0" distL="0" distR="0" wp14:anchorId="5B31F1D6" wp14:editId="14B9D22F">
            <wp:extent cx="8313531" cy="5417389"/>
            <wp:effectExtent l="0" t="0" r="0" b="0"/>
            <wp:docPr id="2" name="Picture 2" descr="Bar chart showing the number of overseas-acquired COVID-19 cases by Standard Australian Classification of Countries over time. Most overseas-acquired cases originated from Europe, the Americas, or at sea on cruise s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8321246" cy="5422416"/>
                    </a:xfrm>
                    <a:prstGeom prst="rect">
                      <a:avLst/>
                    </a:prstGeom>
                    <a:noFill/>
                  </pic:spPr>
                </pic:pic>
              </a:graphicData>
            </a:graphic>
          </wp:inline>
        </w:drawing>
      </w:r>
    </w:p>
    <w:p w14:paraId="5319C785" w14:textId="77777777" w:rsidR="00CA537D" w:rsidRPr="009A043D" w:rsidRDefault="00CA537D" w:rsidP="00CA537D">
      <w:pPr>
        <w:pStyle w:val="ListParagraph"/>
        <w:numPr>
          <w:ilvl w:val="0"/>
          <w:numId w:val="40"/>
        </w:numPr>
        <w:rPr>
          <w:sz w:val="20"/>
          <w:szCs w:val="20"/>
        </w:rPr>
      </w:pPr>
      <w:r w:rsidRPr="009A043D">
        <w:rPr>
          <w:sz w:val="20"/>
          <w:szCs w:val="20"/>
        </w:rPr>
        <w:t>Note that this graph is from NNDSS where there is a data completeness lag compared to more current proportions presented in text.</w:t>
      </w:r>
    </w:p>
    <w:p w14:paraId="4EDD68AD" w14:textId="77777777" w:rsidR="00D06BF4" w:rsidRDefault="00D06BF4" w:rsidP="00D06BF4">
      <w:pPr>
        <w:pStyle w:val="CDIFigures"/>
        <w:jc w:val="center"/>
        <w:sectPr w:rsidR="00D06BF4" w:rsidSect="00CA537D">
          <w:footnotePr>
            <w:numFmt w:val="lowerRoman"/>
          </w:footnotePr>
          <w:pgSz w:w="16838" w:h="11906" w:orient="landscape"/>
          <w:pgMar w:top="851" w:right="709" w:bottom="851" w:left="425" w:header="709" w:footer="709" w:gutter="0"/>
          <w:cols w:space="708"/>
          <w:docGrid w:linePitch="360"/>
        </w:sectPr>
      </w:pPr>
    </w:p>
    <w:p w14:paraId="250198A6" w14:textId="77777777" w:rsidR="00E4281B" w:rsidRPr="00E0377A" w:rsidRDefault="00E4281B" w:rsidP="00E0377A">
      <w:pPr>
        <w:pStyle w:val="Heading2"/>
      </w:pPr>
      <w:r w:rsidRPr="00E0377A">
        <w:lastRenderedPageBreak/>
        <w:t xml:space="preserve">Cluster and outbreak </w:t>
      </w:r>
      <w:proofErr w:type="gramStart"/>
      <w:r w:rsidRPr="00E0377A">
        <w:t>investigations</w:t>
      </w:r>
      <w:proofErr w:type="gramEnd"/>
      <w:r w:rsidRPr="00E0377A">
        <w:t xml:space="preserve"> </w:t>
      </w:r>
    </w:p>
    <w:p w14:paraId="60F0D618" w14:textId="77777777" w:rsidR="001F36D9" w:rsidRPr="008E576E" w:rsidRDefault="001F36D9" w:rsidP="001F36D9">
      <w:pPr>
        <w:pStyle w:val="Default"/>
        <w:spacing w:line="360" w:lineRule="auto"/>
        <w:jc w:val="both"/>
        <w:rPr>
          <w:rFonts w:asciiTheme="minorHAnsi" w:hAnsiTheme="minorHAnsi" w:cstheme="minorHAnsi"/>
          <w:b/>
          <w:sz w:val="22"/>
          <w:szCs w:val="32"/>
        </w:rPr>
      </w:pPr>
    </w:p>
    <w:p w14:paraId="12524996" w14:textId="77777777" w:rsidR="001F36D9" w:rsidRPr="009465DE" w:rsidRDefault="001F36D9" w:rsidP="00E0377A">
      <w:r w:rsidRPr="009465DE">
        <w:t>Investigations are taking place in states and territories in relation to a number of clusters and outbreaks of COVID-19. To date the largest outbreaks have been associated with cruise ships</w:t>
      </w:r>
      <w:r>
        <w:t>, with some other large domestic clusters associated with aged care and healthcare facilities and private functions, such as weddings.</w:t>
      </w:r>
    </w:p>
    <w:p w14:paraId="79DDC46C" w14:textId="77777777" w:rsidR="001F36D9" w:rsidRPr="008E576E" w:rsidRDefault="001F36D9" w:rsidP="001F36D9">
      <w:pPr>
        <w:pStyle w:val="Default"/>
        <w:spacing w:line="276" w:lineRule="auto"/>
        <w:jc w:val="both"/>
        <w:rPr>
          <w:rFonts w:asciiTheme="minorHAnsi" w:hAnsiTheme="minorHAnsi" w:cstheme="minorHAnsi"/>
          <w:sz w:val="22"/>
          <w:szCs w:val="22"/>
        </w:rPr>
      </w:pPr>
    </w:p>
    <w:p w14:paraId="4BC567A2" w14:textId="77777777" w:rsidR="001F36D9" w:rsidRPr="00BB2CFF" w:rsidRDefault="001F36D9" w:rsidP="001F36D9">
      <w:pPr>
        <w:pStyle w:val="Default"/>
        <w:spacing w:line="360" w:lineRule="auto"/>
        <w:jc w:val="both"/>
        <w:rPr>
          <w:rFonts w:asciiTheme="minorHAnsi" w:hAnsiTheme="minorHAnsi" w:cstheme="minorHAnsi"/>
          <w:szCs w:val="22"/>
        </w:rPr>
      </w:pPr>
      <w:r w:rsidRPr="008E576E">
        <w:rPr>
          <w:rStyle w:val="Heading3Char"/>
          <w:rFonts w:asciiTheme="minorHAnsi" w:hAnsiTheme="minorHAnsi" w:cstheme="minorHAnsi"/>
          <w:noProof/>
          <w:lang w:eastAsia="en-AU"/>
        </w:rPr>
        <mc:AlternateContent>
          <mc:Choice Requires="wps">
            <w:drawing>
              <wp:inline distT="0" distB="0" distL="0" distR="0" wp14:anchorId="03FDB9BF" wp14:editId="65208986">
                <wp:extent cx="6397721" cy="2330450"/>
                <wp:effectExtent l="0" t="0" r="22225" b="12700"/>
                <wp:docPr id="217" name="Text Box 2" descr="Text box provides working definitions for the terms ‘cluster’ and ‘outbreak’ as used in this report. The term ‘cluster’ in relation to COVID-19 refers to two or more cases that are epidemiologically related in time, place or person where a common source (such as an event or within a community) of infection is suspected but not yet established. The term ‘outbreak’ refers to two or more cases among a specific group of people and/or over a specific period of time where illness is associated with a common source (such as an event or within a communit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7721" cy="2330450"/>
                        </a:xfrm>
                        <a:prstGeom prst="rect">
                          <a:avLst/>
                        </a:prstGeom>
                        <a:solidFill>
                          <a:schemeClr val="bg1">
                            <a:lumMod val="95000"/>
                          </a:schemeClr>
                        </a:solidFill>
                        <a:ln w="3175">
                          <a:solidFill>
                            <a:srgbClr val="000000"/>
                          </a:solidFill>
                          <a:miter lim="800000"/>
                          <a:headEnd/>
                          <a:tailEnd/>
                        </a:ln>
                      </wps:spPr>
                      <wps:txbx>
                        <w:txbxContent>
                          <w:p w14:paraId="5882BC22" w14:textId="77777777" w:rsidR="00935A13" w:rsidRPr="00825806" w:rsidRDefault="00935A13" w:rsidP="001F36D9">
                            <w:pPr>
                              <w:pStyle w:val="NormalWeb"/>
                              <w:spacing w:after="200" w:afterAutospacing="0"/>
                              <w:rPr>
                                <w:rStyle w:val="Strong"/>
                                <w:rFonts w:cstheme="minorHAnsi"/>
                              </w:rPr>
                            </w:pPr>
                            <w:r>
                              <w:rPr>
                                <w:rStyle w:val="Strong"/>
                                <w:rFonts w:cstheme="minorHAnsi"/>
                              </w:rPr>
                              <w:t>Cluster</w:t>
                            </w:r>
                            <w:r w:rsidRPr="00825806">
                              <w:rPr>
                                <w:rStyle w:val="Strong"/>
                                <w:rFonts w:cstheme="minorHAnsi"/>
                              </w:rPr>
                              <w:t>:</w:t>
                            </w:r>
                          </w:p>
                          <w:p w14:paraId="2A783C8B" w14:textId="77777777" w:rsidR="00935A13" w:rsidRPr="009465DE" w:rsidRDefault="00935A13" w:rsidP="001F36D9">
                            <w:pPr>
                              <w:pStyle w:val="NormalWeb"/>
                              <w:numPr>
                                <w:ilvl w:val="0"/>
                                <w:numId w:val="7"/>
                              </w:numPr>
                              <w:spacing w:after="200" w:afterAutospacing="0"/>
                              <w:ind w:left="714" w:hanging="357"/>
                              <w:contextualSpacing/>
                              <w:rPr>
                                <w:rStyle w:val="Strong"/>
                                <w:rFonts w:cstheme="minorHAnsi"/>
                                <w:b w:val="0"/>
                                <w:bCs w:val="0"/>
                              </w:rPr>
                            </w:pPr>
                            <w:r w:rsidRPr="00825806">
                              <w:rPr>
                                <w:rFonts w:cstheme="minorHAnsi"/>
                              </w:rPr>
                              <w:t xml:space="preserve">The term </w:t>
                            </w:r>
                            <w:r>
                              <w:rPr>
                                <w:rFonts w:cstheme="minorHAnsi"/>
                              </w:rPr>
                              <w:t>‘</w:t>
                            </w:r>
                            <w:r w:rsidRPr="00825806">
                              <w:rPr>
                                <w:rFonts w:cstheme="minorHAnsi"/>
                              </w:rPr>
                              <w:t>cluster</w:t>
                            </w:r>
                            <w:r>
                              <w:rPr>
                                <w:rFonts w:cstheme="minorHAnsi"/>
                              </w:rPr>
                              <w:t>’ in relation to COVID-19</w:t>
                            </w:r>
                            <w:r w:rsidRPr="00825806">
                              <w:rPr>
                                <w:rFonts w:cstheme="minorHAnsi"/>
                              </w:rPr>
                              <w:t xml:space="preserve"> refers to two or more cases </w:t>
                            </w:r>
                            <w:r>
                              <w:rPr>
                                <w:rFonts w:cstheme="minorHAnsi"/>
                              </w:rPr>
                              <w:t xml:space="preserve">(who do not reside in the same household) </w:t>
                            </w:r>
                            <w:r w:rsidRPr="00825806">
                              <w:rPr>
                                <w:rFonts w:cstheme="minorHAnsi"/>
                              </w:rPr>
                              <w:t xml:space="preserve">that are epidemiologically related in time, </w:t>
                            </w:r>
                            <w:proofErr w:type="gramStart"/>
                            <w:r w:rsidRPr="00825806">
                              <w:rPr>
                                <w:rFonts w:cstheme="minorHAnsi"/>
                              </w:rPr>
                              <w:t>place</w:t>
                            </w:r>
                            <w:proofErr w:type="gramEnd"/>
                            <w:r w:rsidRPr="00825806">
                              <w:rPr>
                                <w:rFonts w:cstheme="minorHAnsi"/>
                              </w:rPr>
                              <w:t xml:space="preserve"> or person where a common source (such as an event or within a community) of infection is suspected but not yet established.</w:t>
                            </w:r>
                          </w:p>
                          <w:p w14:paraId="61B77251" w14:textId="77777777" w:rsidR="00935A13" w:rsidRPr="00825806" w:rsidRDefault="00935A13" w:rsidP="001F36D9">
                            <w:pPr>
                              <w:pStyle w:val="NormalWeb"/>
                              <w:spacing w:after="200" w:afterAutospacing="0"/>
                              <w:rPr>
                                <w:rStyle w:val="Strong"/>
                                <w:rFonts w:cstheme="minorHAnsi"/>
                              </w:rPr>
                            </w:pPr>
                            <w:r>
                              <w:rPr>
                                <w:rStyle w:val="Strong"/>
                                <w:rFonts w:cstheme="minorHAnsi"/>
                              </w:rPr>
                              <w:t>Outbreak:</w:t>
                            </w:r>
                          </w:p>
                          <w:p w14:paraId="55A974C0" w14:textId="77777777" w:rsidR="00935A13" w:rsidRPr="00825806" w:rsidRDefault="00935A13" w:rsidP="001F36D9">
                            <w:pPr>
                              <w:pStyle w:val="NormalWeb"/>
                              <w:numPr>
                                <w:ilvl w:val="0"/>
                                <w:numId w:val="7"/>
                              </w:numPr>
                              <w:spacing w:after="200" w:afterAutospacing="0"/>
                              <w:ind w:left="714" w:hanging="357"/>
                              <w:contextualSpacing/>
                              <w:rPr>
                                <w:rFonts w:cstheme="minorHAnsi"/>
                                <w:bCs/>
                              </w:rPr>
                            </w:pPr>
                            <w:r w:rsidRPr="00825806">
                              <w:rPr>
                                <w:rFonts w:cstheme="minorHAnsi"/>
                                <w:bCs/>
                              </w:rPr>
                              <w:t>The term</w:t>
                            </w:r>
                            <w:r>
                              <w:rPr>
                                <w:rFonts w:cstheme="minorHAnsi"/>
                                <w:bCs/>
                              </w:rPr>
                              <w:t xml:space="preserve"> ‘outbreak’ in relation to COVID-19 </w:t>
                            </w:r>
                            <w:r w:rsidRPr="00825806">
                              <w:rPr>
                                <w:rFonts w:cstheme="minorHAnsi"/>
                                <w:bCs/>
                              </w:rPr>
                              <w:t>refers to two or more cases</w:t>
                            </w:r>
                            <w:r>
                              <w:rPr>
                                <w:rFonts w:cstheme="minorHAnsi"/>
                                <w:bCs/>
                              </w:rPr>
                              <w:t xml:space="preserve"> (who do not reside in the same household)</w:t>
                            </w:r>
                            <w:r w:rsidRPr="00825806">
                              <w:rPr>
                                <w:rFonts w:cstheme="minorHAnsi"/>
                                <w:bCs/>
                              </w:rPr>
                              <w:t xml:space="preserve"> among a specific group of people and/or over a specific period of time where illness is </w:t>
                            </w:r>
                            <w:r>
                              <w:rPr>
                                <w:rFonts w:cstheme="minorHAnsi"/>
                                <w:bCs/>
                              </w:rPr>
                              <w:t xml:space="preserve">associated with a common source </w:t>
                            </w:r>
                            <w:r w:rsidRPr="00825806">
                              <w:rPr>
                                <w:rFonts w:cstheme="minorHAnsi"/>
                                <w:bCs/>
                              </w:rPr>
                              <w:t xml:space="preserve">(such as an event or </w:t>
                            </w:r>
                            <w:r>
                              <w:rPr>
                                <w:rFonts w:cstheme="minorHAnsi"/>
                                <w:bCs/>
                              </w:rPr>
                              <w:t xml:space="preserve">within a </w:t>
                            </w:r>
                            <w:r w:rsidRPr="00825806">
                              <w:rPr>
                                <w:rFonts w:cstheme="minorHAnsi"/>
                                <w:bCs/>
                              </w:rPr>
                              <w:t>community).</w:t>
                            </w:r>
                          </w:p>
                        </w:txbxContent>
                      </wps:txbx>
                      <wps:bodyPr rot="0" vert="horz" wrap="square" lIns="91440" tIns="45720" rIns="91440" bIns="45720" anchor="t" anchorCtr="0">
                        <a:noAutofit/>
                      </wps:bodyPr>
                    </wps:wsp>
                  </a:graphicData>
                </a:graphic>
              </wp:inline>
            </w:drawing>
          </mc:Choice>
          <mc:Fallback>
            <w:pict>
              <v:shapetype w14:anchorId="03FDB9BF" id="_x0000_t202" coordsize="21600,21600" o:spt="202" path="m,l,21600r21600,l21600,xe">
                <v:stroke joinstyle="miter"/>
                <v:path gradientshapeok="t" o:connecttype="rect"/>
              </v:shapetype>
              <v:shape id="Text Box 2" o:spid="_x0000_s1026" type="#_x0000_t202" alt="Text box provides working definitions for the terms ‘cluster’ and ‘outbreak’ as used in this report. The term ‘cluster’ in relation to COVID-19 refers to two or more cases that are epidemiologically related in time, place or person where a common source (such as an event or within a community) of infection is suspected but not yet established. The term ‘outbreak’ refers to two or more cases among a specific group of people and/or over a specific period of time where illness is associated with a common source (such as an event or within a community)." style="width:503.75pt;height:1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" fillcolor="#f2f2f2 [3052]" strokeweight=".25pt">
                <v:textbox>
                  <w:txbxContent>
                    <w:p w14:paraId="5882BC22" w14:textId="77777777" w:rsidR="00935A13" w:rsidRPr="00825806" w:rsidRDefault="00935A13" w:rsidP="001F36D9">
                      <w:pPr>
                        <w:pStyle w:val="NormalWeb"/>
                        <w:spacing w:after="200" w:afterAutospacing="0"/>
                        <w:rPr>
                          <w:rStyle w:val="Strong"/>
                          <w:rFonts w:cstheme="minorHAnsi"/>
                        </w:rPr>
                      </w:pPr>
                      <w:r>
                        <w:rPr>
                          <w:rStyle w:val="Strong"/>
                          <w:rFonts w:cstheme="minorHAnsi"/>
                        </w:rPr>
                        <w:t>Cluster</w:t>
                      </w:r>
                      <w:r w:rsidRPr="00825806">
                        <w:rPr>
                          <w:rStyle w:val="Strong"/>
                          <w:rFonts w:cstheme="minorHAnsi"/>
                        </w:rPr>
                        <w:t>:</w:t>
                      </w:r>
                    </w:p>
                    <w:p w14:paraId="2A783C8B" w14:textId="77777777" w:rsidR="00935A13" w:rsidRPr="009465DE" w:rsidRDefault="00935A13" w:rsidP="001F36D9">
                      <w:pPr>
                        <w:pStyle w:val="NormalWeb"/>
                        <w:numPr>
                          <w:ilvl w:val="0"/>
                          <w:numId w:val="7"/>
                        </w:numPr>
                        <w:spacing w:after="200" w:afterAutospacing="0"/>
                        <w:ind w:left="714" w:hanging="357"/>
                        <w:contextualSpacing/>
                        <w:rPr>
                          <w:rStyle w:val="Strong"/>
                          <w:rFonts w:cstheme="minorHAnsi"/>
                          <w:b w:val="0"/>
                          <w:bCs w:val="0"/>
                        </w:rPr>
                      </w:pPr>
                      <w:r w:rsidRPr="00825806">
                        <w:rPr>
                          <w:rFonts w:cstheme="minorHAnsi"/>
                        </w:rPr>
                        <w:t xml:space="preserve">The term </w:t>
                      </w:r>
                      <w:r>
                        <w:rPr>
                          <w:rFonts w:cstheme="minorHAnsi"/>
                        </w:rPr>
                        <w:t>‘</w:t>
                      </w:r>
                      <w:r w:rsidRPr="00825806">
                        <w:rPr>
                          <w:rFonts w:cstheme="minorHAnsi"/>
                        </w:rPr>
                        <w:t>cluster</w:t>
                      </w:r>
                      <w:r>
                        <w:rPr>
                          <w:rFonts w:cstheme="minorHAnsi"/>
                        </w:rPr>
                        <w:t>’ in relation to COVID-19</w:t>
                      </w:r>
                      <w:r w:rsidRPr="00825806">
                        <w:rPr>
                          <w:rFonts w:cstheme="minorHAnsi"/>
                        </w:rPr>
                        <w:t xml:space="preserve"> refers to two or more cases </w:t>
                      </w:r>
                      <w:r>
                        <w:rPr>
                          <w:rFonts w:cstheme="minorHAnsi"/>
                        </w:rPr>
                        <w:t xml:space="preserve">(who do not reside in the same household) </w:t>
                      </w:r>
                      <w:r w:rsidRPr="00825806">
                        <w:rPr>
                          <w:rFonts w:cstheme="minorHAnsi"/>
                        </w:rPr>
                        <w:t>that are epidemiologically related in time, place or person where a common source (such as an event or within a community) of infection is suspected but not yet established.</w:t>
                      </w:r>
                    </w:p>
                    <w:p w14:paraId="61B77251" w14:textId="77777777" w:rsidR="00935A13" w:rsidRPr="00825806" w:rsidRDefault="00935A13" w:rsidP="001F36D9">
                      <w:pPr>
                        <w:pStyle w:val="NormalWeb"/>
                        <w:spacing w:after="200" w:afterAutospacing="0"/>
                        <w:rPr>
                          <w:rStyle w:val="Strong"/>
                          <w:rFonts w:cstheme="minorHAnsi"/>
                        </w:rPr>
                      </w:pPr>
                      <w:r>
                        <w:rPr>
                          <w:rStyle w:val="Strong"/>
                          <w:rFonts w:cstheme="minorHAnsi"/>
                        </w:rPr>
                        <w:t>Outbreak:</w:t>
                      </w:r>
                    </w:p>
                    <w:p w14:paraId="55A974C0" w14:textId="77777777" w:rsidR="00935A13" w:rsidRPr="00825806" w:rsidRDefault="00935A13" w:rsidP="001F36D9">
                      <w:pPr>
                        <w:pStyle w:val="NormalWeb"/>
                        <w:numPr>
                          <w:ilvl w:val="0"/>
                          <w:numId w:val="7"/>
                        </w:numPr>
                        <w:spacing w:after="200" w:afterAutospacing="0"/>
                        <w:ind w:left="714" w:hanging="357"/>
                        <w:contextualSpacing/>
                        <w:rPr>
                          <w:rFonts w:cstheme="minorHAnsi"/>
                          <w:bCs/>
                        </w:rPr>
                      </w:pPr>
                      <w:r w:rsidRPr="00825806">
                        <w:rPr>
                          <w:rFonts w:cstheme="minorHAnsi"/>
                          <w:bCs/>
                        </w:rPr>
                        <w:t>The term</w:t>
                      </w:r>
                      <w:r>
                        <w:rPr>
                          <w:rFonts w:cstheme="minorHAnsi"/>
                          <w:bCs/>
                        </w:rPr>
                        <w:t xml:space="preserve"> ‘outbreak’ in relation to COVID-19 </w:t>
                      </w:r>
                      <w:r w:rsidRPr="00825806">
                        <w:rPr>
                          <w:rFonts w:cstheme="minorHAnsi"/>
                          <w:bCs/>
                        </w:rPr>
                        <w:t>refers to two or more cases</w:t>
                      </w:r>
                      <w:r>
                        <w:rPr>
                          <w:rFonts w:cstheme="minorHAnsi"/>
                          <w:bCs/>
                        </w:rPr>
                        <w:t xml:space="preserve"> (who do not reside in the same household)</w:t>
                      </w:r>
                      <w:r w:rsidRPr="00825806">
                        <w:rPr>
                          <w:rFonts w:cstheme="minorHAnsi"/>
                          <w:bCs/>
                        </w:rPr>
                        <w:t xml:space="preserve"> among a specific group of people and/or over a specific period of time where illness is </w:t>
                      </w:r>
                      <w:r>
                        <w:rPr>
                          <w:rFonts w:cstheme="minorHAnsi"/>
                          <w:bCs/>
                        </w:rPr>
                        <w:t xml:space="preserve">associated with a common source </w:t>
                      </w:r>
                      <w:r w:rsidRPr="00825806">
                        <w:rPr>
                          <w:rFonts w:cstheme="minorHAnsi"/>
                          <w:bCs/>
                        </w:rPr>
                        <w:t xml:space="preserve">(such as an event or </w:t>
                      </w:r>
                      <w:r>
                        <w:rPr>
                          <w:rFonts w:cstheme="minorHAnsi"/>
                          <w:bCs/>
                        </w:rPr>
                        <w:t xml:space="preserve">within a </w:t>
                      </w:r>
                      <w:r w:rsidRPr="00825806">
                        <w:rPr>
                          <w:rFonts w:cstheme="minorHAnsi"/>
                          <w:bCs/>
                        </w:rPr>
                        <w:t>community).</w:t>
                      </w:r>
                    </w:p>
                  </w:txbxContent>
                </v:textbox>
                <w10:anchorlock/>
              </v:shape>
            </w:pict>
          </mc:Fallback>
        </mc:AlternateContent>
      </w:r>
    </w:p>
    <w:p w14:paraId="6F258A31" w14:textId="1088384A" w:rsidR="001F36D9" w:rsidRDefault="001F36D9" w:rsidP="00E0377A">
      <w:r w:rsidRPr="008E576E">
        <w:t>Cruise ships account for a substantial proportion of cases of COVID-19 in Australia</w:t>
      </w:r>
      <w:r>
        <w:t xml:space="preserve">.  </w:t>
      </w:r>
      <w:r w:rsidRPr="008E576E">
        <w:t>Of cases with a reported place of acquisition</w:t>
      </w:r>
      <w:r w:rsidRPr="006E3723">
        <w:t>, 18% were acquired at sea on a cruise ship. This is an 8% increase in COVID-19 cases acquired on a cruise ship since the last reporting period. There have been 22 deaths</w:t>
      </w:r>
      <w:r w:rsidR="00F9258B">
        <w:t xml:space="preserve"> in Australia</w:t>
      </w:r>
      <w:r w:rsidRPr="006E3723">
        <w:t xml:space="preserve"> among cases acquired</w:t>
      </w:r>
      <w:r w:rsidRPr="008E576E">
        <w:t xml:space="preserve"> on cruise ships. </w:t>
      </w:r>
    </w:p>
    <w:p w14:paraId="0E335990" w14:textId="12F4A61A" w:rsidR="001F36D9" w:rsidRPr="00194664" w:rsidRDefault="001F36D9" w:rsidP="00E0377A">
      <w:pPr>
        <w:rPr>
          <w:color w:val="000000" w:themeColor="text1"/>
        </w:rPr>
      </w:pPr>
      <w:r w:rsidRPr="00194664">
        <w:rPr>
          <w:color w:val="000000" w:themeColor="text1"/>
        </w:rPr>
        <w:t>Residents of aged care facilities are at increased risk of COVID-19 infection due to the environment of communal living facilities</w:t>
      </w:r>
      <w:r w:rsidR="008365BD">
        <w:rPr>
          <w:color w:val="000000" w:themeColor="text1"/>
        </w:rPr>
        <w:t>. These residents</w:t>
      </w:r>
      <w:r w:rsidRPr="00194664">
        <w:rPr>
          <w:color w:val="000000" w:themeColor="text1"/>
        </w:rPr>
        <w:t xml:space="preserve"> are more vulnerable to serious complications if they do become infected. As of 19 April 2020, there have been 90 cases of COVID-19 associated with 24 residential aged care facilities</w:t>
      </w:r>
      <w:r w:rsidR="008365BD">
        <w:rPr>
          <w:color w:val="000000" w:themeColor="text1"/>
        </w:rPr>
        <w:t xml:space="preserve"> in Australia</w:t>
      </w:r>
      <w:r w:rsidRPr="00194664">
        <w:rPr>
          <w:color w:val="000000" w:themeColor="text1"/>
        </w:rPr>
        <w:t>, with 20 recoveries and 11 deaths. Fifty-three of these cases occurred in aged care residents</w:t>
      </w:r>
      <w:r w:rsidR="008365BD">
        <w:rPr>
          <w:color w:val="000000" w:themeColor="text1"/>
        </w:rPr>
        <w:t>;</w:t>
      </w:r>
      <w:r w:rsidRPr="00194664">
        <w:rPr>
          <w:color w:val="000000" w:themeColor="text1"/>
        </w:rPr>
        <w:t xml:space="preserve"> the remaining 37 cases </w:t>
      </w:r>
      <w:r w:rsidR="008365BD">
        <w:rPr>
          <w:color w:val="000000" w:themeColor="text1"/>
        </w:rPr>
        <w:t>were</w:t>
      </w:r>
      <w:r w:rsidR="008365BD" w:rsidRPr="00194664">
        <w:rPr>
          <w:color w:val="000000" w:themeColor="text1"/>
        </w:rPr>
        <w:t xml:space="preserve"> </w:t>
      </w:r>
      <w:r w:rsidRPr="00194664">
        <w:rPr>
          <w:color w:val="000000" w:themeColor="text1"/>
        </w:rPr>
        <w:t>in care staff. In addition, there have been 34 cases associated with 24 in-home Commonwealth funded aged care services providing support to older Australians who live at home, with 6 recoveries and 1 death. Twenty-five of these cases occurred in care recipients</w:t>
      </w:r>
      <w:r w:rsidR="008365BD">
        <w:rPr>
          <w:color w:val="000000" w:themeColor="text1"/>
        </w:rPr>
        <w:t>;</w:t>
      </w:r>
      <w:r w:rsidRPr="00194664">
        <w:rPr>
          <w:color w:val="000000" w:themeColor="text1"/>
        </w:rPr>
        <w:t xml:space="preserve"> the remaining nine cases </w:t>
      </w:r>
      <w:r w:rsidR="008365BD">
        <w:rPr>
          <w:color w:val="000000" w:themeColor="text1"/>
        </w:rPr>
        <w:t>were</w:t>
      </w:r>
      <w:r w:rsidR="008365BD" w:rsidRPr="00194664">
        <w:rPr>
          <w:color w:val="000000" w:themeColor="text1"/>
        </w:rPr>
        <w:t xml:space="preserve"> </w:t>
      </w:r>
      <w:r w:rsidRPr="00194664">
        <w:rPr>
          <w:color w:val="000000" w:themeColor="text1"/>
        </w:rPr>
        <w:t>in care staff. Advice and guidelines have been provided to aged care services, including the release of an outbreak management guide.</w:t>
      </w:r>
    </w:p>
    <w:p w14:paraId="62FFA22E" w14:textId="597E5A6A" w:rsidR="001F36D9" w:rsidRDefault="001F36D9" w:rsidP="00E0377A">
      <w:r w:rsidRPr="00194664">
        <w:rPr>
          <w:color w:val="000000" w:themeColor="text1"/>
        </w:rPr>
        <w:t xml:space="preserve">There have been </w:t>
      </w:r>
      <w:r>
        <w:rPr>
          <w:color w:val="000000" w:themeColor="text1"/>
        </w:rPr>
        <w:t>instances</w:t>
      </w:r>
      <w:r w:rsidRPr="00194664">
        <w:rPr>
          <w:color w:val="000000" w:themeColor="text1"/>
        </w:rPr>
        <w:t xml:space="preserve"> of </w:t>
      </w:r>
      <w:r w:rsidR="008365BD">
        <w:rPr>
          <w:color w:val="000000" w:themeColor="text1"/>
        </w:rPr>
        <w:t xml:space="preserve">COVID-19 </w:t>
      </w:r>
      <w:r w:rsidRPr="00194664">
        <w:rPr>
          <w:color w:val="000000" w:themeColor="text1"/>
        </w:rPr>
        <w:t xml:space="preserve">outbreaks occurring in Australian healthcare settings. The outbreak of COVID-19 in </w:t>
      </w:r>
      <w:r w:rsidR="007E07F5" w:rsidRPr="00194664">
        <w:rPr>
          <w:color w:val="000000" w:themeColor="text1"/>
        </w:rPr>
        <w:t xml:space="preserve">hospitals </w:t>
      </w:r>
      <w:r w:rsidR="0009500D">
        <w:rPr>
          <w:color w:val="000000" w:themeColor="text1"/>
        </w:rPr>
        <w:t>in n</w:t>
      </w:r>
      <w:r w:rsidRPr="00194664">
        <w:rPr>
          <w:color w:val="000000" w:themeColor="text1"/>
        </w:rPr>
        <w:t>orth-</w:t>
      </w:r>
      <w:r w:rsidR="0009500D">
        <w:rPr>
          <w:color w:val="000000" w:themeColor="text1"/>
        </w:rPr>
        <w:t>w</w:t>
      </w:r>
      <w:r w:rsidRPr="00194664">
        <w:rPr>
          <w:color w:val="000000" w:themeColor="text1"/>
        </w:rPr>
        <w:t xml:space="preserve">est Tasmania began in late March 2020. Cases occurred among healthcare workers, </w:t>
      </w:r>
      <w:proofErr w:type="gramStart"/>
      <w:r w:rsidRPr="00194664">
        <w:rPr>
          <w:color w:val="000000" w:themeColor="text1"/>
        </w:rPr>
        <w:t>patients</w:t>
      </w:r>
      <w:proofErr w:type="gramEnd"/>
      <w:r w:rsidRPr="00194664">
        <w:rPr>
          <w:color w:val="000000" w:themeColor="text1"/>
        </w:rPr>
        <w:t xml:space="preserve"> and household contacts. As of 20 April 2020, there were 112 persons associated with the outbreak, including 72 staff members. The outbreak resulted in widespread quarantine of healthcare workers, </w:t>
      </w:r>
      <w:proofErr w:type="gramStart"/>
      <w:r w:rsidRPr="00194664">
        <w:rPr>
          <w:color w:val="000000" w:themeColor="text1"/>
        </w:rPr>
        <w:t>patients</w:t>
      </w:r>
      <w:proofErr w:type="gramEnd"/>
      <w:r w:rsidRPr="00194664">
        <w:rPr>
          <w:color w:val="000000" w:themeColor="text1"/>
        </w:rPr>
        <w:t xml:space="preserve"> and visitors to the </w:t>
      </w:r>
      <w:r w:rsidR="008365BD">
        <w:rPr>
          <w:color w:val="000000" w:themeColor="text1"/>
        </w:rPr>
        <w:t xml:space="preserve">affected </w:t>
      </w:r>
      <w:r w:rsidRPr="00194664">
        <w:rPr>
          <w:color w:val="000000" w:themeColor="text1"/>
        </w:rPr>
        <w:t>hospital</w:t>
      </w:r>
      <w:r w:rsidR="008365BD">
        <w:rPr>
          <w:color w:val="000000" w:themeColor="text1"/>
        </w:rPr>
        <w:t>s</w:t>
      </w:r>
      <w:r w:rsidRPr="00194664">
        <w:rPr>
          <w:color w:val="000000" w:themeColor="text1"/>
        </w:rPr>
        <w:t>.  Investigations i</w:t>
      </w:r>
      <w:r w:rsidRPr="00C15112">
        <w:rPr>
          <w:color w:val="000000" w:themeColor="text1"/>
        </w:rPr>
        <w:t>nto the outbreak are continuing.</w:t>
      </w:r>
    </w:p>
    <w:p w14:paraId="306174EC" w14:textId="77777777" w:rsidR="00E4281B" w:rsidRPr="00E0377A" w:rsidRDefault="00E4281B" w:rsidP="00E0377A">
      <w:pPr>
        <w:pStyle w:val="Heading2"/>
      </w:pPr>
      <w:r w:rsidRPr="00E0377A">
        <w:t>Symptom profile</w:t>
      </w:r>
    </w:p>
    <w:p w14:paraId="55A9B6E1" w14:textId="55CA935E" w:rsidR="00F72D09" w:rsidRPr="001F36D9" w:rsidRDefault="00F72D09" w:rsidP="00E0377A">
      <w:r w:rsidRPr="00731BF0">
        <w:t xml:space="preserve">Of the symptoms reported, </w:t>
      </w:r>
      <w:r w:rsidRPr="00D06BF4">
        <w:t xml:space="preserve">cough (70%) was </w:t>
      </w:r>
      <w:r w:rsidRPr="00731BF0">
        <w:t>the most common (Figure 8)</w:t>
      </w:r>
      <w:r w:rsidR="008365BD">
        <w:t xml:space="preserve">. </w:t>
      </w:r>
      <w:r w:rsidRPr="001F36D9">
        <w:t>Forty-eight percent of cases reported fever, 40% reported sore throat, and 36% reported headache. Only 4% or fewer of all cases reported either pneumonia or acute respiratory disease (ARD)</w:t>
      </w:r>
      <w:r w:rsidR="008365BD">
        <w:t>.</w:t>
      </w:r>
      <w:r w:rsidR="002C7B31">
        <w:t xml:space="preserve"> </w:t>
      </w:r>
      <w:r w:rsidRPr="001F36D9">
        <w:t>In addition, loss of taste was reported from 494 cases and loss of smell from 526 cases. These conditions were reported in approximately 1</w:t>
      </w:r>
      <w:r w:rsidR="00B62FB0" w:rsidRPr="001F36D9">
        <w:t>1</w:t>
      </w:r>
      <w:r w:rsidRPr="001F36D9">
        <w:t>% of cases, noting that this is currently not a standard field in NNDSS, and is likely to under-represent those presenting with these symptoms.</w:t>
      </w:r>
    </w:p>
    <w:p w14:paraId="2689AD7B" w14:textId="77777777" w:rsidR="00210B3A" w:rsidRDefault="00210B3A" w:rsidP="00D06BF4">
      <w:pPr>
        <w:pStyle w:val="CDIFigures"/>
        <w:sectPr w:rsidR="00210B3A" w:rsidSect="00D06BF4">
          <w:footnotePr>
            <w:numFmt w:val="lowerRoman"/>
          </w:footnotePr>
          <w:pgSz w:w="11906" w:h="16838"/>
          <w:pgMar w:top="709" w:right="851" w:bottom="425" w:left="851" w:header="709" w:footer="709" w:gutter="0"/>
          <w:cols w:space="708"/>
          <w:docGrid w:linePitch="360"/>
        </w:sectPr>
      </w:pPr>
    </w:p>
    <w:p w14:paraId="2D9D019F" w14:textId="17A16AC4" w:rsidR="00E4281B" w:rsidRPr="00911389" w:rsidRDefault="00E4281B" w:rsidP="00D06BF4">
      <w:pPr>
        <w:pStyle w:val="CDIFigures"/>
      </w:pPr>
      <w:r w:rsidRPr="00911389">
        <w:lastRenderedPageBreak/>
        <w:t xml:space="preserve">Figure </w:t>
      </w:r>
      <w:r w:rsidR="008900D2">
        <w:t>8</w:t>
      </w:r>
      <w:r w:rsidRPr="00911389">
        <w:t xml:space="preserve">: Variation in combinations of COVID-19 symptoms in confirmed cases, </w:t>
      </w:r>
      <w:proofErr w:type="spellStart"/>
      <w:r w:rsidRPr="00911389">
        <w:t>Australia</w:t>
      </w:r>
      <w:r w:rsidRPr="00911389">
        <w:rPr>
          <w:vertAlign w:val="superscript"/>
        </w:rPr>
        <w:t>a</w:t>
      </w:r>
      <w:proofErr w:type="spellEnd"/>
    </w:p>
    <w:p w14:paraId="7B540175" w14:textId="674FA85A" w:rsidR="00E4281B" w:rsidRDefault="0036335A" w:rsidP="00473A06">
      <w:pPr>
        <w:spacing w:after="0" w:line="240" w:lineRule="auto"/>
        <w:ind w:left="66"/>
        <w:jc w:val="center"/>
        <w:rPr>
          <w:sz w:val="24"/>
          <w:szCs w:val="24"/>
        </w:rPr>
      </w:pPr>
      <w:r w:rsidRPr="0036335A">
        <w:rPr>
          <w:noProof/>
          <w:sz w:val="24"/>
          <w:szCs w:val="24"/>
        </w:rPr>
        <w:drawing>
          <wp:inline distT="0" distB="0" distL="0" distR="0" wp14:anchorId="7566196C" wp14:editId="45306B94">
            <wp:extent cx="7631592" cy="5167223"/>
            <wp:effectExtent l="0" t="0" r="7620" b="0"/>
            <wp:docPr id="8" name="Picture 8" descr="Bar chart showing the frequency of different combinations of the five most-commonly reported symptoms of COVID-19: cough, fever, sore throat, headache, and runny n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Documents\symptoms_incl_19April2020.png"/>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7654884" cy="5182994"/>
                    </a:xfrm>
                    <a:prstGeom prst="rect">
                      <a:avLst/>
                    </a:prstGeom>
                    <a:noFill/>
                    <a:ln>
                      <a:noFill/>
                    </a:ln>
                  </pic:spPr>
                </pic:pic>
              </a:graphicData>
            </a:graphic>
          </wp:inline>
        </w:drawing>
      </w:r>
    </w:p>
    <w:p w14:paraId="60C8D765" w14:textId="580D04E1" w:rsidR="00E4281B" w:rsidRDefault="00F72330" w:rsidP="00F72330">
      <w:pPr>
        <w:pStyle w:val="CDIfootnotes"/>
        <w:rPr>
          <w:sz w:val="24"/>
          <w:szCs w:val="24"/>
        </w:rPr>
      </w:pPr>
      <w:proofErr w:type="spellStart"/>
      <w:r>
        <w:t>a</w:t>
      </w:r>
      <w:proofErr w:type="spellEnd"/>
      <w:r>
        <w:tab/>
      </w:r>
      <w:r w:rsidR="00E4281B">
        <w:t>This figure shows the variation in combinations of symptoms observ</w:t>
      </w:r>
      <w:r w:rsidR="00A36421">
        <w:t>ed in reported cases (n = 5,</w:t>
      </w:r>
      <w:r w:rsidR="007E07F5">
        <w:t>863</w:t>
      </w:r>
      <w:r w:rsidR="00E4281B">
        <w:t xml:space="preserve"> for the five most frequently observed symptoms (cough, fever, sore throat, headache, runny nose). The horizontal bars on the left show the frequency of symptom occurrence in any combination with other symptoms. The circles and lines indicate particular combinations of symptoms observed in individual patients. The vertical green bars indicate the frequency of occurrence of the corresponding combination of </w:t>
      </w:r>
      <w:proofErr w:type="gramStart"/>
      <w:r w:rsidR="00E4281B">
        <w:t>symptoms</w:t>
      </w:r>
      <w:proofErr w:type="gramEnd"/>
    </w:p>
    <w:p w14:paraId="13FC1B21" w14:textId="77777777" w:rsidR="00473A06" w:rsidRDefault="00473A06" w:rsidP="00650D81">
      <w:pPr>
        <w:spacing w:after="0" w:line="240" w:lineRule="auto"/>
        <w:ind w:left="66"/>
        <w:rPr>
          <w:sz w:val="24"/>
          <w:szCs w:val="24"/>
        </w:rPr>
        <w:sectPr w:rsidR="00473A06" w:rsidSect="00210B3A">
          <w:footnotePr>
            <w:numFmt w:val="lowerRoman"/>
          </w:footnotePr>
          <w:pgSz w:w="16838" w:h="11906" w:orient="landscape"/>
          <w:pgMar w:top="851" w:right="709" w:bottom="851" w:left="425" w:header="709" w:footer="709" w:gutter="0"/>
          <w:cols w:space="708"/>
          <w:docGrid w:linePitch="360"/>
        </w:sectPr>
      </w:pPr>
    </w:p>
    <w:p w14:paraId="49A987DF" w14:textId="77777777" w:rsidR="00E4281B" w:rsidRPr="00E0377A" w:rsidRDefault="00E4281B" w:rsidP="00E0377A">
      <w:pPr>
        <w:pStyle w:val="Heading2"/>
      </w:pPr>
      <w:r w:rsidRPr="00E0377A">
        <w:lastRenderedPageBreak/>
        <w:t xml:space="preserve">Severity </w:t>
      </w:r>
    </w:p>
    <w:p w14:paraId="45B5801E" w14:textId="1D584D40" w:rsidR="00F72D09" w:rsidRDefault="00F72D09" w:rsidP="00E0377A">
      <w:r w:rsidRPr="00731BF0">
        <w:t xml:space="preserve">Of total cases of </w:t>
      </w:r>
      <w:r w:rsidRPr="001303C7">
        <w:t>COVID-</w:t>
      </w:r>
      <w:r w:rsidRPr="001F36D9">
        <w:t xml:space="preserve">19 (n = 6,606) notified, </w:t>
      </w:r>
      <w:r w:rsidR="008365BD">
        <w:t>810 (</w:t>
      </w:r>
      <w:r w:rsidRPr="001F36D9">
        <w:t>12%</w:t>
      </w:r>
      <w:r w:rsidR="008365BD">
        <w:t>)</w:t>
      </w:r>
      <w:r w:rsidRPr="001F36D9">
        <w:t xml:space="preserve"> were admitted to hospital</w:t>
      </w:r>
      <w:r w:rsidR="00C011C9">
        <w:t>. T</w:t>
      </w:r>
      <w:r w:rsidRPr="001F36D9">
        <w:t xml:space="preserve">his is substantially less </w:t>
      </w:r>
      <w:r w:rsidR="00DC25A6">
        <w:t xml:space="preserve">than </w:t>
      </w:r>
      <w:r w:rsidRPr="001F36D9">
        <w:t>the proportion of diagnosed cases requiring hospitalisation reported from EU/EEA countries (32%).</w:t>
      </w:r>
      <w:r w:rsidR="002C7B31">
        <w:rPr>
          <w:vertAlign w:val="superscript"/>
        </w:rPr>
        <w:t>1</w:t>
      </w:r>
      <w:r w:rsidRPr="001F36D9">
        <w:t xml:space="preserve"> </w:t>
      </w:r>
      <w:r w:rsidRPr="00001DC0">
        <w:t xml:space="preserve">The median age of hospitalised </w:t>
      </w:r>
      <w:r w:rsidRPr="001F36D9">
        <w:t>cases was 60.5 years (interquartile range: 42–72 years), with the highest proportion of hospitalised cases in the 60–69 years and 70–79 years age groups. The most commonly reported comorbid conditions among hospitalised cases were cardiac disease, diabetes (each 19%) and chronic respiratory condition (14%). Obesity was reported as a comorbid condition by 8% (n=41) of hospitalised cases</w:t>
      </w:r>
      <w:r w:rsidRPr="00C558AC">
        <w:rPr>
          <w:color w:val="FF0000"/>
        </w:rPr>
        <w:t>.</w:t>
      </w:r>
    </w:p>
    <w:p w14:paraId="3D232C5E" w14:textId="16ABAE21" w:rsidR="00F72D09" w:rsidRPr="001F36D9" w:rsidRDefault="00F72D09" w:rsidP="00E0377A">
      <w:r w:rsidRPr="00731BF0">
        <w:t xml:space="preserve">Of the hospitalised COVID-19 </w:t>
      </w:r>
      <w:r w:rsidRPr="001F36D9">
        <w:t xml:space="preserve">cases, 17% (n = 141) were admitted to an intensive care unit (ICU), with 39 cases receiving ventilation. The most commonly reported comorbid conditions among cases admitted to an ICU were diabetes (24%) and cardiac disease (22%), which is similar to those reported among hospitalised cases. However, a greater proportion of cases admitted to an ICU and receiving ventilation reported being obese (15% and 26% respectively). </w:t>
      </w:r>
    </w:p>
    <w:p w14:paraId="33A2CA33" w14:textId="4DAC1422" w:rsidR="002001DA" w:rsidRDefault="002001DA" w:rsidP="00E0377A">
      <w:r w:rsidRPr="00731BF0">
        <w:t>The median time between onset of sympt</w:t>
      </w:r>
      <w:r w:rsidR="00C011C9">
        <w:t>oms and laboratory testing was 2</w:t>
      </w:r>
      <w:r w:rsidRPr="00731BF0">
        <w:t xml:space="preserve"> days (</w:t>
      </w:r>
      <w:r w:rsidR="00BC12B7">
        <w:t>IQR</w:t>
      </w:r>
      <w:r w:rsidR="00C011C9">
        <w:t>: 1–4</w:t>
      </w:r>
      <w:r w:rsidRPr="00731BF0">
        <w:t xml:space="preserve"> days).</w:t>
      </w:r>
    </w:p>
    <w:p w14:paraId="56229338" w14:textId="3ED738D3" w:rsidR="00B62FB0" w:rsidRPr="00B62FB0" w:rsidRDefault="00B62FB0" w:rsidP="00B62FB0">
      <w:pPr>
        <w:pStyle w:val="CDIFigures"/>
      </w:pPr>
      <w:r w:rsidRPr="00F72D09">
        <w:t xml:space="preserve">Table </w:t>
      </w:r>
      <w:r w:rsidR="00161059">
        <w:t>6</w:t>
      </w:r>
      <w:r w:rsidRPr="00F72D09">
        <w:t xml:space="preserve">: </w:t>
      </w:r>
      <w:r>
        <w:t xml:space="preserve">Common COVID-19 comorbidities for </w:t>
      </w:r>
      <w:r w:rsidRPr="00B62FB0">
        <w:t>all cases, hospitalised cases</w:t>
      </w:r>
      <w:r>
        <w:t xml:space="preserve">, cases admitted to ICU and cases ventilated in </w:t>
      </w:r>
      <w:proofErr w:type="gramStart"/>
      <w:r>
        <w:t>ICU</w:t>
      </w:r>
      <w:proofErr w:type="gramEnd"/>
      <w:r w:rsidRPr="00B62FB0">
        <w:t xml:space="preserve"> </w:t>
      </w:r>
    </w:p>
    <w:tbl>
      <w:tblPr>
        <w:tblStyle w:val="CDI-Standard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Table 6 summarises the incidence of common COVID-19 comorbidities (cardiac disease, diabetes, chronic respiratory condition and obesity) for all cases, hospitalised cases, cased admitted to ICU, and cases ventilated in ICU. These comorbidities are all more prevalent (by at least a factor of 2) among hospitalised cases than among all cases."/>
      </w:tblPr>
      <w:tblGrid>
        <w:gridCol w:w="2525"/>
        <w:gridCol w:w="1455"/>
        <w:gridCol w:w="1716"/>
        <w:gridCol w:w="1650"/>
        <w:gridCol w:w="2729"/>
      </w:tblGrid>
      <w:tr w:rsidR="00B846C9" w:rsidRPr="00B846C9" w14:paraId="2FD24530" w14:textId="77777777" w:rsidTr="00885347">
        <w:trPr>
          <w:cnfStyle w:val="100000000000" w:firstRow="1" w:lastRow="0" w:firstColumn="0" w:lastColumn="0" w:oddVBand="0" w:evenVBand="0" w:oddHBand="0" w:evenHBand="0" w:firstRowFirstColumn="0" w:firstRowLastColumn="0" w:lastRowFirstColumn="0" w:lastRowLastColumn="0"/>
          <w:tblHeader/>
        </w:trPr>
        <w:tc>
          <w:tcPr>
            <w:tcW w:w="2525" w:type="dxa"/>
          </w:tcPr>
          <w:p w14:paraId="0969F7D4" w14:textId="77777777" w:rsidR="00F72D09" w:rsidRPr="00B846C9" w:rsidRDefault="00F72D09" w:rsidP="00F72D09">
            <w:pPr>
              <w:rPr>
                <w:color w:val="FFFFFF" w:themeColor="background1"/>
              </w:rPr>
            </w:pPr>
          </w:p>
        </w:tc>
        <w:tc>
          <w:tcPr>
            <w:tcW w:w="1455" w:type="dxa"/>
          </w:tcPr>
          <w:p w14:paraId="41554626" w14:textId="5FDD0620" w:rsidR="00F72D09" w:rsidRPr="00B846C9" w:rsidRDefault="00F72D09" w:rsidP="00C76B17">
            <w:pPr>
              <w:jc w:val="center"/>
              <w:rPr>
                <w:color w:val="FFFFFF" w:themeColor="background1"/>
                <w:vertAlign w:val="superscript"/>
              </w:rPr>
            </w:pPr>
            <w:r w:rsidRPr="00B846C9">
              <w:rPr>
                <w:color w:val="FFFFFF" w:themeColor="background1"/>
              </w:rPr>
              <w:t>All cases (n</w:t>
            </w:r>
            <w:r w:rsidR="00C76B17" w:rsidRPr="00B846C9">
              <w:rPr>
                <w:color w:val="FFFFFF" w:themeColor="background1"/>
              </w:rPr>
              <w:t xml:space="preserve"> </w:t>
            </w:r>
            <w:r w:rsidRPr="00B846C9">
              <w:rPr>
                <w:color w:val="FFFFFF" w:themeColor="background1"/>
              </w:rPr>
              <w:t>=</w:t>
            </w:r>
            <w:r w:rsidR="00C76B17" w:rsidRPr="00B846C9">
              <w:rPr>
                <w:color w:val="FFFFFF" w:themeColor="background1"/>
              </w:rPr>
              <w:t xml:space="preserve"> </w:t>
            </w:r>
            <w:r w:rsidRPr="00B846C9">
              <w:rPr>
                <w:color w:val="FFFFFF" w:themeColor="background1"/>
              </w:rPr>
              <w:t>4,072)</w:t>
            </w:r>
            <w:r w:rsidR="00DC25A6" w:rsidRPr="00B846C9">
              <w:rPr>
                <w:color w:val="FFFFFF" w:themeColor="background1"/>
                <w:vertAlign w:val="superscript"/>
              </w:rPr>
              <w:t>a</w:t>
            </w:r>
          </w:p>
        </w:tc>
        <w:tc>
          <w:tcPr>
            <w:tcW w:w="1716" w:type="dxa"/>
          </w:tcPr>
          <w:p w14:paraId="7F70FA3D" w14:textId="3D40F64F" w:rsidR="00F72D09" w:rsidRPr="00B846C9" w:rsidRDefault="00F72D09" w:rsidP="00DC25A6">
            <w:pPr>
              <w:jc w:val="center"/>
              <w:rPr>
                <w:color w:val="FFFFFF" w:themeColor="background1"/>
                <w:vertAlign w:val="superscript"/>
              </w:rPr>
            </w:pPr>
            <w:r w:rsidRPr="00B846C9">
              <w:rPr>
                <w:color w:val="FFFFFF" w:themeColor="background1"/>
              </w:rPr>
              <w:t>Hospitalised cases (n = 497)</w:t>
            </w:r>
            <w:r w:rsidR="00DC25A6" w:rsidRPr="00B846C9">
              <w:rPr>
                <w:color w:val="FFFFFF" w:themeColor="background1"/>
                <w:vertAlign w:val="superscript"/>
              </w:rPr>
              <w:t>a</w:t>
            </w:r>
          </w:p>
        </w:tc>
        <w:tc>
          <w:tcPr>
            <w:tcW w:w="1650" w:type="dxa"/>
          </w:tcPr>
          <w:p w14:paraId="2C3CFF95" w14:textId="0035FD3C" w:rsidR="00F72D09" w:rsidRPr="00B846C9" w:rsidRDefault="00F72D09" w:rsidP="00DC25A6">
            <w:pPr>
              <w:jc w:val="center"/>
              <w:rPr>
                <w:color w:val="FFFFFF" w:themeColor="background1"/>
                <w:vertAlign w:val="superscript"/>
              </w:rPr>
            </w:pPr>
            <w:r w:rsidRPr="00B846C9">
              <w:rPr>
                <w:color w:val="FFFFFF" w:themeColor="background1"/>
              </w:rPr>
              <w:t>Cases admitted to ICU (n = 104)</w:t>
            </w:r>
            <w:r w:rsidR="00DC25A6" w:rsidRPr="00B846C9">
              <w:rPr>
                <w:color w:val="FFFFFF" w:themeColor="background1"/>
                <w:vertAlign w:val="superscript"/>
              </w:rPr>
              <w:t>a</w:t>
            </w:r>
          </w:p>
        </w:tc>
        <w:tc>
          <w:tcPr>
            <w:tcW w:w="2729" w:type="dxa"/>
          </w:tcPr>
          <w:p w14:paraId="3B25AFB3" w14:textId="324093AE" w:rsidR="00F72D09" w:rsidRPr="00B846C9" w:rsidRDefault="00F72D09" w:rsidP="00DC25A6">
            <w:pPr>
              <w:jc w:val="center"/>
              <w:rPr>
                <w:color w:val="FFFFFF" w:themeColor="background1"/>
                <w:vertAlign w:val="superscript"/>
              </w:rPr>
            </w:pPr>
            <w:r w:rsidRPr="00B846C9">
              <w:rPr>
                <w:color w:val="FFFFFF" w:themeColor="background1"/>
              </w:rPr>
              <w:t>Cases ventilated in ICU (n = 28)</w:t>
            </w:r>
            <w:r w:rsidR="00DC25A6" w:rsidRPr="00B846C9">
              <w:rPr>
                <w:color w:val="FFFFFF" w:themeColor="background1"/>
                <w:vertAlign w:val="superscript"/>
              </w:rPr>
              <w:t>a</w:t>
            </w:r>
          </w:p>
        </w:tc>
      </w:tr>
      <w:tr w:rsidR="00F72D09" w14:paraId="645CAFA2" w14:textId="77777777" w:rsidTr="00B846C9">
        <w:tblPrEx>
          <w:tblCellMar>
            <w:top w:w="0" w:type="dxa"/>
            <w:left w:w="108" w:type="dxa"/>
            <w:bottom w:w="0" w:type="dxa"/>
            <w:right w:w="108" w:type="dxa"/>
          </w:tblCellMar>
        </w:tblPrEx>
        <w:trPr>
          <w:trHeight w:val="340"/>
        </w:trPr>
        <w:tc>
          <w:tcPr>
            <w:tcW w:w="2525" w:type="dxa"/>
          </w:tcPr>
          <w:p w14:paraId="30B51024" w14:textId="77777777" w:rsidR="00F72D09" w:rsidRDefault="00F72D09" w:rsidP="00F72D09">
            <w:r>
              <w:t>Cardiac disease</w:t>
            </w:r>
          </w:p>
        </w:tc>
        <w:tc>
          <w:tcPr>
            <w:tcW w:w="1455" w:type="dxa"/>
          </w:tcPr>
          <w:p w14:paraId="2D38F66B" w14:textId="77777777" w:rsidR="00F72D09" w:rsidRDefault="00F72D09" w:rsidP="00F72D09">
            <w:pPr>
              <w:jc w:val="center"/>
            </w:pPr>
            <w:r>
              <w:t>354 (9%)</w:t>
            </w:r>
          </w:p>
        </w:tc>
        <w:tc>
          <w:tcPr>
            <w:tcW w:w="1716" w:type="dxa"/>
          </w:tcPr>
          <w:p w14:paraId="7D522954" w14:textId="77777777" w:rsidR="00F72D09" w:rsidRDefault="00F72D09" w:rsidP="00F72D09">
            <w:pPr>
              <w:jc w:val="center"/>
            </w:pPr>
            <w:r>
              <w:t>93 (19%)</w:t>
            </w:r>
          </w:p>
        </w:tc>
        <w:tc>
          <w:tcPr>
            <w:tcW w:w="1650" w:type="dxa"/>
          </w:tcPr>
          <w:p w14:paraId="54088023" w14:textId="77777777" w:rsidR="00F72D09" w:rsidRDefault="00F72D09" w:rsidP="00F72D09">
            <w:pPr>
              <w:jc w:val="center"/>
            </w:pPr>
            <w:r>
              <w:t>23 (22%)</w:t>
            </w:r>
          </w:p>
        </w:tc>
        <w:tc>
          <w:tcPr>
            <w:tcW w:w="2729" w:type="dxa"/>
          </w:tcPr>
          <w:p w14:paraId="6528AC09" w14:textId="77777777" w:rsidR="00F72D09" w:rsidRDefault="00F72D09" w:rsidP="00F72D09">
            <w:pPr>
              <w:jc w:val="center"/>
            </w:pPr>
            <w:r>
              <w:t>6 (22%)</w:t>
            </w:r>
          </w:p>
        </w:tc>
      </w:tr>
      <w:tr w:rsidR="00F72D09" w14:paraId="6E49E2CD" w14:textId="77777777" w:rsidTr="00B846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Height w:val="340"/>
        </w:trPr>
        <w:tc>
          <w:tcPr>
            <w:tcW w:w="2525" w:type="dxa"/>
          </w:tcPr>
          <w:p w14:paraId="52CAB5F0" w14:textId="77777777" w:rsidR="00F72D09" w:rsidRDefault="00F72D09" w:rsidP="00F72D09">
            <w:r>
              <w:t>Diabetes</w:t>
            </w:r>
          </w:p>
        </w:tc>
        <w:tc>
          <w:tcPr>
            <w:tcW w:w="1455" w:type="dxa"/>
          </w:tcPr>
          <w:p w14:paraId="45B29B18" w14:textId="77777777" w:rsidR="00F72D09" w:rsidRDefault="00F72D09" w:rsidP="00F72D09">
            <w:pPr>
              <w:jc w:val="center"/>
            </w:pPr>
            <w:r>
              <w:t>311 (8%)</w:t>
            </w:r>
          </w:p>
        </w:tc>
        <w:tc>
          <w:tcPr>
            <w:tcW w:w="1716" w:type="dxa"/>
          </w:tcPr>
          <w:p w14:paraId="6FF4B890" w14:textId="77777777" w:rsidR="00F72D09" w:rsidRDefault="00F72D09" w:rsidP="00F72D09">
            <w:pPr>
              <w:jc w:val="center"/>
            </w:pPr>
            <w:r>
              <w:t>96 (19%)</w:t>
            </w:r>
          </w:p>
        </w:tc>
        <w:tc>
          <w:tcPr>
            <w:tcW w:w="1650" w:type="dxa"/>
          </w:tcPr>
          <w:p w14:paraId="1A596C25" w14:textId="77777777" w:rsidR="00F72D09" w:rsidRDefault="00F72D09" w:rsidP="00F72D09">
            <w:pPr>
              <w:jc w:val="center"/>
            </w:pPr>
            <w:r>
              <w:t>25 (24%)</w:t>
            </w:r>
          </w:p>
        </w:tc>
        <w:tc>
          <w:tcPr>
            <w:tcW w:w="2729" w:type="dxa"/>
          </w:tcPr>
          <w:p w14:paraId="7396766B" w14:textId="77777777" w:rsidR="00F72D09" w:rsidRDefault="00F72D09" w:rsidP="00F72D09">
            <w:pPr>
              <w:jc w:val="center"/>
            </w:pPr>
            <w:r>
              <w:t>8 (30%)</w:t>
            </w:r>
          </w:p>
        </w:tc>
      </w:tr>
      <w:tr w:rsidR="00F72D09" w14:paraId="5D779D7A" w14:textId="77777777" w:rsidTr="00B846C9">
        <w:tblPrEx>
          <w:tblCellMar>
            <w:top w:w="0" w:type="dxa"/>
            <w:left w:w="108" w:type="dxa"/>
            <w:bottom w:w="0" w:type="dxa"/>
            <w:right w:w="108" w:type="dxa"/>
          </w:tblCellMar>
        </w:tblPrEx>
        <w:trPr>
          <w:trHeight w:val="340"/>
        </w:trPr>
        <w:tc>
          <w:tcPr>
            <w:tcW w:w="2525" w:type="dxa"/>
          </w:tcPr>
          <w:p w14:paraId="238EBD19" w14:textId="77777777" w:rsidR="00F72D09" w:rsidRDefault="00F72D09" w:rsidP="00F72D09">
            <w:r>
              <w:t>Chronic respiratory condition</w:t>
            </w:r>
          </w:p>
        </w:tc>
        <w:tc>
          <w:tcPr>
            <w:tcW w:w="1455" w:type="dxa"/>
          </w:tcPr>
          <w:p w14:paraId="35F92DD7" w14:textId="77777777" w:rsidR="00F72D09" w:rsidRDefault="00F72D09" w:rsidP="00F72D09">
            <w:pPr>
              <w:jc w:val="center"/>
            </w:pPr>
            <w:r>
              <w:t>153 (4%)</w:t>
            </w:r>
          </w:p>
        </w:tc>
        <w:tc>
          <w:tcPr>
            <w:tcW w:w="1716" w:type="dxa"/>
          </w:tcPr>
          <w:p w14:paraId="33606F11" w14:textId="77777777" w:rsidR="00F72D09" w:rsidRDefault="00F72D09" w:rsidP="00F72D09">
            <w:pPr>
              <w:jc w:val="center"/>
            </w:pPr>
            <w:r>
              <w:t>70 (14%)</w:t>
            </w:r>
          </w:p>
        </w:tc>
        <w:tc>
          <w:tcPr>
            <w:tcW w:w="1650" w:type="dxa"/>
          </w:tcPr>
          <w:p w14:paraId="1591B07A" w14:textId="77777777" w:rsidR="00F72D09" w:rsidRDefault="00F72D09" w:rsidP="00F72D09">
            <w:pPr>
              <w:jc w:val="center"/>
            </w:pPr>
            <w:r>
              <w:t>13 (13%)</w:t>
            </w:r>
          </w:p>
        </w:tc>
        <w:tc>
          <w:tcPr>
            <w:tcW w:w="2729" w:type="dxa"/>
          </w:tcPr>
          <w:p w14:paraId="112BEEDF" w14:textId="77777777" w:rsidR="00F72D09" w:rsidRDefault="00F72D09" w:rsidP="00F72D09">
            <w:pPr>
              <w:jc w:val="center"/>
            </w:pPr>
            <w:r>
              <w:t>2 (7%)</w:t>
            </w:r>
          </w:p>
        </w:tc>
      </w:tr>
      <w:tr w:rsidR="00F72D09" w14:paraId="67D12AFC" w14:textId="77777777" w:rsidTr="00B846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Height w:val="340"/>
        </w:trPr>
        <w:tc>
          <w:tcPr>
            <w:tcW w:w="2525" w:type="dxa"/>
          </w:tcPr>
          <w:p w14:paraId="50E14190" w14:textId="77777777" w:rsidR="00F72D09" w:rsidRDefault="00F72D09" w:rsidP="00F72D09">
            <w:r>
              <w:t>Obesity</w:t>
            </w:r>
          </w:p>
        </w:tc>
        <w:tc>
          <w:tcPr>
            <w:tcW w:w="1455" w:type="dxa"/>
          </w:tcPr>
          <w:p w14:paraId="6C9D0EE5" w14:textId="77777777" w:rsidR="00F72D09" w:rsidRDefault="00F72D09" w:rsidP="00F72D09">
            <w:pPr>
              <w:jc w:val="center"/>
            </w:pPr>
            <w:r>
              <w:t>171 (4%)</w:t>
            </w:r>
          </w:p>
        </w:tc>
        <w:tc>
          <w:tcPr>
            <w:tcW w:w="1716" w:type="dxa"/>
          </w:tcPr>
          <w:p w14:paraId="6051625F" w14:textId="77777777" w:rsidR="00F72D09" w:rsidRDefault="00F72D09" w:rsidP="00F72D09">
            <w:pPr>
              <w:jc w:val="center"/>
            </w:pPr>
            <w:r>
              <w:t>41 (8%)</w:t>
            </w:r>
          </w:p>
        </w:tc>
        <w:tc>
          <w:tcPr>
            <w:tcW w:w="1650" w:type="dxa"/>
          </w:tcPr>
          <w:p w14:paraId="2D37C808" w14:textId="77777777" w:rsidR="00F72D09" w:rsidRDefault="00F72D09" w:rsidP="00F72D09">
            <w:pPr>
              <w:jc w:val="center"/>
            </w:pPr>
            <w:r>
              <w:t>16 (15%)</w:t>
            </w:r>
          </w:p>
        </w:tc>
        <w:tc>
          <w:tcPr>
            <w:tcW w:w="2729" w:type="dxa"/>
          </w:tcPr>
          <w:p w14:paraId="50019580" w14:textId="77777777" w:rsidR="00F72D09" w:rsidRDefault="00F72D09" w:rsidP="00F72D09">
            <w:pPr>
              <w:jc w:val="center"/>
            </w:pPr>
            <w:r>
              <w:t>7 (26%)</w:t>
            </w:r>
          </w:p>
        </w:tc>
      </w:tr>
    </w:tbl>
    <w:p w14:paraId="5E6AFD6E" w14:textId="726E4C7B" w:rsidR="00F72D09" w:rsidRPr="00731BF0" w:rsidRDefault="00085920" w:rsidP="00B846C9">
      <w:pPr>
        <w:pStyle w:val="CDIfootnotes"/>
      </w:pPr>
      <w:r>
        <w:t>a</w:t>
      </w:r>
      <w:r>
        <w:tab/>
      </w:r>
      <w:r w:rsidR="00F72D09">
        <w:t>Excludes those with missing data on comorbidities or where comorbidity</w:t>
      </w:r>
      <w:r w:rsidR="00C011C9">
        <w:t xml:space="preserve"> is unknown</w:t>
      </w:r>
    </w:p>
    <w:p w14:paraId="498956C7" w14:textId="0F93758B" w:rsidR="00F72D09" w:rsidRPr="001F36D9" w:rsidRDefault="00F72D09" w:rsidP="00B846C9">
      <w:r w:rsidRPr="001F36D9">
        <w:t>Sixty-nine COVID-19 associated deaths were confirmed in Australia up to 19 April 2020. The median age of cases who died was 79 years (</w:t>
      </w:r>
      <w:r w:rsidR="00BC12B7">
        <w:t>IQR</w:t>
      </w:r>
      <w:r w:rsidRPr="001F36D9">
        <w:t>: 74–84 years). Forty-two of the cases were male and 27 were female. The most commonly reported comorbid conditions among COVID-19 deaths were diabetes (33%), cardiac disease (27%) and chronic respiratory disease (24%).</w:t>
      </w:r>
    </w:p>
    <w:p w14:paraId="66092711" w14:textId="77777777" w:rsidR="00E4281B" w:rsidRDefault="00E4281B">
      <w:pPr>
        <w:spacing w:before="200"/>
        <w:rPr>
          <w:rFonts w:asciiTheme="majorHAnsi" w:eastAsiaTheme="majorEastAsia" w:hAnsiTheme="majorHAnsi" w:cstheme="majorBidi"/>
          <w:b/>
          <w:bCs/>
          <w:sz w:val="26"/>
          <w:szCs w:val="26"/>
        </w:rPr>
      </w:pPr>
      <w:r>
        <w:br w:type="page"/>
      </w:r>
    </w:p>
    <w:p w14:paraId="082CABC5" w14:textId="77777777" w:rsidR="00E4281B" w:rsidRPr="00B846C9" w:rsidRDefault="00E4281B" w:rsidP="00B846C9">
      <w:pPr>
        <w:pStyle w:val="Heading2"/>
      </w:pPr>
      <w:r w:rsidRPr="00B846C9">
        <w:lastRenderedPageBreak/>
        <w:t>Public health response</w:t>
      </w:r>
    </w:p>
    <w:p w14:paraId="07A747B3" w14:textId="6C6F2DA6" w:rsidR="002C7B31" w:rsidRDefault="00077661" w:rsidP="00B846C9">
      <w:r w:rsidRPr="005454B9">
        <w:t>Since COVID-19 first emerged internationally, Australia has impl</w:t>
      </w:r>
      <w:r>
        <w:t xml:space="preserve">emented public health measures </w:t>
      </w:r>
      <w:r w:rsidRPr="005454B9">
        <w:t>in response to the disease</w:t>
      </w:r>
      <w:r>
        <w:t>’</w:t>
      </w:r>
      <w:r w:rsidRPr="005454B9">
        <w:t xml:space="preserve">s epidemiology, both overseas and in Australia. </w:t>
      </w:r>
      <w:r w:rsidR="002C7B31" w:rsidRPr="002C7B31">
        <w:t xml:space="preserve">These measures are focused on restrictions on domestic and international travel and public gatherings; priorities for testing and quarantining of suspected cases and close contacts; guidance on effective social distancing; and the protection of vulnerable populations such as those in residential care facilities and remote Aboriginal and Torres Strait Islander communities. Key aspects of Australia's evolving public health response are summarised in Table </w:t>
      </w:r>
      <w:r w:rsidR="002C7B31">
        <w:t>7</w:t>
      </w:r>
      <w:r w:rsidR="002C7B31" w:rsidRPr="002C7B31">
        <w:t>.</w:t>
      </w:r>
    </w:p>
    <w:p w14:paraId="0B7959BA" w14:textId="53F068C1" w:rsidR="00077661" w:rsidRPr="00731BF0" w:rsidRDefault="00077661" w:rsidP="00B846C9">
      <w:r w:rsidRPr="005454B9">
        <w:t>During the current report</w:t>
      </w:r>
      <w:r w:rsidRPr="005454B9">
        <w:softHyphen/>
        <w:t>ing period, the Australian Health Protection Principal Committee (AHPPC) ha</w:t>
      </w:r>
      <w:r>
        <w:t>s</w:t>
      </w:r>
      <w:r w:rsidRPr="005454B9">
        <w:t xml:space="preserve"> issued advice to inform the national public health res</w:t>
      </w:r>
      <w:r>
        <w:t xml:space="preserve">ponse to the pandemic including </w:t>
      </w:r>
      <w:r w:rsidRPr="00D06BF4">
        <w:t>practical guidance and advice for school leaders engaging with children, parents, teachers, and support staff to reduce even further the relatively low risk of COVID-19 transmission in schools. AHPPC has also released a statement on the next phase of modelling to better understand the present state of the epidemic, and to define the effectiveness of current public health interventions in reducing COVID-19 transmission to shape future decisions on response strategies.</w:t>
      </w:r>
      <w:r w:rsidR="00F91DC6">
        <w:rPr>
          <w:vertAlign w:val="superscript"/>
        </w:rPr>
        <w:t>5</w:t>
      </w:r>
    </w:p>
    <w:p w14:paraId="361007FB" w14:textId="77777777" w:rsidR="00E4281B" w:rsidRDefault="00E4281B" w:rsidP="00650D81">
      <w:pPr>
        <w:pStyle w:val="CDIFigures"/>
        <w:sectPr w:rsidR="00E4281B" w:rsidSect="00650D81">
          <w:footnotePr>
            <w:numFmt w:val="lowerRoman"/>
          </w:footnotePr>
          <w:pgSz w:w="11906" w:h="16838"/>
          <w:pgMar w:top="709" w:right="851" w:bottom="425" w:left="851" w:header="709" w:footer="709" w:gutter="0"/>
          <w:cols w:space="708"/>
          <w:docGrid w:linePitch="360"/>
        </w:sectPr>
      </w:pPr>
    </w:p>
    <w:p w14:paraId="200F0911" w14:textId="0A363867" w:rsidR="00E4281B" w:rsidRPr="00B846C9" w:rsidRDefault="00161059" w:rsidP="00B846C9">
      <w:pPr>
        <w:pStyle w:val="CDIFigures"/>
      </w:pPr>
      <w:r w:rsidRPr="00B846C9">
        <w:lastRenderedPageBreak/>
        <w:t>Table 7</w:t>
      </w:r>
      <w:r w:rsidR="00E4281B" w:rsidRPr="00B846C9">
        <w:t>: Timeline of key COVID-19 related events, including Australian public health response activi</w:t>
      </w:r>
      <w:r w:rsidR="00C7142F" w:rsidRPr="00B846C9">
        <w:t xml:space="preserve">ties, from </w:t>
      </w:r>
      <w:r w:rsidR="00C76B17" w:rsidRPr="00B846C9">
        <w:t>1</w:t>
      </w:r>
      <w:r w:rsidR="00597000">
        <w:t> </w:t>
      </w:r>
      <w:r w:rsidR="00C76B17" w:rsidRPr="00B846C9">
        <w:t>March</w:t>
      </w:r>
      <w:r w:rsidR="00C7142F" w:rsidRPr="00B846C9">
        <w:t xml:space="preserve"> to 1</w:t>
      </w:r>
      <w:r w:rsidR="00BF48D4" w:rsidRPr="00B846C9">
        <w:t>9</w:t>
      </w:r>
      <w:r w:rsidR="00E4281B" w:rsidRPr="00B846C9">
        <w:t xml:space="preserve"> April 2020</w:t>
      </w:r>
    </w:p>
    <w:tbl>
      <w:tblPr>
        <w:tblStyle w:val="CDI-StandardTable"/>
        <w:tblW w:w="0" w:type="auto"/>
        <w:tblBorders>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Description w:val="Timeline of COVID-19 related events from 31 December 2019 to 19 April 2020, with a focus on aspects of Australian public health response activities including travel restrictions, border closures and quarantine requirements.&#10;"/>
      </w:tblPr>
      <w:tblGrid>
        <w:gridCol w:w="2268"/>
        <w:gridCol w:w="7936"/>
      </w:tblGrid>
      <w:tr w:rsidR="00D37854" w:rsidRPr="00B846C9" w14:paraId="590468DA" w14:textId="77777777" w:rsidTr="00650D81">
        <w:trPr>
          <w:cnfStyle w:val="100000000000" w:firstRow="1" w:lastRow="0" w:firstColumn="0" w:lastColumn="0" w:oddVBand="0" w:evenVBand="0" w:oddHBand="0" w:evenHBand="0" w:firstRowFirstColumn="0" w:firstRowLastColumn="0" w:lastRowFirstColumn="0" w:lastRowLastColumn="0"/>
          <w:tblHeader/>
        </w:trPr>
        <w:tc>
          <w:tcPr>
            <w:tcW w:w="2268" w:type="dxa"/>
          </w:tcPr>
          <w:p w14:paraId="7BDBA5B1" w14:textId="77777777" w:rsidR="00E4281B" w:rsidRPr="00B846C9" w:rsidRDefault="00E4281B" w:rsidP="00650D81">
            <w:pPr>
              <w:rPr>
                <w:rFonts w:cs="Arial"/>
                <w:color w:val="FFFFFF" w:themeColor="background1"/>
                <w:sz w:val="24"/>
                <w:szCs w:val="24"/>
              </w:rPr>
            </w:pPr>
            <w:r w:rsidRPr="00B846C9">
              <w:rPr>
                <w:rFonts w:cs="Arial"/>
                <w:color w:val="FFFFFF" w:themeColor="background1"/>
                <w:sz w:val="24"/>
                <w:szCs w:val="24"/>
              </w:rPr>
              <w:t>Date</w:t>
            </w:r>
          </w:p>
        </w:tc>
        <w:tc>
          <w:tcPr>
            <w:tcW w:w="7936" w:type="dxa"/>
          </w:tcPr>
          <w:p w14:paraId="3470734F" w14:textId="77777777" w:rsidR="00E4281B" w:rsidRPr="00B846C9" w:rsidRDefault="00E4281B" w:rsidP="00650D81">
            <w:pPr>
              <w:rPr>
                <w:rFonts w:cs="Arial"/>
                <w:color w:val="FFFFFF" w:themeColor="background1"/>
                <w:sz w:val="24"/>
                <w:szCs w:val="24"/>
              </w:rPr>
            </w:pPr>
            <w:r w:rsidRPr="00B846C9">
              <w:rPr>
                <w:rFonts w:cs="Arial"/>
                <w:color w:val="FFFFFF" w:themeColor="background1"/>
                <w:sz w:val="24"/>
                <w:szCs w:val="24"/>
              </w:rPr>
              <w:t>Event / response activity</w:t>
            </w:r>
          </w:p>
        </w:tc>
      </w:tr>
      <w:tr w:rsidR="00077661" w:rsidRPr="0009500D" w14:paraId="61CBD9AE" w14:textId="77777777" w:rsidTr="00650D81">
        <w:trPr>
          <w:trHeight w:val="907"/>
        </w:trPr>
        <w:tc>
          <w:tcPr>
            <w:tcW w:w="2268" w:type="dxa"/>
            <w:shd w:val="clear" w:color="auto" w:fill="auto"/>
          </w:tcPr>
          <w:p w14:paraId="7271C535" w14:textId="36425C3D" w:rsidR="00077661" w:rsidRPr="0009500D" w:rsidRDefault="00077661" w:rsidP="00077661">
            <w:r w:rsidRPr="0009500D">
              <w:t>16 April 2020</w:t>
            </w:r>
          </w:p>
        </w:tc>
        <w:tc>
          <w:tcPr>
            <w:tcW w:w="7936" w:type="dxa"/>
            <w:shd w:val="clear" w:color="auto" w:fill="auto"/>
          </w:tcPr>
          <w:p w14:paraId="11A77F50" w14:textId="0AB4047A" w:rsidR="00077661" w:rsidRPr="0009500D" w:rsidRDefault="00077661" w:rsidP="00F91DC6">
            <w:r w:rsidRPr="0009500D">
              <w:t>AHPPC provides advice on reducing the potential risk of COVID-19 transmission in schools</w:t>
            </w:r>
            <w:r w:rsidR="002C7B31" w:rsidRPr="0009500D">
              <w:t>.</w:t>
            </w:r>
            <w:r w:rsidR="002C7B31" w:rsidRPr="0009500D">
              <w:rPr>
                <w:vertAlign w:val="superscript"/>
              </w:rPr>
              <w:t>2</w:t>
            </w:r>
          </w:p>
        </w:tc>
      </w:tr>
      <w:tr w:rsidR="00077661" w:rsidRPr="00731BF0" w14:paraId="1C8757AE" w14:textId="77777777" w:rsidTr="00650D81">
        <w:trPr>
          <w:cnfStyle w:val="000000010000" w:firstRow="0" w:lastRow="0" w:firstColumn="0" w:lastColumn="0" w:oddVBand="0" w:evenVBand="0" w:oddHBand="0" w:evenHBand="1" w:firstRowFirstColumn="0" w:firstRowLastColumn="0" w:lastRowFirstColumn="0" w:lastRowLastColumn="0"/>
          <w:trHeight w:val="907"/>
        </w:trPr>
        <w:tc>
          <w:tcPr>
            <w:tcW w:w="2268" w:type="dxa"/>
            <w:shd w:val="clear" w:color="auto" w:fill="auto"/>
          </w:tcPr>
          <w:p w14:paraId="5847EE39" w14:textId="2731BC23" w:rsidR="00077661" w:rsidRPr="00731BF0" w:rsidRDefault="00077661" w:rsidP="00077661">
            <w:r w:rsidRPr="00731BF0">
              <w:t>9 April 2020</w:t>
            </w:r>
          </w:p>
        </w:tc>
        <w:tc>
          <w:tcPr>
            <w:tcW w:w="7936" w:type="dxa"/>
            <w:shd w:val="clear" w:color="auto" w:fill="auto"/>
          </w:tcPr>
          <w:p w14:paraId="5A8ADE84" w14:textId="666A910A" w:rsidR="00077661" w:rsidRPr="00731BF0" w:rsidRDefault="00077661" w:rsidP="00077661">
            <w:pPr>
              <w:rPr>
                <w:vertAlign w:val="superscript"/>
              </w:rPr>
            </w:pPr>
            <w:r w:rsidRPr="00731BF0">
              <w:t>Air crew on international flights will be required to self-isolate at their place of residence (or hotel if not in their local city) between flights or for 14 days, whichever is shorter.</w:t>
            </w:r>
            <w:r w:rsidR="002C7B31">
              <w:rPr>
                <w:vertAlign w:val="superscript"/>
              </w:rPr>
              <w:t>3</w:t>
            </w:r>
          </w:p>
        </w:tc>
      </w:tr>
      <w:tr w:rsidR="00077661" w:rsidRPr="005454B9" w14:paraId="5C95E874" w14:textId="77777777" w:rsidTr="00256E31">
        <w:trPr>
          <w:trHeight w:val="510"/>
        </w:trPr>
        <w:tc>
          <w:tcPr>
            <w:tcW w:w="2268" w:type="dxa"/>
            <w:shd w:val="clear" w:color="auto" w:fill="auto"/>
          </w:tcPr>
          <w:p w14:paraId="6E747F17" w14:textId="77777777" w:rsidR="00077661" w:rsidRPr="00B8115A" w:rsidRDefault="00077661" w:rsidP="00077661">
            <w:r w:rsidRPr="00B8115A">
              <w:t>30 March 2020</w:t>
            </w:r>
          </w:p>
        </w:tc>
        <w:tc>
          <w:tcPr>
            <w:tcW w:w="7936" w:type="dxa"/>
            <w:shd w:val="clear" w:color="auto" w:fill="auto"/>
          </w:tcPr>
          <w:p w14:paraId="063C9111" w14:textId="17E00AE8" w:rsidR="00077661" w:rsidRPr="0037452B" w:rsidRDefault="00077661" w:rsidP="00077661">
            <w:r>
              <w:t>S</w:t>
            </w:r>
            <w:r w:rsidRPr="0037452B">
              <w:t>pecial provisions be applied to vulnerable people in the workplace and application of additional regional social distancing measures to combat COVID-19</w:t>
            </w:r>
            <w:r>
              <w:t>.</w:t>
            </w:r>
            <w:r w:rsidR="002C7B31">
              <w:rPr>
                <w:vertAlign w:val="superscript"/>
              </w:rPr>
              <w:t>4</w:t>
            </w:r>
            <w:r w:rsidRPr="0037452B">
              <w:t xml:space="preserve"> </w:t>
            </w:r>
          </w:p>
        </w:tc>
      </w:tr>
      <w:tr w:rsidR="00077661" w:rsidRPr="005454B9" w14:paraId="6EF0C794" w14:textId="77777777" w:rsidTr="00650D81">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auto"/>
          </w:tcPr>
          <w:p w14:paraId="7E039B94" w14:textId="77777777" w:rsidR="00077661" w:rsidRPr="00B8115A" w:rsidRDefault="00077661" w:rsidP="00077661">
            <w:r w:rsidRPr="00B8115A">
              <w:t>29 March 2020</w:t>
            </w:r>
          </w:p>
        </w:tc>
        <w:tc>
          <w:tcPr>
            <w:tcW w:w="7936" w:type="dxa"/>
            <w:shd w:val="clear" w:color="auto" w:fill="auto"/>
          </w:tcPr>
          <w:p w14:paraId="6B747D1E" w14:textId="77777777" w:rsidR="00077661" w:rsidRPr="005454B9" w:rsidRDefault="00077661" w:rsidP="00077661">
            <w:r>
              <w:t xml:space="preserve">Both indoor and outdoor </w:t>
            </w:r>
            <w:r w:rsidRPr="005454B9">
              <w:t>public gatherings limited to two persons only</w:t>
            </w:r>
            <w:r>
              <w:t>.</w:t>
            </w:r>
          </w:p>
        </w:tc>
      </w:tr>
      <w:tr w:rsidR="00077661" w:rsidRPr="005454B9" w14:paraId="128D65DF" w14:textId="77777777" w:rsidTr="00650D81">
        <w:tc>
          <w:tcPr>
            <w:tcW w:w="2268" w:type="dxa"/>
            <w:shd w:val="clear" w:color="auto" w:fill="auto"/>
          </w:tcPr>
          <w:p w14:paraId="26257752" w14:textId="77777777" w:rsidR="00077661" w:rsidRPr="00B8115A" w:rsidRDefault="00077661" w:rsidP="00077661">
            <w:r w:rsidRPr="00B8115A">
              <w:t>28 March 2020</w:t>
            </w:r>
          </w:p>
        </w:tc>
        <w:tc>
          <w:tcPr>
            <w:tcW w:w="7936" w:type="dxa"/>
            <w:shd w:val="clear" w:color="auto" w:fill="auto"/>
          </w:tcPr>
          <w:p w14:paraId="065F56B1" w14:textId="77777777" w:rsidR="00077661" w:rsidRPr="005454B9" w:rsidRDefault="00077661" w:rsidP="00077661">
            <w:r w:rsidRPr="005454B9">
              <w:t>All people entering Australia required to undertake a mandatory 14-day quarantine at designated facilities (e.g. hotels) in their port of arrival.</w:t>
            </w:r>
          </w:p>
        </w:tc>
      </w:tr>
      <w:tr w:rsidR="00077661" w:rsidRPr="005454B9" w14:paraId="314A2A07" w14:textId="77777777" w:rsidTr="00650D81">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auto"/>
          </w:tcPr>
          <w:p w14:paraId="5589DDDF" w14:textId="77777777" w:rsidR="00077661" w:rsidRPr="00B8115A" w:rsidRDefault="00077661" w:rsidP="00077661">
            <w:r w:rsidRPr="00B8115A">
              <w:t>26 March 2020</w:t>
            </w:r>
          </w:p>
        </w:tc>
        <w:tc>
          <w:tcPr>
            <w:tcW w:w="7936" w:type="dxa"/>
            <w:shd w:val="clear" w:color="auto" w:fill="auto"/>
          </w:tcPr>
          <w:p w14:paraId="2511A741" w14:textId="77777777" w:rsidR="00077661" w:rsidRPr="005454B9" w:rsidRDefault="00077661" w:rsidP="00077661">
            <w:r w:rsidRPr="005454B9">
              <w:t>Restricted movement into certain remote areas to protect community members from COVID-19</w:t>
            </w:r>
            <w:r>
              <w:t>.</w:t>
            </w:r>
          </w:p>
        </w:tc>
      </w:tr>
      <w:tr w:rsidR="00077661" w:rsidRPr="005454B9" w14:paraId="0BE91339" w14:textId="77777777" w:rsidTr="00650D81">
        <w:tc>
          <w:tcPr>
            <w:tcW w:w="2268" w:type="dxa"/>
            <w:shd w:val="clear" w:color="auto" w:fill="auto"/>
          </w:tcPr>
          <w:p w14:paraId="053B17FA" w14:textId="77777777" w:rsidR="00077661" w:rsidRPr="00B8115A" w:rsidRDefault="00077661" w:rsidP="00077661">
            <w:r w:rsidRPr="00B8115A">
              <w:t>24 March 2020</w:t>
            </w:r>
          </w:p>
        </w:tc>
        <w:tc>
          <w:tcPr>
            <w:tcW w:w="7936" w:type="dxa"/>
            <w:shd w:val="clear" w:color="auto" w:fill="auto"/>
          </w:tcPr>
          <w:p w14:paraId="23381E22" w14:textId="262B4991" w:rsidR="00077661" w:rsidRPr="00497B55" w:rsidRDefault="00077661" w:rsidP="00077661">
            <w:pPr>
              <w:pStyle w:val="ListParagraph"/>
              <w:numPr>
                <w:ilvl w:val="0"/>
                <w:numId w:val="34"/>
              </w:numPr>
            </w:pPr>
            <w:r w:rsidRPr="00497B55">
              <w:t xml:space="preserve">Temporary suspension of all non-urgent elective procedures in both the public and private </w:t>
            </w:r>
            <w:proofErr w:type="gramStart"/>
            <w:r w:rsidRPr="00497B55">
              <w:t>sector;</w:t>
            </w:r>
            <w:proofErr w:type="gramEnd"/>
          </w:p>
          <w:p w14:paraId="1568F9A6" w14:textId="65B207C1" w:rsidR="00077661" w:rsidRPr="00497B55" w:rsidRDefault="00077661" w:rsidP="00077661">
            <w:pPr>
              <w:pStyle w:val="ListParagraph"/>
              <w:numPr>
                <w:ilvl w:val="0"/>
                <w:numId w:val="34"/>
              </w:numPr>
            </w:pPr>
            <w:r w:rsidRPr="00497B55">
              <w:t xml:space="preserve">Progressive scale up of social distancing measures with stronger measures in relation to non-essential gatherings, and considerations of </w:t>
            </w:r>
            <w:proofErr w:type="gramStart"/>
            <w:r w:rsidRPr="00497B55">
              <w:t>further more</w:t>
            </w:r>
            <w:proofErr w:type="gramEnd"/>
            <w:r w:rsidRPr="00497B55">
              <w:t xml:space="preserve"> intense options</w:t>
            </w:r>
            <w:r>
              <w:t>; and</w:t>
            </w:r>
          </w:p>
          <w:p w14:paraId="748776E5" w14:textId="77777777" w:rsidR="00077661" w:rsidRPr="00497B55" w:rsidRDefault="00077661" w:rsidP="00077661">
            <w:pPr>
              <w:pStyle w:val="ListParagraph"/>
              <w:numPr>
                <w:ilvl w:val="0"/>
                <w:numId w:val="34"/>
              </w:numPr>
            </w:pPr>
            <w:r w:rsidRPr="00497B55">
              <w:t>Aged care providers limit visits to a maximum of two visitors at one time per day.</w:t>
            </w:r>
          </w:p>
        </w:tc>
      </w:tr>
      <w:tr w:rsidR="00077661" w:rsidRPr="005454B9" w14:paraId="09F5A09E" w14:textId="77777777" w:rsidTr="00650D81">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auto"/>
          </w:tcPr>
          <w:p w14:paraId="07933812" w14:textId="77777777" w:rsidR="00077661" w:rsidRPr="00B8115A" w:rsidRDefault="00077661" w:rsidP="00077661">
            <w:r w:rsidRPr="00B8115A">
              <w:t>25 March 2020</w:t>
            </w:r>
          </w:p>
        </w:tc>
        <w:tc>
          <w:tcPr>
            <w:tcW w:w="7936" w:type="dxa"/>
            <w:shd w:val="clear" w:color="auto" w:fill="auto"/>
          </w:tcPr>
          <w:p w14:paraId="5A4BEDF1" w14:textId="3D7B19E3" w:rsidR="00077661" w:rsidRPr="00497B55" w:rsidRDefault="00077661" w:rsidP="00077661">
            <w:pPr>
              <w:pStyle w:val="ListParagraph"/>
              <w:numPr>
                <w:ilvl w:val="0"/>
                <w:numId w:val="35"/>
              </w:numPr>
            </w:pPr>
            <w:r w:rsidRPr="00497B55">
              <w:t>School-based immunisation programs, with the exception of the delivery of meningococcal ACWY vaccine, are paused; and</w:t>
            </w:r>
          </w:p>
          <w:p w14:paraId="2131AE3A" w14:textId="69FE428C" w:rsidR="00077661" w:rsidRPr="00497B55" w:rsidRDefault="00077661" w:rsidP="00077661">
            <w:pPr>
              <w:pStyle w:val="ListParagraph"/>
              <w:numPr>
                <w:ilvl w:val="0"/>
                <w:numId w:val="35"/>
              </w:numPr>
            </w:pPr>
            <w:r w:rsidRPr="00497B55">
              <w:t>Australian citizens and Australian permanent residents are restricted from travelling overseas.</w:t>
            </w:r>
          </w:p>
        </w:tc>
      </w:tr>
      <w:tr w:rsidR="00077661" w:rsidRPr="005454B9" w14:paraId="654000C2" w14:textId="77777777" w:rsidTr="00650D81">
        <w:tc>
          <w:tcPr>
            <w:tcW w:w="2268" w:type="dxa"/>
            <w:shd w:val="clear" w:color="auto" w:fill="auto"/>
          </w:tcPr>
          <w:p w14:paraId="2F1F940F" w14:textId="77777777" w:rsidR="00077661" w:rsidRPr="00B8115A" w:rsidRDefault="00077661" w:rsidP="00077661">
            <w:r w:rsidRPr="00B8115A">
              <w:t>21 March 2020</w:t>
            </w:r>
          </w:p>
        </w:tc>
        <w:tc>
          <w:tcPr>
            <w:tcW w:w="7936" w:type="dxa"/>
            <w:shd w:val="clear" w:color="auto" w:fill="auto"/>
          </w:tcPr>
          <w:p w14:paraId="697FC1F0" w14:textId="77777777" w:rsidR="00077661" w:rsidRPr="005454B9" w:rsidRDefault="00077661" w:rsidP="00077661">
            <w:r w:rsidRPr="005454B9">
              <w:t xml:space="preserve">Qld, WA, </w:t>
            </w:r>
            <w:proofErr w:type="gramStart"/>
            <w:r w:rsidRPr="005454B9">
              <w:t>NT</w:t>
            </w:r>
            <w:proofErr w:type="gramEnd"/>
            <w:r w:rsidRPr="005454B9">
              <w:t xml:space="preserve"> and SA close borders to non-essential travellers</w:t>
            </w:r>
            <w:r>
              <w:t>.</w:t>
            </w:r>
          </w:p>
        </w:tc>
      </w:tr>
      <w:tr w:rsidR="00077661" w:rsidRPr="005454B9" w14:paraId="4FFD8BE9" w14:textId="77777777" w:rsidTr="00650D81">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auto"/>
          </w:tcPr>
          <w:p w14:paraId="6369F3E2" w14:textId="77777777" w:rsidR="00077661" w:rsidRPr="00B8115A" w:rsidRDefault="00077661" w:rsidP="00077661">
            <w:r w:rsidRPr="00B8115A">
              <w:t>20 March 2020</w:t>
            </w:r>
          </w:p>
        </w:tc>
        <w:tc>
          <w:tcPr>
            <w:tcW w:w="7936" w:type="dxa"/>
            <w:shd w:val="clear" w:color="auto" w:fill="auto"/>
          </w:tcPr>
          <w:p w14:paraId="72BE0408" w14:textId="77777777" w:rsidR="00077661" w:rsidRPr="00566945" w:rsidRDefault="00077661" w:rsidP="00077661">
            <w:pPr>
              <w:pStyle w:val="ListParagraph"/>
              <w:numPr>
                <w:ilvl w:val="0"/>
                <w:numId w:val="24"/>
              </w:numPr>
            </w:pPr>
            <w:r w:rsidRPr="00566945">
              <w:t xml:space="preserve">Travel </w:t>
            </w:r>
            <w:proofErr w:type="gramStart"/>
            <w:r w:rsidRPr="00566945">
              <w:t>ban</w:t>
            </w:r>
            <w:proofErr w:type="gramEnd"/>
            <w:r w:rsidRPr="00566945">
              <w:t xml:space="preserve"> on foreign nationals entering Australia;</w:t>
            </w:r>
          </w:p>
          <w:p w14:paraId="7EADAC6D" w14:textId="77777777" w:rsidR="00077661" w:rsidRPr="00566945" w:rsidRDefault="00077661" w:rsidP="00077661">
            <w:pPr>
              <w:pStyle w:val="ListParagraph"/>
              <w:numPr>
                <w:ilvl w:val="0"/>
                <w:numId w:val="24"/>
              </w:numPr>
            </w:pPr>
            <w:r w:rsidRPr="00566945">
              <w:t>Restriction of travel to remote communities; and</w:t>
            </w:r>
          </w:p>
          <w:p w14:paraId="67BCC5CF" w14:textId="77777777" w:rsidR="00077661" w:rsidRPr="00566945" w:rsidRDefault="00077661" w:rsidP="00077661">
            <w:pPr>
              <w:pStyle w:val="ListParagraph"/>
              <w:numPr>
                <w:ilvl w:val="0"/>
                <w:numId w:val="24"/>
              </w:numPr>
            </w:pPr>
            <w:r w:rsidRPr="00566945">
              <w:t>Tasmania closes borders to non-essential travellers.</w:t>
            </w:r>
          </w:p>
        </w:tc>
      </w:tr>
      <w:tr w:rsidR="00077661" w:rsidRPr="005454B9" w14:paraId="6EA93F75" w14:textId="77777777" w:rsidTr="00650D81">
        <w:trPr>
          <w:trHeight w:val="1764"/>
        </w:trPr>
        <w:tc>
          <w:tcPr>
            <w:tcW w:w="2268" w:type="dxa"/>
            <w:shd w:val="clear" w:color="auto" w:fill="auto"/>
          </w:tcPr>
          <w:p w14:paraId="4CED5132" w14:textId="77777777" w:rsidR="00077661" w:rsidRPr="00B8115A" w:rsidRDefault="00077661" w:rsidP="00077661">
            <w:r w:rsidRPr="00B8115A">
              <w:t>18 March 2020</w:t>
            </w:r>
          </w:p>
        </w:tc>
        <w:tc>
          <w:tcPr>
            <w:tcW w:w="7936" w:type="dxa"/>
            <w:shd w:val="clear" w:color="auto" w:fill="auto"/>
          </w:tcPr>
          <w:p w14:paraId="4750C60D" w14:textId="79E06D46" w:rsidR="00077661" w:rsidRPr="00B8115A" w:rsidRDefault="00077661" w:rsidP="00077661">
            <w:pPr>
              <w:pStyle w:val="ListParagraph"/>
              <w:numPr>
                <w:ilvl w:val="0"/>
                <w:numId w:val="18"/>
              </w:numPr>
            </w:pPr>
            <w:r w:rsidRPr="00B8115A">
              <w:t>DFAT raises travel advice for all overseas destinations to Level 4 'Do Not Travel</w:t>
            </w:r>
            <w:proofErr w:type="gramStart"/>
            <w:r w:rsidRPr="00B8115A">
              <w:t>'</w:t>
            </w:r>
            <w:r>
              <w:t>;</w:t>
            </w:r>
            <w:proofErr w:type="gramEnd"/>
          </w:p>
          <w:p w14:paraId="5F96CA06" w14:textId="5D93CE40" w:rsidR="00077661" w:rsidRPr="002402B0" w:rsidRDefault="00077661" w:rsidP="00077661">
            <w:pPr>
              <w:pStyle w:val="ListParagraph"/>
              <w:numPr>
                <w:ilvl w:val="0"/>
                <w:numId w:val="18"/>
              </w:numPr>
            </w:pPr>
            <w:r>
              <w:rPr>
                <w:shd w:val="clear" w:color="auto" w:fill="FFFFFF"/>
              </w:rPr>
              <w:t>C</w:t>
            </w:r>
            <w:r w:rsidRPr="00B8115A">
              <w:rPr>
                <w:shd w:val="clear" w:color="auto" w:fill="FFFFFF"/>
              </w:rPr>
              <w:t>ontinuation of a 14-day quarantine requirement for all returning travellers</w:t>
            </w:r>
            <w:r>
              <w:rPr>
                <w:shd w:val="clear" w:color="auto" w:fill="FFFFFF"/>
              </w:rPr>
              <w:t>; and</w:t>
            </w:r>
          </w:p>
          <w:p w14:paraId="7E49C220" w14:textId="2700AA6C" w:rsidR="00077661" w:rsidRPr="00B8115A" w:rsidRDefault="00077661" w:rsidP="00077661">
            <w:pPr>
              <w:pStyle w:val="ListParagraph"/>
              <w:numPr>
                <w:ilvl w:val="0"/>
                <w:numId w:val="18"/>
              </w:numPr>
            </w:pPr>
            <w:r w:rsidRPr="00566945">
              <w:t>Restrictions on indoor gatherings.</w:t>
            </w:r>
          </w:p>
        </w:tc>
      </w:tr>
      <w:tr w:rsidR="00077661" w:rsidRPr="005454B9" w14:paraId="79CD2A9C" w14:textId="77777777" w:rsidTr="00650D81">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auto"/>
          </w:tcPr>
          <w:p w14:paraId="6DF45E37" w14:textId="77777777" w:rsidR="00077661" w:rsidRPr="00B8115A" w:rsidRDefault="00077661" w:rsidP="00077661">
            <w:r w:rsidRPr="00B8115A">
              <w:t>1</w:t>
            </w:r>
            <w:r>
              <w:t>6</w:t>
            </w:r>
            <w:r w:rsidRPr="00B8115A">
              <w:t xml:space="preserve"> March 2020</w:t>
            </w:r>
          </w:p>
        </w:tc>
        <w:tc>
          <w:tcPr>
            <w:tcW w:w="7936" w:type="dxa"/>
            <w:shd w:val="clear" w:color="auto" w:fill="auto"/>
          </w:tcPr>
          <w:p w14:paraId="52CF67C7" w14:textId="77777777" w:rsidR="00077661" w:rsidRPr="005454B9" w:rsidRDefault="00077661" w:rsidP="00077661">
            <w:r w:rsidRPr="00566945">
              <w:t>Non-essential static gatherings of &gt; 500 people banned.</w:t>
            </w:r>
          </w:p>
        </w:tc>
      </w:tr>
      <w:tr w:rsidR="00077661" w:rsidRPr="005454B9" w14:paraId="73CE73B9" w14:textId="77777777" w:rsidTr="00650D81">
        <w:tc>
          <w:tcPr>
            <w:tcW w:w="2268" w:type="dxa"/>
            <w:shd w:val="clear" w:color="auto" w:fill="auto"/>
          </w:tcPr>
          <w:p w14:paraId="4EE8A366" w14:textId="77777777" w:rsidR="00077661" w:rsidRPr="00B8115A" w:rsidRDefault="00077661" w:rsidP="00077661">
            <w:r w:rsidRPr="00B8115A">
              <w:t>1</w:t>
            </w:r>
            <w:r>
              <w:t>5</w:t>
            </w:r>
            <w:r w:rsidRPr="00B8115A">
              <w:t xml:space="preserve"> March 2020</w:t>
            </w:r>
          </w:p>
        </w:tc>
        <w:tc>
          <w:tcPr>
            <w:tcW w:w="7936" w:type="dxa"/>
            <w:shd w:val="clear" w:color="auto" w:fill="auto"/>
          </w:tcPr>
          <w:p w14:paraId="4DD15C4A" w14:textId="77777777" w:rsidR="00077661" w:rsidRPr="005454B9" w:rsidRDefault="00077661" w:rsidP="00077661">
            <w:r w:rsidRPr="00566945">
              <w:t>All overseas arrivals required to self-isolate for 14 days and cruise ship arrivals banned.</w:t>
            </w:r>
          </w:p>
        </w:tc>
      </w:tr>
      <w:tr w:rsidR="00077661" w:rsidRPr="005454B9" w14:paraId="5EF0AD19" w14:textId="77777777" w:rsidTr="00650D81">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auto"/>
          </w:tcPr>
          <w:p w14:paraId="5FE520E7" w14:textId="77777777" w:rsidR="00077661" w:rsidRPr="00B8115A" w:rsidRDefault="00077661" w:rsidP="00077661">
            <w:r w:rsidRPr="00B8115A">
              <w:t>8 March 2020</w:t>
            </w:r>
          </w:p>
        </w:tc>
        <w:tc>
          <w:tcPr>
            <w:tcW w:w="7936" w:type="dxa"/>
            <w:shd w:val="clear" w:color="auto" w:fill="auto"/>
          </w:tcPr>
          <w:p w14:paraId="742C34C0" w14:textId="2FE4D198" w:rsidR="00077661" w:rsidRPr="005454B9" w:rsidRDefault="00077661" w:rsidP="00077661">
            <w:r>
              <w:t>R</w:t>
            </w:r>
            <w:r w:rsidRPr="005454B9">
              <w:t>estrictions on COVID-19 contacts and travellers from listed higher risk countries</w:t>
            </w:r>
            <w:r>
              <w:t>.</w:t>
            </w:r>
          </w:p>
        </w:tc>
      </w:tr>
      <w:tr w:rsidR="00077661" w:rsidRPr="005454B9" w14:paraId="328EBFC6" w14:textId="77777777" w:rsidTr="00650D81">
        <w:tc>
          <w:tcPr>
            <w:tcW w:w="2268" w:type="dxa"/>
            <w:shd w:val="clear" w:color="auto" w:fill="auto"/>
          </w:tcPr>
          <w:p w14:paraId="522D81F4" w14:textId="77777777" w:rsidR="00077661" w:rsidRPr="00B8115A" w:rsidRDefault="00077661" w:rsidP="00077661">
            <w:r w:rsidRPr="00B8115A">
              <w:t>5 March 2020</w:t>
            </w:r>
          </w:p>
        </w:tc>
        <w:tc>
          <w:tcPr>
            <w:tcW w:w="7936" w:type="dxa"/>
            <w:shd w:val="clear" w:color="auto" w:fill="auto"/>
          </w:tcPr>
          <w:p w14:paraId="36DF60BB" w14:textId="77777777" w:rsidR="00077661" w:rsidRPr="005454B9" w:rsidRDefault="00077661" w:rsidP="00077661">
            <w:r w:rsidRPr="005454B9">
              <w:t>Restrictions on travel from Republic of Korea</w:t>
            </w:r>
            <w:r>
              <w:t>.</w:t>
            </w:r>
          </w:p>
        </w:tc>
      </w:tr>
      <w:tr w:rsidR="00077661" w:rsidRPr="005454B9" w14:paraId="30FBAA78" w14:textId="77777777" w:rsidTr="00650D81">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auto"/>
          </w:tcPr>
          <w:p w14:paraId="295FE09A" w14:textId="77777777" w:rsidR="00077661" w:rsidRPr="00B8115A" w:rsidRDefault="00077661" w:rsidP="00077661">
            <w:r w:rsidRPr="00B8115A">
              <w:t>1 March 2020</w:t>
            </w:r>
          </w:p>
        </w:tc>
        <w:tc>
          <w:tcPr>
            <w:tcW w:w="7936" w:type="dxa"/>
            <w:shd w:val="clear" w:color="auto" w:fill="auto"/>
          </w:tcPr>
          <w:p w14:paraId="5E384D55" w14:textId="77777777" w:rsidR="00077661" w:rsidRPr="005454B9" w:rsidRDefault="00077661" w:rsidP="00077661">
            <w:r w:rsidRPr="005454B9">
              <w:t>Restrictions on travel from Islamic Republic of Iran</w:t>
            </w:r>
            <w:r>
              <w:t>.</w:t>
            </w:r>
          </w:p>
        </w:tc>
      </w:tr>
    </w:tbl>
    <w:p w14:paraId="41C78959" w14:textId="77777777" w:rsidR="00E4281B" w:rsidRDefault="00E4281B">
      <w:pPr>
        <w:spacing w:before="200"/>
        <w:rPr>
          <w:rFonts w:asciiTheme="majorHAnsi" w:eastAsiaTheme="majorEastAsia" w:hAnsiTheme="majorHAnsi" w:cstheme="majorBidi"/>
          <w:b/>
          <w:bCs/>
          <w:sz w:val="26"/>
          <w:szCs w:val="26"/>
        </w:rPr>
      </w:pPr>
      <w:r>
        <w:br w:type="page"/>
      </w:r>
    </w:p>
    <w:p w14:paraId="1EECE750" w14:textId="75EC5E46" w:rsidR="00E4281B" w:rsidRPr="00731BF0" w:rsidRDefault="00E4281B" w:rsidP="00650D81">
      <w:pPr>
        <w:pStyle w:val="Heading1"/>
      </w:pPr>
      <w:r w:rsidRPr="00731BF0">
        <w:lastRenderedPageBreak/>
        <w:t>International situation</w:t>
      </w:r>
      <w:r w:rsidR="00BA54FF">
        <w:rPr>
          <w:vertAlign w:val="superscript"/>
        </w:rPr>
        <w:t>6</w:t>
      </w:r>
    </w:p>
    <w:p w14:paraId="3E2077EB" w14:textId="299E33CA" w:rsidR="00E6755C" w:rsidRPr="00D06BF4" w:rsidRDefault="00E6755C" w:rsidP="00F877CE">
      <w:r w:rsidRPr="00D06BF4">
        <w:t>As at 23:59 AEST 19 April 2020, the number of confirmed COVID-19 cases reported to the World Health Organization (WHO) was 2,241,359 globally</w:t>
      </w:r>
      <w:r w:rsidR="00085920">
        <w:t>.</w:t>
      </w:r>
      <w:r w:rsidR="0048755B">
        <w:t xml:space="preserve"> </w:t>
      </w:r>
      <w:r w:rsidR="0048755B" w:rsidRPr="00D06BF4">
        <w:t>COVID-19 was reported across a total of 21</w:t>
      </w:r>
      <w:r w:rsidR="00855D73">
        <w:t>6</w:t>
      </w:r>
      <w:r w:rsidR="0048755B" w:rsidRPr="00D06BF4">
        <w:t xml:space="preserve"> countries, </w:t>
      </w:r>
      <w:proofErr w:type="gramStart"/>
      <w:r w:rsidR="0048755B" w:rsidRPr="00D06BF4">
        <w:t>territories</w:t>
      </w:r>
      <w:proofErr w:type="gramEnd"/>
      <w:r w:rsidR="0048755B" w:rsidRPr="00D06BF4">
        <w:t xml:space="preserve"> and areas</w:t>
      </w:r>
      <w:r w:rsidR="0048755B">
        <w:t>.</w:t>
      </w:r>
    </w:p>
    <w:p w14:paraId="7EA55101" w14:textId="67D0462E" w:rsidR="00E6755C" w:rsidRPr="00D06BF4" w:rsidRDefault="00E6755C" w:rsidP="00F877CE">
      <w:r w:rsidRPr="00D06BF4">
        <w:t xml:space="preserve">The number of new cases reported globally increased by 76% since last week. This </w:t>
      </w:r>
      <w:r w:rsidR="00085920">
        <w:t>is an increase by 26% on the previous week’s number of new cases</w:t>
      </w:r>
      <w:r w:rsidR="004120FB">
        <w:t>.</w:t>
      </w:r>
    </w:p>
    <w:p w14:paraId="4AC5BA6D" w14:textId="6E54619B" w:rsidR="00E6755C" w:rsidRPr="00D06BF4" w:rsidRDefault="00E6755C" w:rsidP="00F877CE">
      <w:r w:rsidRPr="00D06BF4">
        <w:t>The reported epidemiology varies by country</w:t>
      </w:r>
      <w:r w:rsidR="00085920">
        <w:t>,</w:t>
      </w:r>
      <w:r w:rsidRPr="00D06BF4">
        <w:t xml:space="preserve"> with different trajectories of outbreaks after their first 100 cases. Figure 9 highlights that for a number of countries outside of mainland China which have reported more than 100 cases, their rates of increase continue to be high, particularly USA, </w:t>
      </w:r>
      <w:proofErr w:type="gramStart"/>
      <w:r w:rsidRPr="00D06BF4">
        <w:t>Spain</w:t>
      </w:r>
      <w:proofErr w:type="gramEnd"/>
      <w:r w:rsidRPr="00D06BF4">
        <w:t xml:space="preserve"> and Italy, although at a slower rate than the previous week. For Singapore and Japan, there continues to be a slow but steady rate of increase in their number of new cases, while the Republic of Korea and Hong Kong are reporting very few new cases each day. Reported case numbers will be influenced by rates of testing, case definition, and case detection as well as overall health system capacity</w:t>
      </w:r>
      <w:r w:rsidR="00085920">
        <w:t>.</w:t>
      </w:r>
    </w:p>
    <w:p w14:paraId="3D73EC2E" w14:textId="0A775258" w:rsidR="00E6755C" w:rsidRPr="00D06BF4" w:rsidRDefault="00E6755C" w:rsidP="00F877CE">
      <w:r w:rsidRPr="00D06BF4">
        <w:t>Globally, 152,551 deaths have been reported. The risk of death is reported to increase with age</w:t>
      </w:r>
      <w:r w:rsidR="00085920">
        <w:t>.</w:t>
      </w:r>
      <w:r w:rsidR="0048755B">
        <w:t xml:space="preserve"> </w:t>
      </w:r>
      <w:r w:rsidRPr="00D06BF4">
        <w:t xml:space="preserve">The case fatality rate is reported as </w:t>
      </w:r>
      <w:r w:rsidR="007866E9">
        <w:t>6.8</w:t>
      </w:r>
      <w:r w:rsidRPr="00D06BF4">
        <w:t xml:space="preserve">%. This is highly likely to be an overestimate due to variable levels of under-ascertainment of cases, especially those with mild infections and presence of a comorbid condition such as diabetes, cardiovascular </w:t>
      </w:r>
      <w:proofErr w:type="gramStart"/>
      <w:r w:rsidRPr="00D06BF4">
        <w:t>disease</w:t>
      </w:r>
      <w:proofErr w:type="gramEnd"/>
      <w:r w:rsidRPr="00D06BF4">
        <w:t xml:space="preserve"> and chronic respiratory disease</w:t>
      </w:r>
      <w:r w:rsidR="00085920">
        <w:t>.</w:t>
      </w:r>
    </w:p>
    <w:p w14:paraId="4A631224" w14:textId="3CE0C6AC" w:rsidR="00E6755C" w:rsidRDefault="00E6755C" w:rsidP="00F877CE">
      <w:r w:rsidRPr="00D06BF4">
        <w:t>Of all deaths reported globally, approximately half have been</w:t>
      </w:r>
      <w:r w:rsidR="00732B0D" w:rsidRPr="00D06BF4">
        <w:t xml:space="preserve"> from</w:t>
      </w:r>
      <w:r w:rsidR="00FB38E5">
        <w:t xml:space="preserve"> the</w:t>
      </w:r>
      <w:r w:rsidRPr="00D06BF4">
        <w:t xml:space="preserve"> USA (21%)</w:t>
      </w:r>
      <w:r w:rsidR="00732B0D" w:rsidRPr="00D06BF4">
        <w:t>, Italy (15%)</w:t>
      </w:r>
      <w:r w:rsidRPr="00D06BF4">
        <w:t xml:space="preserve"> and Spain (13%). For several other countries or regions including Japan and Republic of Korea, there continues to be a slow increase in their number of deaths, with both countries reporting few new deaths each day, which is consistent with their broader epidemic case trends (Figure 10).</w:t>
      </w:r>
    </w:p>
    <w:p w14:paraId="55BBD8BA" w14:textId="13449820" w:rsidR="00E6755C" w:rsidRPr="00D06BF4" w:rsidRDefault="00E6755C" w:rsidP="00F877CE">
      <w:r w:rsidRPr="00D06BF4">
        <w:t xml:space="preserve">The crude case fatality rate (CFR) in Australia is </w:t>
      </w:r>
      <w:r w:rsidR="007E07F5">
        <w:t>1</w:t>
      </w:r>
      <w:r w:rsidRPr="00D06BF4">
        <w:t>%. This is substantially lower than the global WHO reported rate of 6</w:t>
      </w:r>
      <w:r w:rsidR="007E07F5">
        <w:t>.8</w:t>
      </w:r>
      <w:r w:rsidRPr="00D06BF4">
        <w:t>%. Crude CFR is reflective not only of disease severity and health care capability in different countries but also of case ascertainment. Cases with high severity are more likely to be detected by public health surveillance and as such can artificially inflate the reported CFR. Internation</w:t>
      </w:r>
      <w:r w:rsidR="00BC12B7">
        <w:t xml:space="preserve">ally the CFR varies by country. </w:t>
      </w:r>
      <w:r w:rsidRPr="00D06BF4">
        <w:t xml:space="preserve">The low CFR in Australia is likely to be reflective of high case ascertainment, which further enables </w:t>
      </w:r>
      <w:r w:rsidR="00EB20A0">
        <w:t xml:space="preserve">an effective </w:t>
      </w:r>
      <w:r w:rsidRPr="00D06BF4">
        <w:t xml:space="preserve">public health response </w:t>
      </w:r>
      <w:r w:rsidR="00EB20A0">
        <w:t xml:space="preserve">so as </w:t>
      </w:r>
      <w:r w:rsidRPr="00D06BF4">
        <w:t xml:space="preserve">to control disease spread. </w:t>
      </w:r>
    </w:p>
    <w:p w14:paraId="0282212A" w14:textId="5168666C" w:rsidR="00E4281B" w:rsidRPr="00E6755C" w:rsidRDefault="00E4281B" w:rsidP="00E6755C">
      <w:pPr>
        <w:rPr>
          <w:color w:val="FF0000"/>
        </w:rPr>
        <w:sectPr w:rsidR="00E4281B" w:rsidRPr="00E6755C" w:rsidSect="00650D81">
          <w:footnotePr>
            <w:numFmt w:val="lowerRoman"/>
          </w:footnotePr>
          <w:pgSz w:w="11906" w:h="16838"/>
          <w:pgMar w:top="709" w:right="851" w:bottom="425" w:left="851" w:header="709" w:footer="709" w:gutter="0"/>
          <w:cols w:space="708"/>
          <w:docGrid w:linePitch="360"/>
        </w:sectPr>
      </w:pPr>
    </w:p>
    <w:p w14:paraId="553EEB40" w14:textId="10856EF5" w:rsidR="00E4281B" w:rsidRPr="004E2631" w:rsidRDefault="00E4281B" w:rsidP="004E2631">
      <w:pPr>
        <w:pStyle w:val="CDIFigures"/>
      </w:pPr>
      <w:r w:rsidRPr="004E2631">
        <w:lastRenderedPageBreak/>
        <w:t xml:space="preserve">Figure </w:t>
      </w:r>
      <w:r w:rsidR="00256E31">
        <w:t>9</w:t>
      </w:r>
      <w:r w:rsidRPr="004E2631">
        <w:t xml:space="preserve">: Number of COVID-19 cases (logarithmic scale) by selected country or region and days since passing 100 cases, up </w:t>
      </w:r>
      <w:r w:rsidRPr="00731BF0">
        <w:t xml:space="preserve">to </w:t>
      </w:r>
      <w:r w:rsidR="00E8193E" w:rsidRPr="00731BF0">
        <w:t>1</w:t>
      </w:r>
      <w:r w:rsidR="00BF48D4" w:rsidRPr="00731BF0">
        <w:t>9</w:t>
      </w:r>
      <w:r w:rsidRPr="00731BF0">
        <w:t xml:space="preserve"> April </w:t>
      </w:r>
      <w:r w:rsidRPr="004E2631">
        <w:t>2020</w:t>
      </w:r>
    </w:p>
    <w:p w14:paraId="69D3C96C" w14:textId="36943E35" w:rsidR="00E4281B" w:rsidRDefault="00732B0D" w:rsidP="00650D81">
      <w:pPr>
        <w:pStyle w:val="CDIFigures"/>
        <w:jc w:val="center"/>
        <w:rPr>
          <w:rFonts w:eastAsia="Times New Roman"/>
          <w:b w:val="0"/>
        </w:rPr>
      </w:pPr>
      <w:r>
        <w:rPr>
          <w:rFonts w:eastAsia="Times New Roman"/>
          <w:b w:val="0"/>
          <w:noProof/>
        </w:rPr>
        <w:drawing>
          <wp:inline distT="0" distB="0" distL="0" distR="0" wp14:anchorId="55B568D9" wp14:editId="114810D1">
            <wp:extent cx="9282062" cy="6047740"/>
            <wp:effectExtent l="0" t="0" r="0" b="0"/>
            <wp:docPr id="5" name="Picture 5" descr="Line graph comparing the growth in number of COVID-19 cases, from the ‘starting point’ of 100 cases in each country, for twelve countries and special administrative regions including Australia. The highest sustained growth in cases among these countries has occurred in USA. Growth in cases in Australia is below that in the majority of countries displayed (France, Republic of Korea, Italy, Spain, Islamic Republic of Iran, UK, Germany and USA), but higher than the growth in Hong Kong, Singapore and Jap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9282062" cy="6047740"/>
                    </a:xfrm>
                    <a:prstGeom prst="rect">
                      <a:avLst/>
                    </a:prstGeom>
                    <a:noFill/>
                  </pic:spPr>
                </pic:pic>
              </a:graphicData>
            </a:graphic>
          </wp:inline>
        </w:drawing>
      </w:r>
    </w:p>
    <w:p w14:paraId="1834FDAF" w14:textId="65D3F1AC" w:rsidR="00732B0D" w:rsidRPr="00732B0D" w:rsidRDefault="00E4281B" w:rsidP="00732B0D">
      <w:pPr>
        <w:pStyle w:val="CDIFigures"/>
        <w:rPr>
          <w:rFonts w:eastAsia="Times New Roman"/>
          <w:b w:val="0"/>
          <w:color w:val="FF0000"/>
        </w:rPr>
      </w:pPr>
      <w:r w:rsidRPr="004E2631">
        <w:lastRenderedPageBreak/>
        <w:t xml:space="preserve">Figure </w:t>
      </w:r>
      <w:r w:rsidR="00C224FF">
        <w:t>1</w:t>
      </w:r>
      <w:r w:rsidR="00256E31">
        <w:t>0</w:t>
      </w:r>
      <w:r w:rsidRPr="004E2631">
        <w:t xml:space="preserve">: Number of COVID-19 deaths (logarithmic scale) by selected country and days since passing 50 deaths, up to </w:t>
      </w:r>
      <w:r w:rsidR="00E8193E" w:rsidRPr="00731BF0">
        <w:t>1</w:t>
      </w:r>
      <w:r w:rsidR="00BF48D4" w:rsidRPr="00731BF0">
        <w:t>9</w:t>
      </w:r>
      <w:r w:rsidRPr="00731BF0">
        <w:t xml:space="preserve"> April </w:t>
      </w:r>
      <w:r w:rsidRPr="004E2631">
        <w:t>2020</w:t>
      </w:r>
      <w:r w:rsidR="00167B56" w:rsidRPr="00167B56">
        <w:rPr>
          <w:noProof/>
        </w:rPr>
        <w:t xml:space="preserve"> </w:t>
      </w:r>
    </w:p>
    <w:p w14:paraId="1299444D" w14:textId="0F0E9F8A" w:rsidR="00E8193E" w:rsidRPr="00732B0D" w:rsidRDefault="00732B0D" w:rsidP="00732B0D">
      <w:pPr>
        <w:tabs>
          <w:tab w:val="left" w:pos="4341"/>
        </w:tabs>
        <w:sectPr w:rsidR="00E8193E" w:rsidRPr="00732B0D" w:rsidSect="00650D81">
          <w:footnotePr>
            <w:numFmt w:val="lowerRoman"/>
          </w:footnotePr>
          <w:pgSz w:w="16838" w:h="11906" w:orient="landscape"/>
          <w:pgMar w:top="720" w:right="720" w:bottom="720" w:left="1134" w:header="709" w:footer="284" w:gutter="0"/>
          <w:cols w:space="708"/>
          <w:titlePg/>
          <w:docGrid w:linePitch="360"/>
        </w:sectPr>
      </w:pPr>
      <w:r>
        <w:tab/>
      </w:r>
      <w:r>
        <w:rPr>
          <w:noProof/>
        </w:rPr>
        <w:drawing>
          <wp:inline distT="0" distB="0" distL="0" distR="0" wp14:anchorId="52B055D6" wp14:editId="61C9AEE9">
            <wp:extent cx="9284970" cy="5924606"/>
            <wp:effectExtent l="0" t="0" r="0" b="0"/>
            <wp:docPr id="13" name="Picture 13" descr="Line graph comparing the growth in number of deaths from COVID-19, from the ‘starting point’ of 50 deaths in each country, for ten countries (Australia, Republic of Korea, Japan, Italy, Spain, France, Germany, UK, Islamic Republic of Iran and USA). The largest number of deaths among these countries has occurred in the USA. The growth in number of deaths is notably lower in Australia, Republic of Korea and Japan than in the other countries featured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84970" cy="5924606"/>
                    </a:xfrm>
                    <a:prstGeom prst="rect">
                      <a:avLst/>
                    </a:prstGeom>
                    <a:noFill/>
                  </pic:spPr>
                </pic:pic>
              </a:graphicData>
            </a:graphic>
          </wp:inline>
        </w:drawing>
      </w:r>
    </w:p>
    <w:p w14:paraId="11C05E84" w14:textId="77777777" w:rsidR="00E4281B" w:rsidRPr="004E2631" w:rsidRDefault="00E4281B" w:rsidP="004E2631">
      <w:pPr>
        <w:pStyle w:val="Heading1"/>
      </w:pPr>
      <w:r w:rsidRPr="004E2631">
        <w:lastRenderedPageBreak/>
        <w:t>Background</w:t>
      </w:r>
    </w:p>
    <w:p w14:paraId="1BF6A0C2" w14:textId="77777777" w:rsidR="00E4281B" w:rsidRPr="004E2631" w:rsidRDefault="00E4281B" w:rsidP="004E2631">
      <w:pPr>
        <w:rPr>
          <w:i/>
        </w:rPr>
      </w:pPr>
      <w:r w:rsidRPr="007C5E71">
        <w:rPr>
          <w:i/>
        </w:rPr>
        <w:t xml:space="preserve">The current estimates on epidemiological parameters including severity, transmissibility and incubation period are uncertain. Estimates are likely to change as more information becomes available. </w:t>
      </w:r>
    </w:p>
    <w:p w14:paraId="5F81EBCC" w14:textId="77777777" w:rsidR="00E4281B" w:rsidRPr="007A4CD5" w:rsidRDefault="00E4281B" w:rsidP="00650D81">
      <w:pPr>
        <w:pStyle w:val="Heading2"/>
      </w:pPr>
      <w:r w:rsidRPr="007A4CD5">
        <w:t xml:space="preserve">Transmission </w:t>
      </w:r>
    </w:p>
    <w:p w14:paraId="281780ED" w14:textId="65D906FD" w:rsidR="00E4281B" w:rsidRPr="00C350DB" w:rsidRDefault="00E4281B" w:rsidP="00C011C9">
      <w:r w:rsidRPr="000C4FC1">
        <w:t>Human-to-human transmission of SARS-CoV-2 is via droplets and fomites from an inf</w:t>
      </w:r>
      <w:r>
        <w:t>ected person to a close contact</w:t>
      </w:r>
      <w:r w:rsidR="00EB20A0">
        <w:t>.</w:t>
      </w:r>
      <w:r w:rsidR="00BA54FF">
        <w:rPr>
          <w:vertAlign w:val="superscript"/>
        </w:rPr>
        <w:t>7</w:t>
      </w:r>
      <w:r w:rsidR="00F91DC6">
        <w:t xml:space="preserve"> </w:t>
      </w:r>
      <w:r w:rsidRPr="000C4FC1">
        <w:t xml:space="preserve">A virological analysis of hospitalised cases found active virus replication in upper respiratory </w:t>
      </w:r>
      <w:r w:rsidRPr="00C350DB">
        <w:t>tract tissues, with pharyngeal virus shedding during the first week of symptoms. However, current evidence does not support airborne or faecal-oral spread as major factors in transmission</w:t>
      </w:r>
      <w:r w:rsidR="00EB20A0">
        <w:t>.</w:t>
      </w:r>
    </w:p>
    <w:p w14:paraId="28B9C92F" w14:textId="3A0A3AD9" w:rsidR="00E4281B" w:rsidRPr="00C350DB" w:rsidRDefault="00E4281B" w:rsidP="00C011C9">
      <w:r w:rsidRPr="00C350DB">
        <w:t>A study in China showed an association between household contacts and travel with a confirmed COVID-19 case and an increased risk of infection</w:t>
      </w:r>
      <w:r w:rsidR="00EB20A0">
        <w:t>.</w:t>
      </w:r>
      <w:r w:rsidR="00BA54FF">
        <w:rPr>
          <w:vertAlign w:val="superscript"/>
        </w:rPr>
        <w:t>8</w:t>
      </w:r>
      <w:r w:rsidRPr="00C350DB">
        <w:t xml:space="preserve"> </w:t>
      </w:r>
    </w:p>
    <w:p w14:paraId="36205489" w14:textId="4DC8CD6B" w:rsidR="00D35620" w:rsidRDefault="00D35620" w:rsidP="00C011C9">
      <w:r w:rsidRPr="00D35620">
        <w:t>A case report of nine COVID-19 patients in Germany found that RNA viral shedding from sputum still occurs after symptoms</w:t>
      </w:r>
      <w:r w:rsidR="00EB20A0">
        <w:t xml:space="preserve"> have</w:t>
      </w:r>
      <w:r w:rsidRPr="00D35620">
        <w:t xml:space="preserve"> cleared. In 50% of the patients, seroconversion occurred after seven days with a range of up to 14 days</w:t>
      </w:r>
      <w:r w:rsidR="00EB20A0">
        <w:t>;</w:t>
      </w:r>
      <w:r w:rsidRPr="00D35620">
        <w:t xml:space="preserve"> this seroconversion was not followed by a rapid decline in viral load.</w:t>
      </w:r>
      <w:r w:rsidR="00BA54FF">
        <w:rPr>
          <w:vertAlign w:val="superscript"/>
        </w:rPr>
        <w:t>9</w:t>
      </w:r>
      <w:r w:rsidRPr="00D35620">
        <w:t xml:space="preserve"> </w:t>
      </w:r>
      <w:r w:rsidR="00161059">
        <w:t>However</w:t>
      </w:r>
      <w:r w:rsidR="003B5FDB">
        <w:t>,</w:t>
      </w:r>
      <w:r w:rsidR="00161059">
        <w:t xml:space="preserve"> it is unknown if detection of viral RNA correlates with shedding of live virus and transmission risk. </w:t>
      </w:r>
    </w:p>
    <w:p w14:paraId="425EEAE4" w14:textId="3A6F09FD" w:rsidR="00CE6E91" w:rsidRPr="005F79C4" w:rsidRDefault="005F79C4" w:rsidP="00C011C9">
      <w:r w:rsidRPr="00C350DB">
        <w:t>A recent study suggests that children do not play a key role in household transmission and are unlikely to be the primary source of household infections</w:t>
      </w:r>
      <w:r>
        <w:t>.</w:t>
      </w:r>
      <w:r w:rsidR="00BA54FF">
        <w:rPr>
          <w:vertAlign w:val="superscript"/>
        </w:rPr>
        <w:t>10</w:t>
      </w:r>
      <w:r>
        <w:rPr>
          <w:rFonts w:ascii="Calibri" w:hAnsi="Calibri" w:cs="Calibri"/>
        </w:rPr>
        <w:t xml:space="preserve"> </w:t>
      </w:r>
      <w:r w:rsidR="00EB20A0">
        <w:rPr>
          <w:rFonts w:ascii="Calibri" w:hAnsi="Calibri" w:cs="Calibri"/>
        </w:rPr>
        <w:t>In a</w:t>
      </w:r>
      <w:r w:rsidR="00CE6E91" w:rsidRPr="00C011C9">
        <w:rPr>
          <w:rFonts w:ascii="Calibri" w:hAnsi="Calibri" w:cs="Calibri"/>
        </w:rPr>
        <w:t xml:space="preserve"> population-based study in Iceland, children under 10 years old had a lower incidence of SARS-CoV-2 infection than adults; 6.7% </w:t>
      </w:r>
      <w:r>
        <w:rPr>
          <w:rFonts w:ascii="Calibri" w:hAnsi="Calibri" w:cs="Calibri"/>
        </w:rPr>
        <w:t>vs.</w:t>
      </w:r>
      <w:r w:rsidRPr="00C011C9">
        <w:rPr>
          <w:rFonts w:ascii="Calibri" w:hAnsi="Calibri" w:cs="Calibri"/>
        </w:rPr>
        <w:t xml:space="preserve"> </w:t>
      </w:r>
      <w:r w:rsidR="00CE6E91" w:rsidRPr="00C011C9">
        <w:rPr>
          <w:rFonts w:ascii="Calibri" w:hAnsi="Calibri" w:cs="Calibri"/>
        </w:rPr>
        <w:t>13.7% in children and adults respectively</w:t>
      </w:r>
      <w:r w:rsidR="00EA7CBE">
        <w:rPr>
          <w:rFonts w:ascii="Calibri" w:hAnsi="Calibri" w:cs="Calibri"/>
        </w:rPr>
        <w:t>.</w:t>
      </w:r>
      <w:r w:rsidR="00BA54FF">
        <w:rPr>
          <w:rFonts w:ascii="Calibri" w:hAnsi="Calibri" w:cs="Calibri"/>
          <w:vertAlign w:val="superscript"/>
        </w:rPr>
        <w:t>11</w:t>
      </w:r>
      <w:r w:rsidR="00CE6E91" w:rsidRPr="00C011C9">
        <w:rPr>
          <w:rFonts w:ascii="Calibri" w:hAnsi="Calibri" w:cs="Calibri"/>
        </w:rPr>
        <w:t xml:space="preserve"> </w:t>
      </w:r>
    </w:p>
    <w:p w14:paraId="7C7D6A98" w14:textId="77777777" w:rsidR="00E4281B" w:rsidRPr="00C350DB" w:rsidRDefault="00E4281B" w:rsidP="00650D81">
      <w:pPr>
        <w:pStyle w:val="Heading2"/>
      </w:pPr>
      <w:r w:rsidRPr="00C350DB">
        <w:t xml:space="preserve">Incubation period </w:t>
      </w:r>
    </w:p>
    <w:p w14:paraId="726F491E" w14:textId="25F2FF2F" w:rsidR="00E4281B" w:rsidRPr="00C350DB" w:rsidRDefault="00E4281B" w:rsidP="00C011C9">
      <w:r w:rsidRPr="00C350DB">
        <w:t>Estimates of median incubation period, based on seven published studies, are 5 to 6 days (ranging from 0 to 14 days). Patients with long incubatio</w:t>
      </w:r>
      <w:r w:rsidR="00E0475A">
        <w:t>n periods do occasionally occur;</w:t>
      </w:r>
      <w:r w:rsidRPr="00C350DB">
        <w:t xml:space="preserve"> however</w:t>
      </w:r>
      <w:r w:rsidR="00E0475A">
        <w:t>,</w:t>
      </w:r>
      <w:r w:rsidRPr="00C350DB">
        <w:t xml:space="preserve"> they are likely to be ‘outliers’ who should be studied further but are unlikely to represent a change in epidemiology of the virus.</w:t>
      </w:r>
      <w:r w:rsidR="00BA54FF">
        <w:rPr>
          <w:vertAlign w:val="superscript"/>
        </w:rPr>
        <w:t>12,</w:t>
      </w:r>
      <w:proofErr w:type="gramStart"/>
      <w:r w:rsidR="00BA54FF">
        <w:rPr>
          <w:vertAlign w:val="superscript"/>
        </w:rPr>
        <w:t>13</w:t>
      </w:r>
      <w:proofErr w:type="gramEnd"/>
      <w:r w:rsidRPr="00C350DB">
        <w:t xml:space="preserve"> </w:t>
      </w:r>
    </w:p>
    <w:p w14:paraId="32550680" w14:textId="77777777" w:rsidR="00E4281B" w:rsidRPr="007A4CD5" w:rsidRDefault="00E4281B" w:rsidP="00650D81">
      <w:pPr>
        <w:pStyle w:val="Heading2"/>
      </w:pPr>
      <w:r w:rsidRPr="007A4CD5">
        <w:t xml:space="preserve">Molecular epidemiology </w:t>
      </w:r>
    </w:p>
    <w:p w14:paraId="2E49107E" w14:textId="0AFC2F7C" w:rsidR="00E4281B" w:rsidRPr="00D139A3" w:rsidRDefault="00E4281B" w:rsidP="00C011C9">
      <w:r w:rsidRPr="00D139A3">
        <w:t>Since December 2019, the virus has diversified into multiple lineages as it has spread globally with some degree of geographical clustering</w:t>
      </w:r>
      <w:r w:rsidR="00EB20A0">
        <w:t xml:space="preserve">. </w:t>
      </w:r>
      <w:r w:rsidRPr="00D139A3">
        <w:t xml:space="preserve">The whole genome sequences currently available from Australian cases are mostly in returned travellers from China, the Islamic Republic of Iran, </w:t>
      </w:r>
      <w:proofErr w:type="gramStart"/>
      <w:r w:rsidRPr="00D139A3">
        <w:t>Europe</w:t>
      </w:r>
      <w:proofErr w:type="gramEnd"/>
      <w:r w:rsidRPr="00D139A3">
        <w:t xml:space="preserve"> and the USA, and thereby reflect this global diversity</w:t>
      </w:r>
      <w:r w:rsidR="00EB20A0">
        <w:t>.</w:t>
      </w:r>
      <w:r w:rsidRPr="00D139A3">
        <w:t xml:space="preserve"> Recent work describes an emerging clade linked to the epidemic in the Islamic Republic of Iran.</w:t>
      </w:r>
      <w:r w:rsidR="00BA54FF">
        <w:rPr>
          <w:vertAlign w:val="superscript"/>
        </w:rPr>
        <w:t>14</w:t>
      </w:r>
      <w:r w:rsidRPr="00D139A3">
        <w:t xml:space="preserve"> </w:t>
      </w:r>
    </w:p>
    <w:p w14:paraId="440A70F0" w14:textId="77777777" w:rsidR="00E4281B" w:rsidRDefault="00E4281B" w:rsidP="00650D81">
      <w:pPr>
        <w:pStyle w:val="Heading2"/>
      </w:pPr>
      <w:r w:rsidRPr="000A2320">
        <w:t xml:space="preserve">Clinical features </w:t>
      </w:r>
    </w:p>
    <w:p w14:paraId="5F9B85BF" w14:textId="78E500BB" w:rsidR="00E4281B" w:rsidRPr="00D139A3" w:rsidRDefault="00E4281B" w:rsidP="00C011C9">
      <w:r w:rsidRPr="00D139A3">
        <w:t>COVID-19 presents as mild illness in th</w:t>
      </w:r>
      <w:r>
        <w:t xml:space="preserve">e majority of cases with cough and </w:t>
      </w:r>
      <w:r w:rsidRPr="00D139A3">
        <w:t xml:space="preserve">fever being the most commonly reported symptoms. Severe or fatal outcomes </w:t>
      </w:r>
      <w:r>
        <w:t>are more likely</w:t>
      </w:r>
      <w:r w:rsidRPr="00D139A3">
        <w:t xml:space="preserve"> to occur in the elderly or those with comorbid conditions</w:t>
      </w:r>
      <w:r w:rsidR="00EB20A0">
        <w:t>.</w:t>
      </w:r>
      <w:r w:rsidR="00BA54FF">
        <w:rPr>
          <w:vertAlign w:val="superscript"/>
        </w:rPr>
        <w:t>7,</w:t>
      </w:r>
      <w:proofErr w:type="gramStart"/>
      <w:r w:rsidR="00BA54FF">
        <w:rPr>
          <w:vertAlign w:val="superscript"/>
        </w:rPr>
        <w:t>15</w:t>
      </w:r>
      <w:proofErr w:type="gramEnd"/>
    </w:p>
    <w:p w14:paraId="6C66D311" w14:textId="09742374" w:rsidR="00E4281B" w:rsidRPr="00731BF0" w:rsidRDefault="00E4281B" w:rsidP="00C011C9">
      <w:r w:rsidRPr="00D139A3">
        <w:t xml:space="preserve">Some COVID-19 patients show neurological signs such as headache, </w:t>
      </w:r>
      <w:proofErr w:type="gramStart"/>
      <w:r w:rsidRPr="00D139A3">
        <w:t>nausea</w:t>
      </w:r>
      <w:proofErr w:type="gramEnd"/>
      <w:r w:rsidRPr="00D139A3">
        <w:t xml:space="preserve"> and vomiting. There is evidence that SARS-CoV-2 viruses </w:t>
      </w:r>
      <w:r w:rsidRPr="00731BF0">
        <w:t>are not always confined to the respiratory tract and may invade the central nervous system inducing neurological symptoms. As such, it is possible that invasion of the central nervous system is partially responsible for the acute respiratory failure of COVID-19 patients</w:t>
      </w:r>
      <w:r w:rsidR="00EB20A0">
        <w:t>.</w:t>
      </w:r>
      <w:r w:rsidR="00BA54FF">
        <w:rPr>
          <w:vertAlign w:val="superscript"/>
        </w:rPr>
        <w:t>16</w:t>
      </w:r>
    </w:p>
    <w:p w14:paraId="3FBC157B" w14:textId="1FC71AF2" w:rsidR="00E4281B" w:rsidRPr="00D139A3" w:rsidRDefault="00E4281B" w:rsidP="00C011C9">
      <w:r w:rsidRPr="00731BF0">
        <w:t xml:space="preserve">There is some evidence to suggest that </w:t>
      </w:r>
      <w:r w:rsidR="00373B11" w:rsidRPr="00731BF0">
        <w:t>impairment</w:t>
      </w:r>
      <w:r w:rsidRPr="00731BF0">
        <w:t xml:space="preserve"> or loss of the sense of smell (hyposmia/anosmia) or taste (</w:t>
      </w:r>
      <w:proofErr w:type="spellStart"/>
      <w:r w:rsidRPr="00731BF0">
        <w:t>hypoguesia</w:t>
      </w:r>
      <w:proofErr w:type="spellEnd"/>
      <w:r w:rsidRPr="00731BF0">
        <w:t>/</w:t>
      </w:r>
      <w:proofErr w:type="spellStart"/>
      <w:r w:rsidRPr="00731BF0">
        <w:t>aguesia</w:t>
      </w:r>
      <w:proofErr w:type="spellEnd"/>
      <w:r w:rsidRPr="00731BF0">
        <w:t>) is associated with COVID-19.</w:t>
      </w:r>
      <w:r w:rsidR="00BA54FF">
        <w:rPr>
          <w:vertAlign w:val="superscript"/>
        </w:rPr>
        <w:t>17,18</w:t>
      </w:r>
      <w:r w:rsidRPr="00731BF0">
        <w:t xml:space="preserve"> This is supported by research finding a biological mechanism for the SARS-CoV-2 virus to cause </w:t>
      </w:r>
      <w:r w:rsidRPr="00D139A3">
        <w:t>olfactory dysfunction</w:t>
      </w:r>
      <w:r w:rsidR="00EB20A0">
        <w:t>.</w:t>
      </w:r>
      <w:r w:rsidR="00BA54FF">
        <w:rPr>
          <w:vertAlign w:val="superscript"/>
        </w:rPr>
        <w:t>19,</w:t>
      </w:r>
      <w:proofErr w:type="gramStart"/>
      <w:r w:rsidR="00BA54FF">
        <w:rPr>
          <w:vertAlign w:val="superscript"/>
        </w:rPr>
        <w:t>20</w:t>
      </w:r>
      <w:proofErr w:type="gramEnd"/>
    </w:p>
    <w:p w14:paraId="2D90F583" w14:textId="1900A866" w:rsidR="00E4281B" w:rsidRDefault="00E4281B" w:rsidP="00C011C9">
      <w:r w:rsidRPr="00D139A3">
        <w:t xml:space="preserve">Examination of cases and their close contacts in China found a positive association between age and time from symptom onset to recovery. The study also found an association between clinical severity and time from </w:t>
      </w:r>
      <w:r w:rsidRPr="00D139A3">
        <w:lastRenderedPageBreak/>
        <w:t>symptom onset to time to recovery. Compared to people with mild disease, those with moderate and severe disease were associated with a 19% and 58% increase in time to recovery, respectively</w:t>
      </w:r>
      <w:r w:rsidR="00EB20A0">
        <w:t>.</w:t>
      </w:r>
      <w:r w:rsidR="00BA54FF">
        <w:rPr>
          <w:vertAlign w:val="superscript"/>
        </w:rPr>
        <w:t>8</w:t>
      </w:r>
    </w:p>
    <w:p w14:paraId="2D2776A9" w14:textId="12481B2F" w:rsidR="00E4281B" w:rsidRDefault="00E4281B" w:rsidP="00C011C9">
      <w:r w:rsidRPr="00D139A3">
        <w:t>Several studies have identified cardiovascular implications resulting from COVID-19. Vascular inflammation has been observed in a number of cases and may be a potential mechanism for myocardial injury which can result in cardiac dysfunction and arrhythmias</w:t>
      </w:r>
      <w:r w:rsidR="00EB20A0">
        <w:t>.</w:t>
      </w:r>
    </w:p>
    <w:p w14:paraId="1D1F13A4" w14:textId="73479198" w:rsidR="007E10A6" w:rsidRPr="00731BF0" w:rsidRDefault="009F287E" w:rsidP="00C011C9">
      <w:r w:rsidRPr="00731BF0">
        <w:t>Recently published literature outside of Wuhan found that approximately 10% of all cases developed gastrointestinal symptoms associated with COVID-19 infection either on admission or during hospitalisation.</w:t>
      </w:r>
      <w:r w:rsidR="00BA54FF">
        <w:rPr>
          <w:vertAlign w:val="superscript"/>
        </w:rPr>
        <w:t>21,22</w:t>
      </w:r>
      <w:r w:rsidRPr="00731BF0">
        <w:t xml:space="preserve"> This number is higher than the 3% previously reported in Wuhan</w:t>
      </w:r>
      <w:r w:rsidR="007E10A6" w:rsidRPr="00731BF0">
        <w:t>.</w:t>
      </w:r>
    </w:p>
    <w:p w14:paraId="470B2E91" w14:textId="77777777" w:rsidR="007E10A6" w:rsidRPr="007C5E71" w:rsidRDefault="007E10A6" w:rsidP="007E10A6">
      <w:pPr>
        <w:pStyle w:val="Heading2"/>
      </w:pPr>
      <w:r w:rsidRPr="007C5E71">
        <w:t xml:space="preserve">Treatment </w:t>
      </w:r>
    </w:p>
    <w:p w14:paraId="13064666" w14:textId="4C911FAD" w:rsidR="007E10A6" w:rsidRPr="00D139A3" w:rsidRDefault="007E10A6" w:rsidP="00C011C9">
      <w:r w:rsidRPr="00D139A3">
        <w:t xml:space="preserve">Current clinical management of COVID-19 cases focuses on early recognition, isolation, appropriate infection control measures and </w:t>
      </w:r>
      <w:r>
        <w:t>provision of supportive care.</w:t>
      </w:r>
      <w:r w:rsidR="00BA54FF">
        <w:rPr>
          <w:vertAlign w:val="superscript"/>
        </w:rPr>
        <w:t>23</w:t>
      </w:r>
      <w:r>
        <w:t xml:space="preserve"> </w:t>
      </w:r>
      <w:r w:rsidRPr="00D139A3">
        <w:t>Whilst there is no specific antiviral treatment currently recommended for patients with suspected or confirmed SARS-CoV-2 infection, multiple clinical trials are underway to evaluate a number of therapeutic agents, including remdesivir, lopinavir/ritonavir, and chloroquine</w:t>
      </w:r>
      <w:r w:rsidR="00FF6A41">
        <w:t xml:space="preserve"> or hydroxychloroquine</w:t>
      </w:r>
      <w:r w:rsidRPr="00D139A3">
        <w:t>.</w:t>
      </w:r>
      <w:r w:rsidR="00BA54FF">
        <w:rPr>
          <w:vertAlign w:val="superscript"/>
        </w:rPr>
        <w:t>24</w:t>
      </w:r>
      <w:r w:rsidR="00FF6A41" w:rsidRPr="00C011C9">
        <w:rPr>
          <w:vertAlign w:val="superscript"/>
        </w:rPr>
        <w:t xml:space="preserve"> </w:t>
      </w:r>
    </w:p>
    <w:p w14:paraId="116A6402" w14:textId="761E2414" w:rsidR="007E10A6" w:rsidRDefault="007E10A6" w:rsidP="007E10A6">
      <w:pPr>
        <w:pStyle w:val="ListParagraph"/>
        <w:rPr>
          <w:color w:val="FF0000"/>
        </w:rPr>
      </w:pPr>
    </w:p>
    <w:p w14:paraId="51788A2F" w14:textId="77777777" w:rsidR="007E10A6" w:rsidRPr="00AD59C3" w:rsidRDefault="007E10A6" w:rsidP="007E10A6">
      <w:pPr>
        <w:pStyle w:val="ListParagraph"/>
        <w:numPr>
          <w:ilvl w:val="0"/>
          <w:numId w:val="22"/>
        </w:numPr>
        <w:rPr>
          <w:color w:val="FF0000"/>
        </w:rPr>
        <w:sectPr w:rsidR="007E10A6" w:rsidRPr="00AD59C3" w:rsidSect="00052451">
          <w:footerReference w:type="default" r:id="rId22"/>
          <w:footerReference w:type="first" r:id="rId23"/>
          <w:footnotePr>
            <w:numFmt w:val="lowerRoman"/>
          </w:footnotePr>
          <w:pgSz w:w="11906" w:h="16838"/>
          <w:pgMar w:top="709" w:right="851" w:bottom="425" w:left="851" w:header="709" w:footer="709" w:gutter="0"/>
          <w:cols w:space="708"/>
          <w:docGrid w:linePitch="360"/>
        </w:sectPr>
      </w:pPr>
    </w:p>
    <w:p w14:paraId="644CCF0B" w14:textId="77777777" w:rsidR="00E4281B" w:rsidRPr="007C5E71" w:rsidRDefault="00E4281B" w:rsidP="00650D81">
      <w:pPr>
        <w:pStyle w:val="Heading1"/>
      </w:pPr>
      <w:r w:rsidRPr="007C5E71">
        <w:lastRenderedPageBreak/>
        <w:t>Data considerations</w:t>
      </w:r>
    </w:p>
    <w:p w14:paraId="71AFC32B" w14:textId="7765F98E" w:rsidR="00E4281B" w:rsidRDefault="00E4281B" w:rsidP="00650D81">
      <w:r w:rsidRPr="00B947D1">
        <w:t>Data we</w:t>
      </w:r>
      <w:r>
        <w:t xml:space="preserve">re extracted from the NNDSS on </w:t>
      </w:r>
      <w:r w:rsidR="00BF48D4">
        <w:t>21</w:t>
      </w:r>
      <w:r w:rsidRPr="00B947D1">
        <w:t xml:space="preserve"> April 2020, by diagnosis date. Due to the dynamic nature of the NNDSS, data in this extract are subject to retrospective revision and may vary from data reported in published NNDSS reports and reports of notification data by states and territories. </w:t>
      </w:r>
    </w:p>
    <w:p w14:paraId="7EDF3138" w14:textId="77777777" w:rsidR="00E4281B" w:rsidRPr="009D4C93" w:rsidRDefault="00E4281B" w:rsidP="00650D81">
      <w:pPr>
        <w:pStyle w:val="Heading1"/>
      </w:pPr>
      <w:r w:rsidRPr="009D4C93">
        <w:t xml:space="preserve">Acknowledgements </w:t>
      </w:r>
    </w:p>
    <w:p w14:paraId="53702110" w14:textId="22413C8D" w:rsidR="00E4281B" w:rsidRPr="007D4113" w:rsidRDefault="00E4281B" w:rsidP="00650D81">
      <w:r w:rsidRPr="007D4113">
        <w:t>This report represents surveillance data reported through CDNA as part of the nationally-coordinated response to COVID-19. We thank public health staff from incident emergency operations centres in state and territory health departments, and the Australian Government Department of Health, along with state and territory public health laboratories.</w:t>
      </w:r>
    </w:p>
    <w:p w14:paraId="0FB13610" w14:textId="77777777" w:rsidR="00E4281B" w:rsidRPr="009D4C93" w:rsidRDefault="00E4281B" w:rsidP="00650D81">
      <w:pPr>
        <w:pStyle w:val="Heading1"/>
      </w:pPr>
      <w:r w:rsidRPr="009D4C93">
        <w:t xml:space="preserve">Author details </w:t>
      </w:r>
    </w:p>
    <w:p w14:paraId="1C73AFB9" w14:textId="77777777" w:rsidR="00E4281B" w:rsidRPr="009D4C93" w:rsidRDefault="00E4281B" w:rsidP="00650D81">
      <w:pPr>
        <w:pStyle w:val="Heading2"/>
      </w:pPr>
      <w:r w:rsidRPr="009D4C93">
        <w:t xml:space="preserve">Corresponding author </w:t>
      </w:r>
    </w:p>
    <w:p w14:paraId="1D29109E" w14:textId="5FFBC847" w:rsidR="00E4281B" w:rsidRDefault="00E4281B" w:rsidP="00650D81">
      <w:r>
        <w:t>COVID-19 National In</w:t>
      </w:r>
      <w:r w:rsidR="00BC6C66">
        <w:t>cident Room Surveillance Team,</w:t>
      </w:r>
      <w:r>
        <w:t xml:space="preserve"> Australian Government Department of Health, GPO Box 9484, MDP 14, Canberra, ACT 2601. </w:t>
      </w:r>
    </w:p>
    <w:p w14:paraId="4B6F5105" w14:textId="77777777" w:rsidR="00E4281B" w:rsidRPr="00B947D1" w:rsidRDefault="00E4281B" w:rsidP="00650D81">
      <w:r>
        <w:t xml:space="preserve">Email: epi.coronavirus@health.gov.au </w:t>
      </w:r>
    </w:p>
    <w:p w14:paraId="0883FB92" w14:textId="77777777" w:rsidR="00E4281B" w:rsidRDefault="00E4281B">
      <w:pPr>
        <w:spacing w:before="200"/>
        <w:rPr>
          <w:rFonts w:asciiTheme="majorHAnsi" w:eastAsiaTheme="majorEastAsia" w:hAnsiTheme="majorHAnsi" w:cstheme="majorBidi"/>
          <w:b/>
          <w:bCs/>
          <w:sz w:val="26"/>
          <w:szCs w:val="26"/>
        </w:rPr>
      </w:pPr>
      <w:r>
        <w:br w:type="page"/>
      </w:r>
    </w:p>
    <w:p w14:paraId="4A56BFD8" w14:textId="77777777" w:rsidR="00E4281B" w:rsidRPr="000C6A90" w:rsidRDefault="00E4281B" w:rsidP="00650D81">
      <w:pPr>
        <w:pStyle w:val="Heading1"/>
      </w:pPr>
      <w:r w:rsidRPr="000C6A90">
        <w:lastRenderedPageBreak/>
        <w:t>References</w:t>
      </w:r>
    </w:p>
    <w:p w14:paraId="06BC8991" w14:textId="3F9F5B31" w:rsidR="00C76B17" w:rsidRPr="00F877CE" w:rsidRDefault="00C76B17" w:rsidP="00F877CE">
      <w:pPr>
        <w:pStyle w:val="ListParagraph"/>
        <w:numPr>
          <w:ilvl w:val="0"/>
          <w:numId w:val="46"/>
        </w:numPr>
        <w:rPr>
          <w:rFonts w:eastAsia="SimSun"/>
          <w:noProof/>
          <w:lang w:val="en-US"/>
        </w:rPr>
      </w:pPr>
      <w:r w:rsidRPr="00F877CE">
        <w:rPr>
          <w:rFonts w:eastAsia="SimSun"/>
          <w:noProof/>
          <w:lang w:val="en-US"/>
        </w:rPr>
        <w:t>European Centre for Disease Prevention and Control (ECDC). Rapid risk assessment: Coronavirus disease 2019 (COVID-19) pandemic: increased transmission in the EU/EEA and the UK – eighth update. [Internet.] Solna: ECDC; 8 April 2020. Available from: https://www.ecdc.europa.eu/en/publications-data/rapid-risk-assessment-coronavirus-disease-2019-covid-19-pandemic-eighth-update.</w:t>
      </w:r>
    </w:p>
    <w:p w14:paraId="09F62777" w14:textId="729972EB" w:rsidR="00C76B17" w:rsidRPr="00F877CE" w:rsidRDefault="00C76B17" w:rsidP="00F877CE">
      <w:pPr>
        <w:pStyle w:val="ListParagraph"/>
        <w:numPr>
          <w:ilvl w:val="0"/>
          <w:numId w:val="46"/>
        </w:numPr>
        <w:rPr>
          <w:rFonts w:eastAsia="SimSun"/>
          <w:noProof/>
          <w:lang w:val="en-US"/>
        </w:rPr>
      </w:pPr>
      <w:r w:rsidRPr="00F877CE">
        <w:rPr>
          <w:rFonts w:eastAsia="SimSun"/>
          <w:noProof/>
          <w:lang w:val="en-US"/>
        </w:rPr>
        <w:t>Australian Government Department of Health. Australian Health Protection Principal Committee (AHPPC) advice on reducing the potential risk of COVID-19 transmission in schools. [Internet.] Canberra: Australian Government Department of Health; 2020. [Accessed 20 April 2020.] Available from: https://www.health.gov.au/news/australian-health-protection-principal-committee-ahppc-advice-on-reducing-the-potential-risk-of-covid-19-transmission-in-schools.</w:t>
      </w:r>
    </w:p>
    <w:p w14:paraId="4354C504" w14:textId="3B66FE63" w:rsidR="00C76B17" w:rsidRPr="00F877CE" w:rsidRDefault="00C76B17" w:rsidP="00F877CE">
      <w:pPr>
        <w:pStyle w:val="ListParagraph"/>
        <w:numPr>
          <w:ilvl w:val="0"/>
          <w:numId w:val="46"/>
        </w:numPr>
        <w:rPr>
          <w:rFonts w:eastAsia="SimSun"/>
          <w:noProof/>
          <w:lang w:val="en-US"/>
        </w:rPr>
      </w:pPr>
      <w:r w:rsidRPr="00F877CE">
        <w:rPr>
          <w:rFonts w:eastAsia="SimSun"/>
          <w:noProof/>
          <w:lang w:val="en-US"/>
        </w:rPr>
        <w:t>Australian Government Department of Prime Minister and Cabinet. Media Statement, 9 April 2020. [Internet.] Canberra: Australian Government Department of Prime Minister and Cabinet; 2020. Available from: https://www.pm.gov.au/media/update-coronavirus-measures-3.</w:t>
      </w:r>
    </w:p>
    <w:p w14:paraId="2616FA8E" w14:textId="5AA28E67" w:rsidR="00C76B17" w:rsidRPr="00F877CE" w:rsidRDefault="00C76B17" w:rsidP="00F877CE">
      <w:pPr>
        <w:pStyle w:val="ListParagraph"/>
        <w:numPr>
          <w:ilvl w:val="0"/>
          <w:numId w:val="46"/>
        </w:numPr>
        <w:rPr>
          <w:rFonts w:eastAsia="SimSun"/>
          <w:noProof/>
          <w:lang w:val="en-US"/>
        </w:rPr>
      </w:pPr>
      <w:r w:rsidRPr="00F877CE">
        <w:rPr>
          <w:rFonts w:eastAsia="SimSun"/>
          <w:noProof/>
          <w:lang w:val="en-US"/>
        </w:rPr>
        <w:t>Australian Government Department of Health. Australian Health Protection Principal Committee (AHPPC) Advice to National Cabinet on 30 March 2020. [Internet.] Canberra: Australian Government Department of Health; 2020. [Accessed 8 April 2020.] Available from: https://www.health.gov.au/news/australian-health-protection-principal-committee-ahppc-advice-to-national-cabinet-on-30-march-2020.</w:t>
      </w:r>
    </w:p>
    <w:p w14:paraId="5A96D3BB" w14:textId="799FF725" w:rsidR="00C76B17" w:rsidRPr="00F877CE" w:rsidRDefault="00C76B17" w:rsidP="00F877CE">
      <w:pPr>
        <w:pStyle w:val="ListParagraph"/>
        <w:numPr>
          <w:ilvl w:val="0"/>
          <w:numId w:val="46"/>
        </w:numPr>
        <w:rPr>
          <w:rFonts w:eastAsia="SimSun"/>
          <w:noProof/>
          <w:lang w:val="en-US"/>
        </w:rPr>
      </w:pPr>
      <w:r w:rsidRPr="00F877CE">
        <w:rPr>
          <w:rFonts w:eastAsia="SimSun"/>
          <w:noProof/>
          <w:lang w:val="en-US"/>
        </w:rPr>
        <w:t>Australian Government Department of Health. Australian Health Protection Principal Committee (AHPPC) coronavirus (COVID-19) statement on 16 April 2020. [Internet.] Canberra: Australian Government Department of Health; 2020. [Accessed 20 April 2020.] Available from: https://www.health.gov.au/news/australian-health-protection-principal-committee-ahppc-coronavirus-covid-19-statement-on-16-april-2020.</w:t>
      </w:r>
    </w:p>
    <w:p w14:paraId="674584F9" w14:textId="7E0EA271" w:rsidR="00C76B17" w:rsidRPr="00F877CE" w:rsidRDefault="00C76B17" w:rsidP="00F877CE">
      <w:pPr>
        <w:pStyle w:val="ListParagraph"/>
        <w:numPr>
          <w:ilvl w:val="0"/>
          <w:numId w:val="46"/>
        </w:numPr>
        <w:rPr>
          <w:rFonts w:eastAsia="SimSun"/>
          <w:noProof/>
          <w:lang w:val="en-US"/>
        </w:rPr>
      </w:pPr>
      <w:r w:rsidRPr="00F877CE">
        <w:rPr>
          <w:rFonts w:eastAsia="SimSun"/>
          <w:noProof/>
          <w:lang w:val="en-US"/>
        </w:rPr>
        <w:t>World Health Organization (WHO). Coronavirus disease 2019 (COVID-19) situation report – 90. [Internet.] Geneva: WHO; 2020. [Accessed 21 April 2020.] Available from: https://www.who.int/docs/default-source/coronaviruse/situation-reports/20200419-sitrep-90-covid-19.pdf.</w:t>
      </w:r>
    </w:p>
    <w:p w14:paraId="710B2EB4" w14:textId="19D4EED5" w:rsidR="00C76B17" w:rsidRPr="00F877CE" w:rsidRDefault="00C76B17" w:rsidP="00F877CE">
      <w:pPr>
        <w:pStyle w:val="ListParagraph"/>
        <w:numPr>
          <w:ilvl w:val="0"/>
          <w:numId w:val="46"/>
        </w:numPr>
        <w:rPr>
          <w:rFonts w:eastAsia="SimSun"/>
          <w:noProof/>
          <w:lang w:val="en-US"/>
        </w:rPr>
      </w:pPr>
      <w:r w:rsidRPr="00F877CE">
        <w:rPr>
          <w:rFonts w:eastAsia="SimSun"/>
          <w:noProof/>
          <w:lang w:val="en-US"/>
        </w:rPr>
        <w:t>WHO. Report of the WHO-China joint mission on coronavirus disease 2019 (COVID-19). [Internet.] Geneva: WHO; 2020. [Accessed 1 Mar 2020.] Available from: https://www.who.int/docs/default-source/coronaviruse/who-china-joint-mission-on-covid-19-final-report.pdf.</w:t>
      </w:r>
    </w:p>
    <w:p w14:paraId="550B9EF5" w14:textId="27BDF7B9" w:rsidR="00C76B17" w:rsidRPr="00F877CE" w:rsidRDefault="00C76B17" w:rsidP="00F877CE">
      <w:pPr>
        <w:pStyle w:val="ListParagraph"/>
        <w:numPr>
          <w:ilvl w:val="0"/>
          <w:numId w:val="46"/>
        </w:numPr>
        <w:rPr>
          <w:rFonts w:eastAsia="SimSun"/>
          <w:noProof/>
          <w:lang w:val="en-US"/>
        </w:rPr>
      </w:pPr>
      <w:r w:rsidRPr="00F877CE">
        <w:rPr>
          <w:rFonts w:eastAsia="SimSun"/>
          <w:noProof/>
          <w:lang w:val="en-US"/>
        </w:rPr>
        <w:t xml:space="preserve">Bi Q, Wu Y, Mei S, Ye C, Zou X, Zhang Z et al. Epidemiology and transmission of COVID-19 in Shenzhen China: analysis of 391 cases and 1286 of their close contacts. </w:t>
      </w:r>
      <w:r w:rsidRPr="00F877CE">
        <w:rPr>
          <w:rFonts w:eastAsia="SimSun"/>
          <w:i/>
          <w:noProof/>
          <w:lang w:val="en-US"/>
        </w:rPr>
        <w:t>medRxiv</w:t>
      </w:r>
      <w:r w:rsidRPr="00F877CE">
        <w:rPr>
          <w:rFonts w:eastAsia="SimSun"/>
          <w:noProof/>
          <w:lang w:val="en-US"/>
        </w:rPr>
        <w:t>. 2020. doi: https://doi.org/10.1101/2020.03.03.20028423.</w:t>
      </w:r>
    </w:p>
    <w:p w14:paraId="39DE08AD" w14:textId="682EA67E" w:rsidR="00C76B17" w:rsidRPr="00F877CE" w:rsidRDefault="00C76B17" w:rsidP="00F877CE">
      <w:pPr>
        <w:pStyle w:val="ListParagraph"/>
        <w:numPr>
          <w:ilvl w:val="0"/>
          <w:numId w:val="46"/>
        </w:numPr>
        <w:rPr>
          <w:rFonts w:eastAsia="SimSun"/>
          <w:noProof/>
          <w:lang w:val="en-US"/>
        </w:rPr>
      </w:pPr>
      <w:r w:rsidRPr="00F877CE">
        <w:rPr>
          <w:rFonts w:eastAsia="SimSun"/>
          <w:noProof/>
          <w:lang w:val="en-US"/>
        </w:rPr>
        <w:t xml:space="preserve">Wölfel R, Corman VM, Guggemos W, Seilmaier M, Zange S, Müller MA et al. Virological assessment of hospitalized patients with COVID-2019. </w:t>
      </w:r>
      <w:r w:rsidRPr="00F877CE">
        <w:rPr>
          <w:rFonts w:eastAsia="SimSun"/>
          <w:i/>
          <w:noProof/>
          <w:lang w:val="en-US"/>
        </w:rPr>
        <w:t>Nature</w:t>
      </w:r>
      <w:r w:rsidRPr="00F877CE">
        <w:rPr>
          <w:rFonts w:eastAsia="SimSun"/>
          <w:noProof/>
          <w:lang w:val="en-US"/>
        </w:rPr>
        <w:t>. 2020. doi: https://doi.org/10.1038/s41586-020-2196-x.</w:t>
      </w:r>
    </w:p>
    <w:p w14:paraId="15FFAF5D" w14:textId="1BCD12B8" w:rsidR="00C76B17" w:rsidRPr="00F877CE" w:rsidRDefault="00C76B17" w:rsidP="00F877CE">
      <w:pPr>
        <w:pStyle w:val="ListParagraph"/>
        <w:numPr>
          <w:ilvl w:val="0"/>
          <w:numId w:val="46"/>
        </w:numPr>
        <w:rPr>
          <w:rFonts w:eastAsia="SimSun"/>
          <w:noProof/>
          <w:lang w:val="en-US"/>
        </w:rPr>
      </w:pPr>
      <w:r w:rsidRPr="00F877CE">
        <w:rPr>
          <w:rFonts w:eastAsia="SimSun"/>
          <w:noProof/>
          <w:lang w:val="en-US"/>
        </w:rPr>
        <w:t xml:space="preserve">Zhu Y, Bloxham CJ, Hulme KD, Sinclair JE, Tong ZW, Steele LE et al. Children are unlikely to have been the primary source of household SARS-CoV-2 infections. </w:t>
      </w:r>
      <w:r w:rsidRPr="00F877CE">
        <w:rPr>
          <w:rFonts w:eastAsia="SimSun"/>
          <w:i/>
          <w:noProof/>
          <w:lang w:val="en-US"/>
        </w:rPr>
        <w:t>medRxiv</w:t>
      </w:r>
      <w:r w:rsidRPr="00F877CE">
        <w:rPr>
          <w:rFonts w:eastAsia="SimSun"/>
          <w:noProof/>
          <w:lang w:val="en-US"/>
        </w:rPr>
        <w:t>. 2020. doi: https://doi.org/10.1101/2020.03.26.20044826.</w:t>
      </w:r>
    </w:p>
    <w:p w14:paraId="0CF74673" w14:textId="36369143" w:rsidR="00C76B17" w:rsidRPr="00F877CE" w:rsidRDefault="00C76B17" w:rsidP="00F877CE">
      <w:pPr>
        <w:pStyle w:val="ListParagraph"/>
        <w:numPr>
          <w:ilvl w:val="0"/>
          <w:numId w:val="46"/>
        </w:numPr>
        <w:rPr>
          <w:rFonts w:eastAsia="SimSun"/>
          <w:noProof/>
          <w:lang w:val="en-US"/>
        </w:rPr>
      </w:pPr>
      <w:r w:rsidRPr="00F877CE">
        <w:rPr>
          <w:rFonts w:eastAsia="SimSun"/>
          <w:noProof/>
          <w:lang w:val="en-US"/>
        </w:rPr>
        <w:t xml:space="preserve">Gudbjartsson DF, Helgason A, Jonsson H, Magnusson OT, Melsted P, Norddahl GL et al. Spread of SARS-CoV-2 in the Icelandic population. </w:t>
      </w:r>
      <w:r w:rsidRPr="00F877CE">
        <w:rPr>
          <w:rFonts w:eastAsia="SimSun"/>
          <w:i/>
          <w:noProof/>
          <w:lang w:val="en-US"/>
        </w:rPr>
        <w:t>N Engl J Med</w:t>
      </w:r>
      <w:r w:rsidRPr="00F877CE">
        <w:rPr>
          <w:rFonts w:eastAsia="SimSun"/>
          <w:noProof/>
          <w:lang w:val="en-US"/>
        </w:rPr>
        <w:t>. 2020. doi: https://doi.org/10.1056/NEJMoa2006100.</w:t>
      </w:r>
    </w:p>
    <w:p w14:paraId="05565E15" w14:textId="79DF5C91" w:rsidR="00C76B17" w:rsidRPr="00F877CE" w:rsidRDefault="00C76B17" w:rsidP="00F877CE">
      <w:pPr>
        <w:pStyle w:val="ListParagraph"/>
        <w:numPr>
          <w:ilvl w:val="0"/>
          <w:numId w:val="46"/>
        </w:numPr>
        <w:rPr>
          <w:rFonts w:eastAsia="SimSun"/>
          <w:noProof/>
          <w:lang w:val="en-US"/>
        </w:rPr>
      </w:pPr>
      <w:r w:rsidRPr="00F877CE">
        <w:rPr>
          <w:rFonts w:eastAsia="SimSun"/>
          <w:noProof/>
          <w:lang w:val="en-US"/>
        </w:rPr>
        <w:t>WHO. Coronavirus disease 2019 (COVID-19) situation report – 29. [Internet.] Geneva: WHO; 2020. [Accessed 22 Feb 2020.] Available from: https://www.who.int/docs/default-source/coronaviruse/situation-reports/20200218-sitrep-29-covid-19.pdf.</w:t>
      </w:r>
    </w:p>
    <w:p w14:paraId="5D63F6DC" w14:textId="14757808" w:rsidR="00C76B17" w:rsidRPr="00F877CE" w:rsidRDefault="00C76B17" w:rsidP="00F877CE">
      <w:pPr>
        <w:pStyle w:val="ListParagraph"/>
        <w:numPr>
          <w:ilvl w:val="0"/>
          <w:numId w:val="46"/>
        </w:numPr>
        <w:rPr>
          <w:rFonts w:eastAsia="SimSun"/>
          <w:noProof/>
          <w:lang w:val="en-US"/>
        </w:rPr>
      </w:pPr>
      <w:r w:rsidRPr="00F877CE">
        <w:rPr>
          <w:rFonts w:eastAsia="SimSun"/>
          <w:noProof/>
          <w:lang w:val="en-US"/>
        </w:rPr>
        <w:t xml:space="preserve">Pung R, Chiew CJ, Young BE, Chin S, Chen M, Clapham HE. Investigation of three clusters of COVID-19 in Singapore: implications for surveillance and response measures. </w:t>
      </w:r>
      <w:r w:rsidRPr="00F877CE">
        <w:rPr>
          <w:rFonts w:eastAsia="SimSun"/>
          <w:i/>
          <w:noProof/>
          <w:lang w:val="en-US"/>
        </w:rPr>
        <w:t>Lancet</w:t>
      </w:r>
      <w:r w:rsidRPr="00F877CE">
        <w:rPr>
          <w:rFonts w:eastAsia="SimSun"/>
          <w:noProof/>
          <w:lang w:val="en-US"/>
        </w:rPr>
        <w:t>. 2020;395(10229):1039–46.</w:t>
      </w:r>
    </w:p>
    <w:p w14:paraId="5F024EB4" w14:textId="07A5F520" w:rsidR="00C76B17" w:rsidRPr="00F877CE" w:rsidRDefault="00C76B17" w:rsidP="00F877CE">
      <w:pPr>
        <w:pStyle w:val="ListParagraph"/>
        <w:numPr>
          <w:ilvl w:val="0"/>
          <w:numId w:val="46"/>
        </w:numPr>
        <w:rPr>
          <w:rFonts w:eastAsia="SimSun"/>
          <w:noProof/>
          <w:lang w:val="en-US"/>
        </w:rPr>
      </w:pPr>
      <w:r w:rsidRPr="00F877CE">
        <w:rPr>
          <w:rFonts w:eastAsia="SimSun"/>
          <w:noProof/>
          <w:lang w:val="en-US"/>
        </w:rPr>
        <w:lastRenderedPageBreak/>
        <w:t xml:space="preserve">Eden JS, Rockett R, Carter I, Rahman H, de Ligt J, Hadfield J et al. An emergent clade of SARS-CoV-2 linked to returned travellers from Iran. </w:t>
      </w:r>
      <w:r w:rsidRPr="00F877CE">
        <w:rPr>
          <w:rFonts w:eastAsia="SimSun"/>
          <w:i/>
          <w:noProof/>
          <w:lang w:val="en-US"/>
        </w:rPr>
        <w:t>Virus Evol</w:t>
      </w:r>
      <w:r w:rsidRPr="00F877CE">
        <w:rPr>
          <w:rFonts w:eastAsia="SimSun"/>
          <w:noProof/>
          <w:lang w:val="en-US"/>
        </w:rPr>
        <w:t>. 2020;6(1):veaa027. doi: https://doi.org/10.1093/ve/veaa027.</w:t>
      </w:r>
    </w:p>
    <w:p w14:paraId="76924819" w14:textId="21EE648D" w:rsidR="00C76B17" w:rsidRPr="00F877CE" w:rsidRDefault="00C76B17" w:rsidP="00F877CE">
      <w:pPr>
        <w:pStyle w:val="ListParagraph"/>
        <w:numPr>
          <w:ilvl w:val="0"/>
          <w:numId w:val="46"/>
        </w:numPr>
        <w:rPr>
          <w:rFonts w:eastAsia="SimSun"/>
          <w:noProof/>
          <w:lang w:val="en-US"/>
        </w:rPr>
      </w:pPr>
      <w:r w:rsidRPr="00F877CE">
        <w:rPr>
          <w:rFonts w:eastAsia="SimSun"/>
          <w:noProof/>
          <w:lang w:val="en-US"/>
        </w:rPr>
        <w:t xml:space="preserve">Sun P, Qiu S, Liu Z, Ren J, Xi JJ. Clinical characteristics of 50466 patients with 2019-nCoV infection. </w:t>
      </w:r>
      <w:r w:rsidRPr="00F877CE">
        <w:rPr>
          <w:rFonts w:eastAsia="SimSun"/>
          <w:i/>
          <w:noProof/>
          <w:lang w:val="en-US"/>
        </w:rPr>
        <w:t>medRxiv</w:t>
      </w:r>
      <w:r w:rsidRPr="00F877CE">
        <w:rPr>
          <w:rFonts w:eastAsia="SimSun"/>
          <w:noProof/>
          <w:lang w:val="en-US"/>
        </w:rPr>
        <w:t>. 2020. doi: https://doi.org/10.1101/2020.02.18.20024539.</w:t>
      </w:r>
    </w:p>
    <w:p w14:paraId="64E4D8D2" w14:textId="1C3D09EE" w:rsidR="00C76B17" w:rsidRPr="00F877CE" w:rsidRDefault="00C76B17" w:rsidP="00F877CE">
      <w:pPr>
        <w:pStyle w:val="ListParagraph"/>
        <w:numPr>
          <w:ilvl w:val="0"/>
          <w:numId w:val="46"/>
        </w:numPr>
        <w:rPr>
          <w:rFonts w:eastAsia="SimSun"/>
          <w:noProof/>
          <w:lang w:val="en-US"/>
        </w:rPr>
      </w:pPr>
      <w:r w:rsidRPr="00F877CE">
        <w:rPr>
          <w:rFonts w:eastAsia="SimSun"/>
          <w:noProof/>
          <w:lang w:val="en-US"/>
        </w:rPr>
        <w:t xml:space="preserve">Li B, Bai W, Hashikawa T. The neuroinvasive potential of SARS-CoV-2 may be at least partially responsible for the respiratory failure of COVID-19 patients. </w:t>
      </w:r>
      <w:r w:rsidRPr="00F877CE">
        <w:rPr>
          <w:rFonts w:eastAsia="SimSun"/>
          <w:i/>
          <w:noProof/>
          <w:lang w:val="en-US"/>
        </w:rPr>
        <w:t>J Med Virol</w:t>
      </w:r>
      <w:r w:rsidRPr="00F877CE">
        <w:rPr>
          <w:rFonts w:eastAsia="SimSun"/>
          <w:noProof/>
          <w:lang w:val="en-US"/>
        </w:rPr>
        <w:t>. 2020. doi: https://doi.org/10.1002/jmv.25728.</w:t>
      </w:r>
    </w:p>
    <w:p w14:paraId="3A5EE64D" w14:textId="4E304C8D" w:rsidR="00C76B17" w:rsidRPr="00F877CE" w:rsidRDefault="00C76B17" w:rsidP="00F877CE">
      <w:pPr>
        <w:pStyle w:val="ListParagraph"/>
        <w:numPr>
          <w:ilvl w:val="0"/>
          <w:numId w:val="46"/>
        </w:numPr>
        <w:rPr>
          <w:rFonts w:eastAsia="SimSun"/>
          <w:noProof/>
          <w:lang w:val="en-US"/>
        </w:rPr>
      </w:pPr>
      <w:r w:rsidRPr="00F877CE">
        <w:rPr>
          <w:rFonts w:eastAsia="SimSun"/>
          <w:noProof/>
          <w:lang w:val="en-US"/>
        </w:rPr>
        <w:t>Mao L, Jin H, Wang M, Hu Y, Chen S, He Q et al. Neurological manifestations of hospitalized patients with coronavirus disease 2019 in Wuhan, China.</w:t>
      </w:r>
      <w:r w:rsidRPr="00F877CE">
        <w:rPr>
          <w:rFonts w:eastAsia="SimSun"/>
          <w:i/>
          <w:noProof/>
          <w:lang w:val="en-US"/>
        </w:rPr>
        <w:t xml:space="preserve"> JAMA Neurol</w:t>
      </w:r>
      <w:r w:rsidRPr="00F877CE">
        <w:rPr>
          <w:rFonts w:eastAsia="SimSun"/>
          <w:noProof/>
          <w:lang w:val="en-US"/>
        </w:rPr>
        <w:t>. 2020;e201127. doi: https://doi.org/10.1001/jamaneurol.2020.1127.</w:t>
      </w:r>
    </w:p>
    <w:p w14:paraId="65B5F508" w14:textId="01888ED2" w:rsidR="00C76B17" w:rsidRPr="00F877CE" w:rsidRDefault="00C76B17" w:rsidP="00F877CE">
      <w:pPr>
        <w:pStyle w:val="ListParagraph"/>
        <w:numPr>
          <w:ilvl w:val="0"/>
          <w:numId w:val="46"/>
        </w:numPr>
        <w:rPr>
          <w:rFonts w:eastAsia="SimSun"/>
          <w:noProof/>
          <w:lang w:val="en-US"/>
        </w:rPr>
      </w:pPr>
      <w:r w:rsidRPr="00F877CE">
        <w:rPr>
          <w:rFonts w:eastAsia="SimSun"/>
          <w:noProof/>
          <w:lang w:val="en-US"/>
        </w:rPr>
        <w:t xml:space="preserve">Drew DA, Nguyen LH, Steves CJ, Wolf J, Spector TC, Chan AT. Rapid implementation of mobile technology for real-time epidemiology of COVID-19. </w:t>
      </w:r>
      <w:r w:rsidRPr="00F877CE">
        <w:rPr>
          <w:rFonts w:eastAsia="SimSun"/>
          <w:i/>
          <w:noProof/>
          <w:lang w:val="en-US"/>
        </w:rPr>
        <w:t>medRxiv</w:t>
      </w:r>
      <w:r w:rsidRPr="00F877CE">
        <w:rPr>
          <w:rFonts w:eastAsia="SimSun"/>
          <w:noProof/>
          <w:lang w:val="en-US"/>
        </w:rPr>
        <w:t>. 2020. doi: https://doi.org/10.1101/2020.04.02.20051334.</w:t>
      </w:r>
    </w:p>
    <w:p w14:paraId="108624AD" w14:textId="6B803D12" w:rsidR="00C76B17" w:rsidRPr="00F877CE" w:rsidRDefault="00C76B17" w:rsidP="00F877CE">
      <w:pPr>
        <w:pStyle w:val="ListParagraph"/>
        <w:numPr>
          <w:ilvl w:val="0"/>
          <w:numId w:val="46"/>
        </w:numPr>
        <w:rPr>
          <w:rFonts w:eastAsia="SimSun"/>
          <w:noProof/>
          <w:lang w:val="en-US"/>
        </w:rPr>
      </w:pPr>
      <w:r w:rsidRPr="00F877CE">
        <w:rPr>
          <w:rFonts w:eastAsia="SimSun"/>
          <w:noProof/>
          <w:lang w:val="en-US"/>
        </w:rPr>
        <w:t xml:space="preserve">Venkatakrishnan AJ, Puranik A, Anand A, Zemmour D, Yao X, Wu X et al. Knowledge synthesis from 100 million biomedical documents augments the deep expression profiling of coronavirus receptors. </w:t>
      </w:r>
      <w:r w:rsidRPr="00F877CE">
        <w:rPr>
          <w:rFonts w:eastAsia="SimSun"/>
          <w:i/>
          <w:noProof/>
          <w:lang w:val="en-US"/>
        </w:rPr>
        <w:t>bioRxiv</w:t>
      </w:r>
      <w:r w:rsidRPr="00F877CE">
        <w:rPr>
          <w:rFonts w:eastAsia="SimSun"/>
          <w:noProof/>
          <w:lang w:val="en-US"/>
        </w:rPr>
        <w:t xml:space="preserve">. 2020. doi: https://doi.org/10.1101/2020.03.24.005702. </w:t>
      </w:r>
    </w:p>
    <w:p w14:paraId="0539C27D" w14:textId="09322CAF" w:rsidR="00C76B17" w:rsidRPr="00F877CE" w:rsidRDefault="00C76B17" w:rsidP="00F877CE">
      <w:pPr>
        <w:pStyle w:val="ListParagraph"/>
        <w:numPr>
          <w:ilvl w:val="0"/>
          <w:numId w:val="46"/>
        </w:numPr>
        <w:rPr>
          <w:rFonts w:eastAsia="SimSun"/>
          <w:noProof/>
          <w:lang w:val="en-US"/>
        </w:rPr>
      </w:pPr>
      <w:r w:rsidRPr="00F877CE">
        <w:rPr>
          <w:rFonts w:eastAsia="SimSun"/>
          <w:noProof/>
          <w:lang w:val="en-US"/>
        </w:rPr>
        <w:t xml:space="preserve">Brann DH, Tsukahara T, Weinreb C, Logan DW, Datta SR. Non-neural expression of SARS-CoV-2 entry genes in the olfactory epithelium suggests mechanisms underlying anosmia in COVID-19 patients. </w:t>
      </w:r>
      <w:r w:rsidRPr="00F877CE">
        <w:rPr>
          <w:rFonts w:eastAsia="SimSun"/>
          <w:i/>
          <w:noProof/>
          <w:lang w:val="en-US"/>
        </w:rPr>
        <w:t>bioRxiv</w:t>
      </w:r>
      <w:r w:rsidRPr="00F877CE">
        <w:rPr>
          <w:rFonts w:eastAsia="SimSun"/>
          <w:noProof/>
          <w:lang w:val="en-US"/>
        </w:rPr>
        <w:t>. 2020. doi: https://doi.org/10.1101/2020.03.25.009084.</w:t>
      </w:r>
    </w:p>
    <w:p w14:paraId="13E6ED62" w14:textId="4CCD7C67" w:rsidR="00C76B17" w:rsidRPr="00F877CE" w:rsidRDefault="00C76B17" w:rsidP="00F877CE">
      <w:pPr>
        <w:pStyle w:val="ListParagraph"/>
        <w:numPr>
          <w:ilvl w:val="0"/>
          <w:numId w:val="46"/>
        </w:numPr>
        <w:rPr>
          <w:rFonts w:eastAsia="SimSun"/>
          <w:noProof/>
          <w:lang w:val="en-US"/>
        </w:rPr>
      </w:pPr>
      <w:r w:rsidRPr="00F877CE">
        <w:rPr>
          <w:rFonts w:eastAsia="SimSun"/>
          <w:noProof/>
          <w:lang w:val="en-US"/>
        </w:rPr>
        <w:t xml:space="preserve">Lin L, Jiang X, Zhang Z, Huang S, Zhang Z, Fang Z et al. Gastrointestinal symptoms of 95 cases with SARS-CoV-2 infection. </w:t>
      </w:r>
      <w:r w:rsidRPr="00F877CE">
        <w:rPr>
          <w:rFonts w:eastAsia="SimSun"/>
          <w:i/>
          <w:noProof/>
          <w:lang w:val="en-US"/>
        </w:rPr>
        <w:t>Gut</w:t>
      </w:r>
      <w:r w:rsidRPr="00F877CE">
        <w:rPr>
          <w:rFonts w:eastAsia="SimSun"/>
          <w:noProof/>
          <w:lang w:val="en-US"/>
        </w:rPr>
        <w:t>. 2020. doi: https://doi.org/10.1136/gutjnl-2020-321013.</w:t>
      </w:r>
    </w:p>
    <w:p w14:paraId="1D2D9661" w14:textId="1C800C17" w:rsidR="00C76B17" w:rsidRPr="00F877CE" w:rsidRDefault="00C76B17" w:rsidP="00F877CE">
      <w:pPr>
        <w:pStyle w:val="ListParagraph"/>
        <w:numPr>
          <w:ilvl w:val="0"/>
          <w:numId w:val="46"/>
        </w:numPr>
        <w:rPr>
          <w:rFonts w:eastAsia="SimSun"/>
          <w:noProof/>
          <w:lang w:val="en-US"/>
        </w:rPr>
      </w:pPr>
      <w:r w:rsidRPr="00F877CE">
        <w:rPr>
          <w:rFonts w:eastAsia="SimSun"/>
          <w:noProof/>
          <w:lang w:val="en-US"/>
        </w:rPr>
        <w:t xml:space="preserve">Jin X, Lian JS, Hu JH, Gao J, Zheng L, Zhang YM et al. Epidemiological, clinical and virological characteristics of 74 cases of coronavirus-infected disease 2019 (COVID-19) with gastrointestinal symptoms. </w:t>
      </w:r>
      <w:r w:rsidRPr="00F877CE">
        <w:rPr>
          <w:rFonts w:eastAsia="SimSun"/>
          <w:i/>
          <w:noProof/>
          <w:lang w:val="en-US"/>
        </w:rPr>
        <w:t>Gut</w:t>
      </w:r>
      <w:r w:rsidRPr="00F877CE">
        <w:rPr>
          <w:rFonts w:eastAsia="SimSun"/>
          <w:noProof/>
          <w:lang w:val="en-US"/>
        </w:rPr>
        <w:t>. 2020. doi: https://doi.org/10.1136/gutjnl-2020-320926.</w:t>
      </w:r>
    </w:p>
    <w:p w14:paraId="78EECF8A" w14:textId="389B13E5" w:rsidR="00C76B17" w:rsidRPr="00F877CE" w:rsidRDefault="00C76B17" w:rsidP="00F877CE">
      <w:pPr>
        <w:pStyle w:val="ListParagraph"/>
        <w:numPr>
          <w:ilvl w:val="0"/>
          <w:numId w:val="46"/>
        </w:numPr>
        <w:rPr>
          <w:rFonts w:eastAsia="SimSun"/>
          <w:noProof/>
          <w:lang w:val="en-US"/>
        </w:rPr>
      </w:pPr>
      <w:r w:rsidRPr="00F877CE">
        <w:rPr>
          <w:rFonts w:eastAsia="SimSun"/>
          <w:noProof/>
          <w:lang w:val="en-US"/>
        </w:rPr>
        <w:t>WHO. Clinical management of severe acute respiratory infection when novel coronavirus (nCoV) infection is suspected. [Internet.] Geneva: WHO; 2020. [Accessed 23 Feb 2020.] Available from: https://www.who.int/publications-detail/clinical-management-of-severe-acute-respiratory-infection-when-novel-coronavirus-(ncov)-infection-is-suspected.</w:t>
      </w:r>
    </w:p>
    <w:p w14:paraId="35E4DB48" w14:textId="3738D8BA" w:rsidR="00E4281B" w:rsidRPr="00F877CE" w:rsidRDefault="00C76B17" w:rsidP="00F877CE">
      <w:pPr>
        <w:pStyle w:val="ListParagraph"/>
        <w:numPr>
          <w:ilvl w:val="0"/>
          <w:numId w:val="46"/>
        </w:numPr>
        <w:rPr>
          <w:rFonts w:cstheme="minorHAnsi"/>
          <w:color w:val="FFFFFF" w:themeColor="background1"/>
          <w:spacing w:val="15"/>
        </w:rPr>
      </w:pPr>
      <w:r w:rsidRPr="00F877CE">
        <w:rPr>
          <w:rFonts w:eastAsia="SimSun"/>
          <w:noProof/>
          <w:lang w:val="en-US"/>
        </w:rPr>
        <w:t xml:space="preserve">Harrison C. Coronavirus puts drug re-purposing on the fast track. </w:t>
      </w:r>
      <w:r w:rsidRPr="00F877CE">
        <w:rPr>
          <w:rFonts w:eastAsia="SimSun"/>
          <w:i/>
          <w:noProof/>
          <w:lang w:val="en-US"/>
        </w:rPr>
        <w:t>Nat Biotechnol</w:t>
      </w:r>
      <w:r w:rsidRPr="00F877CE">
        <w:rPr>
          <w:rFonts w:eastAsia="SimSun"/>
          <w:noProof/>
          <w:lang w:val="en-US"/>
        </w:rPr>
        <w:t>. 2020. doi: https://doi.org/10.1038/d41587-020-00003-1.</w:t>
      </w:r>
      <w:r w:rsidR="00E4281B" w:rsidRPr="00F877CE">
        <w:rPr>
          <w:rFonts w:cstheme="minorHAnsi"/>
          <w:color w:val="FFFFFF" w:themeColor="background1"/>
          <w:spacing w:val="15"/>
        </w:rPr>
        <w:br w:type="page"/>
      </w:r>
    </w:p>
    <w:p w14:paraId="27BD1793" w14:textId="77777777" w:rsidR="00E4281B" w:rsidRPr="009D4C93" w:rsidRDefault="00E4281B" w:rsidP="00650D81">
      <w:pPr>
        <w:pStyle w:val="Heading1"/>
      </w:pPr>
      <w:r w:rsidRPr="009D4C93">
        <w:lastRenderedPageBreak/>
        <w:t>Appendix A: Frequently asked questions</w:t>
      </w:r>
    </w:p>
    <w:p w14:paraId="1C3E21A5" w14:textId="77777777" w:rsidR="00E4281B" w:rsidRPr="009D4C93" w:rsidRDefault="00E4281B" w:rsidP="00650D81">
      <w:pPr>
        <w:rPr>
          <w:rStyle w:val="A10"/>
          <w:b/>
          <w:bCs/>
        </w:rPr>
      </w:pPr>
      <w:r w:rsidRPr="009D4C93">
        <w:rPr>
          <w:rStyle w:val="A10"/>
          <w:b/>
        </w:rPr>
        <w:t>Q: Can I request access to the COVID-19 data behind your CDI weekly reports?</w:t>
      </w:r>
    </w:p>
    <w:p w14:paraId="169D761C" w14:textId="77777777" w:rsidR="00E4281B" w:rsidRPr="00400358" w:rsidRDefault="00E4281B" w:rsidP="00650D81">
      <w:pPr>
        <w:rPr>
          <w:rStyle w:val="A10"/>
        </w:rPr>
      </w:pPr>
      <w:r w:rsidRPr="00400358">
        <w:rPr>
          <w:rStyle w:val="A10"/>
        </w:rPr>
        <w:t xml:space="preserve">A: National notification data on COVID-19 confirmed cases is collated in the National Notifiable Disease Surveillance System (NNDSS) based on notifications made to state and territory health authorities under the provisions of their relevant public health legislation. </w:t>
      </w:r>
    </w:p>
    <w:p w14:paraId="31C8C85F" w14:textId="77777777" w:rsidR="00E4281B" w:rsidRPr="00400358" w:rsidRDefault="00E4281B" w:rsidP="00650D81">
      <w:pPr>
        <w:rPr>
          <w:rStyle w:val="A10"/>
        </w:rPr>
      </w:pPr>
      <w:r w:rsidRPr="00400358">
        <w:rPr>
          <w:rStyle w:val="A10"/>
        </w:rPr>
        <w:t>Normally, requests for the release of data from the NNDSS requires agreement from states and territories via the Communicable Diseases Network Australia, and</w:t>
      </w:r>
      <w:r>
        <w:rPr>
          <w:rStyle w:val="A10"/>
        </w:rPr>
        <w:t>,</w:t>
      </w:r>
      <w:r w:rsidRPr="00400358">
        <w:rPr>
          <w:rStyle w:val="A10"/>
        </w:rPr>
        <w:t xml:space="preserve"> depending on the sensitivity of the data sought and proposed</w:t>
      </w:r>
      <w:r>
        <w:rPr>
          <w:rStyle w:val="A10"/>
        </w:rPr>
        <w:t>,</w:t>
      </w:r>
      <w:r w:rsidRPr="00400358">
        <w:rPr>
          <w:rStyle w:val="A10"/>
        </w:rPr>
        <w:t xml:space="preserve"> ethics approval may also be required.</w:t>
      </w:r>
    </w:p>
    <w:p w14:paraId="7EBBA0D3" w14:textId="77777777" w:rsidR="00E4281B" w:rsidRPr="00400358" w:rsidRDefault="00E4281B" w:rsidP="00650D81">
      <w:pPr>
        <w:rPr>
          <w:rStyle w:val="A10"/>
        </w:rPr>
      </w:pPr>
      <w:r w:rsidRPr="00400358">
        <w:rPr>
          <w:rStyle w:val="A10"/>
        </w:rPr>
        <w:t>Due to the COVID-19 response, unfortunately, specific requests for NNDSS data have been put on hold. We are currently looking into options to be able to respond to data requests in the near future.</w:t>
      </w:r>
    </w:p>
    <w:p w14:paraId="7F15C751" w14:textId="77777777" w:rsidR="00E4281B" w:rsidRPr="00400358" w:rsidRDefault="00E4281B" w:rsidP="00650D81">
      <w:pPr>
        <w:rPr>
          <w:rStyle w:val="A10"/>
        </w:rPr>
      </w:pPr>
      <w:r w:rsidRPr="00400358">
        <w:rPr>
          <w:rStyle w:val="A10"/>
        </w:rPr>
        <w:t xml:space="preserve">We will continue to publish regular summaries and analyses of the NNDSS dataset and recommend the following resources be referred to in the meantime: </w:t>
      </w:r>
    </w:p>
    <w:p w14:paraId="018C7A9F" w14:textId="77777777" w:rsidR="00E4281B" w:rsidRPr="00400358" w:rsidRDefault="00E4281B" w:rsidP="00E4281B">
      <w:pPr>
        <w:pStyle w:val="ListParagraph"/>
        <w:numPr>
          <w:ilvl w:val="0"/>
          <w:numId w:val="25"/>
        </w:numPr>
        <w:rPr>
          <w:rStyle w:val="A10"/>
        </w:rPr>
      </w:pPr>
      <w:r w:rsidRPr="00400358">
        <w:rPr>
          <w:rStyle w:val="A10"/>
        </w:rPr>
        <w:t>NNDSS summary tables: http://www9.health.gov.au/cda/source/cda-index.cfm</w:t>
      </w:r>
    </w:p>
    <w:p w14:paraId="0548D38C" w14:textId="77777777" w:rsidR="00E4281B" w:rsidRPr="00400358" w:rsidRDefault="00E4281B" w:rsidP="00E4281B">
      <w:pPr>
        <w:pStyle w:val="ListParagraph"/>
        <w:numPr>
          <w:ilvl w:val="0"/>
          <w:numId w:val="25"/>
        </w:numPr>
        <w:rPr>
          <w:rStyle w:val="A10"/>
        </w:rPr>
      </w:pPr>
      <w:r w:rsidRPr="00400358">
        <w:rPr>
          <w:rStyle w:val="A10"/>
        </w:rPr>
        <w:t>Daily case summary of cases: https://www.health.gov.au/news/health-alerts/novel-coronavirus-2019-ncov-health-alert/coronavirus-covid-19-current-situation-and-case-numbers</w:t>
      </w:r>
    </w:p>
    <w:p w14:paraId="55E854A9" w14:textId="77777777" w:rsidR="00E4281B" w:rsidRPr="00400358" w:rsidRDefault="00E4281B" w:rsidP="00E4281B">
      <w:pPr>
        <w:pStyle w:val="ListParagraph"/>
        <w:numPr>
          <w:ilvl w:val="0"/>
          <w:numId w:val="25"/>
        </w:numPr>
        <w:rPr>
          <w:rStyle w:val="A10"/>
        </w:rPr>
      </w:pPr>
      <w:r w:rsidRPr="009D4C93">
        <w:rPr>
          <w:rStyle w:val="A10"/>
          <w:i/>
        </w:rPr>
        <w:t>Communicable Diseases Intelligence</w:t>
      </w:r>
      <w:r w:rsidRPr="00400358">
        <w:rPr>
          <w:rStyle w:val="A10"/>
        </w:rPr>
        <w:t xml:space="preserve"> COVID-19 weekly epidemiology report: https://www1.health.gov.au/internet/main/publishing.nsf/Content/novel_coronavirus_2019_ncov_weekly_epidemiology_reports_australia_2020.htm</w:t>
      </w:r>
    </w:p>
    <w:p w14:paraId="4D04C293" w14:textId="77777777" w:rsidR="00E4281B" w:rsidRPr="00400358" w:rsidRDefault="00E4281B" w:rsidP="00E4281B">
      <w:pPr>
        <w:pStyle w:val="ListParagraph"/>
        <w:numPr>
          <w:ilvl w:val="0"/>
          <w:numId w:val="25"/>
        </w:numPr>
        <w:rPr>
          <w:rStyle w:val="A10"/>
        </w:rPr>
      </w:pPr>
      <w:r w:rsidRPr="00400358">
        <w:rPr>
          <w:rStyle w:val="A10"/>
        </w:rPr>
        <w:t>State and territory public health websites.</w:t>
      </w:r>
    </w:p>
    <w:p w14:paraId="4AA96090" w14:textId="77777777" w:rsidR="00E4281B" w:rsidRPr="00400358" w:rsidRDefault="00E4281B" w:rsidP="00650D81">
      <w:pPr>
        <w:rPr>
          <w:rStyle w:val="A10"/>
        </w:rPr>
      </w:pPr>
    </w:p>
    <w:p w14:paraId="5EEA4203" w14:textId="77777777" w:rsidR="00E4281B" w:rsidRPr="009D4C93" w:rsidRDefault="00E4281B" w:rsidP="00650D81">
      <w:pPr>
        <w:rPr>
          <w:rStyle w:val="A10"/>
          <w:b/>
        </w:rPr>
      </w:pPr>
      <w:r w:rsidRPr="009D4C93">
        <w:rPr>
          <w:rStyle w:val="A10"/>
          <w:b/>
        </w:rPr>
        <w:t>Q: Can I request access to data at post-code level of confirmed cases?</w:t>
      </w:r>
    </w:p>
    <w:p w14:paraId="5BF354CA" w14:textId="77777777" w:rsidR="00E4281B" w:rsidRPr="00400358" w:rsidRDefault="00E4281B" w:rsidP="00650D81">
      <w:pPr>
        <w:rPr>
          <w:rStyle w:val="A10"/>
        </w:rPr>
      </w:pPr>
      <w:r w:rsidRPr="00400358">
        <w:rPr>
          <w:rStyle w:val="A10"/>
        </w:rPr>
        <w:t xml:space="preserve">A: Data at this level cannot be released without ethics approval and permission would need to be sought from all states and territories via the Communicable Diseases Network Australia. As noted above, specific requests for NNDSS data are currently on hold. </w:t>
      </w:r>
    </w:p>
    <w:p w14:paraId="2108B236" w14:textId="77777777" w:rsidR="00E4281B" w:rsidRPr="00400358" w:rsidRDefault="00E4281B" w:rsidP="00650D81">
      <w:pPr>
        <w:rPr>
          <w:rStyle w:val="A10"/>
        </w:rPr>
      </w:pPr>
      <w:r w:rsidRPr="00400358">
        <w:rPr>
          <w:rStyle w:val="A10"/>
        </w:rPr>
        <w:t xml:space="preserve">A GIS/mapping analysis of cases will be included in each </w:t>
      </w:r>
      <w:r w:rsidRPr="006C217B">
        <w:rPr>
          <w:rStyle w:val="A10"/>
          <w:i/>
        </w:rPr>
        <w:t>Communicable Diseases Intelligence</w:t>
      </w:r>
      <w:r w:rsidRPr="00400358">
        <w:rPr>
          <w:rStyle w:val="A10"/>
        </w:rPr>
        <w:t xml:space="preserve"> COVID-19 weekly epidemiology report. In order to protect privacy of confirmed cases, data in this map will be presented at SA3 level. </w:t>
      </w:r>
    </w:p>
    <w:p w14:paraId="65A97983" w14:textId="77777777" w:rsidR="00E4281B" w:rsidRPr="00400358" w:rsidRDefault="00E4281B" w:rsidP="00650D81">
      <w:pPr>
        <w:rPr>
          <w:rStyle w:val="A10"/>
        </w:rPr>
      </w:pPr>
    </w:p>
    <w:p w14:paraId="31A783C3" w14:textId="77777777" w:rsidR="00E4281B" w:rsidRPr="009D4C93" w:rsidRDefault="00E4281B" w:rsidP="00650D81">
      <w:pPr>
        <w:rPr>
          <w:rStyle w:val="A10"/>
          <w:b/>
        </w:rPr>
      </w:pPr>
      <w:r w:rsidRPr="009D4C93">
        <w:rPr>
          <w:rStyle w:val="A10"/>
          <w:b/>
        </w:rPr>
        <w:t xml:space="preserve">Q. Where can I find more detailed data on COVID-19 cases?  </w:t>
      </w:r>
    </w:p>
    <w:p w14:paraId="02769C45" w14:textId="77777777" w:rsidR="008B5348" w:rsidRDefault="00E4281B">
      <w:pPr>
        <w:rPr>
          <w:rStyle w:val="A10"/>
        </w:rPr>
        <w:sectPr w:rsidR="008B5348" w:rsidSect="00A30C37">
          <w:headerReference w:type="default" r:id="rId24"/>
          <w:footerReference w:type="default" r:id="rId25"/>
          <w:footerReference w:type="first" r:id="rId26"/>
          <w:pgSz w:w="11906" w:h="16838"/>
          <w:pgMar w:top="720" w:right="720" w:bottom="1134" w:left="720" w:header="709" w:footer="284" w:gutter="0"/>
          <w:cols w:space="708"/>
          <w:titlePg/>
          <w:docGrid w:linePitch="360"/>
        </w:sectPr>
      </w:pPr>
      <w:r>
        <w:rPr>
          <w:rStyle w:val="A10"/>
        </w:rPr>
        <w:t xml:space="preserve">A: </w:t>
      </w:r>
      <w:r w:rsidRPr="00400358">
        <w:rPr>
          <w:rStyle w:val="A10"/>
        </w:rPr>
        <w:t xml:space="preserve">We are currently looking into ways to provide more in-depth epidemiological analyses of COVID-19 cases, with regard to transmission and severity, including hospitalisation. These analyses will continue to be built upon in future iterations of the weekly </w:t>
      </w:r>
      <w:r w:rsidRPr="006C217B">
        <w:rPr>
          <w:rStyle w:val="A10"/>
          <w:i/>
        </w:rPr>
        <w:t>Communicable Diseases Intelligence</w:t>
      </w:r>
      <w:r w:rsidRPr="00400358">
        <w:rPr>
          <w:rStyle w:val="A10"/>
        </w:rPr>
        <w:t xml:space="preserve"> report. </w:t>
      </w:r>
    </w:p>
    <w:p w14:paraId="1B55C109"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43DB3211"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4B1C7EB5" w14:textId="77777777" w:rsidR="000A5F42" w:rsidRPr="000606CC" w:rsidRDefault="000A5F42" w:rsidP="000A5F42">
      <w:pPr>
        <w:pStyle w:val="NoSpacing"/>
        <w:rPr>
          <w:rStyle w:val="URI"/>
          <w:rFonts w:cstheme="minorHAnsi"/>
          <w:sz w:val="20"/>
          <w:szCs w:val="18"/>
        </w:rPr>
      </w:pPr>
    </w:p>
    <w:p w14:paraId="1F35B900"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6B070745" w14:textId="77777777" w:rsidR="000A5F42" w:rsidRPr="000606CC" w:rsidRDefault="000A5F42" w:rsidP="000A5F42">
      <w:pPr>
        <w:pStyle w:val="NoSpacing"/>
        <w:rPr>
          <w:rStyle w:val="Strong"/>
          <w:rFonts w:cstheme="minorHAnsi"/>
          <w:sz w:val="20"/>
          <w:szCs w:val="18"/>
        </w:rPr>
      </w:pPr>
    </w:p>
    <w:p w14:paraId="07AECCD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A332FC">
        <w:rPr>
          <w:rFonts w:cstheme="minorHAnsi"/>
          <w:sz w:val="20"/>
          <w:szCs w:val="18"/>
        </w:rPr>
        <w:t>Tanja Farmer</w:t>
      </w:r>
    </w:p>
    <w:p w14:paraId="57F527C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7304B930"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17415EDA"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w:t>
      </w:r>
      <w:proofErr w:type="spellStart"/>
      <w:r w:rsidR="00F55648">
        <w:rPr>
          <w:rStyle w:val="nobreak"/>
          <w:rFonts w:cstheme="minorHAnsi"/>
          <w:sz w:val="20"/>
          <w:szCs w:val="18"/>
        </w:rPr>
        <w:t>Selvey</w:t>
      </w:r>
      <w:proofErr w:type="spellEnd"/>
    </w:p>
    <w:p w14:paraId="41E080C6" w14:textId="77777777" w:rsidR="000A5F42" w:rsidRPr="000606CC" w:rsidRDefault="000A5F42" w:rsidP="000A5F42">
      <w:pPr>
        <w:pStyle w:val="NoSpacing"/>
        <w:rPr>
          <w:rStyle w:val="Strong"/>
          <w:rFonts w:cstheme="minorHAnsi"/>
          <w:sz w:val="20"/>
          <w:szCs w:val="18"/>
        </w:rPr>
      </w:pPr>
    </w:p>
    <w:p w14:paraId="5CB912E1" w14:textId="2EBFDDA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7"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4316319B" w14:textId="77777777" w:rsidR="000A5F42" w:rsidRPr="000606CC" w:rsidRDefault="000A5F42" w:rsidP="000A5F42">
      <w:pPr>
        <w:pStyle w:val="NoSpacing"/>
        <w:rPr>
          <w:rStyle w:val="Strong"/>
          <w:rFonts w:cstheme="minorHAnsi"/>
          <w:sz w:val="20"/>
          <w:szCs w:val="18"/>
        </w:rPr>
      </w:pPr>
    </w:p>
    <w:p w14:paraId="4579E86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70D613EE" w14:textId="77777777" w:rsidR="000A5F42" w:rsidRPr="000606CC" w:rsidRDefault="000A5F42" w:rsidP="000A5F42">
      <w:pPr>
        <w:pStyle w:val="NoSpacing"/>
        <w:rPr>
          <w:rStyle w:val="Strong"/>
          <w:rFonts w:cstheme="minorHAnsi"/>
          <w:sz w:val="20"/>
          <w:szCs w:val="18"/>
        </w:rPr>
      </w:pPr>
    </w:p>
    <w:p w14:paraId="5FC7811A" w14:textId="03A5EEA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8"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03B0B52A" w14:textId="77777777" w:rsidR="000A5F42" w:rsidRPr="000606CC" w:rsidRDefault="000A5F42" w:rsidP="000A5F42">
      <w:pPr>
        <w:pStyle w:val="NoSpacing"/>
        <w:rPr>
          <w:rStyle w:val="Strong"/>
          <w:rFonts w:cstheme="minorHAnsi"/>
          <w:sz w:val="20"/>
          <w:szCs w:val="18"/>
        </w:rPr>
      </w:pPr>
    </w:p>
    <w:p w14:paraId="2D22C342" w14:textId="4E26BF1C"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9"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29A97AE4" w14:textId="79E26C32"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30" w:history="1">
        <w:r w:rsidRPr="000606CC">
          <w:rPr>
            <w:rStyle w:val="Hyperlink"/>
            <w:rFonts w:cstheme="minorHAnsi"/>
            <w:sz w:val="20"/>
            <w:szCs w:val="18"/>
          </w:rPr>
          <w:t>cdi.editor@health.gov.au</w:t>
        </w:r>
      </w:hyperlink>
      <w:r w:rsidRPr="000606CC">
        <w:rPr>
          <w:rFonts w:cstheme="minorHAnsi"/>
          <w:sz w:val="20"/>
          <w:szCs w:val="18"/>
        </w:rPr>
        <w:t>.</w:t>
      </w:r>
    </w:p>
    <w:p w14:paraId="65DC5458" w14:textId="77777777" w:rsidR="000A5F42" w:rsidRPr="000606CC" w:rsidRDefault="000A5F42" w:rsidP="000A5F42">
      <w:pPr>
        <w:pStyle w:val="NoSpacing"/>
        <w:pBdr>
          <w:bottom w:val="single" w:sz="6" w:space="1" w:color="auto"/>
        </w:pBdr>
        <w:rPr>
          <w:rStyle w:val="Strong"/>
          <w:rFonts w:cstheme="minorHAnsi"/>
          <w:sz w:val="12"/>
          <w:szCs w:val="18"/>
        </w:rPr>
      </w:pPr>
    </w:p>
    <w:p w14:paraId="509C93CD" w14:textId="77777777" w:rsidR="000A5F42" w:rsidRPr="000606CC" w:rsidRDefault="000A5F42" w:rsidP="000A5F42">
      <w:pPr>
        <w:pStyle w:val="NoSpacing"/>
        <w:rPr>
          <w:rFonts w:cstheme="minorHAnsi"/>
          <w:sz w:val="20"/>
          <w:szCs w:val="18"/>
        </w:rPr>
      </w:pPr>
    </w:p>
    <w:p w14:paraId="21DF0587"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03E3CEA9" w14:textId="77777777" w:rsidR="000A5F42" w:rsidRPr="000606CC" w:rsidRDefault="000A5F42" w:rsidP="000A5F42">
      <w:pPr>
        <w:pStyle w:val="NoSpacing"/>
        <w:rPr>
          <w:rFonts w:cstheme="minorHAnsi"/>
          <w:sz w:val="20"/>
          <w:szCs w:val="18"/>
        </w:rPr>
      </w:pPr>
    </w:p>
    <w:p w14:paraId="557BC8DD"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08D5AB38" w14:textId="36FA46C4" w:rsidR="000A5F42" w:rsidRPr="000606CC" w:rsidRDefault="000A5F42" w:rsidP="000A5F42">
      <w:pPr>
        <w:pStyle w:val="NoSpacing"/>
        <w:rPr>
          <w:rFonts w:cstheme="minorHAnsi"/>
          <w:sz w:val="20"/>
          <w:szCs w:val="18"/>
        </w:rPr>
      </w:pPr>
      <w:r w:rsidRPr="000606CC">
        <w:rPr>
          <w:rFonts w:cstheme="minorHAnsi"/>
          <w:sz w:val="20"/>
          <w:szCs w:val="18"/>
        </w:rPr>
        <w:t>© 20</w:t>
      </w:r>
      <w:r w:rsidR="0057585A">
        <w:rPr>
          <w:rFonts w:cstheme="minorHAnsi"/>
          <w:sz w:val="20"/>
          <w:szCs w:val="18"/>
        </w:rPr>
        <w:t>20</w:t>
      </w:r>
      <w:r w:rsidRPr="000606CC">
        <w:rPr>
          <w:rFonts w:cstheme="minorHAnsi"/>
          <w:sz w:val="20"/>
          <w:szCs w:val="18"/>
        </w:rPr>
        <w:t xml:space="preserve"> Commonwealth of Australia as represented by the Department of Health</w:t>
      </w:r>
    </w:p>
    <w:p w14:paraId="08162A29" w14:textId="10389DCA"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31"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555C1DD1" w14:textId="77777777" w:rsidR="000A5F42" w:rsidRPr="000606CC" w:rsidRDefault="000A5F42" w:rsidP="000A5F42">
      <w:pPr>
        <w:pStyle w:val="NoSpacing"/>
        <w:rPr>
          <w:rFonts w:cstheme="minorHAnsi"/>
          <w:sz w:val="20"/>
          <w:szCs w:val="18"/>
        </w:rPr>
      </w:pPr>
    </w:p>
    <w:p w14:paraId="49F0BA3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33256B6F" w14:textId="66C482DA"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32"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3D9760C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7368C23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14F028A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5C5452A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29F2BAAA" w14:textId="77777777" w:rsidR="000A5F42" w:rsidRPr="000606CC" w:rsidRDefault="000A5F42" w:rsidP="000A5F42">
      <w:pPr>
        <w:pStyle w:val="NoSpacing"/>
        <w:rPr>
          <w:rStyle w:val="Strong"/>
          <w:rFonts w:cstheme="minorHAnsi"/>
          <w:sz w:val="20"/>
          <w:szCs w:val="18"/>
        </w:rPr>
      </w:pPr>
    </w:p>
    <w:p w14:paraId="5FEFCCDE"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0D935AEF" w14:textId="77777777" w:rsidR="000A5F42" w:rsidRPr="000606CC" w:rsidRDefault="000A5F42" w:rsidP="000A5F42">
      <w:pPr>
        <w:pStyle w:val="NoSpacing"/>
        <w:rPr>
          <w:rStyle w:val="Strong"/>
          <w:rFonts w:cstheme="minorHAnsi"/>
          <w:sz w:val="20"/>
          <w:szCs w:val="18"/>
        </w:rPr>
      </w:pPr>
    </w:p>
    <w:p w14:paraId="69144715" w14:textId="707EB90E"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33"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49F7DCAD" w14:textId="77777777" w:rsidR="000A5F42" w:rsidRPr="000606CC" w:rsidRDefault="000A5F42" w:rsidP="000A5F42">
      <w:pPr>
        <w:pStyle w:val="NoSpacing"/>
        <w:rPr>
          <w:rStyle w:val="URI"/>
          <w:rFonts w:cstheme="minorHAnsi"/>
          <w:sz w:val="20"/>
          <w:szCs w:val="18"/>
        </w:rPr>
      </w:pPr>
    </w:p>
    <w:p w14:paraId="44D9AFD7" w14:textId="7B6EB260"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34" w:tooltip="Communicable Diseases Network Australia website" w:history="1">
        <w:r w:rsidRPr="000606CC">
          <w:rPr>
            <w:rStyle w:val="Hyperlink"/>
            <w:rFonts w:cstheme="minorHAnsi"/>
            <w:sz w:val="20"/>
            <w:szCs w:val="18"/>
          </w:rPr>
          <w:t>http://www.health.gov.au/cdna</w:t>
        </w:r>
      </w:hyperlink>
    </w:p>
    <w:p w14:paraId="6E3BA085" w14:textId="77777777" w:rsidR="001B37B8" w:rsidRPr="00E92237" w:rsidRDefault="001B37B8" w:rsidP="001B37B8">
      <w:pPr>
        <w:rPr>
          <w:rFonts w:cs="Myriad Pro"/>
          <w:color w:val="211D1E"/>
          <w:sz w:val="20"/>
          <w:szCs w:val="20"/>
        </w:rPr>
      </w:pPr>
    </w:p>
    <w:sectPr w:rsidR="001B37B8" w:rsidRPr="00E92237" w:rsidSect="002B75A9">
      <w:headerReference w:type="default" r:id="rId35"/>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2D468" w14:textId="77777777" w:rsidR="00935A13" w:rsidRDefault="00935A13" w:rsidP="00E54DBA">
      <w:r>
        <w:separator/>
      </w:r>
    </w:p>
    <w:p w14:paraId="250B90D8" w14:textId="77777777" w:rsidR="00935A13" w:rsidRDefault="00935A13"/>
    <w:p w14:paraId="47C079FF" w14:textId="77777777" w:rsidR="00935A13" w:rsidRDefault="00935A13" w:rsidP="008714B0"/>
  </w:endnote>
  <w:endnote w:type="continuationSeparator" w:id="0">
    <w:p w14:paraId="4809E4C9" w14:textId="77777777" w:rsidR="00935A13" w:rsidRDefault="00935A13" w:rsidP="00E54DBA">
      <w:r>
        <w:continuationSeparator/>
      </w:r>
    </w:p>
    <w:p w14:paraId="3E9AC66A" w14:textId="77777777" w:rsidR="00935A13" w:rsidRDefault="00935A13"/>
    <w:p w14:paraId="52BAB0B7" w14:textId="77777777" w:rsidR="00935A13" w:rsidRDefault="00935A13"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02A76" w14:textId="0D0F008C" w:rsidR="00935A13" w:rsidRPr="001B200F" w:rsidRDefault="00935A13" w:rsidP="001B200F">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EA7CBE">
      <w:rPr>
        <w:noProof/>
        <w:sz w:val="18"/>
      </w:rPr>
      <w:t>21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EA7CBE">
      <w:rPr>
        <w:noProof/>
        <w:sz w:val="18"/>
      </w:rPr>
      <w:t>28</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A164D5">
      <w:rPr>
        <w:b/>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https://doi.org/10.33321/cdi.2020.44.36</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Pr>
        <w:sz w:val="18"/>
      </w:rPr>
      <w:t>24/4/2020</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AB2B9" w14:textId="66D5E952" w:rsidR="00935A13" w:rsidRPr="00E35B1A" w:rsidRDefault="00935A13" w:rsidP="00E35B1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E0475A">
      <w:rPr>
        <w:noProof/>
        <w:sz w:val="18"/>
      </w:rPr>
      <w:t>20</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E0475A">
      <w:rPr>
        <w:noProof/>
        <w:sz w:val="18"/>
      </w:rPr>
      <w:t>28</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A164D5">
      <w:rPr>
        <w:b/>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https://doi.org/10.33321/cdi.2020.44.36</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Pr>
        <w:sz w:val="18"/>
      </w:rPr>
      <w:t>24/4/2020</w:t>
    </w:r>
    <w:r>
      <w:rPr>
        <w:sz w:val="18"/>
      </w:rPr>
      <w:fldChar w:fldCharType="end"/>
    </w:r>
    <w:r>
      <w:rPr>
        <w:sz w:val="18"/>
      </w:rPr>
      <w:ptab w:relativeTo="margin" w:alignment="right" w:leader="none"/>
    </w:r>
    <w:r w:rsidRPr="00155582">
      <w:rPr>
        <w:sz w:val="18"/>
      </w:rPr>
      <w:t>health.gov.au/cdi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6C811" w14:textId="42426DD0" w:rsidR="00935A13" w:rsidRPr="001B200F" w:rsidRDefault="00935A13" w:rsidP="001B200F">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EA7CBE">
      <w:rPr>
        <w:noProof/>
        <w:sz w:val="18"/>
      </w:rPr>
      <w:t>22</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EA7CBE">
      <w:rPr>
        <w:noProof/>
        <w:sz w:val="18"/>
      </w:rPr>
      <w:t>28</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A164D5">
      <w:rPr>
        <w:b/>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https://doi.org/10.33321/cdi.2020.44.36</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Pr>
        <w:sz w:val="18"/>
      </w:rPr>
      <w:t>24/4/2020</w:t>
    </w:r>
    <w:r>
      <w:rPr>
        <w:sz w:val="18"/>
      </w:rPr>
      <w:fldChar w:fldCharType="end"/>
    </w:r>
    <w:r>
      <w:rPr>
        <w:sz w:val="18"/>
      </w:rPr>
      <w:ptab w:relativeTo="margin" w:alignment="right" w:leader="none"/>
    </w:r>
    <w:r w:rsidRPr="00155582">
      <w:rPr>
        <w:sz w:val="18"/>
      </w:rPr>
      <w:t>health.gov.au/cdi</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A0AF5" w14:textId="26C021C7" w:rsidR="00935A13" w:rsidRPr="00E35B1A" w:rsidRDefault="00935A13" w:rsidP="00E35B1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4</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29</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A164D5">
      <w:rPr>
        <w:b/>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https://doi.org/10.33321/cdi.2020.44.30</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Pr>
        <w:sz w:val="18"/>
      </w:rPr>
      <w:t>9/4/2020</w:t>
    </w:r>
    <w:r>
      <w:rPr>
        <w:sz w:val="18"/>
      </w:rPr>
      <w:fldChar w:fldCharType="end"/>
    </w:r>
    <w:r>
      <w:rPr>
        <w:sz w:val="18"/>
      </w:rPr>
      <w:ptab w:relativeTo="margin" w:alignment="right" w:leader="none"/>
    </w:r>
    <w:r w:rsidRPr="00155582">
      <w:rPr>
        <w:sz w:val="18"/>
      </w:rPr>
      <w:t>health.gov.au/cdi</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E01D2" w14:textId="403E11BC" w:rsidR="00935A13" w:rsidRPr="0042435E" w:rsidRDefault="00935A13"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EA7CBE">
      <w:rPr>
        <w:noProof/>
        <w:sz w:val="18"/>
      </w:rPr>
      <w:t>27</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EA7CBE">
      <w:rPr>
        <w:noProof/>
        <w:sz w:val="18"/>
      </w:rPr>
      <w:t>28</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A164D5">
      <w:rPr>
        <w:b/>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https://doi.org/10.33321/cdi.2020.44.36</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Pr>
        <w:sz w:val="18"/>
      </w:rPr>
      <w:t>24/4/2020</w:t>
    </w:r>
    <w:r>
      <w:rPr>
        <w:sz w:val="18"/>
      </w:rPr>
      <w:fldChar w:fldCharType="end"/>
    </w:r>
    <w:r>
      <w:rPr>
        <w:sz w:val="18"/>
      </w:rPr>
      <w:ptab w:relativeTo="margin" w:alignment="right" w:leader="none"/>
    </w:r>
    <w:r w:rsidRPr="00155582">
      <w:rPr>
        <w:sz w:val="18"/>
      </w:rPr>
      <w:t>health.gov.au/cdi</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0F953" w14:textId="19DD4600" w:rsidR="00935A13" w:rsidRPr="00BB5378" w:rsidRDefault="00935A13"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E0475A">
      <w:rPr>
        <w:noProof/>
        <w:sz w:val="18"/>
      </w:rPr>
      <w:t>24</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E0475A">
      <w:rPr>
        <w:noProof/>
        <w:sz w:val="18"/>
      </w:rPr>
      <w:t>28</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A164D5">
      <w:rPr>
        <w:b/>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https://doi.org/10.33321/cdi.2020.44.36</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Pr>
        <w:sz w:val="18"/>
      </w:rPr>
      <w:t>24/4/2020</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2994D" w14:textId="77777777" w:rsidR="00935A13" w:rsidRDefault="00935A13" w:rsidP="002602A6">
      <w:pPr>
        <w:spacing w:after="20" w:line="240" w:lineRule="auto"/>
      </w:pPr>
      <w:r>
        <w:separator/>
      </w:r>
    </w:p>
  </w:footnote>
  <w:footnote w:type="continuationSeparator" w:id="0">
    <w:p w14:paraId="58A81653" w14:textId="77777777" w:rsidR="00935A13" w:rsidRDefault="00935A13" w:rsidP="00E54DBA">
      <w:r>
        <w:continuationSeparator/>
      </w:r>
    </w:p>
  </w:footnote>
  <w:footnote w:type="continuationNotice" w:id="1">
    <w:p w14:paraId="544157FE" w14:textId="77777777" w:rsidR="00935A13" w:rsidRPr="00224EFF" w:rsidRDefault="00935A13" w:rsidP="00224EFF">
      <w:pPr>
        <w:pStyle w:val="Footer"/>
      </w:pPr>
    </w:p>
  </w:footnote>
  <w:footnote w:id="2">
    <w:p w14:paraId="36AD2E5C" w14:textId="42DA205F" w:rsidR="00935A13" w:rsidRPr="006B39B3" w:rsidRDefault="00935A13" w:rsidP="002602A6">
      <w:pPr>
        <w:pStyle w:val="CDIfootnotes"/>
        <w:spacing w:before="20" w:beforeAutospacing="0" w:after="20" w:afterAutospacing="0"/>
        <w:contextualSpacing/>
      </w:pPr>
      <w:r w:rsidRPr="006B39B3">
        <w:rPr>
          <w:rStyle w:val="FootnoteReference"/>
          <w:vertAlign w:val="baseline"/>
        </w:rPr>
        <w:footnoteRef/>
      </w:r>
      <w:r w:rsidRPr="006B39B3">
        <w:tab/>
        <w:t xml:space="preserve">Data caveats: Based on data extracted from the National Notifiable Diseases Surveillance System (NNDSS) on 21 April 2020. Due to the dynamic nature of the NNDSS, data in this extract are subject to retrospective revision and may vary from data reported in published NNDSS reports and reports of notification data by states and territories.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2D245" w14:textId="77777777" w:rsidR="00935A13" w:rsidRPr="00A153B6" w:rsidRDefault="00BD5EA7"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935A13">
          <w:t>Weekly epidemiological report</w:t>
        </w:r>
      </w:sdtContent>
    </w:sdt>
    <w:r w:rsidR="00935A13">
      <w:ptab w:relativeTo="margin" w:alignment="right" w:leader="none"/>
    </w:r>
    <w:r w:rsidR="00935A13"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978E8" w14:textId="77777777" w:rsidR="00935A13" w:rsidRPr="000A5F42" w:rsidRDefault="00935A13" w:rsidP="000A5F42">
    <w:pPr>
      <w:pStyle w:val="Header"/>
      <w:jc w:val="center"/>
      <w:rPr>
        <w:b/>
      </w:rPr>
    </w:pPr>
    <w:r w:rsidRPr="00E810C5">
      <w:rPr>
        <w:rFonts w:cs="Myriad Pro"/>
        <w:noProof/>
        <w:color w:val="211D1E"/>
        <w:sz w:val="16"/>
      </w:rPr>
      <w:drawing>
        <wp:inline distT="0" distB="0" distL="0" distR="0" wp14:anchorId="1712C914" wp14:editId="46B8B2B9">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933E1"/>
    <w:multiLevelType w:val="hybridMultilevel"/>
    <w:tmpl w:val="EDE63C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9F6A7D"/>
    <w:multiLevelType w:val="hybridMultilevel"/>
    <w:tmpl w:val="259AF7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0A07AD"/>
    <w:multiLevelType w:val="hybridMultilevel"/>
    <w:tmpl w:val="6BAAAF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EF39BD"/>
    <w:multiLevelType w:val="hybridMultilevel"/>
    <w:tmpl w:val="AC1E9B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CB49E6"/>
    <w:multiLevelType w:val="hybridMultilevel"/>
    <w:tmpl w:val="6E6205CA"/>
    <w:lvl w:ilvl="0" w:tplc="1FF8F876">
      <w:start w:val="1"/>
      <w:numFmt w:val="lowerLetter"/>
      <w:lvlText w:val="%1."/>
      <w:lvlJc w:val="left"/>
      <w:pPr>
        <w:ind w:left="765" w:hanging="360"/>
      </w:pPr>
      <w:rPr>
        <w:rFonts w:hint="default"/>
      </w:rPr>
    </w:lvl>
    <w:lvl w:ilvl="1" w:tplc="0C090019" w:tentative="1">
      <w:start w:val="1"/>
      <w:numFmt w:val="lowerLetter"/>
      <w:lvlText w:val="%2."/>
      <w:lvlJc w:val="left"/>
      <w:pPr>
        <w:ind w:left="1485" w:hanging="360"/>
      </w:pPr>
    </w:lvl>
    <w:lvl w:ilvl="2" w:tplc="0C09001B" w:tentative="1">
      <w:start w:val="1"/>
      <w:numFmt w:val="lowerRoman"/>
      <w:lvlText w:val="%3."/>
      <w:lvlJc w:val="right"/>
      <w:pPr>
        <w:ind w:left="2205" w:hanging="180"/>
      </w:pPr>
    </w:lvl>
    <w:lvl w:ilvl="3" w:tplc="0C09000F" w:tentative="1">
      <w:start w:val="1"/>
      <w:numFmt w:val="decimal"/>
      <w:lvlText w:val="%4."/>
      <w:lvlJc w:val="left"/>
      <w:pPr>
        <w:ind w:left="2925" w:hanging="360"/>
      </w:pPr>
    </w:lvl>
    <w:lvl w:ilvl="4" w:tplc="0C090019" w:tentative="1">
      <w:start w:val="1"/>
      <w:numFmt w:val="lowerLetter"/>
      <w:lvlText w:val="%5."/>
      <w:lvlJc w:val="left"/>
      <w:pPr>
        <w:ind w:left="3645" w:hanging="360"/>
      </w:pPr>
    </w:lvl>
    <w:lvl w:ilvl="5" w:tplc="0C09001B" w:tentative="1">
      <w:start w:val="1"/>
      <w:numFmt w:val="lowerRoman"/>
      <w:lvlText w:val="%6."/>
      <w:lvlJc w:val="right"/>
      <w:pPr>
        <w:ind w:left="4365" w:hanging="180"/>
      </w:pPr>
    </w:lvl>
    <w:lvl w:ilvl="6" w:tplc="0C09000F" w:tentative="1">
      <w:start w:val="1"/>
      <w:numFmt w:val="decimal"/>
      <w:lvlText w:val="%7."/>
      <w:lvlJc w:val="left"/>
      <w:pPr>
        <w:ind w:left="5085" w:hanging="360"/>
      </w:pPr>
    </w:lvl>
    <w:lvl w:ilvl="7" w:tplc="0C090019" w:tentative="1">
      <w:start w:val="1"/>
      <w:numFmt w:val="lowerLetter"/>
      <w:lvlText w:val="%8."/>
      <w:lvlJc w:val="left"/>
      <w:pPr>
        <w:ind w:left="5805" w:hanging="360"/>
      </w:pPr>
    </w:lvl>
    <w:lvl w:ilvl="8" w:tplc="0C09001B" w:tentative="1">
      <w:start w:val="1"/>
      <w:numFmt w:val="lowerRoman"/>
      <w:lvlText w:val="%9."/>
      <w:lvlJc w:val="right"/>
      <w:pPr>
        <w:ind w:left="6525" w:hanging="180"/>
      </w:pPr>
    </w:lvl>
  </w:abstractNum>
  <w:abstractNum w:abstractNumId="5" w15:restartNumberingAfterBreak="0">
    <w:nsid w:val="105E287E"/>
    <w:multiLevelType w:val="hybridMultilevel"/>
    <w:tmpl w:val="448AEE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20906CB"/>
    <w:multiLevelType w:val="hybridMultilevel"/>
    <w:tmpl w:val="4FE45F96"/>
    <w:lvl w:ilvl="0" w:tplc="13C23C22">
      <w:start w:val="1"/>
      <w:numFmt w:val="lowerLetter"/>
      <w:lvlText w:val="%1."/>
      <w:lvlJc w:val="left"/>
      <w:pPr>
        <w:ind w:left="405" w:hanging="360"/>
      </w:pPr>
      <w:rPr>
        <w:rFonts w:hint="default"/>
      </w:rPr>
    </w:lvl>
    <w:lvl w:ilvl="1" w:tplc="0C090019" w:tentative="1">
      <w:start w:val="1"/>
      <w:numFmt w:val="lowerLetter"/>
      <w:lvlText w:val="%2."/>
      <w:lvlJc w:val="left"/>
      <w:pPr>
        <w:ind w:left="1125" w:hanging="360"/>
      </w:pPr>
    </w:lvl>
    <w:lvl w:ilvl="2" w:tplc="0C09001B" w:tentative="1">
      <w:start w:val="1"/>
      <w:numFmt w:val="lowerRoman"/>
      <w:lvlText w:val="%3."/>
      <w:lvlJc w:val="right"/>
      <w:pPr>
        <w:ind w:left="1845" w:hanging="180"/>
      </w:pPr>
    </w:lvl>
    <w:lvl w:ilvl="3" w:tplc="0C09000F" w:tentative="1">
      <w:start w:val="1"/>
      <w:numFmt w:val="decimal"/>
      <w:lvlText w:val="%4."/>
      <w:lvlJc w:val="left"/>
      <w:pPr>
        <w:ind w:left="2565" w:hanging="360"/>
      </w:pPr>
    </w:lvl>
    <w:lvl w:ilvl="4" w:tplc="0C090019" w:tentative="1">
      <w:start w:val="1"/>
      <w:numFmt w:val="lowerLetter"/>
      <w:lvlText w:val="%5."/>
      <w:lvlJc w:val="left"/>
      <w:pPr>
        <w:ind w:left="3285" w:hanging="360"/>
      </w:pPr>
    </w:lvl>
    <w:lvl w:ilvl="5" w:tplc="0C09001B" w:tentative="1">
      <w:start w:val="1"/>
      <w:numFmt w:val="lowerRoman"/>
      <w:lvlText w:val="%6."/>
      <w:lvlJc w:val="right"/>
      <w:pPr>
        <w:ind w:left="4005" w:hanging="180"/>
      </w:pPr>
    </w:lvl>
    <w:lvl w:ilvl="6" w:tplc="0C09000F" w:tentative="1">
      <w:start w:val="1"/>
      <w:numFmt w:val="decimal"/>
      <w:lvlText w:val="%7."/>
      <w:lvlJc w:val="left"/>
      <w:pPr>
        <w:ind w:left="4725" w:hanging="360"/>
      </w:pPr>
    </w:lvl>
    <w:lvl w:ilvl="7" w:tplc="0C090019" w:tentative="1">
      <w:start w:val="1"/>
      <w:numFmt w:val="lowerLetter"/>
      <w:lvlText w:val="%8."/>
      <w:lvlJc w:val="left"/>
      <w:pPr>
        <w:ind w:left="5445" w:hanging="360"/>
      </w:pPr>
    </w:lvl>
    <w:lvl w:ilvl="8" w:tplc="0C09001B" w:tentative="1">
      <w:start w:val="1"/>
      <w:numFmt w:val="lowerRoman"/>
      <w:lvlText w:val="%9."/>
      <w:lvlJc w:val="right"/>
      <w:pPr>
        <w:ind w:left="6165" w:hanging="180"/>
      </w:pPr>
    </w:lvl>
  </w:abstractNum>
  <w:abstractNum w:abstractNumId="7" w15:restartNumberingAfterBreak="0">
    <w:nsid w:val="12F74C11"/>
    <w:multiLevelType w:val="hybridMultilevel"/>
    <w:tmpl w:val="F334A7C0"/>
    <w:lvl w:ilvl="0" w:tplc="08F85BD6">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6E62C55"/>
    <w:multiLevelType w:val="hybridMultilevel"/>
    <w:tmpl w:val="F9FCC6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82D2EA1"/>
    <w:multiLevelType w:val="hybridMultilevel"/>
    <w:tmpl w:val="0FC077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2E1A48"/>
    <w:multiLevelType w:val="hybridMultilevel"/>
    <w:tmpl w:val="CB1219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BE64001"/>
    <w:multiLevelType w:val="hybridMultilevel"/>
    <w:tmpl w:val="1C02E3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A9B0F06"/>
    <w:multiLevelType w:val="hybridMultilevel"/>
    <w:tmpl w:val="010A50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A9B0F98"/>
    <w:multiLevelType w:val="hybridMultilevel"/>
    <w:tmpl w:val="ECD2F0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C927682"/>
    <w:multiLevelType w:val="hybridMultilevel"/>
    <w:tmpl w:val="D2D84EDC"/>
    <w:lvl w:ilvl="0" w:tplc="5E009F2C">
      <w:start w:val="20"/>
      <w:numFmt w:val="bullet"/>
      <w:lvlText w:val="•"/>
      <w:lvlJc w:val="left"/>
      <w:pPr>
        <w:ind w:left="1080" w:hanging="72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CBD4C86"/>
    <w:multiLevelType w:val="hybridMultilevel"/>
    <w:tmpl w:val="D2B4C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F35264"/>
    <w:multiLevelType w:val="hybridMultilevel"/>
    <w:tmpl w:val="373C508A"/>
    <w:lvl w:ilvl="0" w:tplc="D7D46A2A">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42144DEF"/>
    <w:multiLevelType w:val="hybridMultilevel"/>
    <w:tmpl w:val="CB1C7B8C"/>
    <w:lvl w:ilvl="0" w:tplc="8A72AB14">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49839B9"/>
    <w:multiLevelType w:val="hybridMultilevel"/>
    <w:tmpl w:val="62BAD0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56C0906"/>
    <w:multiLevelType w:val="hybridMultilevel"/>
    <w:tmpl w:val="D15437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59951F9"/>
    <w:multiLevelType w:val="hybridMultilevel"/>
    <w:tmpl w:val="F3EC53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76823BC"/>
    <w:multiLevelType w:val="hybridMultilevel"/>
    <w:tmpl w:val="5B1483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B151794"/>
    <w:multiLevelType w:val="hybridMultilevel"/>
    <w:tmpl w:val="90EC0F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6C21932"/>
    <w:multiLevelType w:val="hybridMultilevel"/>
    <w:tmpl w:val="8F7E3920"/>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71161E8"/>
    <w:multiLevelType w:val="hybridMultilevel"/>
    <w:tmpl w:val="8FBE0798"/>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7760F72"/>
    <w:multiLevelType w:val="hybridMultilevel"/>
    <w:tmpl w:val="8B90B5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F796EBA"/>
    <w:multiLevelType w:val="hybridMultilevel"/>
    <w:tmpl w:val="C06ED8A6"/>
    <w:lvl w:ilvl="0" w:tplc="F706573A">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0A97311"/>
    <w:multiLevelType w:val="hybridMultilevel"/>
    <w:tmpl w:val="4FE45F96"/>
    <w:lvl w:ilvl="0" w:tplc="13C23C22">
      <w:start w:val="1"/>
      <w:numFmt w:val="lowerLetter"/>
      <w:lvlText w:val="%1."/>
      <w:lvlJc w:val="left"/>
      <w:pPr>
        <w:ind w:left="405" w:hanging="360"/>
      </w:pPr>
      <w:rPr>
        <w:rFonts w:hint="default"/>
      </w:rPr>
    </w:lvl>
    <w:lvl w:ilvl="1" w:tplc="0C090019" w:tentative="1">
      <w:start w:val="1"/>
      <w:numFmt w:val="lowerLetter"/>
      <w:lvlText w:val="%2."/>
      <w:lvlJc w:val="left"/>
      <w:pPr>
        <w:ind w:left="1125" w:hanging="360"/>
      </w:pPr>
    </w:lvl>
    <w:lvl w:ilvl="2" w:tplc="0C09001B" w:tentative="1">
      <w:start w:val="1"/>
      <w:numFmt w:val="lowerRoman"/>
      <w:lvlText w:val="%3."/>
      <w:lvlJc w:val="right"/>
      <w:pPr>
        <w:ind w:left="1845" w:hanging="180"/>
      </w:pPr>
    </w:lvl>
    <w:lvl w:ilvl="3" w:tplc="0C09000F" w:tentative="1">
      <w:start w:val="1"/>
      <w:numFmt w:val="decimal"/>
      <w:lvlText w:val="%4."/>
      <w:lvlJc w:val="left"/>
      <w:pPr>
        <w:ind w:left="2565" w:hanging="360"/>
      </w:pPr>
    </w:lvl>
    <w:lvl w:ilvl="4" w:tplc="0C090019" w:tentative="1">
      <w:start w:val="1"/>
      <w:numFmt w:val="lowerLetter"/>
      <w:lvlText w:val="%5."/>
      <w:lvlJc w:val="left"/>
      <w:pPr>
        <w:ind w:left="3285" w:hanging="360"/>
      </w:pPr>
    </w:lvl>
    <w:lvl w:ilvl="5" w:tplc="0C09001B" w:tentative="1">
      <w:start w:val="1"/>
      <w:numFmt w:val="lowerRoman"/>
      <w:lvlText w:val="%6."/>
      <w:lvlJc w:val="right"/>
      <w:pPr>
        <w:ind w:left="4005" w:hanging="180"/>
      </w:pPr>
    </w:lvl>
    <w:lvl w:ilvl="6" w:tplc="0C09000F" w:tentative="1">
      <w:start w:val="1"/>
      <w:numFmt w:val="decimal"/>
      <w:lvlText w:val="%7."/>
      <w:lvlJc w:val="left"/>
      <w:pPr>
        <w:ind w:left="4725" w:hanging="360"/>
      </w:pPr>
    </w:lvl>
    <w:lvl w:ilvl="7" w:tplc="0C090019" w:tentative="1">
      <w:start w:val="1"/>
      <w:numFmt w:val="lowerLetter"/>
      <w:lvlText w:val="%8."/>
      <w:lvlJc w:val="left"/>
      <w:pPr>
        <w:ind w:left="5445" w:hanging="360"/>
      </w:pPr>
    </w:lvl>
    <w:lvl w:ilvl="8" w:tplc="0C09001B" w:tentative="1">
      <w:start w:val="1"/>
      <w:numFmt w:val="lowerRoman"/>
      <w:lvlText w:val="%9."/>
      <w:lvlJc w:val="right"/>
      <w:pPr>
        <w:ind w:left="6165" w:hanging="180"/>
      </w:pPr>
    </w:lvl>
  </w:abstractNum>
  <w:abstractNum w:abstractNumId="32" w15:restartNumberingAfterBreak="0">
    <w:nsid w:val="6108333B"/>
    <w:multiLevelType w:val="hybridMultilevel"/>
    <w:tmpl w:val="51DE28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13444AA"/>
    <w:multiLevelType w:val="hybridMultilevel"/>
    <w:tmpl w:val="D9EA8C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47F2382"/>
    <w:multiLevelType w:val="hybridMultilevel"/>
    <w:tmpl w:val="F774A9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62A3438"/>
    <w:multiLevelType w:val="hybridMultilevel"/>
    <w:tmpl w:val="F92247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A6035F2"/>
    <w:multiLevelType w:val="hybridMultilevel"/>
    <w:tmpl w:val="000875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C7E70B1"/>
    <w:multiLevelType w:val="hybridMultilevel"/>
    <w:tmpl w:val="29286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E2E1BCA"/>
    <w:multiLevelType w:val="hybridMultilevel"/>
    <w:tmpl w:val="A5787F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E6B50AD"/>
    <w:multiLevelType w:val="hybridMultilevel"/>
    <w:tmpl w:val="AC0851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9A513C5"/>
    <w:multiLevelType w:val="hybridMultilevel"/>
    <w:tmpl w:val="60588D1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FF06F5F"/>
    <w:multiLevelType w:val="hybridMultilevel"/>
    <w:tmpl w:val="D45C55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5413365">
    <w:abstractNumId w:val="12"/>
  </w:num>
  <w:num w:numId="2" w16cid:durableId="750615429">
    <w:abstractNumId w:val="23"/>
  </w:num>
  <w:num w:numId="3" w16cid:durableId="345836206">
    <w:abstractNumId w:val="24"/>
  </w:num>
  <w:num w:numId="4" w16cid:durableId="1136029562">
    <w:abstractNumId w:val="10"/>
  </w:num>
  <w:num w:numId="5" w16cid:durableId="1887137503">
    <w:abstractNumId w:val="36"/>
  </w:num>
  <w:num w:numId="6" w16cid:durableId="434784744">
    <w:abstractNumId w:val="39"/>
  </w:num>
  <w:num w:numId="7" w16cid:durableId="1276868802">
    <w:abstractNumId w:val="13"/>
  </w:num>
  <w:num w:numId="8" w16cid:durableId="654723048">
    <w:abstractNumId w:val="8"/>
  </w:num>
  <w:num w:numId="9" w16cid:durableId="1610435098">
    <w:abstractNumId w:val="41"/>
  </w:num>
  <w:num w:numId="10" w16cid:durableId="1131242396">
    <w:abstractNumId w:val="35"/>
  </w:num>
  <w:num w:numId="11" w16cid:durableId="335620851">
    <w:abstractNumId w:val="34"/>
  </w:num>
  <w:num w:numId="12" w16cid:durableId="1479807805">
    <w:abstractNumId w:val="2"/>
  </w:num>
  <w:num w:numId="13" w16cid:durableId="1178426033">
    <w:abstractNumId w:val="3"/>
  </w:num>
  <w:num w:numId="14" w16cid:durableId="1957710680">
    <w:abstractNumId w:val="0"/>
  </w:num>
  <w:num w:numId="15" w16cid:durableId="505941530">
    <w:abstractNumId w:val="14"/>
  </w:num>
  <w:num w:numId="16" w16cid:durableId="137842971">
    <w:abstractNumId w:val="29"/>
  </w:num>
  <w:num w:numId="17" w16cid:durableId="1431660635">
    <w:abstractNumId w:val="9"/>
  </w:num>
  <w:num w:numId="18" w16cid:durableId="951548132">
    <w:abstractNumId w:val="25"/>
  </w:num>
  <w:num w:numId="19" w16cid:durableId="172305871">
    <w:abstractNumId w:val="40"/>
  </w:num>
  <w:num w:numId="20" w16cid:durableId="1136487146">
    <w:abstractNumId w:val="32"/>
  </w:num>
  <w:num w:numId="21" w16cid:durableId="1021202548">
    <w:abstractNumId w:val="43"/>
  </w:num>
  <w:num w:numId="22" w16cid:durableId="1387025176">
    <w:abstractNumId w:val="28"/>
  </w:num>
  <w:num w:numId="23" w16cid:durableId="1596287027">
    <w:abstractNumId w:val="27"/>
  </w:num>
  <w:num w:numId="24" w16cid:durableId="1632395527">
    <w:abstractNumId w:val="20"/>
  </w:num>
  <w:num w:numId="25" w16cid:durableId="613365602">
    <w:abstractNumId w:val="16"/>
  </w:num>
  <w:num w:numId="26" w16cid:durableId="1829245260">
    <w:abstractNumId w:val="22"/>
  </w:num>
  <w:num w:numId="27" w16cid:durableId="433985957">
    <w:abstractNumId w:val="33"/>
  </w:num>
  <w:num w:numId="28" w16cid:durableId="940601531">
    <w:abstractNumId w:val="11"/>
  </w:num>
  <w:num w:numId="29" w16cid:durableId="426735088">
    <w:abstractNumId w:val="26"/>
  </w:num>
  <w:num w:numId="30" w16cid:durableId="127358844">
    <w:abstractNumId w:val="15"/>
  </w:num>
  <w:num w:numId="31" w16cid:durableId="1897009947">
    <w:abstractNumId w:val="19"/>
  </w:num>
  <w:num w:numId="32" w16cid:durableId="1961955738">
    <w:abstractNumId w:val="7"/>
  </w:num>
  <w:num w:numId="33" w16cid:durableId="1641570572">
    <w:abstractNumId w:val="37"/>
  </w:num>
  <w:num w:numId="34" w16cid:durableId="631401249">
    <w:abstractNumId w:val="17"/>
  </w:num>
  <w:num w:numId="35" w16cid:durableId="145249089">
    <w:abstractNumId w:val="38"/>
  </w:num>
  <w:num w:numId="36" w16cid:durableId="152381046">
    <w:abstractNumId w:val="1"/>
  </w:num>
  <w:num w:numId="37" w16cid:durableId="1536767421">
    <w:abstractNumId w:val="31"/>
  </w:num>
  <w:num w:numId="38" w16cid:durableId="1004360607">
    <w:abstractNumId w:val="6"/>
  </w:num>
  <w:num w:numId="39" w16cid:durableId="2046060477">
    <w:abstractNumId w:val="18"/>
  </w:num>
  <w:num w:numId="40" w16cid:durableId="1112476760">
    <w:abstractNumId w:val="42"/>
  </w:num>
  <w:num w:numId="41" w16cid:durableId="1366371423">
    <w:abstractNumId w:val="4"/>
  </w:num>
  <w:num w:numId="42" w16cid:durableId="13818553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45995766">
    <w:abstractNumId w:val="32"/>
  </w:num>
  <w:num w:numId="44" w16cid:durableId="1119299463">
    <w:abstractNumId w:val="5"/>
  </w:num>
  <w:num w:numId="45" w16cid:durableId="2115711009">
    <w:abstractNumId w:val="21"/>
  </w:num>
  <w:num w:numId="46" w16cid:durableId="28057401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100353"/>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7AD"/>
    <w:rsid w:val="00000B5B"/>
    <w:rsid w:val="00001611"/>
    <w:rsid w:val="000104A8"/>
    <w:rsid w:val="0001246E"/>
    <w:rsid w:val="000124B1"/>
    <w:rsid w:val="00012BD5"/>
    <w:rsid w:val="00016FE6"/>
    <w:rsid w:val="00025857"/>
    <w:rsid w:val="00031064"/>
    <w:rsid w:val="00031692"/>
    <w:rsid w:val="00032531"/>
    <w:rsid w:val="000471BF"/>
    <w:rsid w:val="00047B68"/>
    <w:rsid w:val="00052451"/>
    <w:rsid w:val="00052600"/>
    <w:rsid w:val="00052AC3"/>
    <w:rsid w:val="0005643C"/>
    <w:rsid w:val="0006264A"/>
    <w:rsid w:val="00063E0F"/>
    <w:rsid w:val="00072AF7"/>
    <w:rsid w:val="00073D77"/>
    <w:rsid w:val="00077661"/>
    <w:rsid w:val="00081655"/>
    <w:rsid w:val="00084FC0"/>
    <w:rsid w:val="00085920"/>
    <w:rsid w:val="000864E0"/>
    <w:rsid w:val="0009500D"/>
    <w:rsid w:val="000969B3"/>
    <w:rsid w:val="000A5F42"/>
    <w:rsid w:val="000B10E0"/>
    <w:rsid w:val="000C5878"/>
    <w:rsid w:val="000D4008"/>
    <w:rsid w:val="000D48B8"/>
    <w:rsid w:val="000D4B4D"/>
    <w:rsid w:val="000D767A"/>
    <w:rsid w:val="00105DBA"/>
    <w:rsid w:val="00113D58"/>
    <w:rsid w:val="00125A26"/>
    <w:rsid w:val="00126877"/>
    <w:rsid w:val="0013021A"/>
    <w:rsid w:val="001378A3"/>
    <w:rsid w:val="00140BCC"/>
    <w:rsid w:val="001424BB"/>
    <w:rsid w:val="00155582"/>
    <w:rsid w:val="00161059"/>
    <w:rsid w:val="00161590"/>
    <w:rsid w:val="00167B56"/>
    <w:rsid w:val="00171CC0"/>
    <w:rsid w:val="00173122"/>
    <w:rsid w:val="00175494"/>
    <w:rsid w:val="00175629"/>
    <w:rsid w:val="0017693C"/>
    <w:rsid w:val="001830EC"/>
    <w:rsid w:val="00183534"/>
    <w:rsid w:val="001861ED"/>
    <w:rsid w:val="001900F8"/>
    <w:rsid w:val="001A2060"/>
    <w:rsid w:val="001A4A96"/>
    <w:rsid w:val="001A5D05"/>
    <w:rsid w:val="001A796C"/>
    <w:rsid w:val="001B200F"/>
    <w:rsid w:val="001B2614"/>
    <w:rsid w:val="001B37B8"/>
    <w:rsid w:val="001B552F"/>
    <w:rsid w:val="001C0893"/>
    <w:rsid w:val="001C1303"/>
    <w:rsid w:val="001C70B2"/>
    <w:rsid w:val="001D37C7"/>
    <w:rsid w:val="001D6888"/>
    <w:rsid w:val="001F36D9"/>
    <w:rsid w:val="001F52EB"/>
    <w:rsid w:val="001F5AE4"/>
    <w:rsid w:val="002001DA"/>
    <w:rsid w:val="0021033A"/>
    <w:rsid w:val="00210B3A"/>
    <w:rsid w:val="0021215D"/>
    <w:rsid w:val="00224EFF"/>
    <w:rsid w:val="002276DC"/>
    <w:rsid w:val="00227E00"/>
    <w:rsid w:val="002307CB"/>
    <w:rsid w:val="00231046"/>
    <w:rsid w:val="00234F21"/>
    <w:rsid w:val="002369C4"/>
    <w:rsid w:val="002402B0"/>
    <w:rsid w:val="00242659"/>
    <w:rsid w:val="002428F7"/>
    <w:rsid w:val="0024315F"/>
    <w:rsid w:val="00244FDD"/>
    <w:rsid w:val="00252C9A"/>
    <w:rsid w:val="00256309"/>
    <w:rsid w:val="00256E31"/>
    <w:rsid w:val="00257484"/>
    <w:rsid w:val="002602A6"/>
    <w:rsid w:val="00260636"/>
    <w:rsid w:val="00273A82"/>
    <w:rsid w:val="0027485A"/>
    <w:rsid w:val="00275C78"/>
    <w:rsid w:val="00280497"/>
    <w:rsid w:val="00280594"/>
    <w:rsid w:val="00281EE3"/>
    <w:rsid w:val="00284E4A"/>
    <w:rsid w:val="002A3799"/>
    <w:rsid w:val="002A3BCC"/>
    <w:rsid w:val="002A4516"/>
    <w:rsid w:val="002A569F"/>
    <w:rsid w:val="002A7066"/>
    <w:rsid w:val="002A70B8"/>
    <w:rsid w:val="002B001E"/>
    <w:rsid w:val="002B09B7"/>
    <w:rsid w:val="002B1937"/>
    <w:rsid w:val="002B6A89"/>
    <w:rsid w:val="002B75A9"/>
    <w:rsid w:val="002C166C"/>
    <w:rsid w:val="002C21B0"/>
    <w:rsid w:val="002C26A8"/>
    <w:rsid w:val="002C7B31"/>
    <w:rsid w:val="002D08E9"/>
    <w:rsid w:val="002D581D"/>
    <w:rsid w:val="002D6CC8"/>
    <w:rsid w:val="002D708B"/>
    <w:rsid w:val="002E2FB3"/>
    <w:rsid w:val="002E3240"/>
    <w:rsid w:val="002E7726"/>
    <w:rsid w:val="002F327B"/>
    <w:rsid w:val="00301626"/>
    <w:rsid w:val="003059EC"/>
    <w:rsid w:val="00315D9F"/>
    <w:rsid w:val="00316CCD"/>
    <w:rsid w:val="00320762"/>
    <w:rsid w:val="0032369A"/>
    <w:rsid w:val="00324F7E"/>
    <w:rsid w:val="003323BC"/>
    <w:rsid w:val="00332F39"/>
    <w:rsid w:val="003337B8"/>
    <w:rsid w:val="00346D42"/>
    <w:rsid w:val="00346E11"/>
    <w:rsid w:val="003601C0"/>
    <w:rsid w:val="0036335A"/>
    <w:rsid w:val="003635F5"/>
    <w:rsid w:val="0036634B"/>
    <w:rsid w:val="00372A88"/>
    <w:rsid w:val="00373B11"/>
    <w:rsid w:val="0038139B"/>
    <w:rsid w:val="00381A0F"/>
    <w:rsid w:val="003962B5"/>
    <w:rsid w:val="003A1B3A"/>
    <w:rsid w:val="003A371E"/>
    <w:rsid w:val="003A40F5"/>
    <w:rsid w:val="003B5B8C"/>
    <w:rsid w:val="003B5FDB"/>
    <w:rsid w:val="003C04CD"/>
    <w:rsid w:val="003D1043"/>
    <w:rsid w:val="003D431C"/>
    <w:rsid w:val="003D5C30"/>
    <w:rsid w:val="003D79B1"/>
    <w:rsid w:val="003D7FCC"/>
    <w:rsid w:val="003E74EE"/>
    <w:rsid w:val="003F0552"/>
    <w:rsid w:val="003F3BC2"/>
    <w:rsid w:val="003F435B"/>
    <w:rsid w:val="003F616F"/>
    <w:rsid w:val="00401ED1"/>
    <w:rsid w:val="0040224C"/>
    <w:rsid w:val="00402754"/>
    <w:rsid w:val="00403265"/>
    <w:rsid w:val="004120FB"/>
    <w:rsid w:val="00413EE1"/>
    <w:rsid w:val="00414B32"/>
    <w:rsid w:val="004158DE"/>
    <w:rsid w:val="004164BB"/>
    <w:rsid w:val="00421ECE"/>
    <w:rsid w:val="00422FEB"/>
    <w:rsid w:val="0042435E"/>
    <w:rsid w:val="004315F5"/>
    <w:rsid w:val="00433456"/>
    <w:rsid w:val="00433DFA"/>
    <w:rsid w:val="00435D67"/>
    <w:rsid w:val="00442D81"/>
    <w:rsid w:val="00444C2B"/>
    <w:rsid w:val="00456585"/>
    <w:rsid w:val="00464A58"/>
    <w:rsid w:val="00465D9D"/>
    <w:rsid w:val="00465E56"/>
    <w:rsid w:val="00473A06"/>
    <w:rsid w:val="00473D2D"/>
    <w:rsid w:val="0047430A"/>
    <w:rsid w:val="004815BD"/>
    <w:rsid w:val="00483AE6"/>
    <w:rsid w:val="0048755B"/>
    <w:rsid w:val="00493913"/>
    <w:rsid w:val="004963F9"/>
    <w:rsid w:val="00497B55"/>
    <w:rsid w:val="004A051F"/>
    <w:rsid w:val="004A1C24"/>
    <w:rsid w:val="004A1CD0"/>
    <w:rsid w:val="004A2125"/>
    <w:rsid w:val="004A38F6"/>
    <w:rsid w:val="004B14A7"/>
    <w:rsid w:val="004B30C1"/>
    <w:rsid w:val="004B4EB6"/>
    <w:rsid w:val="004C00B6"/>
    <w:rsid w:val="004C083C"/>
    <w:rsid w:val="004C1E3B"/>
    <w:rsid w:val="004C5281"/>
    <w:rsid w:val="004C67C6"/>
    <w:rsid w:val="004D29DE"/>
    <w:rsid w:val="004E15A9"/>
    <w:rsid w:val="004E2631"/>
    <w:rsid w:val="004F09D9"/>
    <w:rsid w:val="004F1568"/>
    <w:rsid w:val="004F6AC3"/>
    <w:rsid w:val="00503E06"/>
    <w:rsid w:val="00507889"/>
    <w:rsid w:val="00510EAC"/>
    <w:rsid w:val="00521202"/>
    <w:rsid w:val="00524C9C"/>
    <w:rsid w:val="00542A57"/>
    <w:rsid w:val="005527A9"/>
    <w:rsid w:val="005555C9"/>
    <w:rsid w:val="00565974"/>
    <w:rsid w:val="005732C0"/>
    <w:rsid w:val="0057336D"/>
    <w:rsid w:val="0057489A"/>
    <w:rsid w:val="00574ACF"/>
    <w:rsid w:val="0057585A"/>
    <w:rsid w:val="00581588"/>
    <w:rsid w:val="00582A6A"/>
    <w:rsid w:val="00584787"/>
    <w:rsid w:val="0058540B"/>
    <w:rsid w:val="00587C87"/>
    <w:rsid w:val="00590B80"/>
    <w:rsid w:val="00597000"/>
    <w:rsid w:val="005A02CE"/>
    <w:rsid w:val="005A0D64"/>
    <w:rsid w:val="005A2198"/>
    <w:rsid w:val="005A38CF"/>
    <w:rsid w:val="005B3134"/>
    <w:rsid w:val="005B4E61"/>
    <w:rsid w:val="005B595A"/>
    <w:rsid w:val="005B62B4"/>
    <w:rsid w:val="005B66C2"/>
    <w:rsid w:val="005C73FB"/>
    <w:rsid w:val="005D2465"/>
    <w:rsid w:val="005D6EB9"/>
    <w:rsid w:val="005E33DD"/>
    <w:rsid w:val="005E4229"/>
    <w:rsid w:val="005E540E"/>
    <w:rsid w:val="005E55FB"/>
    <w:rsid w:val="005F16BB"/>
    <w:rsid w:val="005F3141"/>
    <w:rsid w:val="005F79C4"/>
    <w:rsid w:val="006059A0"/>
    <w:rsid w:val="00607115"/>
    <w:rsid w:val="00617475"/>
    <w:rsid w:val="00620768"/>
    <w:rsid w:val="0062594B"/>
    <w:rsid w:val="0062641D"/>
    <w:rsid w:val="006304AF"/>
    <w:rsid w:val="00630F30"/>
    <w:rsid w:val="00631406"/>
    <w:rsid w:val="006324FF"/>
    <w:rsid w:val="00634FCA"/>
    <w:rsid w:val="006351D6"/>
    <w:rsid w:val="00636E0D"/>
    <w:rsid w:val="00637963"/>
    <w:rsid w:val="0064142F"/>
    <w:rsid w:val="00643CB4"/>
    <w:rsid w:val="00645958"/>
    <w:rsid w:val="00650D81"/>
    <w:rsid w:val="00656427"/>
    <w:rsid w:val="00660255"/>
    <w:rsid w:val="00661351"/>
    <w:rsid w:val="00664CFE"/>
    <w:rsid w:val="00672381"/>
    <w:rsid w:val="00681BB2"/>
    <w:rsid w:val="006828AB"/>
    <w:rsid w:val="006850AA"/>
    <w:rsid w:val="00692B34"/>
    <w:rsid w:val="00693582"/>
    <w:rsid w:val="006942EF"/>
    <w:rsid w:val="006971F3"/>
    <w:rsid w:val="006B01F2"/>
    <w:rsid w:val="006B39B3"/>
    <w:rsid w:val="006B48FF"/>
    <w:rsid w:val="006C74A3"/>
    <w:rsid w:val="006D12F5"/>
    <w:rsid w:val="006D1381"/>
    <w:rsid w:val="006D31BC"/>
    <w:rsid w:val="006D36E8"/>
    <w:rsid w:val="006E30CD"/>
    <w:rsid w:val="006E57CC"/>
    <w:rsid w:val="006E7943"/>
    <w:rsid w:val="006F24EA"/>
    <w:rsid w:val="006F48B9"/>
    <w:rsid w:val="00704CA9"/>
    <w:rsid w:val="00707DD1"/>
    <w:rsid w:val="0071048D"/>
    <w:rsid w:val="00710F86"/>
    <w:rsid w:val="007110AF"/>
    <w:rsid w:val="007111A8"/>
    <w:rsid w:val="00713506"/>
    <w:rsid w:val="00731BC3"/>
    <w:rsid w:val="00731BF0"/>
    <w:rsid w:val="00732B0D"/>
    <w:rsid w:val="00734C3D"/>
    <w:rsid w:val="00741192"/>
    <w:rsid w:val="00743A33"/>
    <w:rsid w:val="00746080"/>
    <w:rsid w:val="0075144A"/>
    <w:rsid w:val="00757817"/>
    <w:rsid w:val="00777CAA"/>
    <w:rsid w:val="00786329"/>
    <w:rsid w:val="007866E9"/>
    <w:rsid w:val="00790141"/>
    <w:rsid w:val="00792C7D"/>
    <w:rsid w:val="00794744"/>
    <w:rsid w:val="00794A4D"/>
    <w:rsid w:val="00795DC2"/>
    <w:rsid w:val="00795E87"/>
    <w:rsid w:val="007A5234"/>
    <w:rsid w:val="007B0AD2"/>
    <w:rsid w:val="007B7854"/>
    <w:rsid w:val="007C56A1"/>
    <w:rsid w:val="007C6454"/>
    <w:rsid w:val="007C67CD"/>
    <w:rsid w:val="007D2B6F"/>
    <w:rsid w:val="007E01E0"/>
    <w:rsid w:val="007E07F5"/>
    <w:rsid w:val="007E10A6"/>
    <w:rsid w:val="007E2D5C"/>
    <w:rsid w:val="007E34FA"/>
    <w:rsid w:val="007E72FC"/>
    <w:rsid w:val="007F0B93"/>
    <w:rsid w:val="007F1115"/>
    <w:rsid w:val="007F2ECA"/>
    <w:rsid w:val="00811708"/>
    <w:rsid w:val="00815016"/>
    <w:rsid w:val="00816B90"/>
    <w:rsid w:val="00817799"/>
    <w:rsid w:val="00822F5F"/>
    <w:rsid w:val="008236DB"/>
    <w:rsid w:val="00823AFB"/>
    <w:rsid w:val="00824FD3"/>
    <w:rsid w:val="00826589"/>
    <w:rsid w:val="00834BCC"/>
    <w:rsid w:val="008365BD"/>
    <w:rsid w:val="00850D54"/>
    <w:rsid w:val="00855D73"/>
    <w:rsid w:val="00867044"/>
    <w:rsid w:val="008714B0"/>
    <w:rsid w:val="00876331"/>
    <w:rsid w:val="00880726"/>
    <w:rsid w:val="00885347"/>
    <w:rsid w:val="008900D2"/>
    <w:rsid w:val="008A180D"/>
    <w:rsid w:val="008A3544"/>
    <w:rsid w:val="008B48B8"/>
    <w:rsid w:val="008B5348"/>
    <w:rsid w:val="008B58F8"/>
    <w:rsid w:val="008C0712"/>
    <w:rsid w:val="008C4520"/>
    <w:rsid w:val="008C4CEB"/>
    <w:rsid w:val="008C5F09"/>
    <w:rsid w:val="008D43BC"/>
    <w:rsid w:val="008D470F"/>
    <w:rsid w:val="008D5C3E"/>
    <w:rsid w:val="008E1F8F"/>
    <w:rsid w:val="008E4768"/>
    <w:rsid w:val="008E761E"/>
    <w:rsid w:val="008F34C4"/>
    <w:rsid w:val="008F628D"/>
    <w:rsid w:val="008F77B3"/>
    <w:rsid w:val="009008F5"/>
    <w:rsid w:val="00904CC1"/>
    <w:rsid w:val="009066AF"/>
    <w:rsid w:val="00906B85"/>
    <w:rsid w:val="00910E27"/>
    <w:rsid w:val="00911389"/>
    <w:rsid w:val="00911C40"/>
    <w:rsid w:val="00912050"/>
    <w:rsid w:val="00912DA8"/>
    <w:rsid w:val="00912E48"/>
    <w:rsid w:val="0092004B"/>
    <w:rsid w:val="00922F17"/>
    <w:rsid w:val="0092746F"/>
    <w:rsid w:val="0093062F"/>
    <w:rsid w:val="00935A13"/>
    <w:rsid w:val="00935DC9"/>
    <w:rsid w:val="009446C0"/>
    <w:rsid w:val="009607FD"/>
    <w:rsid w:val="0096082E"/>
    <w:rsid w:val="00961347"/>
    <w:rsid w:val="00962F1F"/>
    <w:rsid w:val="00964CDE"/>
    <w:rsid w:val="00967410"/>
    <w:rsid w:val="00967D73"/>
    <w:rsid w:val="00972C75"/>
    <w:rsid w:val="00976237"/>
    <w:rsid w:val="0098119A"/>
    <w:rsid w:val="00984AAF"/>
    <w:rsid w:val="00984F73"/>
    <w:rsid w:val="0098734B"/>
    <w:rsid w:val="00991B09"/>
    <w:rsid w:val="00993CB2"/>
    <w:rsid w:val="009A27BE"/>
    <w:rsid w:val="009A5166"/>
    <w:rsid w:val="009A76F8"/>
    <w:rsid w:val="009B2B83"/>
    <w:rsid w:val="009B4D90"/>
    <w:rsid w:val="009C49F8"/>
    <w:rsid w:val="009C6213"/>
    <w:rsid w:val="009D77CC"/>
    <w:rsid w:val="009E2423"/>
    <w:rsid w:val="009E55D7"/>
    <w:rsid w:val="009F287E"/>
    <w:rsid w:val="009F4150"/>
    <w:rsid w:val="009F5665"/>
    <w:rsid w:val="009F5DAD"/>
    <w:rsid w:val="00A01BCA"/>
    <w:rsid w:val="00A10458"/>
    <w:rsid w:val="00A12377"/>
    <w:rsid w:val="00A153B6"/>
    <w:rsid w:val="00A164D5"/>
    <w:rsid w:val="00A25CC8"/>
    <w:rsid w:val="00A273C3"/>
    <w:rsid w:val="00A30C37"/>
    <w:rsid w:val="00A332FC"/>
    <w:rsid w:val="00A33CEB"/>
    <w:rsid w:val="00A36421"/>
    <w:rsid w:val="00A36BE0"/>
    <w:rsid w:val="00A36C65"/>
    <w:rsid w:val="00A41BBE"/>
    <w:rsid w:val="00A45BDD"/>
    <w:rsid w:val="00A46A0A"/>
    <w:rsid w:val="00A5253C"/>
    <w:rsid w:val="00A553F8"/>
    <w:rsid w:val="00A6708F"/>
    <w:rsid w:val="00A71BF6"/>
    <w:rsid w:val="00A754B8"/>
    <w:rsid w:val="00A86F9A"/>
    <w:rsid w:val="00AA09E1"/>
    <w:rsid w:val="00AA35E6"/>
    <w:rsid w:val="00AA50B6"/>
    <w:rsid w:val="00AB0205"/>
    <w:rsid w:val="00AB3472"/>
    <w:rsid w:val="00AB37AD"/>
    <w:rsid w:val="00AD0762"/>
    <w:rsid w:val="00AD59C3"/>
    <w:rsid w:val="00AD75F9"/>
    <w:rsid w:val="00AE4452"/>
    <w:rsid w:val="00AE7C38"/>
    <w:rsid w:val="00B01F99"/>
    <w:rsid w:val="00B02B37"/>
    <w:rsid w:val="00B05276"/>
    <w:rsid w:val="00B132DB"/>
    <w:rsid w:val="00B13D0E"/>
    <w:rsid w:val="00B15231"/>
    <w:rsid w:val="00B15568"/>
    <w:rsid w:val="00B31427"/>
    <w:rsid w:val="00B33861"/>
    <w:rsid w:val="00B379E6"/>
    <w:rsid w:val="00B40DE2"/>
    <w:rsid w:val="00B41990"/>
    <w:rsid w:val="00B44D76"/>
    <w:rsid w:val="00B50210"/>
    <w:rsid w:val="00B53955"/>
    <w:rsid w:val="00B542CD"/>
    <w:rsid w:val="00B61596"/>
    <w:rsid w:val="00B624BC"/>
    <w:rsid w:val="00B62FB0"/>
    <w:rsid w:val="00B6408A"/>
    <w:rsid w:val="00B66475"/>
    <w:rsid w:val="00B67C0C"/>
    <w:rsid w:val="00B714B8"/>
    <w:rsid w:val="00B82C2C"/>
    <w:rsid w:val="00B846C9"/>
    <w:rsid w:val="00B852A1"/>
    <w:rsid w:val="00B8720B"/>
    <w:rsid w:val="00B876EF"/>
    <w:rsid w:val="00BA4697"/>
    <w:rsid w:val="00BA54FF"/>
    <w:rsid w:val="00BB2C6E"/>
    <w:rsid w:val="00BB528E"/>
    <w:rsid w:val="00BB5378"/>
    <w:rsid w:val="00BB5FC4"/>
    <w:rsid w:val="00BC0BD3"/>
    <w:rsid w:val="00BC12B7"/>
    <w:rsid w:val="00BC2F84"/>
    <w:rsid w:val="00BC4E13"/>
    <w:rsid w:val="00BC4E99"/>
    <w:rsid w:val="00BC6C66"/>
    <w:rsid w:val="00BD0107"/>
    <w:rsid w:val="00BD5EA7"/>
    <w:rsid w:val="00BD66E3"/>
    <w:rsid w:val="00BE0C33"/>
    <w:rsid w:val="00BE262C"/>
    <w:rsid w:val="00BE6C3D"/>
    <w:rsid w:val="00BF48D4"/>
    <w:rsid w:val="00C011C9"/>
    <w:rsid w:val="00C07606"/>
    <w:rsid w:val="00C12542"/>
    <w:rsid w:val="00C21DAF"/>
    <w:rsid w:val="00C224FF"/>
    <w:rsid w:val="00C24725"/>
    <w:rsid w:val="00C24D08"/>
    <w:rsid w:val="00C30BA9"/>
    <w:rsid w:val="00C3541E"/>
    <w:rsid w:val="00C36A8F"/>
    <w:rsid w:val="00C42FFA"/>
    <w:rsid w:val="00C507D8"/>
    <w:rsid w:val="00C61179"/>
    <w:rsid w:val="00C62EAC"/>
    <w:rsid w:val="00C63010"/>
    <w:rsid w:val="00C63F9F"/>
    <w:rsid w:val="00C64DD6"/>
    <w:rsid w:val="00C7076B"/>
    <w:rsid w:val="00C7142F"/>
    <w:rsid w:val="00C71FF5"/>
    <w:rsid w:val="00C72FC6"/>
    <w:rsid w:val="00C76B17"/>
    <w:rsid w:val="00C7723C"/>
    <w:rsid w:val="00C838F5"/>
    <w:rsid w:val="00C90B35"/>
    <w:rsid w:val="00C94E42"/>
    <w:rsid w:val="00CA1AF4"/>
    <w:rsid w:val="00CA4DC9"/>
    <w:rsid w:val="00CA537D"/>
    <w:rsid w:val="00CA6068"/>
    <w:rsid w:val="00CB15E1"/>
    <w:rsid w:val="00CB2617"/>
    <w:rsid w:val="00CB29B6"/>
    <w:rsid w:val="00CB3D46"/>
    <w:rsid w:val="00CC08F8"/>
    <w:rsid w:val="00CC43FD"/>
    <w:rsid w:val="00CC7866"/>
    <w:rsid w:val="00CD1A87"/>
    <w:rsid w:val="00CD3056"/>
    <w:rsid w:val="00CD35F3"/>
    <w:rsid w:val="00CD5C93"/>
    <w:rsid w:val="00CD6873"/>
    <w:rsid w:val="00CE342B"/>
    <w:rsid w:val="00CE6E91"/>
    <w:rsid w:val="00CF320C"/>
    <w:rsid w:val="00CF3A4B"/>
    <w:rsid w:val="00CF4001"/>
    <w:rsid w:val="00CF5571"/>
    <w:rsid w:val="00D0131D"/>
    <w:rsid w:val="00D05837"/>
    <w:rsid w:val="00D06BF4"/>
    <w:rsid w:val="00D12D8A"/>
    <w:rsid w:val="00D138AF"/>
    <w:rsid w:val="00D13E0C"/>
    <w:rsid w:val="00D25249"/>
    <w:rsid w:val="00D25896"/>
    <w:rsid w:val="00D35620"/>
    <w:rsid w:val="00D373A1"/>
    <w:rsid w:val="00D37854"/>
    <w:rsid w:val="00D37C0F"/>
    <w:rsid w:val="00D45661"/>
    <w:rsid w:val="00D45943"/>
    <w:rsid w:val="00D47D22"/>
    <w:rsid w:val="00D51865"/>
    <w:rsid w:val="00D51D0C"/>
    <w:rsid w:val="00D61149"/>
    <w:rsid w:val="00D61F1C"/>
    <w:rsid w:val="00D64F4C"/>
    <w:rsid w:val="00D6571F"/>
    <w:rsid w:val="00D74140"/>
    <w:rsid w:val="00D919BA"/>
    <w:rsid w:val="00D92F18"/>
    <w:rsid w:val="00DA3585"/>
    <w:rsid w:val="00DA6E56"/>
    <w:rsid w:val="00DC25A6"/>
    <w:rsid w:val="00DC4680"/>
    <w:rsid w:val="00DC6705"/>
    <w:rsid w:val="00DC7215"/>
    <w:rsid w:val="00DD2DE8"/>
    <w:rsid w:val="00DD658A"/>
    <w:rsid w:val="00DD7E21"/>
    <w:rsid w:val="00DE1E5D"/>
    <w:rsid w:val="00DE38B4"/>
    <w:rsid w:val="00DE5D02"/>
    <w:rsid w:val="00DF0701"/>
    <w:rsid w:val="00DF6807"/>
    <w:rsid w:val="00E005A9"/>
    <w:rsid w:val="00E0377A"/>
    <w:rsid w:val="00E0475A"/>
    <w:rsid w:val="00E1166E"/>
    <w:rsid w:val="00E15DD8"/>
    <w:rsid w:val="00E2018F"/>
    <w:rsid w:val="00E24DC0"/>
    <w:rsid w:val="00E2519C"/>
    <w:rsid w:val="00E25F2A"/>
    <w:rsid w:val="00E32E80"/>
    <w:rsid w:val="00E35B1A"/>
    <w:rsid w:val="00E37900"/>
    <w:rsid w:val="00E41455"/>
    <w:rsid w:val="00E4281B"/>
    <w:rsid w:val="00E42AD2"/>
    <w:rsid w:val="00E50856"/>
    <w:rsid w:val="00E538CC"/>
    <w:rsid w:val="00E54DBA"/>
    <w:rsid w:val="00E63D7C"/>
    <w:rsid w:val="00E6405D"/>
    <w:rsid w:val="00E640D5"/>
    <w:rsid w:val="00E66E2E"/>
    <w:rsid w:val="00E6755C"/>
    <w:rsid w:val="00E67691"/>
    <w:rsid w:val="00E70A18"/>
    <w:rsid w:val="00E736C6"/>
    <w:rsid w:val="00E73AA8"/>
    <w:rsid w:val="00E8193E"/>
    <w:rsid w:val="00E83A00"/>
    <w:rsid w:val="00E83C5E"/>
    <w:rsid w:val="00E92237"/>
    <w:rsid w:val="00E92905"/>
    <w:rsid w:val="00E951EF"/>
    <w:rsid w:val="00EA3D54"/>
    <w:rsid w:val="00EA56D9"/>
    <w:rsid w:val="00EA5CE3"/>
    <w:rsid w:val="00EA7CBE"/>
    <w:rsid w:val="00EB20A0"/>
    <w:rsid w:val="00EB4F41"/>
    <w:rsid w:val="00EB51C1"/>
    <w:rsid w:val="00EB5AE1"/>
    <w:rsid w:val="00EB5E0B"/>
    <w:rsid w:val="00EC07BD"/>
    <w:rsid w:val="00EC2171"/>
    <w:rsid w:val="00ED442D"/>
    <w:rsid w:val="00ED70C2"/>
    <w:rsid w:val="00EE18FF"/>
    <w:rsid w:val="00EE489F"/>
    <w:rsid w:val="00EE6419"/>
    <w:rsid w:val="00EF0E4D"/>
    <w:rsid w:val="00EF137C"/>
    <w:rsid w:val="00EF3861"/>
    <w:rsid w:val="00F03E4B"/>
    <w:rsid w:val="00F05828"/>
    <w:rsid w:val="00F0647F"/>
    <w:rsid w:val="00F10CE3"/>
    <w:rsid w:val="00F14F3B"/>
    <w:rsid w:val="00F16362"/>
    <w:rsid w:val="00F207C7"/>
    <w:rsid w:val="00F24CE5"/>
    <w:rsid w:val="00F36B6D"/>
    <w:rsid w:val="00F43FA3"/>
    <w:rsid w:val="00F475E8"/>
    <w:rsid w:val="00F554C3"/>
    <w:rsid w:val="00F55648"/>
    <w:rsid w:val="00F67724"/>
    <w:rsid w:val="00F70046"/>
    <w:rsid w:val="00F72330"/>
    <w:rsid w:val="00F72D09"/>
    <w:rsid w:val="00F748C2"/>
    <w:rsid w:val="00F76C5C"/>
    <w:rsid w:val="00F81EF3"/>
    <w:rsid w:val="00F84496"/>
    <w:rsid w:val="00F85DCB"/>
    <w:rsid w:val="00F85FFE"/>
    <w:rsid w:val="00F86F9C"/>
    <w:rsid w:val="00F877CE"/>
    <w:rsid w:val="00F90D76"/>
    <w:rsid w:val="00F91DC6"/>
    <w:rsid w:val="00F9258B"/>
    <w:rsid w:val="00FB38E5"/>
    <w:rsid w:val="00FB4CAE"/>
    <w:rsid w:val="00FC002E"/>
    <w:rsid w:val="00FC2733"/>
    <w:rsid w:val="00FC3E3C"/>
    <w:rsid w:val="00FC4C23"/>
    <w:rsid w:val="00FC586D"/>
    <w:rsid w:val="00FC642E"/>
    <w:rsid w:val="00FE106B"/>
    <w:rsid w:val="00FE2AE4"/>
    <w:rsid w:val="00FE4A45"/>
    <w:rsid w:val="00FE689F"/>
    <w:rsid w:val="00FE7809"/>
    <w:rsid w:val="00FF408B"/>
    <w:rsid w:val="00FF6A41"/>
    <w:rsid w:val="00FF766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0353"/>
    <o:shapelayout v:ext="edit">
      <o:idmap v:ext="edit" data="1"/>
    </o:shapelayout>
  </w:shapeDefaults>
  <w:decimalSymbol w:val="."/>
  <w:listSeparator w:val=","/>
  <w14:docId w14:val="0EF036D6"/>
  <w15:docId w15:val="{90D67C9A-59D9-498E-98E5-DCB1DD6AD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aliases w:val="Bullet point,Bullets,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Default">
    <w:name w:val="Default"/>
    <w:rsid w:val="00FE4A45"/>
    <w:pPr>
      <w:autoSpaceDE w:val="0"/>
      <w:autoSpaceDN w:val="0"/>
      <w:adjustRightInd w:val="0"/>
      <w:spacing w:after="0" w:line="240" w:lineRule="auto"/>
    </w:pPr>
    <w:rPr>
      <w:rFonts w:ascii="Calibri" w:hAnsi="Calibri" w:cs="Calibri"/>
      <w:color w:val="000000"/>
      <w:sz w:val="24"/>
      <w:szCs w:val="24"/>
      <w:lang w:eastAsia="en-US"/>
    </w:rPr>
  </w:style>
  <w:style w:type="character" w:customStyle="1" w:styleId="ListParagraphChar">
    <w:name w:val="List Paragraph Char"/>
    <w:aliases w:val="Bullet point Char,Bullets Char,CV text Char,Dot pt Char,F5 List Paragraph Char,FooterText Char,L Char,List Paragraph1 Char,List Paragraph11 Char,List Paragraph111 Char,List Paragraph2 Char,Medium Grid 1 - Accent 21 Char,列 Char"/>
    <w:basedOn w:val="DefaultParagraphFont"/>
    <w:link w:val="ListParagraph"/>
    <w:uiPriority w:val="34"/>
    <w:qFormat/>
    <w:locked/>
    <w:rsid w:val="00FE4A45"/>
  </w:style>
  <w:style w:type="character" w:styleId="CommentReference">
    <w:name w:val="annotation reference"/>
    <w:basedOn w:val="DefaultParagraphFont"/>
    <w:uiPriority w:val="99"/>
    <w:semiHidden/>
    <w:unhideWhenUsed/>
    <w:rsid w:val="009F287E"/>
    <w:rPr>
      <w:sz w:val="16"/>
      <w:szCs w:val="16"/>
    </w:rPr>
  </w:style>
  <w:style w:type="paragraph" w:styleId="CommentText">
    <w:name w:val="annotation text"/>
    <w:basedOn w:val="Normal"/>
    <w:link w:val="CommentTextChar"/>
    <w:uiPriority w:val="99"/>
    <w:semiHidden/>
    <w:unhideWhenUsed/>
    <w:rsid w:val="009F287E"/>
    <w:pPr>
      <w:spacing w:line="240" w:lineRule="auto"/>
    </w:pPr>
    <w:rPr>
      <w:sz w:val="20"/>
      <w:szCs w:val="20"/>
    </w:rPr>
  </w:style>
  <w:style w:type="character" w:customStyle="1" w:styleId="CommentTextChar">
    <w:name w:val="Comment Text Char"/>
    <w:basedOn w:val="DefaultParagraphFont"/>
    <w:link w:val="CommentText"/>
    <w:uiPriority w:val="99"/>
    <w:semiHidden/>
    <w:rsid w:val="009F287E"/>
    <w:rPr>
      <w:sz w:val="20"/>
      <w:szCs w:val="20"/>
    </w:rPr>
  </w:style>
  <w:style w:type="paragraph" w:styleId="CommentSubject">
    <w:name w:val="annotation subject"/>
    <w:basedOn w:val="CommentText"/>
    <w:next w:val="CommentText"/>
    <w:link w:val="CommentSubjectChar"/>
    <w:uiPriority w:val="99"/>
    <w:semiHidden/>
    <w:unhideWhenUsed/>
    <w:rsid w:val="009F287E"/>
    <w:rPr>
      <w:b/>
      <w:bCs/>
    </w:rPr>
  </w:style>
  <w:style w:type="character" w:customStyle="1" w:styleId="CommentSubjectChar">
    <w:name w:val="Comment Subject Char"/>
    <w:basedOn w:val="CommentTextChar"/>
    <w:link w:val="CommentSubject"/>
    <w:uiPriority w:val="99"/>
    <w:semiHidden/>
    <w:rsid w:val="009F287E"/>
    <w:rPr>
      <w:b/>
      <w:bCs/>
      <w:sz w:val="20"/>
      <w:szCs w:val="20"/>
    </w:rPr>
  </w:style>
  <w:style w:type="character" w:styleId="FollowedHyperlink">
    <w:name w:val="FollowedHyperlink"/>
    <w:basedOn w:val="DefaultParagraphFont"/>
    <w:uiPriority w:val="99"/>
    <w:semiHidden/>
    <w:unhideWhenUsed/>
    <w:rsid w:val="008D43BC"/>
    <w:rPr>
      <w:color w:val="800080" w:themeColor="followedHyperlink"/>
      <w:u w:val="single"/>
    </w:rPr>
  </w:style>
  <w:style w:type="table" w:customStyle="1" w:styleId="TableGrid1">
    <w:name w:val="Table Grid1"/>
    <w:basedOn w:val="TableNormal"/>
    <w:next w:val="TableGrid"/>
    <w:uiPriority w:val="59"/>
    <w:rsid w:val="00DA3585"/>
    <w:pPr>
      <w:spacing w:before="120" w:after="12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rPr>
      <w:tblPr/>
      <w:tcPr>
        <w:shd w:val="clear" w:color="auto" w:fill="F2F2F2"/>
      </w:tcPr>
    </w:tblStylePr>
    <w:tblStylePr w:type="firstCol">
      <w:rPr>
        <w:b/>
      </w:rPr>
      <w:tblPr/>
      <w:tcPr>
        <w:shd w:val="clear" w:color="auto" w:fill="F2F2F2"/>
      </w:tcPr>
    </w:tblStylePr>
  </w:style>
  <w:style w:type="table" w:customStyle="1" w:styleId="TableGrid2">
    <w:name w:val="Table Grid2"/>
    <w:basedOn w:val="TableNormal"/>
    <w:next w:val="TableGrid"/>
    <w:uiPriority w:val="59"/>
    <w:rsid w:val="00DA3585"/>
    <w:pPr>
      <w:spacing w:before="120" w:after="12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rPr>
      <w:tblPr/>
      <w:tcPr>
        <w:shd w:val="clear" w:color="auto" w:fill="F2F2F2"/>
      </w:tcPr>
    </w:tblStylePr>
    <w:tblStylePr w:type="firstCol">
      <w:rPr>
        <w:b/>
      </w:rPr>
      <w:tblPr/>
      <w:tcPr>
        <w:shd w:val="clear" w:color="auto" w:fill="F2F2F2"/>
      </w:tcPr>
    </w:tblStylePr>
  </w:style>
  <w:style w:type="table" w:styleId="GridTable5Dark">
    <w:name w:val="Grid Table 5 Dark"/>
    <w:basedOn w:val="TableNormal"/>
    <w:uiPriority w:val="50"/>
    <w:rsid w:val="002001D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
    <w:name w:val="Grid Table 4"/>
    <w:basedOn w:val="TableNormal"/>
    <w:uiPriority w:val="49"/>
    <w:rsid w:val="002001D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3">
    <w:name w:val="Grid Table 3"/>
    <w:basedOn w:val="TableNormal"/>
    <w:uiPriority w:val="48"/>
    <w:rsid w:val="002001D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Revision">
    <w:name w:val="Revision"/>
    <w:hidden/>
    <w:uiPriority w:val="99"/>
    <w:semiHidden/>
    <w:rsid w:val="000950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18203522">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610354094">
      <w:bodyDiv w:val="1"/>
      <w:marLeft w:val="0"/>
      <w:marRight w:val="0"/>
      <w:marTop w:val="0"/>
      <w:marBottom w:val="0"/>
      <w:divBdr>
        <w:top w:val="none" w:sz="0" w:space="0" w:color="auto"/>
        <w:left w:val="none" w:sz="0" w:space="0" w:color="auto"/>
        <w:bottom w:val="none" w:sz="0" w:space="0" w:color="auto"/>
        <w:right w:val="none" w:sz="0" w:space="0" w:color="auto"/>
      </w:divBdr>
    </w:div>
    <w:div w:id="635069134">
      <w:bodyDiv w:val="1"/>
      <w:marLeft w:val="0"/>
      <w:marRight w:val="0"/>
      <w:marTop w:val="0"/>
      <w:marBottom w:val="0"/>
      <w:divBdr>
        <w:top w:val="none" w:sz="0" w:space="0" w:color="auto"/>
        <w:left w:val="none" w:sz="0" w:space="0" w:color="auto"/>
        <w:bottom w:val="none" w:sz="0" w:space="0" w:color="auto"/>
        <w:right w:val="none" w:sz="0" w:space="0" w:color="auto"/>
      </w:divBdr>
    </w:div>
    <w:div w:id="880703453">
      <w:bodyDiv w:val="1"/>
      <w:marLeft w:val="0"/>
      <w:marRight w:val="0"/>
      <w:marTop w:val="0"/>
      <w:marBottom w:val="0"/>
      <w:divBdr>
        <w:top w:val="none" w:sz="0" w:space="0" w:color="auto"/>
        <w:left w:val="none" w:sz="0" w:space="0" w:color="auto"/>
        <w:bottom w:val="none" w:sz="0" w:space="0" w:color="auto"/>
        <w:right w:val="none" w:sz="0" w:space="0" w:color="auto"/>
      </w:divBdr>
    </w:div>
    <w:div w:id="978262766">
      <w:bodyDiv w:val="1"/>
      <w:marLeft w:val="0"/>
      <w:marRight w:val="0"/>
      <w:marTop w:val="0"/>
      <w:marBottom w:val="0"/>
      <w:divBdr>
        <w:top w:val="none" w:sz="0" w:space="0" w:color="auto"/>
        <w:left w:val="none" w:sz="0" w:space="0" w:color="auto"/>
        <w:bottom w:val="none" w:sz="0" w:space="0" w:color="auto"/>
        <w:right w:val="none" w:sz="0" w:space="0" w:color="auto"/>
      </w:divBdr>
    </w:div>
    <w:div w:id="1238975802">
      <w:bodyDiv w:val="1"/>
      <w:marLeft w:val="0"/>
      <w:marRight w:val="0"/>
      <w:marTop w:val="0"/>
      <w:marBottom w:val="0"/>
      <w:divBdr>
        <w:top w:val="none" w:sz="0" w:space="0" w:color="auto"/>
        <w:left w:val="none" w:sz="0" w:space="0" w:color="auto"/>
        <w:bottom w:val="none" w:sz="0" w:space="0" w:color="auto"/>
        <w:right w:val="none" w:sz="0" w:space="0" w:color="auto"/>
      </w:divBdr>
    </w:div>
    <w:div w:id="1549874114">
      <w:bodyDiv w:val="1"/>
      <w:marLeft w:val="0"/>
      <w:marRight w:val="0"/>
      <w:marTop w:val="0"/>
      <w:marBottom w:val="0"/>
      <w:divBdr>
        <w:top w:val="none" w:sz="0" w:space="0" w:color="auto"/>
        <w:left w:val="none" w:sz="0" w:space="0" w:color="auto"/>
        <w:bottom w:val="none" w:sz="0" w:space="0" w:color="auto"/>
        <w:right w:val="none" w:sz="0" w:space="0" w:color="auto"/>
      </w:divBdr>
    </w:div>
    <w:div w:id="1638025401">
      <w:bodyDiv w:val="1"/>
      <w:marLeft w:val="0"/>
      <w:marRight w:val="0"/>
      <w:marTop w:val="0"/>
      <w:marBottom w:val="0"/>
      <w:divBdr>
        <w:top w:val="none" w:sz="0" w:space="0" w:color="auto"/>
        <w:left w:val="none" w:sz="0" w:space="0" w:color="auto"/>
        <w:bottom w:val="none" w:sz="0" w:space="0" w:color="auto"/>
        <w:right w:val="none" w:sz="0" w:space="0" w:color="auto"/>
      </w:divBdr>
    </w:div>
    <w:div w:id="1691955141">
      <w:bodyDiv w:val="1"/>
      <w:marLeft w:val="0"/>
      <w:marRight w:val="0"/>
      <w:marTop w:val="0"/>
      <w:marBottom w:val="0"/>
      <w:divBdr>
        <w:top w:val="none" w:sz="0" w:space="0" w:color="auto"/>
        <w:left w:val="none" w:sz="0" w:space="0" w:color="auto"/>
        <w:bottom w:val="none" w:sz="0" w:space="0" w:color="auto"/>
        <w:right w:val="none" w:sz="0" w:space="0" w:color="auto"/>
      </w:divBdr>
    </w:div>
    <w:div w:id="1726370805">
      <w:bodyDiv w:val="1"/>
      <w:marLeft w:val="0"/>
      <w:marRight w:val="0"/>
      <w:marTop w:val="0"/>
      <w:marBottom w:val="0"/>
      <w:divBdr>
        <w:top w:val="none" w:sz="0" w:space="0" w:color="auto"/>
        <w:left w:val="none" w:sz="0" w:space="0" w:color="auto"/>
        <w:bottom w:val="none" w:sz="0" w:space="0" w:color="auto"/>
        <w:right w:val="none" w:sz="0" w:space="0" w:color="auto"/>
      </w:divBdr>
    </w:div>
    <w:div w:id="1798638499">
      <w:bodyDiv w:val="1"/>
      <w:marLeft w:val="0"/>
      <w:marRight w:val="0"/>
      <w:marTop w:val="0"/>
      <w:marBottom w:val="0"/>
      <w:divBdr>
        <w:top w:val="none" w:sz="0" w:space="0" w:color="auto"/>
        <w:left w:val="none" w:sz="0" w:space="0" w:color="auto"/>
        <w:bottom w:val="none" w:sz="0" w:space="0" w:color="auto"/>
        <w:right w:val="none" w:sz="0" w:space="0" w:color="auto"/>
      </w:divBdr>
    </w:div>
    <w:div w:id="2093971422">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footer" Target="footer6.xml"/><Relationship Id="rId3" Type="http://schemas.openxmlformats.org/officeDocument/2006/relationships/numbering" Target="numbering.xml"/><Relationship Id="rId21" Type="http://schemas.openxmlformats.org/officeDocument/2006/relationships/image" Target="media/image11.png"/><Relationship Id="rId34" Type="http://schemas.openxmlformats.org/officeDocument/2006/relationships/hyperlink" Target="http://www.health.gov.au/cdna"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5.xml"/><Relationship Id="rId33" Type="http://schemas.openxmlformats.org/officeDocument/2006/relationships/hyperlink" Target="mailto:copyright@health.gov.au"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health.gov.au/cd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xml"/><Relationship Id="rId32" Type="http://schemas.openxmlformats.org/officeDocument/2006/relationships/hyperlink" Target="http://www.itsanhonour.gov.au/"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footer" Target="footer4.xml"/><Relationship Id="rId28" Type="http://schemas.openxmlformats.org/officeDocument/2006/relationships/hyperlink" Target="mailto:cdi.editor@health.gov.au" TargetMode="External"/><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9.png"/><Relationship Id="rId31" Type="http://schemas.openxmlformats.org/officeDocument/2006/relationships/hyperlink" Target="https://creativecommons.org/licenses/by-nc-nd/4.0/legalcode"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footer" Target="footer3.xml"/><Relationship Id="rId27" Type="http://schemas.openxmlformats.org/officeDocument/2006/relationships/hyperlink" Target="http://www.health.gov.au/cdi" TargetMode="External"/><Relationship Id="rId30" Type="http://schemas.openxmlformats.org/officeDocument/2006/relationships/hyperlink" Target="mailto:cdi.editor@health.gov.au" TargetMode="External"/><Relationship Id="rId35"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75A7AD0-380B-4D71-9AC1-49A9E5A2C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5876</Words>
  <Characters>34906</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Communicable Diseases Intelligence 2019 - COVID-19, Australia: Epidemiology Report 12: Reporting week ending 23:59 AEST 19 April 2020</vt:lpstr>
    </vt:vector>
  </TitlesOfParts>
  <Company>Australian Government, Department of Health</Company>
  <LinksUpToDate>false</LinksUpToDate>
  <CharactersWithSpaces>40701</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COVID-19, Australia: Epidemiology Report 12: Reporting week ending 23:59 AEST 19 April 2020</dc:title>
  <dc:subject>This is the twelfth epidemiological report for coronavirus disease 2019 (COVID-19), reported in Australia as at 23:59 Australian Eastern Standard Time [AEST] 19 April 2020. It includes data on COVID-19 cases diagnosed in Australia, the international situation and a review of current evidence.</dc:subject>
  <dc:creator>COVID-19 National Incident Room Surveillance Team</dc:creator>
  <cp:keywords>Keywords: SARS-CoV-2; novel coronavirus; 2019-nCoV; coronavirus disease 2019; COVID-19; acute respiratory disease; case definition; epidemiology; Australia</cp:keywords>
  <dc:description>© Commonwealth of Australia CC BY-NC-ND ISSN: 2209-6051 (Online)</dc:description>
  <cp:lastPrinted>2020-04-22T22:26:00Z</cp:lastPrinted>
  <dcterms:created xsi:type="dcterms:W3CDTF">2024-08-29T00:28:00Z</dcterms:created>
  <dcterms:modified xsi:type="dcterms:W3CDTF">2024-08-29T00:28:00Z</dcterms:modified>
  <cp:category>Weekly epidemiological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24/4/2020</vt:lpwstr>
  </property>
  <property fmtid="{D5CDD505-2E9C-101B-9397-08002B2CF9AE}" pid="5" name="DOI">
    <vt:lpwstr>https://doi.org/10.33321/cdi.2020.44.36</vt:lpwstr>
  </property>
</Properties>
</file>