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90C47" w14:textId="22A2C9EE" w:rsidR="00CF1E81" w:rsidRPr="00BF693D" w:rsidRDefault="00CF1E81" w:rsidP="00BF693D">
      <w:pPr>
        <w:pStyle w:val="Title"/>
      </w:pPr>
      <w:r w:rsidRPr="00BF693D">
        <w:t xml:space="preserve">COVID-19, Australia: Epidemiology Report 7: </w:t>
      </w:r>
    </w:p>
    <w:p w14:paraId="7068DF06" w14:textId="77777777" w:rsidR="00CF1E81" w:rsidRDefault="00CF1E81" w:rsidP="00CF1E81">
      <w:pPr>
        <w:pStyle w:val="Subtitle"/>
        <w:rPr>
          <w:rFonts w:eastAsia="Times New Roman"/>
        </w:rPr>
      </w:pPr>
      <w:r>
        <w:rPr>
          <w:rFonts w:eastAsia="Times New Roman"/>
        </w:rPr>
        <w:t xml:space="preserve">Reporting week ending 19:00 AEDT 14 March 2020 </w:t>
      </w:r>
    </w:p>
    <w:p w14:paraId="0240E437" w14:textId="77777777" w:rsidR="00CF1E81" w:rsidRDefault="00CF1E81" w:rsidP="00BF693D">
      <w:r>
        <w:t xml:space="preserve">COVID-19 National Incident Room Surveillance Team </w:t>
      </w:r>
    </w:p>
    <w:p w14:paraId="0E7FCF5A" w14:textId="77777777" w:rsidR="00CF1E81" w:rsidRPr="00CF1E81" w:rsidRDefault="00CF1E81" w:rsidP="00CF1E81">
      <w:pPr>
        <w:pStyle w:val="Heading1"/>
      </w:pPr>
      <w:r w:rsidRPr="00CF1E81">
        <w:t xml:space="preserve">Summary </w:t>
      </w:r>
    </w:p>
    <w:p w14:paraId="58425A1B" w14:textId="77777777" w:rsidR="00CF1E81" w:rsidRDefault="00CF1E81" w:rsidP="00CF1E81">
      <w:r>
        <w:t xml:space="preserve">This is the seventh epidemiological report for coronavirus disease 2019 (COVID-19), reported in Australia as at 19:00 Australian Eastern Daylight Time [AEDT] 14 March 2020. It includes data on COVID-19 cases diagnosed in Australia, the international situation and a review of current evidence. </w:t>
      </w:r>
    </w:p>
    <w:p w14:paraId="0487A750" w14:textId="77777777" w:rsidR="00CF1E81" w:rsidRDefault="00CF1E81" w:rsidP="00CF1E81">
      <w:r>
        <w:t xml:space="preserve">Keywords: SARS-CoV-2; novel coronavirus; 2019-nCoV; coronavirus disease 2019; COVID-19; acute respiratory disease; case definition; epidemiology; Australia </w:t>
      </w:r>
    </w:p>
    <w:p w14:paraId="632A51F2" w14:textId="09E6854A" w:rsidR="00CF1E81" w:rsidRDefault="00CF1E81" w:rsidP="00CF1E81">
      <w:r w:rsidRPr="005F5170">
        <w:rPr>
          <w:rStyle w:val="Emphasis"/>
          <w:b w:val="0"/>
        </w:rPr>
        <w:t>The following epidemiological data are subject to change both domestically and internationally due to the rapidly evolving situation. Australian cases are still under active investigation. While every effort has been made to standardise the investigation of cases nationally, there may be some differences between</w:t>
      </w:r>
      <w:r w:rsidR="00C7689B">
        <w:rPr>
          <w:rStyle w:val="Emphasis"/>
          <w:b w:val="0"/>
        </w:rPr>
        <w:t> </w:t>
      </w:r>
      <w:r w:rsidRPr="005F5170">
        <w:rPr>
          <w:rStyle w:val="Emphasis"/>
          <w:b w:val="0"/>
        </w:rPr>
        <w:t xml:space="preserve">jurisdictions. </w:t>
      </w:r>
    </w:p>
    <w:p w14:paraId="69969F5B" w14:textId="77777777" w:rsidR="00CF1E81" w:rsidRDefault="003D6339" w:rsidP="003D6339">
      <w:pPr>
        <w:pStyle w:val="NormalWeb"/>
        <w:rPr>
          <w:rFonts w:eastAsia="Times New Roman"/>
        </w:rPr>
      </w:pPr>
      <w:r w:rsidRPr="003D6339">
        <w:rPr>
          <w:rStyle w:val="Strong"/>
          <w:noProof/>
        </w:rPr>
        <mc:AlternateContent>
          <mc:Choice Requires="wps">
            <w:drawing>
              <wp:inline distT="0" distB="0" distL="0" distR="0" wp14:anchorId="5FBAAF1D" wp14:editId="1ABFCCA0">
                <wp:extent cx="6629400" cy="4738977"/>
                <wp:effectExtent l="0" t="0" r="19050" b="24130"/>
                <wp:docPr id="217" name="Text Box 2" descr="Text box summarises notifications of COVID-19 in Australia and reports of international cases.&#10;In Australia, there have been 295 notifications of COVID-19 infection, including three deaths. Of the 253 cases with a reported place of acquisition, about two-thirds have a recent overseas travel history, most frequently involving direct links to the USA, Italy, the Islamic Republic of Iran, the UK, mainland China, or the ‘Diamond Princess’ cruise ship. Of the three deaths notified in Australia, one was associated with the ‘Diamond Princess’ cruise ship and two were part of the same aged care facility cluster.&#10;Internationally, case numbers are increasing rapidly with 142,539 infections confirmed globally. The majority of cases (57%) were reported in mainland China with 81,021 confirmed infections and 3,194 deaths. Outside of mainland China, 61,518 cases have been reported by 134 countries, territories and areas, with approximately 60% of those cases reported from three countries: Italy, the Islamic Republic of Iran, and Republic of Korea. Outside of mainland China, 2,199 deaths were reported by 35 countries, territories and areas outside mainland China. The number of daily new cases reported in mainland China have continued to decrease as cases in other countries, territories and areas increas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738977"/>
                        </a:xfrm>
                        <a:prstGeom prst="rect">
                          <a:avLst/>
                        </a:prstGeom>
                        <a:solidFill>
                          <a:schemeClr val="bg1">
                            <a:lumMod val="95000"/>
                          </a:schemeClr>
                        </a:solidFill>
                        <a:ln w="3175">
                          <a:solidFill>
                            <a:srgbClr val="000000"/>
                          </a:solidFill>
                          <a:miter lim="800000"/>
                          <a:headEnd/>
                          <a:tailEnd/>
                        </a:ln>
                      </wps:spPr>
                      <wps:txbx>
                        <w:txbxContent>
                          <w:p w14:paraId="2E9BEF8F" w14:textId="77777777" w:rsidR="002617E1" w:rsidRPr="003D6339" w:rsidRDefault="002617E1" w:rsidP="003D6339">
                            <w:pPr>
                              <w:pStyle w:val="NormalWeb"/>
                              <w:rPr>
                                <w:sz w:val="18"/>
                                <w:szCs w:val="18"/>
                              </w:rPr>
                            </w:pPr>
                            <w:r w:rsidRPr="003D6339">
                              <w:rPr>
                                <w:rStyle w:val="Strong"/>
                                <w:sz w:val="18"/>
                                <w:szCs w:val="18"/>
                              </w:rPr>
                              <w:t xml:space="preserve">In Australia: </w:t>
                            </w:r>
                          </w:p>
                          <w:p w14:paraId="2F41FE8B" w14:textId="77777777" w:rsidR="002617E1" w:rsidRPr="003D6339" w:rsidRDefault="002617E1" w:rsidP="003D6339">
                            <w:pPr>
                              <w:numPr>
                                <w:ilvl w:val="0"/>
                                <w:numId w:val="7"/>
                              </w:numPr>
                              <w:spacing w:before="100" w:beforeAutospacing="1" w:after="100" w:afterAutospacing="1" w:line="240" w:lineRule="auto"/>
                              <w:rPr>
                                <w:rFonts w:eastAsia="Times New Roman"/>
                                <w:sz w:val="18"/>
                                <w:szCs w:val="18"/>
                              </w:rPr>
                            </w:pPr>
                            <w:r w:rsidRPr="003D6339">
                              <w:rPr>
                                <w:rFonts w:eastAsia="Times New Roman"/>
                                <w:sz w:val="18"/>
                                <w:szCs w:val="18"/>
                              </w:rPr>
                              <w:t xml:space="preserve">295 COVID-19 cases, including three deaths, were notified up until 19:00 AEDT 14 March 2020; </w:t>
                            </w:r>
                          </w:p>
                          <w:p w14:paraId="11CED9D0" w14:textId="7A4B7046" w:rsidR="002617E1" w:rsidRPr="003D6339" w:rsidRDefault="002617E1" w:rsidP="003D6339">
                            <w:pPr>
                              <w:numPr>
                                <w:ilvl w:val="1"/>
                                <w:numId w:val="7"/>
                              </w:numPr>
                              <w:spacing w:before="100" w:beforeAutospacing="1" w:after="100" w:afterAutospacing="1" w:line="240" w:lineRule="auto"/>
                              <w:rPr>
                                <w:rFonts w:eastAsia="Times New Roman"/>
                                <w:sz w:val="18"/>
                                <w:szCs w:val="18"/>
                              </w:rPr>
                            </w:pPr>
                            <w:r w:rsidRPr="003D6339">
                              <w:rPr>
                                <w:rFonts w:eastAsia="Times New Roman"/>
                                <w:sz w:val="18"/>
                                <w:szCs w:val="18"/>
                              </w:rPr>
                              <w:t>In the National Notifiable Diseases Surveillance System (NNDSS), 86% (n = 253) of all cases have a reported place of acquisition and 14% (n = 42) remain under investigation</w:t>
                            </w:r>
                            <w:r>
                              <w:rPr>
                                <w:rFonts w:eastAsia="Times New Roman"/>
                                <w:sz w:val="18"/>
                                <w:szCs w:val="18"/>
                              </w:rPr>
                              <w:t>;</w:t>
                            </w:r>
                            <w:r w:rsidRPr="003D6339">
                              <w:rPr>
                                <w:rFonts w:eastAsia="Times New Roman"/>
                                <w:sz w:val="18"/>
                                <w:szCs w:val="18"/>
                              </w:rPr>
                              <w:t xml:space="preserve"> </w:t>
                            </w:r>
                          </w:p>
                          <w:p w14:paraId="4786C6B2" w14:textId="3B1F3054" w:rsidR="002617E1" w:rsidRPr="003D6339" w:rsidRDefault="002617E1" w:rsidP="003D6339">
                            <w:pPr>
                              <w:numPr>
                                <w:ilvl w:val="1"/>
                                <w:numId w:val="7"/>
                              </w:numPr>
                              <w:spacing w:before="100" w:beforeAutospacing="1" w:after="100" w:afterAutospacing="1" w:line="240" w:lineRule="auto"/>
                              <w:rPr>
                                <w:rFonts w:eastAsia="Times New Roman"/>
                                <w:sz w:val="18"/>
                                <w:szCs w:val="18"/>
                              </w:rPr>
                            </w:pPr>
                            <w:r w:rsidRPr="003D6339">
                              <w:rPr>
                                <w:rFonts w:eastAsia="Times New Roman"/>
                                <w:sz w:val="18"/>
                                <w:szCs w:val="18"/>
                              </w:rPr>
                              <w:t xml:space="preserve">Of reported places of acquisition, 66% (n = 166) had a recent </w:t>
                            </w:r>
                            <w:r>
                              <w:rPr>
                                <w:rFonts w:eastAsia="Times New Roman"/>
                                <w:sz w:val="18"/>
                                <w:szCs w:val="18"/>
                              </w:rPr>
                              <w:t xml:space="preserve">overseas </w:t>
                            </w:r>
                            <w:r w:rsidRPr="003D6339">
                              <w:rPr>
                                <w:rFonts w:eastAsia="Times New Roman"/>
                                <w:sz w:val="18"/>
                                <w:szCs w:val="18"/>
                              </w:rPr>
                              <w:t>travel history and 34% (n = 87) were locally acquired. 14% (n = 42) are pending investigation</w:t>
                            </w:r>
                            <w:r>
                              <w:rPr>
                                <w:rFonts w:eastAsia="Times New Roman"/>
                                <w:sz w:val="18"/>
                                <w:szCs w:val="18"/>
                              </w:rPr>
                              <w:t>;</w:t>
                            </w:r>
                            <w:r w:rsidRPr="003D6339">
                              <w:rPr>
                                <w:rFonts w:eastAsia="Times New Roman"/>
                                <w:sz w:val="18"/>
                                <w:szCs w:val="18"/>
                              </w:rPr>
                              <w:t xml:space="preserve"> </w:t>
                            </w:r>
                          </w:p>
                          <w:p w14:paraId="1881751B" w14:textId="77777777" w:rsidR="002617E1" w:rsidRPr="003D6339" w:rsidRDefault="002617E1" w:rsidP="003D6339">
                            <w:pPr>
                              <w:numPr>
                                <w:ilvl w:val="1"/>
                                <w:numId w:val="7"/>
                              </w:numPr>
                              <w:spacing w:before="100" w:beforeAutospacing="1" w:after="100" w:afterAutospacing="1" w:line="240" w:lineRule="auto"/>
                              <w:rPr>
                                <w:rFonts w:eastAsia="Times New Roman"/>
                                <w:sz w:val="18"/>
                                <w:szCs w:val="18"/>
                              </w:rPr>
                            </w:pPr>
                            <w:r w:rsidRPr="003D6339">
                              <w:rPr>
                                <w:rFonts w:eastAsia="Times New Roman"/>
                                <w:sz w:val="18"/>
                                <w:szCs w:val="18"/>
                              </w:rPr>
                              <w:t xml:space="preserve">Of reported recent </w:t>
                            </w:r>
                            <w:r>
                              <w:rPr>
                                <w:rFonts w:eastAsia="Times New Roman"/>
                                <w:sz w:val="18"/>
                                <w:szCs w:val="18"/>
                              </w:rPr>
                              <w:t xml:space="preserve">overseas </w:t>
                            </w:r>
                            <w:r w:rsidRPr="003D6339">
                              <w:rPr>
                                <w:rFonts w:eastAsia="Times New Roman"/>
                                <w:sz w:val="18"/>
                                <w:szCs w:val="18"/>
                              </w:rPr>
                              <w:t xml:space="preserve">travel history: </w:t>
                            </w:r>
                          </w:p>
                          <w:p w14:paraId="39764980" w14:textId="77777777" w:rsidR="002617E1" w:rsidRPr="003D6339" w:rsidRDefault="002617E1" w:rsidP="00032AF5">
                            <w:pPr>
                              <w:numPr>
                                <w:ilvl w:val="2"/>
                                <w:numId w:val="7"/>
                              </w:numPr>
                              <w:spacing w:before="100" w:beforeAutospacing="1" w:after="100" w:afterAutospacing="1" w:line="240" w:lineRule="auto"/>
                              <w:rPr>
                                <w:rFonts w:eastAsia="Times New Roman"/>
                                <w:sz w:val="18"/>
                                <w:szCs w:val="18"/>
                              </w:rPr>
                            </w:pPr>
                            <w:r w:rsidRPr="003D6339">
                              <w:rPr>
                                <w:rFonts w:eastAsia="Times New Roman"/>
                                <w:sz w:val="18"/>
                                <w:szCs w:val="18"/>
                              </w:rPr>
                              <w:t xml:space="preserve">22% (n = 36) have a direct link to USA; </w:t>
                            </w:r>
                          </w:p>
                          <w:p w14:paraId="09EE924A" w14:textId="77777777" w:rsidR="002617E1" w:rsidRPr="003D6339" w:rsidRDefault="002617E1" w:rsidP="00032AF5">
                            <w:pPr>
                              <w:numPr>
                                <w:ilvl w:val="2"/>
                                <w:numId w:val="7"/>
                              </w:numPr>
                              <w:spacing w:before="100" w:beforeAutospacing="1" w:after="100" w:afterAutospacing="1" w:line="240" w:lineRule="auto"/>
                              <w:rPr>
                                <w:rFonts w:eastAsia="Times New Roman"/>
                                <w:sz w:val="18"/>
                                <w:szCs w:val="18"/>
                              </w:rPr>
                            </w:pPr>
                            <w:r w:rsidRPr="003D6339">
                              <w:rPr>
                                <w:rFonts w:eastAsia="Times New Roman"/>
                                <w:sz w:val="18"/>
                                <w:szCs w:val="18"/>
                              </w:rPr>
                              <w:t xml:space="preserve">11% (n = 18) have a direct link to Italy; </w:t>
                            </w:r>
                          </w:p>
                          <w:p w14:paraId="206ECBBE" w14:textId="77777777" w:rsidR="002617E1" w:rsidRPr="003D6339" w:rsidRDefault="002617E1" w:rsidP="00032AF5">
                            <w:pPr>
                              <w:numPr>
                                <w:ilvl w:val="2"/>
                                <w:numId w:val="7"/>
                              </w:numPr>
                              <w:spacing w:before="100" w:beforeAutospacing="1" w:after="100" w:afterAutospacing="1" w:line="240" w:lineRule="auto"/>
                              <w:rPr>
                                <w:rFonts w:eastAsia="Times New Roman"/>
                                <w:sz w:val="18"/>
                                <w:szCs w:val="18"/>
                              </w:rPr>
                            </w:pPr>
                            <w:r w:rsidRPr="003D6339">
                              <w:rPr>
                                <w:rFonts w:eastAsia="Times New Roman"/>
                                <w:sz w:val="18"/>
                                <w:szCs w:val="18"/>
                              </w:rPr>
                              <w:t xml:space="preserve">9% (n = 15) have a direct link to Iran; </w:t>
                            </w:r>
                          </w:p>
                          <w:p w14:paraId="558B0DF7" w14:textId="77777777" w:rsidR="002617E1" w:rsidRPr="003D6339" w:rsidRDefault="002617E1" w:rsidP="00032AF5">
                            <w:pPr>
                              <w:numPr>
                                <w:ilvl w:val="2"/>
                                <w:numId w:val="7"/>
                              </w:numPr>
                              <w:spacing w:before="100" w:beforeAutospacing="1" w:after="100" w:afterAutospacing="1" w:line="240" w:lineRule="auto"/>
                              <w:rPr>
                                <w:rFonts w:eastAsia="Times New Roman"/>
                                <w:sz w:val="18"/>
                                <w:szCs w:val="18"/>
                              </w:rPr>
                            </w:pPr>
                            <w:r w:rsidRPr="003D6339">
                              <w:rPr>
                                <w:rFonts w:eastAsia="Times New Roman"/>
                                <w:sz w:val="18"/>
                                <w:szCs w:val="18"/>
                              </w:rPr>
                              <w:t xml:space="preserve">8% (n = 13) have a direct link to the UK; </w:t>
                            </w:r>
                          </w:p>
                          <w:p w14:paraId="52A3A3AE" w14:textId="77777777" w:rsidR="002617E1" w:rsidRPr="003D6339" w:rsidRDefault="002617E1" w:rsidP="00032AF5">
                            <w:pPr>
                              <w:numPr>
                                <w:ilvl w:val="2"/>
                                <w:numId w:val="7"/>
                              </w:numPr>
                              <w:spacing w:before="100" w:beforeAutospacing="1" w:after="100" w:afterAutospacing="1" w:line="240" w:lineRule="auto"/>
                              <w:rPr>
                                <w:rFonts w:eastAsia="Times New Roman"/>
                                <w:sz w:val="18"/>
                                <w:szCs w:val="18"/>
                              </w:rPr>
                            </w:pPr>
                            <w:r w:rsidRPr="003D6339">
                              <w:rPr>
                                <w:rFonts w:eastAsia="Times New Roman"/>
                                <w:sz w:val="18"/>
                                <w:szCs w:val="18"/>
                              </w:rPr>
                              <w:t xml:space="preserve">8% (n = 13) have a direct to China; </w:t>
                            </w:r>
                          </w:p>
                          <w:p w14:paraId="6ACB3A14" w14:textId="368DECF2" w:rsidR="002617E1" w:rsidRPr="003D6339" w:rsidRDefault="002617E1" w:rsidP="00032AF5">
                            <w:pPr>
                              <w:numPr>
                                <w:ilvl w:val="2"/>
                                <w:numId w:val="7"/>
                              </w:numPr>
                              <w:spacing w:before="100" w:beforeAutospacing="1" w:after="100" w:afterAutospacing="1" w:line="240" w:lineRule="auto"/>
                              <w:rPr>
                                <w:rFonts w:eastAsia="Times New Roman"/>
                                <w:sz w:val="18"/>
                                <w:szCs w:val="18"/>
                              </w:rPr>
                            </w:pPr>
                            <w:r w:rsidRPr="003D6339">
                              <w:rPr>
                                <w:rFonts w:eastAsia="Times New Roman"/>
                                <w:sz w:val="18"/>
                                <w:szCs w:val="18"/>
                              </w:rPr>
                              <w:t xml:space="preserve">6% (n = 10) </w:t>
                            </w:r>
                            <w:r>
                              <w:rPr>
                                <w:rFonts w:eastAsia="Times New Roman"/>
                                <w:sz w:val="18"/>
                                <w:szCs w:val="18"/>
                              </w:rPr>
                              <w:t>are</w:t>
                            </w:r>
                            <w:r w:rsidRPr="003D6339">
                              <w:rPr>
                                <w:rFonts w:eastAsia="Times New Roman"/>
                                <w:sz w:val="18"/>
                                <w:szCs w:val="18"/>
                              </w:rPr>
                              <w:t xml:space="preserve"> associated with the ‘Diamond Princess’ cruise ship passengers repatriated from Japan; </w:t>
                            </w:r>
                          </w:p>
                          <w:p w14:paraId="117FF260" w14:textId="77777777" w:rsidR="002617E1" w:rsidRPr="003D6339" w:rsidRDefault="002617E1" w:rsidP="00032AF5">
                            <w:pPr>
                              <w:numPr>
                                <w:ilvl w:val="2"/>
                                <w:numId w:val="7"/>
                              </w:numPr>
                              <w:spacing w:before="100" w:beforeAutospacing="1" w:after="100" w:afterAutospacing="1" w:line="240" w:lineRule="auto"/>
                              <w:rPr>
                                <w:rFonts w:eastAsia="Times New Roman"/>
                                <w:sz w:val="18"/>
                                <w:szCs w:val="18"/>
                              </w:rPr>
                            </w:pPr>
                            <w:r w:rsidRPr="003D6339">
                              <w:rPr>
                                <w:rFonts w:eastAsia="Times New Roman"/>
                                <w:sz w:val="18"/>
                                <w:szCs w:val="18"/>
                              </w:rPr>
                              <w:t xml:space="preserve">37% (n = 61) have a recent travel history to other countries; </w:t>
                            </w:r>
                          </w:p>
                          <w:p w14:paraId="74820FEF" w14:textId="77777777" w:rsidR="002617E1" w:rsidRPr="003D6339" w:rsidRDefault="002617E1" w:rsidP="003D6339">
                            <w:pPr>
                              <w:numPr>
                                <w:ilvl w:val="0"/>
                                <w:numId w:val="7"/>
                              </w:numPr>
                              <w:spacing w:before="100" w:beforeAutospacing="1" w:after="100" w:afterAutospacing="1" w:line="240" w:lineRule="auto"/>
                              <w:rPr>
                                <w:rFonts w:eastAsia="Times New Roman"/>
                                <w:sz w:val="18"/>
                                <w:szCs w:val="18"/>
                              </w:rPr>
                            </w:pPr>
                            <w:r w:rsidRPr="003D6339">
                              <w:rPr>
                                <w:rFonts w:eastAsia="Times New Roman"/>
                                <w:sz w:val="18"/>
                                <w:szCs w:val="18"/>
                              </w:rPr>
                              <w:t xml:space="preserve">Of the three reported deaths, one was associated with the ‘Diamond Princess’ cruise ship, and two were part of the same aged care facility cluster; and </w:t>
                            </w:r>
                          </w:p>
                          <w:p w14:paraId="3CAA3378" w14:textId="77777777" w:rsidR="002617E1" w:rsidRPr="003D6339" w:rsidRDefault="002617E1" w:rsidP="003D6339">
                            <w:pPr>
                              <w:numPr>
                                <w:ilvl w:val="0"/>
                                <w:numId w:val="7"/>
                              </w:numPr>
                              <w:spacing w:before="100" w:beforeAutospacing="1" w:after="100" w:afterAutospacing="1" w:line="240" w:lineRule="auto"/>
                              <w:rPr>
                                <w:rFonts w:eastAsia="Times New Roman"/>
                                <w:sz w:val="18"/>
                                <w:szCs w:val="18"/>
                              </w:rPr>
                            </w:pPr>
                            <w:r w:rsidRPr="003D6339">
                              <w:rPr>
                                <w:rFonts w:eastAsia="Times New Roman"/>
                                <w:sz w:val="18"/>
                                <w:szCs w:val="18"/>
                              </w:rPr>
                              <w:t xml:space="preserve">Since the last report, AHPPC have provided further recommendations on public events, travel restrictions, work restrictions for health and aged care workers, and public gatherings and testing. </w:t>
                            </w:r>
                          </w:p>
                          <w:p w14:paraId="68854EF2" w14:textId="77777777" w:rsidR="002617E1" w:rsidRPr="003D6339" w:rsidRDefault="002617E1" w:rsidP="003D6339">
                            <w:pPr>
                              <w:pStyle w:val="NormalWeb"/>
                              <w:rPr>
                                <w:sz w:val="18"/>
                                <w:szCs w:val="18"/>
                              </w:rPr>
                            </w:pPr>
                            <w:r w:rsidRPr="003D6339">
                              <w:rPr>
                                <w:rStyle w:val="Strong"/>
                                <w:sz w:val="18"/>
                                <w:szCs w:val="18"/>
                              </w:rPr>
                              <w:t xml:space="preserve">Internationally: </w:t>
                            </w:r>
                          </w:p>
                          <w:p w14:paraId="5D327746" w14:textId="77777777" w:rsidR="002617E1" w:rsidRPr="003D6339" w:rsidRDefault="002617E1" w:rsidP="003D6339">
                            <w:pPr>
                              <w:numPr>
                                <w:ilvl w:val="0"/>
                                <w:numId w:val="8"/>
                              </w:numPr>
                              <w:spacing w:before="100" w:beforeAutospacing="1" w:after="100" w:afterAutospacing="1" w:line="240" w:lineRule="auto"/>
                              <w:rPr>
                                <w:rFonts w:eastAsia="Times New Roman"/>
                                <w:sz w:val="18"/>
                                <w:szCs w:val="18"/>
                              </w:rPr>
                            </w:pPr>
                            <w:r w:rsidRPr="003D6339">
                              <w:rPr>
                                <w:rFonts w:eastAsia="Times New Roman"/>
                                <w:sz w:val="18"/>
                                <w:szCs w:val="18"/>
                              </w:rPr>
                              <w:t xml:space="preserve">142,539 infections have been confirmed globally, with 5,393 deaths; </w:t>
                            </w:r>
                          </w:p>
                          <w:p w14:paraId="74169EB4" w14:textId="77777777" w:rsidR="002617E1" w:rsidRPr="003D6339" w:rsidRDefault="002617E1" w:rsidP="003D6339">
                            <w:pPr>
                              <w:numPr>
                                <w:ilvl w:val="0"/>
                                <w:numId w:val="8"/>
                              </w:numPr>
                              <w:spacing w:before="100" w:beforeAutospacing="1" w:after="100" w:afterAutospacing="1" w:line="240" w:lineRule="auto"/>
                              <w:rPr>
                                <w:rFonts w:eastAsia="Times New Roman"/>
                                <w:sz w:val="18"/>
                                <w:szCs w:val="18"/>
                              </w:rPr>
                            </w:pPr>
                            <w:r w:rsidRPr="003D6339">
                              <w:rPr>
                                <w:rFonts w:eastAsia="Times New Roman"/>
                                <w:sz w:val="18"/>
                                <w:szCs w:val="18"/>
                              </w:rPr>
                              <w:t xml:space="preserve">The majority of confirmed infections (57%; n = 81,021) and deaths (59%; n = 3,194) have been reported in mainland China; </w:t>
                            </w:r>
                          </w:p>
                          <w:p w14:paraId="22D35D46" w14:textId="77777777" w:rsidR="002617E1" w:rsidRPr="003D6339" w:rsidRDefault="002617E1" w:rsidP="003D6339">
                            <w:pPr>
                              <w:numPr>
                                <w:ilvl w:val="0"/>
                                <w:numId w:val="8"/>
                              </w:numPr>
                              <w:spacing w:before="100" w:beforeAutospacing="1" w:after="100" w:afterAutospacing="1" w:line="240" w:lineRule="auto"/>
                              <w:rPr>
                                <w:rFonts w:eastAsia="Times New Roman"/>
                                <w:sz w:val="18"/>
                                <w:szCs w:val="18"/>
                              </w:rPr>
                            </w:pPr>
                            <w:r w:rsidRPr="003D6339">
                              <w:rPr>
                                <w:rFonts w:eastAsia="Times New Roman"/>
                                <w:sz w:val="18"/>
                                <w:szCs w:val="18"/>
                              </w:rPr>
                              <w:t xml:space="preserve">Outside of mainland China, cases (n = 61,518) have been reported in 134 countries, territories and areas, with approximately 60% of those cases reported from three countries: Italy, the Islamic Republic of Iran and Republic of Korea; </w:t>
                            </w:r>
                          </w:p>
                          <w:p w14:paraId="21ADFFE7" w14:textId="77777777" w:rsidR="002617E1" w:rsidRPr="003D6339" w:rsidRDefault="002617E1" w:rsidP="003D6339">
                            <w:pPr>
                              <w:numPr>
                                <w:ilvl w:val="0"/>
                                <w:numId w:val="8"/>
                              </w:numPr>
                              <w:spacing w:before="100" w:beforeAutospacing="1" w:after="100" w:afterAutospacing="1" w:line="240" w:lineRule="auto"/>
                              <w:rPr>
                                <w:rFonts w:eastAsia="Times New Roman"/>
                                <w:sz w:val="18"/>
                                <w:szCs w:val="18"/>
                              </w:rPr>
                            </w:pPr>
                            <w:r w:rsidRPr="003D6339">
                              <w:rPr>
                                <w:rFonts w:eastAsia="Times New Roman"/>
                                <w:sz w:val="18"/>
                                <w:szCs w:val="18"/>
                              </w:rPr>
                              <w:t xml:space="preserve">Outside of mainland China, 2,199 deaths were reported by 35 countries, territories and areas; and </w:t>
                            </w:r>
                          </w:p>
                          <w:p w14:paraId="2B3F009C" w14:textId="7DC7BF00" w:rsidR="002617E1" w:rsidRPr="003D6339" w:rsidRDefault="002617E1" w:rsidP="003D6339">
                            <w:pPr>
                              <w:numPr>
                                <w:ilvl w:val="0"/>
                                <w:numId w:val="8"/>
                              </w:numPr>
                              <w:spacing w:before="100" w:beforeAutospacing="1" w:after="100" w:afterAutospacing="1" w:line="240" w:lineRule="auto"/>
                              <w:rPr>
                                <w:rFonts w:eastAsia="Times New Roman"/>
                                <w:sz w:val="18"/>
                                <w:szCs w:val="18"/>
                              </w:rPr>
                            </w:pPr>
                            <w:r w:rsidRPr="003D6339">
                              <w:rPr>
                                <w:rFonts w:eastAsia="Times New Roman"/>
                                <w:sz w:val="18"/>
                                <w:szCs w:val="18"/>
                              </w:rPr>
                              <w:t>The number of daily new cases reported in mainland China ha</w:t>
                            </w:r>
                            <w:r>
                              <w:rPr>
                                <w:rFonts w:eastAsia="Times New Roman"/>
                                <w:sz w:val="18"/>
                                <w:szCs w:val="18"/>
                              </w:rPr>
                              <w:t>s</w:t>
                            </w:r>
                            <w:r w:rsidRPr="003D6339">
                              <w:rPr>
                                <w:rFonts w:eastAsia="Times New Roman"/>
                                <w:sz w:val="18"/>
                                <w:szCs w:val="18"/>
                              </w:rPr>
                              <w:t xml:space="preserve"> continued to decrease as cases increase in other countries, territories and areas globally.</w:t>
                            </w:r>
                          </w:p>
                        </w:txbxContent>
                      </wps:txbx>
                      <wps:bodyPr rot="0" vert="horz" wrap="square" lIns="91440" tIns="45720" rIns="91440" bIns="45720" anchor="t" anchorCtr="0">
                        <a:noAutofit/>
                      </wps:bodyPr>
                    </wps:wsp>
                  </a:graphicData>
                </a:graphic>
              </wp:inline>
            </w:drawing>
          </mc:Choice>
          <mc:Fallback>
            <w:pict>
              <v:shapetype w14:anchorId="5FBAAF1D" id="_x0000_t202" coordsize="21600,21600" o:spt="202" path="m,l,21600r21600,l21600,xe">
                <v:stroke joinstyle="miter"/>
                <v:path gradientshapeok="t" o:connecttype="rect"/>
              </v:shapetype>
              <v:shape id="Text Box 2" o:spid="_x0000_s1026" type="#_x0000_t202" alt="Text box summarises notifications of COVID-19 in Australia and reports of international cases.&#10;In Australia, there have been 295 notifications of COVID-19 infection, including three deaths. Of the 253 cases with a reported place of acquisition, about two-thirds have a recent overseas travel history, most frequently involving direct links to the USA, Italy, the Islamic Republic of Iran, the UK, mainland China, or the ‘Diamond Princess’ cruise ship. Of the three deaths notified in Australia, one was associated with the ‘Diamond Princess’ cruise ship and two were part of the same aged care facility cluster.&#10;Internationally, case numbers are increasing rapidly with 142,539 infections confirmed globally. The majority of cases (57%) were reported in mainland China with 81,021 confirmed infections and 3,194 deaths. Outside of mainland China, 61,518 cases have been reported by 134 countries, territories and areas, with approximately 60% of those cases reported from three countries: Italy, the Islamic Republic of Iran, and Republic of Korea. Outside of mainland China, 2,199 deaths were reported by 35 countries, territories and areas outside mainland China. The number of daily new cases reported in mainland China have continued to decrease as cases in other countries, territories and areas increase.&#10;" style="width:522pt;height:37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" fillcolor="#f2f2f2 [3052]" strokeweight=".25pt">
                <v:textbox>
                  <w:txbxContent>
                    <w:p w14:paraId="2E9BEF8F" w14:textId="77777777" w:rsidR="002617E1" w:rsidRPr="003D6339" w:rsidRDefault="002617E1" w:rsidP="003D6339">
                      <w:pPr>
                        <w:pStyle w:val="NormalWeb"/>
                        <w:rPr>
                          <w:sz w:val="18"/>
                          <w:szCs w:val="18"/>
                        </w:rPr>
                      </w:pPr>
                      <w:r w:rsidRPr="003D6339">
                        <w:rPr>
                          <w:rStyle w:val="Strong"/>
                          <w:sz w:val="18"/>
                          <w:szCs w:val="18"/>
                        </w:rPr>
                        <w:t xml:space="preserve">In Australia: </w:t>
                      </w:r>
                    </w:p>
                    <w:p w14:paraId="2F41FE8B" w14:textId="77777777" w:rsidR="002617E1" w:rsidRPr="003D6339" w:rsidRDefault="002617E1" w:rsidP="003D6339">
                      <w:pPr>
                        <w:numPr>
                          <w:ilvl w:val="0"/>
                          <w:numId w:val="7"/>
                        </w:numPr>
                        <w:spacing w:before="100" w:beforeAutospacing="1" w:after="100" w:afterAutospacing="1" w:line="240" w:lineRule="auto"/>
                        <w:rPr>
                          <w:rFonts w:eastAsia="Times New Roman"/>
                          <w:sz w:val="18"/>
                          <w:szCs w:val="18"/>
                        </w:rPr>
                      </w:pPr>
                      <w:r w:rsidRPr="003D6339">
                        <w:rPr>
                          <w:rFonts w:eastAsia="Times New Roman"/>
                          <w:sz w:val="18"/>
                          <w:szCs w:val="18"/>
                        </w:rPr>
                        <w:t xml:space="preserve">295 COVID-19 cases, including three deaths, were notified up until 19:00 AEDT 14 March 2020; </w:t>
                      </w:r>
                    </w:p>
                    <w:p w14:paraId="11CED9D0" w14:textId="7A4B7046" w:rsidR="002617E1" w:rsidRPr="003D6339" w:rsidRDefault="002617E1" w:rsidP="003D6339">
                      <w:pPr>
                        <w:numPr>
                          <w:ilvl w:val="1"/>
                          <w:numId w:val="7"/>
                        </w:numPr>
                        <w:spacing w:before="100" w:beforeAutospacing="1" w:after="100" w:afterAutospacing="1" w:line="240" w:lineRule="auto"/>
                        <w:rPr>
                          <w:rFonts w:eastAsia="Times New Roman"/>
                          <w:sz w:val="18"/>
                          <w:szCs w:val="18"/>
                        </w:rPr>
                      </w:pPr>
                      <w:r w:rsidRPr="003D6339">
                        <w:rPr>
                          <w:rFonts w:eastAsia="Times New Roman"/>
                          <w:sz w:val="18"/>
                          <w:szCs w:val="18"/>
                        </w:rPr>
                        <w:t>In the National Notifiable Diseases Surveillance System (NNDSS), 86% (n = 253) of all cases have a reported place of acquisition and 14% (n = 42) remain under investigation</w:t>
                      </w:r>
                      <w:r>
                        <w:rPr>
                          <w:rFonts w:eastAsia="Times New Roman"/>
                          <w:sz w:val="18"/>
                          <w:szCs w:val="18"/>
                        </w:rPr>
                        <w:t>;</w:t>
                      </w:r>
                      <w:r w:rsidRPr="003D6339">
                        <w:rPr>
                          <w:rFonts w:eastAsia="Times New Roman"/>
                          <w:sz w:val="18"/>
                          <w:szCs w:val="18"/>
                        </w:rPr>
                        <w:t xml:space="preserve"> </w:t>
                      </w:r>
                    </w:p>
                    <w:p w14:paraId="4786C6B2" w14:textId="3B1F3054" w:rsidR="002617E1" w:rsidRPr="003D6339" w:rsidRDefault="002617E1" w:rsidP="003D6339">
                      <w:pPr>
                        <w:numPr>
                          <w:ilvl w:val="1"/>
                          <w:numId w:val="7"/>
                        </w:numPr>
                        <w:spacing w:before="100" w:beforeAutospacing="1" w:after="100" w:afterAutospacing="1" w:line="240" w:lineRule="auto"/>
                        <w:rPr>
                          <w:rFonts w:eastAsia="Times New Roman"/>
                          <w:sz w:val="18"/>
                          <w:szCs w:val="18"/>
                        </w:rPr>
                      </w:pPr>
                      <w:r w:rsidRPr="003D6339">
                        <w:rPr>
                          <w:rFonts w:eastAsia="Times New Roman"/>
                          <w:sz w:val="18"/>
                          <w:szCs w:val="18"/>
                        </w:rPr>
                        <w:t xml:space="preserve">Of reported places of acquisition, 66% (n = 166) had a recent </w:t>
                      </w:r>
                      <w:r>
                        <w:rPr>
                          <w:rFonts w:eastAsia="Times New Roman"/>
                          <w:sz w:val="18"/>
                          <w:szCs w:val="18"/>
                        </w:rPr>
                        <w:t xml:space="preserve">overseas </w:t>
                      </w:r>
                      <w:r w:rsidRPr="003D6339">
                        <w:rPr>
                          <w:rFonts w:eastAsia="Times New Roman"/>
                          <w:sz w:val="18"/>
                          <w:szCs w:val="18"/>
                        </w:rPr>
                        <w:t>travel history and 34% (n = 87) were locally acquired. 14% (n = 42) are pending investigation</w:t>
                      </w:r>
                      <w:r>
                        <w:rPr>
                          <w:rFonts w:eastAsia="Times New Roman"/>
                          <w:sz w:val="18"/>
                          <w:szCs w:val="18"/>
                        </w:rPr>
                        <w:t>;</w:t>
                      </w:r>
                      <w:r w:rsidRPr="003D6339">
                        <w:rPr>
                          <w:rFonts w:eastAsia="Times New Roman"/>
                          <w:sz w:val="18"/>
                          <w:szCs w:val="18"/>
                        </w:rPr>
                        <w:t xml:space="preserve"> </w:t>
                      </w:r>
                    </w:p>
                    <w:p w14:paraId="1881751B" w14:textId="77777777" w:rsidR="002617E1" w:rsidRPr="003D6339" w:rsidRDefault="002617E1" w:rsidP="003D6339">
                      <w:pPr>
                        <w:numPr>
                          <w:ilvl w:val="1"/>
                          <w:numId w:val="7"/>
                        </w:numPr>
                        <w:spacing w:before="100" w:beforeAutospacing="1" w:after="100" w:afterAutospacing="1" w:line="240" w:lineRule="auto"/>
                        <w:rPr>
                          <w:rFonts w:eastAsia="Times New Roman"/>
                          <w:sz w:val="18"/>
                          <w:szCs w:val="18"/>
                        </w:rPr>
                      </w:pPr>
                      <w:r w:rsidRPr="003D6339">
                        <w:rPr>
                          <w:rFonts w:eastAsia="Times New Roman"/>
                          <w:sz w:val="18"/>
                          <w:szCs w:val="18"/>
                        </w:rPr>
                        <w:t xml:space="preserve">Of reported recent </w:t>
                      </w:r>
                      <w:r>
                        <w:rPr>
                          <w:rFonts w:eastAsia="Times New Roman"/>
                          <w:sz w:val="18"/>
                          <w:szCs w:val="18"/>
                        </w:rPr>
                        <w:t xml:space="preserve">overseas </w:t>
                      </w:r>
                      <w:r w:rsidRPr="003D6339">
                        <w:rPr>
                          <w:rFonts w:eastAsia="Times New Roman"/>
                          <w:sz w:val="18"/>
                          <w:szCs w:val="18"/>
                        </w:rPr>
                        <w:t xml:space="preserve">travel history: </w:t>
                      </w:r>
                    </w:p>
                    <w:p w14:paraId="39764980" w14:textId="77777777" w:rsidR="002617E1" w:rsidRPr="003D6339" w:rsidRDefault="002617E1" w:rsidP="00032AF5">
                      <w:pPr>
                        <w:numPr>
                          <w:ilvl w:val="2"/>
                          <w:numId w:val="7"/>
                        </w:numPr>
                        <w:spacing w:before="100" w:beforeAutospacing="1" w:after="100" w:afterAutospacing="1" w:line="240" w:lineRule="auto"/>
                        <w:rPr>
                          <w:rFonts w:eastAsia="Times New Roman"/>
                          <w:sz w:val="18"/>
                          <w:szCs w:val="18"/>
                        </w:rPr>
                      </w:pPr>
                      <w:r w:rsidRPr="003D6339">
                        <w:rPr>
                          <w:rFonts w:eastAsia="Times New Roman"/>
                          <w:sz w:val="18"/>
                          <w:szCs w:val="18"/>
                        </w:rPr>
                        <w:t xml:space="preserve">22% (n = 36) have a direct link to USA; </w:t>
                      </w:r>
                    </w:p>
                    <w:p w14:paraId="09EE924A" w14:textId="77777777" w:rsidR="002617E1" w:rsidRPr="003D6339" w:rsidRDefault="002617E1" w:rsidP="00032AF5">
                      <w:pPr>
                        <w:numPr>
                          <w:ilvl w:val="2"/>
                          <w:numId w:val="7"/>
                        </w:numPr>
                        <w:spacing w:before="100" w:beforeAutospacing="1" w:after="100" w:afterAutospacing="1" w:line="240" w:lineRule="auto"/>
                        <w:rPr>
                          <w:rFonts w:eastAsia="Times New Roman"/>
                          <w:sz w:val="18"/>
                          <w:szCs w:val="18"/>
                        </w:rPr>
                      </w:pPr>
                      <w:r w:rsidRPr="003D6339">
                        <w:rPr>
                          <w:rFonts w:eastAsia="Times New Roman"/>
                          <w:sz w:val="18"/>
                          <w:szCs w:val="18"/>
                        </w:rPr>
                        <w:t xml:space="preserve">11% (n = 18) have a direct link to Italy; </w:t>
                      </w:r>
                    </w:p>
                    <w:p w14:paraId="206ECBBE" w14:textId="77777777" w:rsidR="002617E1" w:rsidRPr="003D6339" w:rsidRDefault="002617E1" w:rsidP="00032AF5">
                      <w:pPr>
                        <w:numPr>
                          <w:ilvl w:val="2"/>
                          <w:numId w:val="7"/>
                        </w:numPr>
                        <w:spacing w:before="100" w:beforeAutospacing="1" w:after="100" w:afterAutospacing="1" w:line="240" w:lineRule="auto"/>
                        <w:rPr>
                          <w:rFonts w:eastAsia="Times New Roman"/>
                          <w:sz w:val="18"/>
                          <w:szCs w:val="18"/>
                        </w:rPr>
                      </w:pPr>
                      <w:r w:rsidRPr="003D6339">
                        <w:rPr>
                          <w:rFonts w:eastAsia="Times New Roman"/>
                          <w:sz w:val="18"/>
                          <w:szCs w:val="18"/>
                        </w:rPr>
                        <w:t xml:space="preserve">9% (n = 15) have a direct link to Iran; </w:t>
                      </w:r>
                    </w:p>
                    <w:p w14:paraId="558B0DF7" w14:textId="77777777" w:rsidR="002617E1" w:rsidRPr="003D6339" w:rsidRDefault="002617E1" w:rsidP="00032AF5">
                      <w:pPr>
                        <w:numPr>
                          <w:ilvl w:val="2"/>
                          <w:numId w:val="7"/>
                        </w:numPr>
                        <w:spacing w:before="100" w:beforeAutospacing="1" w:after="100" w:afterAutospacing="1" w:line="240" w:lineRule="auto"/>
                        <w:rPr>
                          <w:rFonts w:eastAsia="Times New Roman"/>
                          <w:sz w:val="18"/>
                          <w:szCs w:val="18"/>
                        </w:rPr>
                      </w:pPr>
                      <w:r w:rsidRPr="003D6339">
                        <w:rPr>
                          <w:rFonts w:eastAsia="Times New Roman"/>
                          <w:sz w:val="18"/>
                          <w:szCs w:val="18"/>
                        </w:rPr>
                        <w:t xml:space="preserve">8% (n = 13) have a direct link to the UK; </w:t>
                      </w:r>
                    </w:p>
                    <w:p w14:paraId="52A3A3AE" w14:textId="77777777" w:rsidR="002617E1" w:rsidRPr="003D6339" w:rsidRDefault="002617E1" w:rsidP="00032AF5">
                      <w:pPr>
                        <w:numPr>
                          <w:ilvl w:val="2"/>
                          <w:numId w:val="7"/>
                        </w:numPr>
                        <w:spacing w:before="100" w:beforeAutospacing="1" w:after="100" w:afterAutospacing="1" w:line="240" w:lineRule="auto"/>
                        <w:rPr>
                          <w:rFonts w:eastAsia="Times New Roman"/>
                          <w:sz w:val="18"/>
                          <w:szCs w:val="18"/>
                        </w:rPr>
                      </w:pPr>
                      <w:r w:rsidRPr="003D6339">
                        <w:rPr>
                          <w:rFonts w:eastAsia="Times New Roman"/>
                          <w:sz w:val="18"/>
                          <w:szCs w:val="18"/>
                        </w:rPr>
                        <w:t xml:space="preserve">8% (n = 13) have a direct to China; </w:t>
                      </w:r>
                    </w:p>
                    <w:p w14:paraId="6ACB3A14" w14:textId="368DECF2" w:rsidR="002617E1" w:rsidRPr="003D6339" w:rsidRDefault="002617E1" w:rsidP="00032AF5">
                      <w:pPr>
                        <w:numPr>
                          <w:ilvl w:val="2"/>
                          <w:numId w:val="7"/>
                        </w:numPr>
                        <w:spacing w:before="100" w:beforeAutospacing="1" w:after="100" w:afterAutospacing="1" w:line="240" w:lineRule="auto"/>
                        <w:rPr>
                          <w:rFonts w:eastAsia="Times New Roman"/>
                          <w:sz w:val="18"/>
                          <w:szCs w:val="18"/>
                        </w:rPr>
                      </w:pPr>
                      <w:r w:rsidRPr="003D6339">
                        <w:rPr>
                          <w:rFonts w:eastAsia="Times New Roman"/>
                          <w:sz w:val="18"/>
                          <w:szCs w:val="18"/>
                        </w:rPr>
                        <w:t xml:space="preserve">6% (n = 10) </w:t>
                      </w:r>
                      <w:r>
                        <w:rPr>
                          <w:rFonts w:eastAsia="Times New Roman"/>
                          <w:sz w:val="18"/>
                          <w:szCs w:val="18"/>
                        </w:rPr>
                        <w:t>are</w:t>
                      </w:r>
                      <w:r w:rsidRPr="003D6339">
                        <w:rPr>
                          <w:rFonts w:eastAsia="Times New Roman"/>
                          <w:sz w:val="18"/>
                          <w:szCs w:val="18"/>
                        </w:rPr>
                        <w:t xml:space="preserve"> associated with the ‘Diamond Princess’ cruise ship passengers repatriated from Japan; </w:t>
                      </w:r>
                    </w:p>
                    <w:p w14:paraId="117FF260" w14:textId="77777777" w:rsidR="002617E1" w:rsidRPr="003D6339" w:rsidRDefault="002617E1" w:rsidP="00032AF5">
                      <w:pPr>
                        <w:numPr>
                          <w:ilvl w:val="2"/>
                          <w:numId w:val="7"/>
                        </w:numPr>
                        <w:spacing w:before="100" w:beforeAutospacing="1" w:after="100" w:afterAutospacing="1" w:line="240" w:lineRule="auto"/>
                        <w:rPr>
                          <w:rFonts w:eastAsia="Times New Roman"/>
                          <w:sz w:val="18"/>
                          <w:szCs w:val="18"/>
                        </w:rPr>
                      </w:pPr>
                      <w:r w:rsidRPr="003D6339">
                        <w:rPr>
                          <w:rFonts w:eastAsia="Times New Roman"/>
                          <w:sz w:val="18"/>
                          <w:szCs w:val="18"/>
                        </w:rPr>
                        <w:t xml:space="preserve">37% (n = 61) have a recent travel history to other countries; </w:t>
                      </w:r>
                    </w:p>
                    <w:p w14:paraId="74820FEF" w14:textId="77777777" w:rsidR="002617E1" w:rsidRPr="003D6339" w:rsidRDefault="002617E1" w:rsidP="003D6339">
                      <w:pPr>
                        <w:numPr>
                          <w:ilvl w:val="0"/>
                          <w:numId w:val="7"/>
                        </w:numPr>
                        <w:spacing w:before="100" w:beforeAutospacing="1" w:after="100" w:afterAutospacing="1" w:line="240" w:lineRule="auto"/>
                        <w:rPr>
                          <w:rFonts w:eastAsia="Times New Roman"/>
                          <w:sz w:val="18"/>
                          <w:szCs w:val="18"/>
                        </w:rPr>
                      </w:pPr>
                      <w:r w:rsidRPr="003D6339">
                        <w:rPr>
                          <w:rFonts w:eastAsia="Times New Roman"/>
                          <w:sz w:val="18"/>
                          <w:szCs w:val="18"/>
                        </w:rPr>
                        <w:t xml:space="preserve">Of the three reported deaths, one was associated with the ‘Diamond Princess’ cruise ship, and two were part of the same aged care facility cluster; and </w:t>
                      </w:r>
                    </w:p>
                    <w:p w14:paraId="3CAA3378" w14:textId="77777777" w:rsidR="002617E1" w:rsidRPr="003D6339" w:rsidRDefault="002617E1" w:rsidP="003D6339">
                      <w:pPr>
                        <w:numPr>
                          <w:ilvl w:val="0"/>
                          <w:numId w:val="7"/>
                        </w:numPr>
                        <w:spacing w:before="100" w:beforeAutospacing="1" w:after="100" w:afterAutospacing="1" w:line="240" w:lineRule="auto"/>
                        <w:rPr>
                          <w:rFonts w:eastAsia="Times New Roman"/>
                          <w:sz w:val="18"/>
                          <w:szCs w:val="18"/>
                        </w:rPr>
                      </w:pPr>
                      <w:r w:rsidRPr="003D6339">
                        <w:rPr>
                          <w:rFonts w:eastAsia="Times New Roman"/>
                          <w:sz w:val="18"/>
                          <w:szCs w:val="18"/>
                        </w:rPr>
                        <w:t xml:space="preserve">Since the last report, AHPPC have provided further recommendations on public events, travel restrictions, work restrictions for health and aged care workers, and public gatherings and testing. </w:t>
                      </w:r>
                    </w:p>
                    <w:p w14:paraId="68854EF2" w14:textId="77777777" w:rsidR="002617E1" w:rsidRPr="003D6339" w:rsidRDefault="002617E1" w:rsidP="003D6339">
                      <w:pPr>
                        <w:pStyle w:val="NormalWeb"/>
                        <w:rPr>
                          <w:sz w:val="18"/>
                          <w:szCs w:val="18"/>
                        </w:rPr>
                      </w:pPr>
                      <w:r w:rsidRPr="003D6339">
                        <w:rPr>
                          <w:rStyle w:val="Strong"/>
                          <w:sz w:val="18"/>
                          <w:szCs w:val="18"/>
                        </w:rPr>
                        <w:t xml:space="preserve">Internationally: </w:t>
                      </w:r>
                    </w:p>
                    <w:p w14:paraId="5D327746" w14:textId="77777777" w:rsidR="002617E1" w:rsidRPr="003D6339" w:rsidRDefault="002617E1" w:rsidP="003D6339">
                      <w:pPr>
                        <w:numPr>
                          <w:ilvl w:val="0"/>
                          <w:numId w:val="8"/>
                        </w:numPr>
                        <w:spacing w:before="100" w:beforeAutospacing="1" w:after="100" w:afterAutospacing="1" w:line="240" w:lineRule="auto"/>
                        <w:rPr>
                          <w:rFonts w:eastAsia="Times New Roman"/>
                          <w:sz w:val="18"/>
                          <w:szCs w:val="18"/>
                        </w:rPr>
                      </w:pPr>
                      <w:r w:rsidRPr="003D6339">
                        <w:rPr>
                          <w:rFonts w:eastAsia="Times New Roman"/>
                          <w:sz w:val="18"/>
                          <w:szCs w:val="18"/>
                        </w:rPr>
                        <w:t xml:space="preserve">142,539 infections have been confirmed globally, with 5,393 deaths; </w:t>
                      </w:r>
                    </w:p>
                    <w:p w14:paraId="74169EB4" w14:textId="77777777" w:rsidR="002617E1" w:rsidRPr="003D6339" w:rsidRDefault="002617E1" w:rsidP="003D6339">
                      <w:pPr>
                        <w:numPr>
                          <w:ilvl w:val="0"/>
                          <w:numId w:val="8"/>
                        </w:numPr>
                        <w:spacing w:before="100" w:beforeAutospacing="1" w:after="100" w:afterAutospacing="1" w:line="240" w:lineRule="auto"/>
                        <w:rPr>
                          <w:rFonts w:eastAsia="Times New Roman"/>
                          <w:sz w:val="18"/>
                          <w:szCs w:val="18"/>
                        </w:rPr>
                      </w:pPr>
                      <w:r w:rsidRPr="003D6339">
                        <w:rPr>
                          <w:rFonts w:eastAsia="Times New Roman"/>
                          <w:sz w:val="18"/>
                          <w:szCs w:val="18"/>
                        </w:rPr>
                        <w:t xml:space="preserve">The majority of confirmed infections (57%; n = 81,021) and deaths (59%; n = 3,194) have been reported in mainland China; </w:t>
                      </w:r>
                    </w:p>
                    <w:p w14:paraId="22D35D46" w14:textId="77777777" w:rsidR="002617E1" w:rsidRPr="003D6339" w:rsidRDefault="002617E1" w:rsidP="003D6339">
                      <w:pPr>
                        <w:numPr>
                          <w:ilvl w:val="0"/>
                          <w:numId w:val="8"/>
                        </w:numPr>
                        <w:spacing w:before="100" w:beforeAutospacing="1" w:after="100" w:afterAutospacing="1" w:line="240" w:lineRule="auto"/>
                        <w:rPr>
                          <w:rFonts w:eastAsia="Times New Roman"/>
                          <w:sz w:val="18"/>
                          <w:szCs w:val="18"/>
                        </w:rPr>
                      </w:pPr>
                      <w:r w:rsidRPr="003D6339">
                        <w:rPr>
                          <w:rFonts w:eastAsia="Times New Roman"/>
                          <w:sz w:val="18"/>
                          <w:szCs w:val="18"/>
                        </w:rPr>
                        <w:t xml:space="preserve">Outside of mainland China, cases (n = 61,518) have been reported in 134 countries, territories and areas, with approximately 60% of those cases reported from three countries: Italy, the Islamic Republic of Iran and Republic of Korea; </w:t>
                      </w:r>
                    </w:p>
                    <w:p w14:paraId="21ADFFE7" w14:textId="77777777" w:rsidR="002617E1" w:rsidRPr="003D6339" w:rsidRDefault="002617E1" w:rsidP="003D6339">
                      <w:pPr>
                        <w:numPr>
                          <w:ilvl w:val="0"/>
                          <w:numId w:val="8"/>
                        </w:numPr>
                        <w:spacing w:before="100" w:beforeAutospacing="1" w:after="100" w:afterAutospacing="1" w:line="240" w:lineRule="auto"/>
                        <w:rPr>
                          <w:rFonts w:eastAsia="Times New Roman"/>
                          <w:sz w:val="18"/>
                          <w:szCs w:val="18"/>
                        </w:rPr>
                      </w:pPr>
                      <w:r w:rsidRPr="003D6339">
                        <w:rPr>
                          <w:rFonts w:eastAsia="Times New Roman"/>
                          <w:sz w:val="18"/>
                          <w:szCs w:val="18"/>
                        </w:rPr>
                        <w:t xml:space="preserve">Outside of mainland China, 2,199 deaths were reported by 35 countries, territories and areas; and </w:t>
                      </w:r>
                    </w:p>
                    <w:p w14:paraId="2B3F009C" w14:textId="7DC7BF00" w:rsidR="002617E1" w:rsidRPr="003D6339" w:rsidRDefault="002617E1" w:rsidP="003D6339">
                      <w:pPr>
                        <w:numPr>
                          <w:ilvl w:val="0"/>
                          <w:numId w:val="8"/>
                        </w:numPr>
                        <w:spacing w:before="100" w:beforeAutospacing="1" w:after="100" w:afterAutospacing="1" w:line="240" w:lineRule="auto"/>
                        <w:rPr>
                          <w:rFonts w:eastAsia="Times New Roman"/>
                          <w:sz w:val="18"/>
                          <w:szCs w:val="18"/>
                        </w:rPr>
                      </w:pPr>
                      <w:r w:rsidRPr="003D6339">
                        <w:rPr>
                          <w:rFonts w:eastAsia="Times New Roman"/>
                          <w:sz w:val="18"/>
                          <w:szCs w:val="18"/>
                        </w:rPr>
                        <w:t>The number of daily new cases reported in mainland China ha</w:t>
                      </w:r>
                      <w:r>
                        <w:rPr>
                          <w:rFonts w:eastAsia="Times New Roman"/>
                          <w:sz w:val="18"/>
                          <w:szCs w:val="18"/>
                        </w:rPr>
                        <w:t>s</w:t>
                      </w:r>
                      <w:r w:rsidRPr="003D6339">
                        <w:rPr>
                          <w:rFonts w:eastAsia="Times New Roman"/>
                          <w:sz w:val="18"/>
                          <w:szCs w:val="18"/>
                        </w:rPr>
                        <w:t xml:space="preserve"> continued to decrease as cases increase in other countries, territories and areas globally.</w:t>
                      </w:r>
                    </w:p>
                  </w:txbxContent>
                </v:textbox>
                <w10:anchorlock/>
              </v:shape>
            </w:pict>
          </mc:Fallback>
        </mc:AlternateContent>
      </w:r>
    </w:p>
    <w:p w14:paraId="04AE9311" w14:textId="77777777" w:rsidR="00D2677A" w:rsidRDefault="00D2677A">
      <w:pPr>
        <w:rPr>
          <w:rFonts w:asciiTheme="majorHAnsi" w:eastAsiaTheme="majorEastAsia" w:hAnsiTheme="majorHAnsi" w:cstheme="majorBidi"/>
          <w:b/>
          <w:bCs/>
          <w:sz w:val="26"/>
          <w:szCs w:val="26"/>
        </w:rPr>
      </w:pPr>
      <w:r>
        <w:br w:type="page"/>
      </w:r>
    </w:p>
    <w:p w14:paraId="526C5C38" w14:textId="1529EE7B" w:rsidR="00CF1E81" w:rsidRPr="005B65CF" w:rsidRDefault="00CF1E81" w:rsidP="005B65CF">
      <w:pPr>
        <w:pStyle w:val="Heading2"/>
      </w:pPr>
      <w:r w:rsidRPr="005B65CF">
        <w:lastRenderedPageBreak/>
        <w:t xml:space="preserve">Domestic cases </w:t>
      </w:r>
    </w:p>
    <w:p w14:paraId="221ABB58" w14:textId="17B79EF4" w:rsidR="00CF1E81" w:rsidRDefault="00CF1E81" w:rsidP="005B65CF">
      <w:r>
        <w:t>There were 295 confirmed cases, including three deaths, reported in Australia as at 19:00 AEDT 14 March 2020 (Table 1). Of the 295 confirmed cases, 51.5% (n = 152) were reported in NSW, 18.6% (n = 55) from Qld, 15.6% (n = 46) from Vic, 7.1% (n = 21) from SA, 4.7% (n = 14) from WA, 2% (n = 6) from Tas, and 0.3% (n = 1) from ACT (Figure</w:t>
      </w:r>
      <w:r w:rsidR="007354DE">
        <w:t> </w:t>
      </w:r>
      <w:r>
        <w:t xml:space="preserve">1). </w:t>
      </w:r>
    </w:p>
    <w:p w14:paraId="7691E121" w14:textId="77777777" w:rsidR="008A0CE7" w:rsidRDefault="008A0CE7" w:rsidP="005B65CF">
      <w:pPr>
        <w:pStyle w:val="CDIFigures"/>
        <w:sectPr w:rsidR="008A0CE7" w:rsidSect="00A30C37">
          <w:headerReference w:type="default" r:id="rId9"/>
          <w:footerReference w:type="default" r:id="rId10"/>
          <w:footerReference w:type="first" r:id="rId11"/>
          <w:pgSz w:w="11906" w:h="16838"/>
          <w:pgMar w:top="720" w:right="720" w:bottom="1134" w:left="720" w:header="709" w:footer="284" w:gutter="0"/>
          <w:cols w:space="708"/>
          <w:titlePg/>
          <w:docGrid w:linePitch="360"/>
        </w:sectPr>
      </w:pPr>
    </w:p>
    <w:p w14:paraId="557697BD" w14:textId="77777777" w:rsidR="00CF1E81" w:rsidRDefault="00CF1E81" w:rsidP="005B65CF">
      <w:pPr>
        <w:pStyle w:val="CDIFigures"/>
      </w:pPr>
      <w:r>
        <w:lastRenderedPageBreak/>
        <w:t>Figure 1: Confirmed cases of COVID-19 infection by date of illness onset, Australia, 2020 (n = 295)</w:t>
      </w:r>
      <w:proofErr w:type="spellStart"/>
      <w:r>
        <w:rPr>
          <w:vertAlign w:val="superscript"/>
          <w:lang w:val="en-US"/>
        </w:rPr>
        <w:t>a,b</w:t>
      </w:r>
      <w:proofErr w:type="spellEnd"/>
    </w:p>
    <w:p w14:paraId="41A8051A" w14:textId="77777777" w:rsidR="00CF1E81" w:rsidRDefault="00CF1E81" w:rsidP="008A0CE7">
      <w:pPr>
        <w:pStyle w:val="NormalWeb"/>
        <w:jc w:val="center"/>
      </w:pPr>
      <w:r>
        <w:rPr>
          <w:noProof/>
        </w:rPr>
        <w:drawing>
          <wp:inline distT="0" distB="0" distL="0" distR="0" wp14:anchorId="0E8F22E4" wp14:editId="1F413F29">
            <wp:extent cx="9203213" cy="5453987"/>
            <wp:effectExtent l="0" t="0" r="0" b="0"/>
            <wp:docPr id="6" name="Picture 6" descr="Bar chart showing COVID-19 notifications by jurisdiction and date of illness onset, for the 295 Australian cases for which date of illness onset has been notified. Notifications for the cases shown have onset dates ranging from 13 January 2020 to 14 March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r chart showing COVID-19 notifications by jurisdiction and date of illness onset, for the 295 Australian cases for which date of illness onset has been notified. Notifications for the cases shown have onset dates ranging from 13 January 2020 to 14 March 2020."/>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9215600" cy="5461328"/>
                    </a:xfrm>
                    <a:prstGeom prst="rect">
                      <a:avLst/>
                    </a:prstGeom>
                  </pic:spPr>
                </pic:pic>
              </a:graphicData>
            </a:graphic>
          </wp:inline>
        </w:drawing>
      </w:r>
    </w:p>
    <w:p w14:paraId="65D88F4F" w14:textId="77777777" w:rsidR="00CF1E81" w:rsidRPr="005871AD" w:rsidRDefault="008A0CE7" w:rsidP="005871AD">
      <w:pPr>
        <w:pStyle w:val="CDIfootnotes"/>
      </w:pPr>
      <w:r w:rsidRPr="005871AD">
        <w:t>a</w:t>
      </w:r>
      <w:r w:rsidRPr="005871AD">
        <w:tab/>
      </w:r>
      <w:r w:rsidR="00CF1E81" w:rsidRPr="005871AD">
        <w:t>Diagnosis date used for eight cases where date of illness onset is unavailable.</w:t>
      </w:r>
    </w:p>
    <w:p w14:paraId="3FFEB3DF" w14:textId="77777777" w:rsidR="008A0CE7" w:rsidRPr="005871AD" w:rsidRDefault="008A0CE7" w:rsidP="005871AD">
      <w:pPr>
        <w:pStyle w:val="CDIfootnotes"/>
        <w:sectPr w:rsidR="008A0CE7" w:rsidRPr="005871AD" w:rsidSect="008A0CE7">
          <w:pgSz w:w="16838" w:h="11906" w:orient="landscape"/>
          <w:pgMar w:top="720" w:right="720" w:bottom="720" w:left="1134" w:header="709" w:footer="284" w:gutter="0"/>
          <w:cols w:space="708"/>
          <w:titlePg/>
          <w:docGrid w:linePitch="360"/>
        </w:sectPr>
      </w:pPr>
      <w:r w:rsidRPr="005871AD">
        <w:t>b</w:t>
      </w:r>
      <w:r w:rsidRPr="005871AD">
        <w:tab/>
      </w:r>
      <w:r w:rsidR="00CF1E81" w:rsidRPr="005871AD">
        <w:t xml:space="preserve">Cases associated with the Diamond Princess cruise ship repatriation are included with their respective jurisdictions. </w:t>
      </w:r>
    </w:p>
    <w:p w14:paraId="29475A9D" w14:textId="77777777" w:rsidR="00CF1E81" w:rsidRDefault="00CF1E81" w:rsidP="005B65CF">
      <w:pPr>
        <w:pStyle w:val="CDIfootnotes"/>
      </w:pPr>
    </w:p>
    <w:p w14:paraId="316C0264" w14:textId="77777777" w:rsidR="00CF1E81" w:rsidRDefault="00CF1E81" w:rsidP="005B65CF">
      <w:pPr>
        <w:pStyle w:val="CDIFigures"/>
      </w:pPr>
      <w:r>
        <w:t xml:space="preserve">Table 1: Cumulative notified cases of confirmed COVID-19 by jurisdiction, Australia, 2020 (n = 295) </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able 1 shows the cumulative confirmed cases of COVID-19 in Australia by current and prior reporting period and jurisdiction. In this reporting period 148 new cases were reported: 74 in New South Wales, 35 in Queensland, 20 in Victoria, eight in South Australia, six in Western Australia, four in Tasmania and one in the Australian Capital Territory."/>
      </w:tblPr>
      <w:tblGrid>
        <w:gridCol w:w="3480"/>
        <w:gridCol w:w="3480"/>
        <w:gridCol w:w="3480"/>
      </w:tblGrid>
      <w:tr w:rsidR="001D6629" w:rsidRPr="001D6629" w14:paraId="0EEEC266" w14:textId="77777777" w:rsidTr="00256620">
        <w:trPr>
          <w:cnfStyle w:val="100000000000" w:firstRow="1" w:lastRow="0" w:firstColumn="0" w:lastColumn="0" w:oddVBand="0" w:evenVBand="0" w:oddHBand="0" w:evenHBand="0" w:firstRowFirstColumn="0" w:firstRowLastColumn="0" w:lastRowFirstColumn="0" w:lastRowLastColumn="0"/>
          <w:tblHeader/>
        </w:trPr>
        <w:tc>
          <w:tcPr>
            <w:tcW w:w="3480" w:type="dxa"/>
            <w:hideMark/>
          </w:tcPr>
          <w:p w14:paraId="17A48980" w14:textId="77777777" w:rsidR="00CF1E81" w:rsidRPr="001D6629" w:rsidRDefault="00CF1E81">
            <w:pPr>
              <w:pStyle w:val="NormalWeb"/>
              <w:rPr>
                <w:color w:val="FFFFFF" w:themeColor="background1"/>
              </w:rPr>
            </w:pPr>
            <w:proofErr w:type="spellStart"/>
            <w:r w:rsidRPr="001D6629">
              <w:rPr>
                <w:color w:val="FFFFFF" w:themeColor="background1"/>
              </w:rPr>
              <w:t>Jurisdiction</w:t>
            </w:r>
            <w:r w:rsidRPr="005B4D90">
              <w:rPr>
                <w:color w:val="FFFFFF" w:themeColor="background1"/>
                <w:vertAlign w:val="superscript"/>
              </w:rPr>
              <w:t>a</w:t>
            </w:r>
            <w:proofErr w:type="spellEnd"/>
          </w:p>
        </w:tc>
        <w:tc>
          <w:tcPr>
            <w:tcW w:w="3480" w:type="dxa"/>
            <w:hideMark/>
          </w:tcPr>
          <w:p w14:paraId="1E3BBECE" w14:textId="77777777" w:rsidR="00CF1E81" w:rsidRPr="001D6629" w:rsidRDefault="00CF1E81" w:rsidP="00D562C2">
            <w:pPr>
              <w:pStyle w:val="NormalWeb"/>
              <w:jc w:val="center"/>
              <w:rPr>
                <w:color w:val="FFFFFF" w:themeColor="background1"/>
              </w:rPr>
            </w:pPr>
            <w:r w:rsidRPr="001D6629">
              <w:rPr>
                <w:color w:val="FFFFFF" w:themeColor="background1"/>
              </w:rPr>
              <w:t xml:space="preserve">This </w:t>
            </w:r>
            <w:proofErr w:type="spellStart"/>
            <w:r w:rsidRPr="001D6629">
              <w:rPr>
                <w:color w:val="FFFFFF" w:themeColor="background1"/>
              </w:rPr>
              <w:t>week</w:t>
            </w:r>
            <w:r w:rsidRPr="00C14542">
              <w:rPr>
                <w:color w:val="FFFFFF" w:themeColor="background1"/>
                <w:vertAlign w:val="superscript"/>
              </w:rPr>
              <w:t>b</w:t>
            </w:r>
            <w:proofErr w:type="spellEnd"/>
            <w:r w:rsidRPr="001D6629">
              <w:rPr>
                <w:color w:val="FFFFFF" w:themeColor="background1"/>
              </w:rPr>
              <w:br/>
              <w:t>(19:00 AEDT 7 March to 14 March 2020)</w:t>
            </w:r>
            <w:r w:rsidRPr="001D6629">
              <w:rPr>
                <w:color w:val="FFFFFF" w:themeColor="background1"/>
              </w:rPr>
              <w:br/>
              <w:t>No. of new cases</w:t>
            </w:r>
          </w:p>
        </w:tc>
        <w:tc>
          <w:tcPr>
            <w:tcW w:w="3480" w:type="dxa"/>
            <w:hideMark/>
          </w:tcPr>
          <w:p w14:paraId="7513AD5D" w14:textId="77777777" w:rsidR="00CF1E81" w:rsidRPr="001D6629" w:rsidRDefault="00CF1E81" w:rsidP="00D562C2">
            <w:pPr>
              <w:pStyle w:val="NormalWeb"/>
              <w:jc w:val="center"/>
              <w:rPr>
                <w:color w:val="FFFFFF" w:themeColor="background1"/>
              </w:rPr>
            </w:pPr>
            <w:r w:rsidRPr="001D6629">
              <w:rPr>
                <w:color w:val="FFFFFF" w:themeColor="background1"/>
              </w:rPr>
              <w:t xml:space="preserve">Total </w:t>
            </w:r>
            <w:proofErr w:type="spellStart"/>
            <w:r w:rsidRPr="001D6629">
              <w:rPr>
                <w:color w:val="FFFFFF" w:themeColor="background1"/>
              </w:rPr>
              <w:t>cases</w:t>
            </w:r>
            <w:r w:rsidRPr="00C14542">
              <w:rPr>
                <w:color w:val="FFFFFF" w:themeColor="background1"/>
                <w:vertAlign w:val="superscript"/>
              </w:rPr>
              <w:t>b</w:t>
            </w:r>
            <w:proofErr w:type="spellEnd"/>
            <w:r w:rsidRPr="001D6629">
              <w:rPr>
                <w:color w:val="FFFFFF" w:themeColor="background1"/>
              </w:rPr>
              <w:br/>
              <w:t>(to 19:00 AEDT 14 March 2020)</w:t>
            </w:r>
          </w:p>
        </w:tc>
      </w:tr>
      <w:tr w:rsidR="00CF1E81" w14:paraId="764C37B8" w14:textId="77777777" w:rsidTr="00D562C2">
        <w:tc>
          <w:tcPr>
            <w:tcW w:w="3480" w:type="dxa"/>
            <w:hideMark/>
          </w:tcPr>
          <w:p w14:paraId="78A46F09" w14:textId="77777777" w:rsidR="00CF1E81" w:rsidRDefault="00CF1E81">
            <w:pPr>
              <w:pStyle w:val="NormalWeb"/>
            </w:pPr>
            <w:r>
              <w:t>NSW</w:t>
            </w:r>
          </w:p>
        </w:tc>
        <w:tc>
          <w:tcPr>
            <w:tcW w:w="3480" w:type="dxa"/>
            <w:hideMark/>
          </w:tcPr>
          <w:p w14:paraId="57449E02" w14:textId="77777777" w:rsidR="00CF1E81" w:rsidRDefault="00CF1E81" w:rsidP="00D562C2">
            <w:pPr>
              <w:pStyle w:val="NormalWeb"/>
              <w:jc w:val="center"/>
            </w:pPr>
            <w:r>
              <w:t>74</w:t>
            </w:r>
          </w:p>
        </w:tc>
        <w:tc>
          <w:tcPr>
            <w:tcW w:w="3480" w:type="dxa"/>
            <w:hideMark/>
          </w:tcPr>
          <w:p w14:paraId="7E6EA8BC" w14:textId="77777777" w:rsidR="00CF1E81" w:rsidRDefault="00CF1E81" w:rsidP="00D562C2">
            <w:pPr>
              <w:pStyle w:val="NormalWeb"/>
              <w:jc w:val="center"/>
            </w:pPr>
            <w:r>
              <w:t>152</w:t>
            </w:r>
          </w:p>
        </w:tc>
      </w:tr>
      <w:tr w:rsidR="00CF1E81" w14:paraId="3F8DE25C" w14:textId="77777777" w:rsidTr="00D562C2">
        <w:trPr>
          <w:cnfStyle w:val="000000010000" w:firstRow="0" w:lastRow="0" w:firstColumn="0" w:lastColumn="0" w:oddVBand="0" w:evenVBand="0" w:oddHBand="0" w:evenHBand="1" w:firstRowFirstColumn="0" w:firstRowLastColumn="0" w:lastRowFirstColumn="0" w:lastRowLastColumn="0"/>
        </w:trPr>
        <w:tc>
          <w:tcPr>
            <w:tcW w:w="3480" w:type="dxa"/>
            <w:hideMark/>
          </w:tcPr>
          <w:p w14:paraId="65027EC2" w14:textId="77777777" w:rsidR="00CF1E81" w:rsidRDefault="00CF1E81">
            <w:pPr>
              <w:pStyle w:val="NormalWeb"/>
            </w:pPr>
            <w:r>
              <w:t>Vic</w:t>
            </w:r>
          </w:p>
        </w:tc>
        <w:tc>
          <w:tcPr>
            <w:tcW w:w="3480" w:type="dxa"/>
            <w:hideMark/>
          </w:tcPr>
          <w:p w14:paraId="2BC5CE7D" w14:textId="77777777" w:rsidR="00CF1E81" w:rsidRDefault="00CF1E81" w:rsidP="00D562C2">
            <w:pPr>
              <w:pStyle w:val="NormalWeb"/>
              <w:jc w:val="center"/>
            </w:pPr>
            <w:r>
              <w:t>20</w:t>
            </w:r>
          </w:p>
        </w:tc>
        <w:tc>
          <w:tcPr>
            <w:tcW w:w="3480" w:type="dxa"/>
            <w:hideMark/>
          </w:tcPr>
          <w:p w14:paraId="5E8F6E78" w14:textId="77777777" w:rsidR="00CF1E81" w:rsidRDefault="00CF1E81" w:rsidP="00D562C2">
            <w:pPr>
              <w:pStyle w:val="NormalWeb"/>
              <w:jc w:val="center"/>
            </w:pPr>
            <w:r>
              <w:t>46</w:t>
            </w:r>
          </w:p>
        </w:tc>
      </w:tr>
      <w:tr w:rsidR="00CF1E81" w14:paraId="09927C3C" w14:textId="77777777" w:rsidTr="00D562C2">
        <w:tc>
          <w:tcPr>
            <w:tcW w:w="3480" w:type="dxa"/>
            <w:hideMark/>
          </w:tcPr>
          <w:p w14:paraId="4131CB6C" w14:textId="77777777" w:rsidR="00CF1E81" w:rsidRDefault="00CF1E81">
            <w:pPr>
              <w:pStyle w:val="NormalWeb"/>
            </w:pPr>
            <w:r>
              <w:t>Qld</w:t>
            </w:r>
          </w:p>
        </w:tc>
        <w:tc>
          <w:tcPr>
            <w:tcW w:w="3480" w:type="dxa"/>
            <w:hideMark/>
          </w:tcPr>
          <w:p w14:paraId="2E55CC92" w14:textId="77777777" w:rsidR="00CF1E81" w:rsidRDefault="00CF1E81" w:rsidP="00D562C2">
            <w:pPr>
              <w:pStyle w:val="NormalWeb"/>
              <w:jc w:val="center"/>
            </w:pPr>
            <w:r>
              <w:t>35</w:t>
            </w:r>
          </w:p>
        </w:tc>
        <w:tc>
          <w:tcPr>
            <w:tcW w:w="3480" w:type="dxa"/>
            <w:hideMark/>
          </w:tcPr>
          <w:p w14:paraId="2C95CAD1" w14:textId="77777777" w:rsidR="00CF1E81" w:rsidRDefault="00CF1E81" w:rsidP="00D562C2">
            <w:pPr>
              <w:pStyle w:val="NormalWeb"/>
              <w:jc w:val="center"/>
            </w:pPr>
            <w:r>
              <w:t>55</w:t>
            </w:r>
          </w:p>
        </w:tc>
      </w:tr>
      <w:tr w:rsidR="00CF1E81" w14:paraId="537F0B5E" w14:textId="77777777" w:rsidTr="00D562C2">
        <w:trPr>
          <w:cnfStyle w:val="000000010000" w:firstRow="0" w:lastRow="0" w:firstColumn="0" w:lastColumn="0" w:oddVBand="0" w:evenVBand="0" w:oddHBand="0" w:evenHBand="1" w:firstRowFirstColumn="0" w:firstRowLastColumn="0" w:lastRowFirstColumn="0" w:lastRowLastColumn="0"/>
        </w:trPr>
        <w:tc>
          <w:tcPr>
            <w:tcW w:w="3480" w:type="dxa"/>
            <w:hideMark/>
          </w:tcPr>
          <w:p w14:paraId="53B4C823" w14:textId="77777777" w:rsidR="00CF1E81" w:rsidRDefault="00CF1E81">
            <w:pPr>
              <w:pStyle w:val="NormalWeb"/>
            </w:pPr>
            <w:r>
              <w:t>WA</w:t>
            </w:r>
          </w:p>
        </w:tc>
        <w:tc>
          <w:tcPr>
            <w:tcW w:w="3480" w:type="dxa"/>
            <w:hideMark/>
          </w:tcPr>
          <w:p w14:paraId="596EC559" w14:textId="77777777" w:rsidR="00CF1E81" w:rsidRDefault="00CF1E81" w:rsidP="00D562C2">
            <w:pPr>
              <w:pStyle w:val="NormalWeb"/>
              <w:jc w:val="center"/>
            </w:pPr>
            <w:r>
              <w:t>6</w:t>
            </w:r>
          </w:p>
        </w:tc>
        <w:tc>
          <w:tcPr>
            <w:tcW w:w="3480" w:type="dxa"/>
            <w:hideMark/>
          </w:tcPr>
          <w:p w14:paraId="0995D0FC" w14:textId="77777777" w:rsidR="00CF1E81" w:rsidRDefault="00CF1E81" w:rsidP="00D562C2">
            <w:pPr>
              <w:pStyle w:val="NormalWeb"/>
              <w:jc w:val="center"/>
            </w:pPr>
            <w:r>
              <w:t>14</w:t>
            </w:r>
          </w:p>
        </w:tc>
      </w:tr>
      <w:tr w:rsidR="00CF1E81" w14:paraId="5B0D3FFF" w14:textId="77777777" w:rsidTr="00D562C2">
        <w:tc>
          <w:tcPr>
            <w:tcW w:w="3480" w:type="dxa"/>
            <w:hideMark/>
          </w:tcPr>
          <w:p w14:paraId="4BE3FB5A" w14:textId="77777777" w:rsidR="00CF1E81" w:rsidRDefault="00CF1E81">
            <w:pPr>
              <w:pStyle w:val="NormalWeb"/>
            </w:pPr>
            <w:r>
              <w:t>SA</w:t>
            </w:r>
          </w:p>
        </w:tc>
        <w:tc>
          <w:tcPr>
            <w:tcW w:w="3480" w:type="dxa"/>
            <w:hideMark/>
          </w:tcPr>
          <w:p w14:paraId="042E7C3F" w14:textId="77777777" w:rsidR="00CF1E81" w:rsidRDefault="00CF1E81" w:rsidP="00D562C2">
            <w:pPr>
              <w:pStyle w:val="NormalWeb"/>
              <w:jc w:val="center"/>
            </w:pPr>
            <w:r>
              <w:t>8</w:t>
            </w:r>
          </w:p>
        </w:tc>
        <w:tc>
          <w:tcPr>
            <w:tcW w:w="3480" w:type="dxa"/>
            <w:hideMark/>
          </w:tcPr>
          <w:p w14:paraId="06613A7B" w14:textId="77777777" w:rsidR="00CF1E81" w:rsidRDefault="00CF1E81" w:rsidP="00D562C2">
            <w:pPr>
              <w:pStyle w:val="NormalWeb"/>
              <w:jc w:val="center"/>
            </w:pPr>
            <w:r>
              <w:t>21</w:t>
            </w:r>
          </w:p>
        </w:tc>
      </w:tr>
      <w:tr w:rsidR="00CF1E81" w14:paraId="4EFD4F79" w14:textId="77777777" w:rsidTr="00D562C2">
        <w:trPr>
          <w:cnfStyle w:val="000000010000" w:firstRow="0" w:lastRow="0" w:firstColumn="0" w:lastColumn="0" w:oddVBand="0" w:evenVBand="0" w:oddHBand="0" w:evenHBand="1" w:firstRowFirstColumn="0" w:firstRowLastColumn="0" w:lastRowFirstColumn="0" w:lastRowLastColumn="0"/>
        </w:trPr>
        <w:tc>
          <w:tcPr>
            <w:tcW w:w="3480" w:type="dxa"/>
            <w:hideMark/>
          </w:tcPr>
          <w:p w14:paraId="265D0623" w14:textId="77777777" w:rsidR="00CF1E81" w:rsidRDefault="00CF1E81">
            <w:pPr>
              <w:pStyle w:val="NormalWeb"/>
            </w:pPr>
            <w:r>
              <w:t>Tas</w:t>
            </w:r>
          </w:p>
        </w:tc>
        <w:tc>
          <w:tcPr>
            <w:tcW w:w="3480" w:type="dxa"/>
            <w:hideMark/>
          </w:tcPr>
          <w:p w14:paraId="59C120CA" w14:textId="77777777" w:rsidR="00CF1E81" w:rsidRDefault="00CF1E81" w:rsidP="00D562C2">
            <w:pPr>
              <w:pStyle w:val="NormalWeb"/>
              <w:jc w:val="center"/>
            </w:pPr>
            <w:r>
              <w:t>4</w:t>
            </w:r>
          </w:p>
        </w:tc>
        <w:tc>
          <w:tcPr>
            <w:tcW w:w="3480" w:type="dxa"/>
            <w:hideMark/>
          </w:tcPr>
          <w:p w14:paraId="6113C870" w14:textId="77777777" w:rsidR="00CF1E81" w:rsidRDefault="00CF1E81" w:rsidP="00D562C2">
            <w:pPr>
              <w:pStyle w:val="NormalWeb"/>
              <w:jc w:val="center"/>
            </w:pPr>
            <w:r>
              <w:t>6</w:t>
            </w:r>
          </w:p>
        </w:tc>
      </w:tr>
      <w:tr w:rsidR="00CF1E81" w14:paraId="77F1FE43" w14:textId="77777777" w:rsidTr="00D562C2">
        <w:tc>
          <w:tcPr>
            <w:tcW w:w="3480" w:type="dxa"/>
            <w:hideMark/>
          </w:tcPr>
          <w:p w14:paraId="66DEA62D" w14:textId="77777777" w:rsidR="00CF1E81" w:rsidRDefault="00CF1E81">
            <w:pPr>
              <w:pStyle w:val="NormalWeb"/>
            </w:pPr>
            <w:r>
              <w:t>NT</w:t>
            </w:r>
          </w:p>
        </w:tc>
        <w:tc>
          <w:tcPr>
            <w:tcW w:w="3480" w:type="dxa"/>
            <w:hideMark/>
          </w:tcPr>
          <w:p w14:paraId="069A08A8" w14:textId="77777777" w:rsidR="00CF1E81" w:rsidRDefault="00CF1E81" w:rsidP="00D562C2">
            <w:pPr>
              <w:pStyle w:val="NormalWeb"/>
              <w:jc w:val="center"/>
            </w:pPr>
            <w:r>
              <w:t>0</w:t>
            </w:r>
          </w:p>
        </w:tc>
        <w:tc>
          <w:tcPr>
            <w:tcW w:w="3480" w:type="dxa"/>
            <w:hideMark/>
          </w:tcPr>
          <w:p w14:paraId="5E4AD59E" w14:textId="77777777" w:rsidR="00CF1E81" w:rsidRDefault="00CF1E81" w:rsidP="00D562C2">
            <w:pPr>
              <w:pStyle w:val="NormalWeb"/>
              <w:jc w:val="center"/>
            </w:pPr>
            <w:r>
              <w:t>0</w:t>
            </w:r>
          </w:p>
        </w:tc>
      </w:tr>
      <w:tr w:rsidR="00CF1E81" w14:paraId="5C1AC9FB" w14:textId="77777777" w:rsidTr="00D562C2">
        <w:trPr>
          <w:cnfStyle w:val="000000010000" w:firstRow="0" w:lastRow="0" w:firstColumn="0" w:lastColumn="0" w:oddVBand="0" w:evenVBand="0" w:oddHBand="0" w:evenHBand="1" w:firstRowFirstColumn="0" w:firstRowLastColumn="0" w:lastRowFirstColumn="0" w:lastRowLastColumn="0"/>
        </w:trPr>
        <w:tc>
          <w:tcPr>
            <w:tcW w:w="3480" w:type="dxa"/>
            <w:hideMark/>
          </w:tcPr>
          <w:p w14:paraId="19B457D0" w14:textId="77777777" w:rsidR="00CF1E81" w:rsidRDefault="00CF1E81">
            <w:pPr>
              <w:pStyle w:val="NormalWeb"/>
            </w:pPr>
            <w:r>
              <w:t>ACT</w:t>
            </w:r>
          </w:p>
        </w:tc>
        <w:tc>
          <w:tcPr>
            <w:tcW w:w="3480" w:type="dxa"/>
            <w:hideMark/>
          </w:tcPr>
          <w:p w14:paraId="369989A0" w14:textId="77777777" w:rsidR="00CF1E81" w:rsidRDefault="00CF1E81" w:rsidP="00D562C2">
            <w:pPr>
              <w:pStyle w:val="NormalWeb"/>
              <w:jc w:val="center"/>
            </w:pPr>
            <w:r>
              <w:t>1</w:t>
            </w:r>
          </w:p>
        </w:tc>
        <w:tc>
          <w:tcPr>
            <w:tcW w:w="3480" w:type="dxa"/>
            <w:hideMark/>
          </w:tcPr>
          <w:p w14:paraId="3B418868" w14:textId="77777777" w:rsidR="00CF1E81" w:rsidRDefault="00CF1E81" w:rsidP="00D562C2">
            <w:pPr>
              <w:pStyle w:val="NormalWeb"/>
              <w:jc w:val="center"/>
            </w:pPr>
            <w:r>
              <w:t>1</w:t>
            </w:r>
          </w:p>
        </w:tc>
      </w:tr>
      <w:tr w:rsidR="00CF1E81" w:rsidRPr="00D562C2" w14:paraId="1406335A" w14:textId="77777777" w:rsidTr="00D562C2">
        <w:tc>
          <w:tcPr>
            <w:tcW w:w="3480" w:type="dxa"/>
            <w:shd w:val="clear" w:color="auto" w:fill="FDE9D9" w:themeFill="accent6" w:themeFillTint="33"/>
            <w:hideMark/>
          </w:tcPr>
          <w:p w14:paraId="0AC397F9" w14:textId="77777777" w:rsidR="00CF1E81" w:rsidRPr="00D562C2" w:rsidRDefault="00CF1E81">
            <w:pPr>
              <w:pStyle w:val="NormalWeb"/>
              <w:rPr>
                <w:b/>
              </w:rPr>
            </w:pPr>
            <w:r w:rsidRPr="00D562C2">
              <w:rPr>
                <w:b/>
              </w:rPr>
              <w:t>Total cases</w:t>
            </w:r>
          </w:p>
        </w:tc>
        <w:tc>
          <w:tcPr>
            <w:tcW w:w="3480" w:type="dxa"/>
            <w:shd w:val="clear" w:color="auto" w:fill="FDE9D9" w:themeFill="accent6" w:themeFillTint="33"/>
            <w:hideMark/>
          </w:tcPr>
          <w:p w14:paraId="0CA9F39E" w14:textId="77777777" w:rsidR="00CF1E81" w:rsidRPr="00D562C2" w:rsidRDefault="00CF1E81" w:rsidP="00D562C2">
            <w:pPr>
              <w:pStyle w:val="NormalWeb"/>
              <w:jc w:val="center"/>
              <w:rPr>
                <w:b/>
              </w:rPr>
            </w:pPr>
            <w:r w:rsidRPr="00D562C2">
              <w:rPr>
                <w:b/>
              </w:rPr>
              <w:t>148</w:t>
            </w:r>
          </w:p>
        </w:tc>
        <w:tc>
          <w:tcPr>
            <w:tcW w:w="3480" w:type="dxa"/>
            <w:shd w:val="clear" w:color="auto" w:fill="FDE9D9" w:themeFill="accent6" w:themeFillTint="33"/>
            <w:hideMark/>
          </w:tcPr>
          <w:p w14:paraId="6EF3A4CD" w14:textId="77777777" w:rsidR="00CF1E81" w:rsidRPr="00D562C2" w:rsidRDefault="00CF1E81" w:rsidP="00D562C2">
            <w:pPr>
              <w:pStyle w:val="NormalWeb"/>
              <w:jc w:val="center"/>
              <w:rPr>
                <w:b/>
              </w:rPr>
            </w:pPr>
            <w:r w:rsidRPr="00D562C2">
              <w:rPr>
                <w:b/>
              </w:rPr>
              <w:t>295</w:t>
            </w:r>
          </w:p>
        </w:tc>
      </w:tr>
    </w:tbl>
    <w:p w14:paraId="4CECC64E" w14:textId="77777777" w:rsidR="00CF1E81" w:rsidRDefault="00CF1E81" w:rsidP="005B65CF">
      <w:pPr>
        <w:pStyle w:val="CDIfootnotes"/>
      </w:pPr>
      <w:proofErr w:type="gramStart"/>
      <w:r>
        <w:t>a</w:t>
      </w:r>
      <w:proofErr w:type="gramEnd"/>
      <w:r>
        <w:tab/>
        <w:t>NSW = New South Wales, Vic = Victoria, Qld = Queensland, WA = Western Australia, SA = South Australia, Tas = Tasmania, NT = Northern Territory, ACT = Australian Capital Territory.</w:t>
      </w:r>
    </w:p>
    <w:p w14:paraId="32808A89" w14:textId="77777777" w:rsidR="00CF1E81" w:rsidRDefault="00CF1E81" w:rsidP="005B65CF">
      <w:pPr>
        <w:pStyle w:val="CDIfootnotes"/>
      </w:pPr>
      <w:r>
        <w:t>b</w:t>
      </w:r>
      <w:r>
        <w:tab/>
        <w:t>Case totals for this report</w:t>
      </w:r>
      <w:r w:rsidR="005B4D90">
        <w:t>,</w:t>
      </w:r>
      <w:r>
        <w:t xml:space="preserve"> and ongoing</w:t>
      </w:r>
      <w:r w:rsidR="005B4D90">
        <w:t>,</w:t>
      </w:r>
      <w:r>
        <w:t xml:space="preserve"> use data in the NNDSS to ensure systematic management of information. There may be differences in case numbers from last week due to changes in reporting methods for this report and future reports.</w:t>
      </w:r>
    </w:p>
    <w:p w14:paraId="084F6857" w14:textId="77777777" w:rsidR="00CF1E81" w:rsidRDefault="00CF1E81">
      <w:pPr>
        <w:pStyle w:val="NormalWeb"/>
      </w:pPr>
      <w:r>
        <w:t xml:space="preserve">Of the 295 confirmed cases reported in the </w:t>
      </w:r>
      <w:r w:rsidR="005B4D90">
        <w:t>National Notifiable Diseases Surveillance System (</w:t>
      </w:r>
      <w:r>
        <w:t>NNDSS</w:t>
      </w:r>
      <w:r w:rsidR="005B4D90">
        <w:t>)</w:t>
      </w:r>
      <w:r>
        <w:t xml:space="preserve">, 86% (n = 253) reported a place of acquisition and 14% (n = 42) remain under investigation. Of reported place of acquisition, 66% (n = 166) had a recent travel history and 34% (n = 87) were locally acquired. Of cases that reported recent travel history, 22% (n = 36) have a direct link to USA, 11% (n = 18) have a direct link to Italy, 9% (n = 15) have a direct link to Iran, 8% (n = 13) have a direct link to the UK, 8% (n = 13) have a direct link to China, 6% (n = 10) were passengers on the ‘Diamond Princess’ cruise ship repatriated from Japan, and 37% (n = 61) have a recent travel history to other countries. </w:t>
      </w:r>
    </w:p>
    <w:p w14:paraId="6962786B" w14:textId="77777777" w:rsidR="00CF1E81" w:rsidRDefault="00CF1E81">
      <w:pPr>
        <w:pStyle w:val="NormalWeb"/>
      </w:pPr>
      <w:r>
        <w:t xml:space="preserve">Of the 34% (n = 87) of cases that were locally acquired, 75% (n = 65) were from NSW, 9% (n = 8) from Qld, 9% (n = 8) from SA, 2% (n = 2) from WA, 2% (n = 2) from Vic, 1% (n = 1) from ACT and 1% (n = 1) from Tas. </w:t>
      </w:r>
    </w:p>
    <w:p w14:paraId="01B27E29" w14:textId="77777777" w:rsidR="00CF1E81" w:rsidRDefault="00CF1E81">
      <w:pPr>
        <w:pStyle w:val="NormalWeb"/>
      </w:pPr>
      <w:r>
        <w:t xml:space="preserve">There were three reported deaths as of 14 March 2020, one associated with the ‘Diamond Princess’ cruise ship, and two who were part of the same aged care facility cluster in NSW. </w:t>
      </w:r>
    </w:p>
    <w:p w14:paraId="379EA3D7" w14:textId="213057D3" w:rsidR="00CF1E81" w:rsidRDefault="00CF1E81">
      <w:pPr>
        <w:pStyle w:val="NormalWeb"/>
      </w:pPr>
      <w:r>
        <w:t>The median age of all 295 reported Australian cases was 47 years (range 0–94 years), with the highest proportion of cases aged 50</w:t>
      </w:r>
      <w:r w:rsidR="005B4D90">
        <w:t>–</w:t>
      </w:r>
      <w:r>
        <w:t>59 and 60</w:t>
      </w:r>
      <w:r w:rsidR="005B4D90">
        <w:t>–</w:t>
      </w:r>
      <w:r>
        <w:t>69 years (Figure 2). The male-to-female ratio was approximately 1:1. All three cases that were reported to have died were aged over 70 years.</w:t>
      </w:r>
    </w:p>
    <w:p w14:paraId="5C004ABE" w14:textId="77777777" w:rsidR="003D62C3" w:rsidRDefault="003D62C3" w:rsidP="003D62C3">
      <w:pPr>
        <w:pStyle w:val="CDIFigures"/>
        <w:sectPr w:rsidR="003D62C3" w:rsidSect="00A30C37">
          <w:pgSz w:w="11906" w:h="16838"/>
          <w:pgMar w:top="720" w:right="720" w:bottom="1134" w:left="720" w:header="709" w:footer="284" w:gutter="0"/>
          <w:cols w:space="708"/>
          <w:titlePg/>
          <w:docGrid w:linePitch="360"/>
        </w:sectPr>
      </w:pPr>
    </w:p>
    <w:p w14:paraId="1240517D" w14:textId="77777777" w:rsidR="00CF1E81" w:rsidRDefault="00CF1E81" w:rsidP="003D62C3">
      <w:pPr>
        <w:pStyle w:val="CDIFigures"/>
      </w:pPr>
      <w:r>
        <w:lastRenderedPageBreak/>
        <w:t>Figure 2: Age distribution of COVID-19 cases, by sex, Australia, 2020 (n = 295)</w:t>
      </w:r>
    </w:p>
    <w:p w14:paraId="4882E28E" w14:textId="77777777" w:rsidR="00CF1E81" w:rsidRDefault="00CF1E81">
      <w:pPr>
        <w:rPr>
          <w:rFonts w:eastAsia="Times New Roman"/>
        </w:rPr>
      </w:pPr>
      <w:r>
        <w:rPr>
          <w:rFonts w:eastAsia="Times New Roman"/>
          <w:noProof/>
        </w:rPr>
        <w:drawing>
          <wp:inline distT="0" distB="0" distL="0" distR="0" wp14:anchorId="69B40CD0" wp14:editId="430E8641">
            <wp:extent cx="6621069" cy="4082387"/>
            <wp:effectExtent l="0" t="0" r="8890" b="0"/>
            <wp:docPr id="2" name="Picture 2" descr="Bar chart showing age distribution of COVID-19 cases in Australia, for males and females. The male:female ratio is approximately 1:1. Case numbers are highest in the 50–54 through to 65–69 year age grou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r chart showing age distribution of COVID-19 cases in Australia, for males and females. The male:female ratio is approximately 1:1. Case numbers are highest in the 50–54 through to 65–69 year age groups."/>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6629543" cy="4087612"/>
                    </a:xfrm>
                    <a:prstGeom prst="rect">
                      <a:avLst/>
                    </a:prstGeom>
                  </pic:spPr>
                </pic:pic>
              </a:graphicData>
            </a:graphic>
          </wp:inline>
        </w:drawing>
      </w:r>
    </w:p>
    <w:p w14:paraId="603A39A0" w14:textId="77777777" w:rsidR="00CF1E81" w:rsidRDefault="00CF1E81">
      <w:pPr>
        <w:pStyle w:val="NormalWeb"/>
      </w:pPr>
      <w:r>
        <w:t xml:space="preserve">Of the 295 confirmed cases, 76% (n = 225) had hospitalisation data reported (Figure 3). Of those cases, 36% (n = 80) were hospitalised, 43% (n = 97) were not hospitalised, and hospitalisation status for 21% (n = 48) was unknown. The 60–64 age group reported the highest proportion of hospitalisation at 13% (n = 10), followed by the 30–34 and 35–39 age groups both reporting 11% (n = 9), and the 40–44 and 50–54 age groups both reporting 10% (n = 8). </w:t>
      </w:r>
    </w:p>
    <w:p w14:paraId="34C19960" w14:textId="77777777" w:rsidR="00325B94" w:rsidRDefault="00325B94">
      <w:pPr>
        <w:rPr>
          <w:b/>
        </w:rPr>
      </w:pPr>
      <w:r>
        <w:br w:type="page"/>
      </w:r>
    </w:p>
    <w:p w14:paraId="0225C116" w14:textId="77777777" w:rsidR="00CF1E81" w:rsidRDefault="00CF1E81" w:rsidP="00325B94">
      <w:pPr>
        <w:pStyle w:val="CDIFigures"/>
      </w:pPr>
      <w:r>
        <w:lastRenderedPageBreak/>
        <w:t>Figure 3: Age distribution of hospitalisation status of COVID-19 cases, Australia, 2020 (n = 225)</w:t>
      </w:r>
      <w:r w:rsidRPr="00B26D35">
        <w:rPr>
          <w:vertAlign w:val="superscript"/>
        </w:rPr>
        <w:t>a</w:t>
      </w:r>
    </w:p>
    <w:p w14:paraId="7D6D07DC" w14:textId="77777777" w:rsidR="00CF1E81" w:rsidRDefault="00CF1E81">
      <w:pPr>
        <w:pStyle w:val="NormalWeb"/>
      </w:pPr>
      <w:r>
        <w:rPr>
          <w:noProof/>
        </w:rPr>
        <w:drawing>
          <wp:inline distT="0" distB="0" distL="0" distR="0" wp14:anchorId="67FF39CE" wp14:editId="11B40AC9">
            <wp:extent cx="6105156" cy="3977648"/>
            <wp:effectExtent l="0" t="0" r="0" b="3810"/>
            <wp:docPr id="3" name="Picture 3" descr="Bar chart showing age distribution of hospitalisation status for COVID-19 cases in Australia. Hospitalisation rates were highest among the 60–64 age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r chart showing age distribution of hospitalisation status for COVID-19 cases in Australia. Hospitalisation rates were highest among the 60–64 age group."/>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6105156" cy="3977648"/>
                    </a:xfrm>
                    <a:prstGeom prst="rect">
                      <a:avLst/>
                    </a:prstGeom>
                  </pic:spPr>
                </pic:pic>
              </a:graphicData>
            </a:graphic>
          </wp:inline>
        </w:drawing>
      </w:r>
    </w:p>
    <w:p w14:paraId="5AD37CD5" w14:textId="77777777" w:rsidR="00CF1E81" w:rsidRDefault="00CF1E81" w:rsidP="00B47CF2">
      <w:pPr>
        <w:pStyle w:val="CDIfootnotes"/>
      </w:pPr>
      <w:r>
        <w:t>a</w:t>
      </w:r>
      <w:r>
        <w:tab/>
        <w:t>Hospitalisation data was missing for 26% (n = 70) of all cases</w:t>
      </w:r>
    </w:p>
    <w:p w14:paraId="7E68D629" w14:textId="77777777" w:rsidR="00CF1E81" w:rsidRDefault="00CF1E81" w:rsidP="00B47CF2">
      <w:r>
        <w:t xml:space="preserve">Of the 295 confirmed cases, 53% (n = 156) reported symptoms (Table 2). A total of fifteen symptoms were reported with fever being the most commonly reported by 69% of cases (n = 108). Fifty-four percent (n = 84) reported cough, 46% (n = 72) reported sore throat, 35% (n = 55) reported shortness of breath, and 31% (n = 48) reported diarrhoea. Only 1% of all cases reported either joint pain, pneumonia or acute respiratory disease (ARD). </w:t>
      </w:r>
    </w:p>
    <w:p w14:paraId="16ECDA7C" w14:textId="77777777" w:rsidR="0036001D" w:rsidRDefault="0036001D" w:rsidP="0036001D">
      <w:pPr>
        <w:pStyle w:val="CDIFigures"/>
        <w:sectPr w:rsidR="0036001D" w:rsidSect="00A30C37">
          <w:pgSz w:w="11906" w:h="16838"/>
          <w:pgMar w:top="720" w:right="720" w:bottom="1134" w:left="720" w:header="709" w:footer="284" w:gutter="0"/>
          <w:cols w:space="708"/>
          <w:titlePg/>
          <w:docGrid w:linePitch="360"/>
        </w:sectPr>
      </w:pPr>
    </w:p>
    <w:p w14:paraId="178676A1" w14:textId="77777777" w:rsidR="00CF1E81" w:rsidRDefault="00CF1E81" w:rsidP="0036001D">
      <w:pPr>
        <w:pStyle w:val="CDIFigures"/>
      </w:pPr>
      <w:r>
        <w:lastRenderedPageBreak/>
        <w:t>Table 2: COVID-19 symptoms in confirmed cases in Australia, 2020 (n = 156)</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able2 shows the percentages of confirmed COVID cases of COVID-19 within Australia experiencing different symptoms . The most commonly experienced symptom of COVID-19 is fever (69%), followed by cough (54%) and sore throat (46%)."/>
      </w:tblPr>
      <w:tblGrid>
        <w:gridCol w:w="3435"/>
        <w:gridCol w:w="3450"/>
        <w:gridCol w:w="3435"/>
      </w:tblGrid>
      <w:tr w:rsidR="005871AD" w:rsidRPr="005871AD" w14:paraId="3B7E80E9" w14:textId="77777777" w:rsidTr="00256620">
        <w:trPr>
          <w:cnfStyle w:val="100000000000" w:firstRow="1" w:lastRow="0" w:firstColumn="0" w:lastColumn="0" w:oddVBand="0" w:evenVBand="0" w:oddHBand="0" w:evenHBand="0" w:firstRowFirstColumn="0" w:firstRowLastColumn="0" w:lastRowFirstColumn="0" w:lastRowLastColumn="0"/>
          <w:tblHeader/>
        </w:trPr>
        <w:tc>
          <w:tcPr>
            <w:tcW w:w="3435" w:type="dxa"/>
            <w:hideMark/>
          </w:tcPr>
          <w:p w14:paraId="1C81BF14" w14:textId="77777777" w:rsidR="00CF1E81" w:rsidRPr="005871AD" w:rsidRDefault="00CF1E81">
            <w:pPr>
              <w:pStyle w:val="NormalWeb"/>
              <w:rPr>
                <w:color w:val="FFFFFF" w:themeColor="background1"/>
              </w:rPr>
            </w:pPr>
            <w:r w:rsidRPr="005871AD">
              <w:rPr>
                <w:color w:val="FFFFFF" w:themeColor="background1"/>
              </w:rPr>
              <w:t>Symptom</w:t>
            </w:r>
          </w:p>
        </w:tc>
        <w:tc>
          <w:tcPr>
            <w:tcW w:w="3450" w:type="dxa"/>
            <w:hideMark/>
          </w:tcPr>
          <w:p w14:paraId="388C2BC5" w14:textId="77777777" w:rsidR="00CF1E81" w:rsidRPr="005871AD" w:rsidRDefault="00CF1E81" w:rsidP="00D62BE4">
            <w:pPr>
              <w:pStyle w:val="NormalWeb"/>
              <w:jc w:val="center"/>
              <w:rPr>
                <w:color w:val="FFFFFF" w:themeColor="background1"/>
              </w:rPr>
            </w:pPr>
            <w:r w:rsidRPr="005871AD">
              <w:rPr>
                <w:color w:val="FFFFFF" w:themeColor="background1"/>
              </w:rPr>
              <w:t>n</w:t>
            </w:r>
          </w:p>
        </w:tc>
        <w:tc>
          <w:tcPr>
            <w:tcW w:w="3435" w:type="dxa"/>
            <w:hideMark/>
          </w:tcPr>
          <w:p w14:paraId="747805AC" w14:textId="77777777" w:rsidR="00CF1E81" w:rsidRPr="005871AD" w:rsidRDefault="00CF1E81" w:rsidP="00D62BE4">
            <w:pPr>
              <w:pStyle w:val="NormalWeb"/>
              <w:jc w:val="center"/>
              <w:rPr>
                <w:color w:val="FFFFFF" w:themeColor="background1"/>
              </w:rPr>
            </w:pPr>
            <w:r w:rsidRPr="005871AD">
              <w:rPr>
                <w:color w:val="FFFFFF" w:themeColor="background1"/>
              </w:rPr>
              <w:t>%</w:t>
            </w:r>
          </w:p>
        </w:tc>
      </w:tr>
      <w:tr w:rsidR="00CF1E81" w14:paraId="14084528" w14:textId="77777777" w:rsidTr="005871AD">
        <w:tc>
          <w:tcPr>
            <w:tcW w:w="3435" w:type="dxa"/>
            <w:hideMark/>
          </w:tcPr>
          <w:p w14:paraId="7F2433FF" w14:textId="77777777" w:rsidR="00CF1E81" w:rsidRDefault="00CF1E81">
            <w:pPr>
              <w:pStyle w:val="NormalWeb"/>
            </w:pPr>
            <w:r>
              <w:t>Fever</w:t>
            </w:r>
          </w:p>
        </w:tc>
        <w:tc>
          <w:tcPr>
            <w:tcW w:w="3450" w:type="dxa"/>
            <w:hideMark/>
          </w:tcPr>
          <w:p w14:paraId="2AEBB72C" w14:textId="77777777" w:rsidR="00CF1E81" w:rsidRDefault="00CF1E81" w:rsidP="00D62BE4">
            <w:pPr>
              <w:pStyle w:val="NormalWeb"/>
              <w:jc w:val="center"/>
            </w:pPr>
            <w:r>
              <w:t>108</w:t>
            </w:r>
          </w:p>
        </w:tc>
        <w:tc>
          <w:tcPr>
            <w:tcW w:w="3435" w:type="dxa"/>
            <w:hideMark/>
          </w:tcPr>
          <w:p w14:paraId="2FDEDE70" w14:textId="77777777" w:rsidR="00CF1E81" w:rsidRDefault="00CF1E81" w:rsidP="00D62BE4">
            <w:pPr>
              <w:pStyle w:val="NormalWeb"/>
              <w:jc w:val="center"/>
            </w:pPr>
            <w:r>
              <w:t>69%</w:t>
            </w:r>
          </w:p>
        </w:tc>
      </w:tr>
      <w:tr w:rsidR="00CF1E81" w14:paraId="225FFA4F" w14:textId="77777777" w:rsidTr="005871AD">
        <w:trPr>
          <w:cnfStyle w:val="000000010000" w:firstRow="0" w:lastRow="0" w:firstColumn="0" w:lastColumn="0" w:oddVBand="0" w:evenVBand="0" w:oddHBand="0" w:evenHBand="1" w:firstRowFirstColumn="0" w:firstRowLastColumn="0" w:lastRowFirstColumn="0" w:lastRowLastColumn="0"/>
        </w:trPr>
        <w:tc>
          <w:tcPr>
            <w:tcW w:w="3435" w:type="dxa"/>
            <w:hideMark/>
          </w:tcPr>
          <w:p w14:paraId="1C51DA89" w14:textId="77777777" w:rsidR="00CF1E81" w:rsidRDefault="00CF1E81">
            <w:pPr>
              <w:pStyle w:val="NormalWeb"/>
            </w:pPr>
            <w:r>
              <w:t>Cough</w:t>
            </w:r>
          </w:p>
        </w:tc>
        <w:tc>
          <w:tcPr>
            <w:tcW w:w="3450" w:type="dxa"/>
            <w:hideMark/>
          </w:tcPr>
          <w:p w14:paraId="0B398CCB" w14:textId="77777777" w:rsidR="00CF1E81" w:rsidRDefault="00CF1E81" w:rsidP="00D62BE4">
            <w:pPr>
              <w:pStyle w:val="NormalWeb"/>
              <w:jc w:val="center"/>
            </w:pPr>
            <w:r>
              <w:t>84</w:t>
            </w:r>
          </w:p>
        </w:tc>
        <w:tc>
          <w:tcPr>
            <w:tcW w:w="3435" w:type="dxa"/>
            <w:hideMark/>
          </w:tcPr>
          <w:p w14:paraId="39DB051D" w14:textId="77777777" w:rsidR="00CF1E81" w:rsidRDefault="00CF1E81" w:rsidP="00D62BE4">
            <w:pPr>
              <w:pStyle w:val="NormalWeb"/>
              <w:jc w:val="center"/>
            </w:pPr>
            <w:r>
              <w:t>54%</w:t>
            </w:r>
          </w:p>
        </w:tc>
      </w:tr>
      <w:tr w:rsidR="00CF1E81" w14:paraId="4C0CE480" w14:textId="77777777" w:rsidTr="005871AD">
        <w:tc>
          <w:tcPr>
            <w:tcW w:w="3435" w:type="dxa"/>
            <w:hideMark/>
          </w:tcPr>
          <w:p w14:paraId="57127B32" w14:textId="77777777" w:rsidR="00CF1E81" w:rsidRDefault="00CF1E81">
            <w:pPr>
              <w:pStyle w:val="NormalWeb"/>
            </w:pPr>
            <w:r>
              <w:t>Sore throat</w:t>
            </w:r>
          </w:p>
        </w:tc>
        <w:tc>
          <w:tcPr>
            <w:tcW w:w="3450" w:type="dxa"/>
            <w:hideMark/>
          </w:tcPr>
          <w:p w14:paraId="7B0D067A" w14:textId="77777777" w:rsidR="00CF1E81" w:rsidRDefault="00CF1E81" w:rsidP="00D62BE4">
            <w:pPr>
              <w:pStyle w:val="NormalWeb"/>
              <w:jc w:val="center"/>
            </w:pPr>
            <w:r>
              <w:t>72</w:t>
            </w:r>
          </w:p>
        </w:tc>
        <w:tc>
          <w:tcPr>
            <w:tcW w:w="3435" w:type="dxa"/>
            <w:hideMark/>
          </w:tcPr>
          <w:p w14:paraId="3DBE63F1" w14:textId="77777777" w:rsidR="00CF1E81" w:rsidRDefault="00CF1E81" w:rsidP="00D62BE4">
            <w:pPr>
              <w:pStyle w:val="NormalWeb"/>
              <w:jc w:val="center"/>
            </w:pPr>
            <w:r>
              <w:t>46%</w:t>
            </w:r>
          </w:p>
        </w:tc>
      </w:tr>
      <w:tr w:rsidR="00CF1E81" w14:paraId="5E5E1DA1" w14:textId="77777777" w:rsidTr="005871AD">
        <w:trPr>
          <w:cnfStyle w:val="000000010000" w:firstRow="0" w:lastRow="0" w:firstColumn="0" w:lastColumn="0" w:oddVBand="0" w:evenVBand="0" w:oddHBand="0" w:evenHBand="1" w:firstRowFirstColumn="0" w:firstRowLastColumn="0" w:lastRowFirstColumn="0" w:lastRowLastColumn="0"/>
        </w:trPr>
        <w:tc>
          <w:tcPr>
            <w:tcW w:w="3435" w:type="dxa"/>
            <w:hideMark/>
          </w:tcPr>
          <w:p w14:paraId="25A6D513" w14:textId="77777777" w:rsidR="00CF1E81" w:rsidRDefault="00CF1E81">
            <w:pPr>
              <w:pStyle w:val="NormalWeb"/>
            </w:pPr>
            <w:r>
              <w:t>Runny nose</w:t>
            </w:r>
          </w:p>
        </w:tc>
        <w:tc>
          <w:tcPr>
            <w:tcW w:w="3450" w:type="dxa"/>
            <w:hideMark/>
          </w:tcPr>
          <w:p w14:paraId="0C48F3D3" w14:textId="77777777" w:rsidR="00CF1E81" w:rsidRDefault="00CF1E81" w:rsidP="00D62BE4">
            <w:pPr>
              <w:pStyle w:val="NormalWeb"/>
              <w:jc w:val="center"/>
            </w:pPr>
            <w:r>
              <w:t>62</w:t>
            </w:r>
          </w:p>
        </w:tc>
        <w:tc>
          <w:tcPr>
            <w:tcW w:w="3435" w:type="dxa"/>
            <w:hideMark/>
          </w:tcPr>
          <w:p w14:paraId="65BEA8C9" w14:textId="77777777" w:rsidR="00CF1E81" w:rsidRDefault="00CF1E81" w:rsidP="00D62BE4">
            <w:pPr>
              <w:pStyle w:val="NormalWeb"/>
              <w:jc w:val="center"/>
            </w:pPr>
            <w:r>
              <w:t>40%</w:t>
            </w:r>
          </w:p>
        </w:tc>
      </w:tr>
      <w:tr w:rsidR="00CF1E81" w14:paraId="182E9401" w14:textId="77777777" w:rsidTr="005871AD">
        <w:tc>
          <w:tcPr>
            <w:tcW w:w="3435" w:type="dxa"/>
            <w:hideMark/>
          </w:tcPr>
          <w:p w14:paraId="5BA397EE" w14:textId="77777777" w:rsidR="00CF1E81" w:rsidRDefault="00CF1E81">
            <w:pPr>
              <w:pStyle w:val="NormalWeb"/>
            </w:pPr>
            <w:r>
              <w:t>Shortness of breath</w:t>
            </w:r>
          </w:p>
        </w:tc>
        <w:tc>
          <w:tcPr>
            <w:tcW w:w="3450" w:type="dxa"/>
            <w:hideMark/>
          </w:tcPr>
          <w:p w14:paraId="2E087BA0" w14:textId="77777777" w:rsidR="00CF1E81" w:rsidRDefault="00CF1E81" w:rsidP="00D62BE4">
            <w:pPr>
              <w:pStyle w:val="NormalWeb"/>
              <w:jc w:val="center"/>
            </w:pPr>
            <w:r>
              <w:t>55</w:t>
            </w:r>
          </w:p>
        </w:tc>
        <w:tc>
          <w:tcPr>
            <w:tcW w:w="3435" w:type="dxa"/>
            <w:hideMark/>
          </w:tcPr>
          <w:p w14:paraId="167B6DC3" w14:textId="77777777" w:rsidR="00CF1E81" w:rsidRDefault="00CF1E81" w:rsidP="00D62BE4">
            <w:pPr>
              <w:pStyle w:val="NormalWeb"/>
              <w:jc w:val="center"/>
            </w:pPr>
            <w:r>
              <w:t>35%</w:t>
            </w:r>
          </w:p>
        </w:tc>
      </w:tr>
      <w:tr w:rsidR="00CF1E81" w14:paraId="13B7A127" w14:textId="77777777" w:rsidTr="005871AD">
        <w:trPr>
          <w:cnfStyle w:val="000000010000" w:firstRow="0" w:lastRow="0" w:firstColumn="0" w:lastColumn="0" w:oddVBand="0" w:evenVBand="0" w:oddHBand="0" w:evenHBand="1" w:firstRowFirstColumn="0" w:firstRowLastColumn="0" w:lastRowFirstColumn="0" w:lastRowLastColumn="0"/>
        </w:trPr>
        <w:tc>
          <w:tcPr>
            <w:tcW w:w="3435" w:type="dxa"/>
            <w:hideMark/>
          </w:tcPr>
          <w:p w14:paraId="4DF0ACC0" w14:textId="77777777" w:rsidR="00CF1E81" w:rsidRDefault="00CF1E81">
            <w:pPr>
              <w:pStyle w:val="NormalWeb"/>
            </w:pPr>
            <w:r>
              <w:t>Diarrhoea</w:t>
            </w:r>
          </w:p>
        </w:tc>
        <w:tc>
          <w:tcPr>
            <w:tcW w:w="3450" w:type="dxa"/>
            <w:hideMark/>
          </w:tcPr>
          <w:p w14:paraId="2520190B" w14:textId="77777777" w:rsidR="00CF1E81" w:rsidRDefault="00CF1E81" w:rsidP="00D62BE4">
            <w:pPr>
              <w:pStyle w:val="NormalWeb"/>
              <w:jc w:val="center"/>
            </w:pPr>
            <w:r>
              <w:t>48</w:t>
            </w:r>
          </w:p>
        </w:tc>
        <w:tc>
          <w:tcPr>
            <w:tcW w:w="3435" w:type="dxa"/>
            <w:hideMark/>
          </w:tcPr>
          <w:p w14:paraId="5B6D85EC" w14:textId="77777777" w:rsidR="00CF1E81" w:rsidRDefault="00CF1E81" w:rsidP="00D62BE4">
            <w:pPr>
              <w:pStyle w:val="NormalWeb"/>
              <w:jc w:val="center"/>
            </w:pPr>
            <w:r>
              <w:t>31%</w:t>
            </w:r>
          </w:p>
        </w:tc>
      </w:tr>
      <w:tr w:rsidR="00CF1E81" w14:paraId="3311E4BE" w14:textId="77777777" w:rsidTr="005871AD">
        <w:tc>
          <w:tcPr>
            <w:tcW w:w="3435" w:type="dxa"/>
            <w:hideMark/>
          </w:tcPr>
          <w:p w14:paraId="06AE16A9" w14:textId="77777777" w:rsidR="00CF1E81" w:rsidRDefault="00CF1E81">
            <w:pPr>
              <w:pStyle w:val="NormalWeb"/>
            </w:pPr>
            <w:r>
              <w:t>Nausea/vomiting</w:t>
            </w:r>
          </w:p>
        </w:tc>
        <w:tc>
          <w:tcPr>
            <w:tcW w:w="3450" w:type="dxa"/>
            <w:hideMark/>
          </w:tcPr>
          <w:p w14:paraId="5FA7FB6D" w14:textId="77777777" w:rsidR="00CF1E81" w:rsidRDefault="00CF1E81" w:rsidP="00D62BE4">
            <w:pPr>
              <w:pStyle w:val="NormalWeb"/>
              <w:jc w:val="center"/>
            </w:pPr>
            <w:r>
              <w:t>34</w:t>
            </w:r>
          </w:p>
        </w:tc>
        <w:tc>
          <w:tcPr>
            <w:tcW w:w="3435" w:type="dxa"/>
            <w:hideMark/>
          </w:tcPr>
          <w:p w14:paraId="4A6580FA" w14:textId="77777777" w:rsidR="00CF1E81" w:rsidRDefault="00CF1E81" w:rsidP="00D62BE4">
            <w:pPr>
              <w:pStyle w:val="NormalWeb"/>
              <w:jc w:val="center"/>
            </w:pPr>
            <w:r>
              <w:t>22%</w:t>
            </w:r>
          </w:p>
        </w:tc>
      </w:tr>
      <w:tr w:rsidR="00CF1E81" w14:paraId="2ED51E91" w14:textId="77777777" w:rsidTr="005871AD">
        <w:trPr>
          <w:cnfStyle w:val="000000010000" w:firstRow="0" w:lastRow="0" w:firstColumn="0" w:lastColumn="0" w:oddVBand="0" w:evenVBand="0" w:oddHBand="0" w:evenHBand="1" w:firstRowFirstColumn="0" w:firstRowLastColumn="0" w:lastRowFirstColumn="0" w:lastRowLastColumn="0"/>
        </w:trPr>
        <w:tc>
          <w:tcPr>
            <w:tcW w:w="3435" w:type="dxa"/>
            <w:hideMark/>
          </w:tcPr>
          <w:p w14:paraId="50811268" w14:textId="77777777" w:rsidR="00CF1E81" w:rsidRDefault="00CF1E81">
            <w:pPr>
              <w:pStyle w:val="NormalWeb"/>
            </w:pPr>
            <w:r>
              <w:t>Headache</w:t>
            </w:r>
          </w:p>
        </w:tc>
        <w:tc>
          <w:tcPr>
            <w:tcW w:w="3450" w:type="dxa"/>
            <w:hideMark/>
          </w:tcPr>
          <w:p w14:paraId="02AC0144" w14:textId="77777777" w:rsidR="00CF1E81" w:rsidRDefault="00CF1E81" w:rsidP="00D62BE4">
            <w:pPr>
              <w:pStyle w:val="NormalWeb"/>
              <w:jc w:val="center"/>
            </w:pPr>
            <w:r>
              <w:t>31</w:t>
            </w:r>
          </w:p>
        </w:tc>
        <w:tc>
          <w:tcPr>
            <w:tcW w:w="3435" w:type="dxa"/>
            <w:hideMark/>
          </w:tcPr>
          <w:p w14:paraId="1BB94D3F" w14:textId="77777777" w:rsidR="00CF1E81" w:rsidRDefault="00CF1E81" w:rsidP="00D62BE4">
            <w:pPr>
              <w:pStyle w:val="NormalWeb"/>
              <w:jc w:val="center"/>
            </w:pPr>
            <w:r>
              <w:t>20%</w:t>
            </w:r>
          </w:p>
        </w:tc>
      </w:tr>
      <w:tr w:rsidR="00CF1E81" w14:paraId="0BD356C8" w14:textId="77777777" w:rsidTr="005871AD">
        <w:tc>
          <w:tcPr>
            <w:tcW w:w="3435" w:type="dxa"/>
            <w:hideMark/>
          </w:tcPr>
          <w:p w14:paraId="41025F64" w14:textId="77777777" w:rsidR="00CF1E81" w:rsidRDefault="00CF1E81">
            <w:pPr>
              <w:pStyle w:val="NormalWeb"/>
            </w:pPr>
            <w:r>
              <w:t>Irritability/confusion</w:t>
            </w:r>
          </w:p>
        </w:tc>
        <w:tc>
          <w:tcPr>
            <w:tcW w:w="3450" w:type="dxa"/>
            <w:hideMark/>
          </w:tcPr>
          <w:p w14:paraId="13125A72" w14:textId="77777777" w:rsidR="00CF1E81" w:rsidRDefault="00CF1E81" w:rsidP="00D62BE4">
            <w:pPr>
              <w:pStyle w:val="NormalWeb"/>
              <w:jc w:val="center"/>
            </w:pPr>
            <w:r>
              <w:t>27</w:t>
            </w:r>
          </w:p>
        </w:tc>
        <w:tc>
          <w:tcPr>
            <w:tcW w:w="3435" w:type="dxa"/>
            <w:hideMark/>
          </w:tcPr>
          <w:p w14:paraId="42247618" w14:textId="77777777" w:rsidR="00CF1E81" w:rsidRDefault="00CF1E81" w:rsidP="00D62BE4">
            <w:pPr>
              <w:pStyle w:val="NormalWeb"/>
              <w:jc w:val="center"/>
            </w:pPr>
            <w:r>
              <w:t>17%</w:t>
            </w:r>
          </w:p>
        </w:tc>
      </w:tr>
      <w:tr w:rsidR="00CF1E81" w14:paraId="34C87012" w14:textId="77777777" w:rsidTr="005871AD">
        <w:trPr>
          <w:cnfStyle w:val="000000010000" w:firstRow="0" w:lastRow="0" w:firstColumn="0" w:lastColumn="0" w:oddVBand="0" w:evenVBand="0" w:oddHBand="0" w:evenHBand="1" w:firstRowFirstColumn="0" w:firstRowLastColumn="0" w:lastRowFirstColumn="0" w:lastRowLastColumn="0"/>
        </w:trPr>
        <w:tc>
          <w:tcPr>
            <w:tcW w:w="3435" w:type="dxa"/>
            <w:hideMark/>
          </w:tcPr>
          <w:p w14:paraId="45B4E4E3" w14:textId="77777777" w:rsidR="00CF1E81" w:rsidRDefault="00CF1E81">
            <w:pPr>
              <w:pStyle w:val="NormalWeb"/>
            </w:pPr>
            <w:r>
              <w:t>Muscular pain</w:t>
            </w:r>
          </w:p>
        </w:tc>
        <w:tc>
          <w:tcPr>
            <w:tcW w:w="3450" w:type="dxa"/>
            <w:hideMark/>
          </w:tcPr>
          <w:p w14:paraId="47BDB513" w14:textId="77777777" w:rsidR="00CF1E81" w:rsidRDefault="00CF1E81" w:rsidP="00D62BE4">
            <w:pPr>
              <w:pStyle w:val="NormalWeb"/>
              <w:jc w:val="center"/>
            </w:pPr>
            <w:r>
              <w:t>22</w:t>
            </w:r>
          </w:p>
        </w:tc>
        <w:tc>
          <w:tcPr>
            <w:tcW w:w="3435" w:type="dxa"/>
            <w:hideMark/>
          </w:tcPr>
          <w:p w14:paraId="53D88739" w14:textId="77777777" w:rsidR="00CF1E81" w:rsidRDefault="00CF1E81" w:rsidP="00D62BE4">
            <w:pPr>
              <w:pStyle w:val="NormalWeb"/>
              <w:jc w:val="center"/>
            </w:pPr>
            <w:r>
              <w:t>14%</w:t>
            </w:r>
          </w:p>
        </w:tc>
      </w:tr>
      <w:tr w:rsidR="00CF1E81" w14:paraId="62BE9793" w14:textId="77777777" w:rsidTr="005871AD">
        <w:tc>
          <w:tcPr>
            <w:tcW w:w="3435" w:type="dxa"/>
            <w:hideMark/>
          </w:tcPr>
          <w:p w14:paraId="08803EA1" w14:textId="77777777" w:rsidR="00CF1E81" w:rsidRDefault="00CF1E81">
            <w:pPr>
              <w:pStyle w:val="NormalWeb"/>
            </w:pPr>
            <w:r>
              <w:t>Chest pain</w:t>
            </w:r>
          </w:p>
        </w:tc>
        <w:tc>
          <w:tcPr>
            <w:tcW w:w="3450" w:type="dxa"/>
            <w:hideMark/>
          </w:tcPr>
          <w:p w14:paraId="3AEF6308" w14:textId="77777777" w:rsidR="00CF1E81" w:rsidRDefault="00CF1E81" w:rsidP="00D62BE4">
            <w:pPr>
              <w:pStyle w:val="NormalWeb"/>
              <w:jc w:val="center"/>
            </w:pPr>
            <w:r>
              <w:t>9</w:t>
            </w:r>
          </w:p>
        </w:tc>
        <w:tc>
          <w:tcPr>
            <w:tcW w:w="3435" w:type="dxa"/>
            <w:hideMark/>
          </w:tcPr>
          <w:p w14:paraId="0CB6FAC2" w14:textId="77777777" w:rsidR="00CF1E81" w:rsidRDefault="00CF1E81" w:rsidP="00D62BE4">
            <w:pPr>
              <w:pStyle w:val="NormalWeb"/>
              <w:jc w:val="center"/>
            </w:pPr>
            <w:r>
              <w:t>6%</w:t>
            </w:r>
          </w:p>
        </w:tc>
      </w:tr>
      <w:tr w:rsidR="00CF1E81" w14:paraId="246D540F" w14:textId="77777777" w:rsidTr="005871AD">
        <w:trPr>
          <w:cnfStyle w:val="000000010000" w:firstRow="0" w:lastRow="0" w:firstColumn="0" w:lastColumn="0" w:oddVBand="0" w:evenVBand="0" w:oddHBand="0" w:evenHBand="1" w:firstRowFirstColumn="0" w:firstRowLastColumn="0" w:lastRowFirstColumn="0" w:lastRowLastColumn="0"/>
        </w:trPr>
        <w:tc>
          <w:tcPr>
            <w:tcW w:w="3435" w:type="dxa"/>
            <w:hideMark/>
          </w:tcPr>
          <w:p w14:paraId="44C9DDF6" w14:textId="77777777" w:rsidR="00CF1E81" w:rsidRDefault="00CF1E81">
            <w:pPr>
              <w:pStyle w:val="NormalWeb"/>
            </w:pPr>
            <w:r>
              <w:t>Abdominal pain</w:t>
            </w:r>
          </w:p>
        </w:tc>
        <w:tc>
          <w:tcPr>
            <w:tcW w:w="3450" w:type="dxa"/>
            <w:hideMark/>
          </w:tcPr>
          <w:p w14:paraId="0F54EE00" w14:textId="77777777" w:rsidR="00CF1E81" w:rsidRDefault="00CF1E81" w:rsidP="00D62BE4">
            <w:pPr>
              <w:pStyle w:val="NormalWeb"/>
              <w:jc w:val="center"/>
            </w:pPr>
            <w:r>
              <w:t>6</w:t>
            </w:r>
          </w:p>
        </w:tc>
        <w:tc>
          <w:tcPr>
            <w:tcW w:w="3435" w:type="dxa"/>
            <w:hideMark/>
          </w:tcPr>
          <w:p w14:paraId="483B425A" w14:textId="77777777" w:rsidR="00CF1E81" w:rsidRDefault="00CF1E81" w:rsidP="00D62BE4">
            <w:pPr>
              <w:pStyle w:val="NormalWeb"/>
              <w:jc w:val="center"/>
            </w:pPr>
            <w:r>
              <w:t>4%</w:t>
            </w:r>
          </w:p>
        </w:tc>
      </w:tr>
      <w:tr w:rsidR="00CF1E81" w14:paraId="3E21B7E4" w14:textId="77777777" w:rsidTr="005871AD">
        <w:tc>
          <w:tcPr>
            <w:tcW w:w="3435" w:type="dxa"/>
            <w:hideMark/>
          </w:tcPr>
          <w:p w14:paraId="113E835E" w14:textId="77777777" w:rsidR="00CF1E81" w:rsidRDefault="00CF1E81">
            <w:pPr>
              <w:pStyle w:val="NormalWeb"/>
            </w:pPr>
            <w:r>
              <w:t>Joint pain</w:t>
            </w:r>
          </w:p>
        </w:tc>
        <w:tc>
          <w:tcPr>
            <w:tcW w:w="3450" w:type="dxa"/>
            <w:hideMark/>
          </w:tcPr>
          <w:p w14:paraId="26425E4E" w14:textId="77777777" w:rsidR="00CF1E81" w:rsidRDefault="00CF1E81" w:rsidP="00D62BE4">
            <w:pPr>
              <w:pStyle w:val="NormalWeb"/>
              <w:jc w:val="center"/>
            </w:pPr>
            <w:r>
              <w:t>1</w:t>
            </w:r>
          </w:p>
        </w:tc>
        <w:tc>
          <w:tcPr>
            <w:tcW w:w="3435" w:type="dxa"/>
            <w:hideMark/>
          </w:tcPr>
          <w:p w14:paraId="5B288FCE" w14:textId="77777777" w:rsidR="00CF1E81" w:rsidRDefault="00CF1E81" w:rsidP="00D62BE4">
            <w:pPr>
              <w:pStyle w:val="NormalWeb"/>
              <w:jc w:val="center"/>
            </w:pPr>
            <w:r>
              <w:t>1%</w:t>
            </w:r>
          </w:p>
        </w:tc>
      </w:tr>
      <w:tr w:rsidR="00CF1E81" w14:paraId="226D3316" w14:textId="77777777" w:rsidTr="005871AD">
        <w:trPr>
          <w:cnfStyle w:val="000000010000" w:firstRow="0" w:lastRow="0" w:firstColumn="0" w:lastColumn="0" w:oddVBand="0" w:evenVBand="0" w:oddHBand="0" w:evenHBand="1" w:firstRowFirstColumn="0" w:firstRowLastColumn="0" w:lastRowFirstColumn="0" w:lastRowLastColumn="0"/>
        </w:trPr>
        <w:tc>
          <w:tcPr>
            <w:tcW w:w="3435" w:type="dxa"/>
            <w:hideMark/>
          </w:tcPr>
          <w:p w14:paraId="2E986871" w14:textId="77777777" w:rsidR="00CF1E81" w:rsidRDefault="00CF1E81">
            <w:pPr>
              <w:pStyle w:val="NormalWeb"/>
            </w:pPr>
            <w:r>
              <w:t>Pneumonia</w:t>
            </w:r>
          </w:p>
        </w:tc>
        <w:tc>
          <w:tcPr>
            <w:tcW w:w="3450" w:type="dxa"/>
            <w:hideMark/>
          </w:tcPr>
          <w:p w14:paraId="27EB7CE3" w14:textId="77777777" w:rsidR="00CF1E81" w:rsidRDefault="00CF1E81" w:rsidP="00D62BE4">
            <w:pPr>
              <w:pStyle w:val="NormalWeb"/>
              <w:jc w:val="center"/>
            </w:pPr>
            <w:r>
              <w:t>1</w:t>
            </w:r>
          </w:p>
        </w:tc>
        <w:tc>
          <w:tcPr>
            <w:tcW w:w="3435" w:type="dxa"/>
            <w:hideMark/>
          </w:tcPr>
          <w:p w14:paraId="1022CF09" w14:textId="77777777" w:rsidR="00CF1E81" w:rsidRDefault="00CF1E81" w:rsidP="00D62BE4">
            <w:pPr>
              <w:pStyle w:val="NormalWeb"/>
              <w:jc w:val="center"/>
            </w:pPr>
            <w:r>
              <w:t>1%</w:t>
            </w:r>
          </w:p>
        </w:tc>
      </w:tr>
      <w:tr w:rsidR="00CF1E81" w14:paraId="0F5D0546" w14:textId="77777777" w:rsidTr="005871AD">
        <w:tc>
          <w:tcPr>
            <w:tcW w:w="3435" w:type="dxa"/>
            <w:hideMark/>
          </w:tcPr>
          <w:p w14:paraId="524D89EA" w14:textId="77777777" w:rsidR="00CF1E81" w:rsidRDefault="00CF1E81">
            <w:pPr>
              <w:pStyle w:val="NormalWeb"/>
            </w:pPr>
            <w:r>
              <w:t>Acute respiratory disease (ARD)</w:t>
            </w:r>
          </w:p>
        </w:tc>
        <w:tc>
          <w:tcPr>
            <w:tcW w:w="3450" w:type="dxa"/>
            <w:hideMark/>
          </w:tcPr>
          <w:p w14:paraId="03B0B552" w14:textId="77777777" w:rsidR="00CF1E81" w:rsidRDefault="00CF1E81" w:rsidP="00D62BE4">
            <w:pPr>
              <w:pStyle w:val="NormalWeb"/>
              <w:jc w:val="center"/>
            </w:pPr>
            <w:r>
              <w:t>1</w:t>
            </w:r>
          </w:p>
        </w:tc>
        <w:tc>
          <w:tcPr>
            <w:tcW w:w="3435" w:type="dxa"/>
            <w:hideMark/>
          </w:tcPr>
          <w:p w14:paraId="2D28C011" w14:textId="77777777" w:rsidR="00CF1E81" w:rsidRDefault="00CF1E81" w:rsidP="00D62BE4">
            <w:pPr>
              <w:pStyle w:val="NormalWeb"/>
              <w:jc w:val="center"/>
            </w:pPr>
            <w:r>
              <w:t>1%</w:t>
            </w:r>
          </w:p>
        </w:tc>
      </w:tr>
    </w:tbl>
    <w:p w14:paraId="7EA011A3" w14:textId="77777777" w:rsidR="00B26D35" w:rsidRDefault="00B26D35" w:rsidP="00A05C4A"/>
    <w:p w14:paraId="5DD197CB" w14:textId="56A60BD9" w:rsidR="00CF1E81" w:rsidRDefault="00CF1E81" w:rsidP="00A05C4A">
      <w:r>
        <w:t xml:space="preserve">Of the 295 confirmed cases, 14% (n = 42) did not report place of acquisition and 2% (n = 5) reported overseas acquisition but with country unknown. Of the 248 cases with reported place of acquisition and country level data, 65% (n = 161) were overseas acquired. Table 3 shows the most common places of acquisition for returned travellers were from countries in the European </w:t>
      </w:r>
      <w:r w:rsidR="00096D35">
        <w:t>R</w:t>
      </w:r>
      <w:r>
        <w:t xml:space="preserve">egion (n = 54), Region of the Americas (n = 39) and Western Pacific Region (n = 33). No place of acquisition was reported from the African Region. 4% of cases were acquired from the </w:t>
      </w:r>
      <w:r w:rsidR="00096D35">
        <w:t>‘</w:t>
      </w:r>
      <w:r>
        <w:t>Diamond Princess</w:t>
      </w:r>
      <w:r w:rsidR="00096D35">
        <w:t>’</w:t>
      </w:r>
      <w:r>
        <w:t xml:space="preserve"> cruise ship under international conveyance.</w:t>
      </w:r>
    </w:p>
    <w:p w14:paraId="4CB93112" w14:textId="77777777" w:rsidR="00CF1E81" w:rsidRDefault="00CF1E81" w:rsidP="00A05C4A">
      <w:r>
        <w:t xml:space="preserve">Eighty-seven cases in Australia (35%) were locally acquired. </w:t>
      </w:r>
    </w:p>
    <w:p w14:paraId="779C4FB6" w14:textId="77777777" w:rsidR="00CF1E81" w:rsidRDefault="00CF1E81" w:rsidP="00A05C4A">
      <w:pPr>
        <w:pStyle w:val="CDIFigures"/>
      </w:pPr>
      <w:r>
        <w:t>Table 3: Place of acquisition of confirmed COVID-19 cases in Australia, by WHO regions, international conveyance, and local acquisition, 2020 (n = 248)</w:t>
      </w:r>
      <w:r w:rsidRPr="0036001D">
        <w:rPr>
          <w:vertAlign w:val="superscript"/>
        </w:rPr>
        <w:t>a</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able 3 shows place of acquision for confirmed COVID-19 cases in Australia, identified at the WHO region level. Of cases for which place of acquisition was known, 35% were locally acquired and 65% were acquired from overseas travel, predominantly from the European Region, Region of the Americas, and Western Pacific Region."/>
      </w:tblPr>
      <w:tblGrid>
        <w:gridCol w:w="5812"/>
        <w:gridCol w:w="953"/>
        <w:gridCol w:w="3375"/>
      </w:tblGrid>
      <w:tr w:rsidR="0036001D" w:rsidRPr="00B26D35" w14:paraId="3AC9312E" w14:textId="77777777" w:rsidTr="00256620">
        <w:trPr>
          <w:cnfStyle w:val="100000000000" w:firstRow="1" w:lastRow="0" w:firstColumn="0" w:lastColumn="0" w:oddVBand="0" w:evenVBand="0" w:oddHBand="0" w:evenHBand="0" w:firstRowFirstColumn="0" w:firstRowLastColumn="0" w:lastRowFirstColumn="0" w:lastRowLastColumn="0"/>
          <w:tblHeader/>
        </w:trPr>
        <w:tc>
          <w:tcPr>
            <w:tcW w:w="5812" w:type="dxa"/>
            <w:hideMark/>
          </w:tcPr>
          <w:p w14:paraId="42AAE098" w14:textId="77777777" w:rsidR="00CF1E81" w:rsidRPr="00B26D35" w:rsidRDefault="00CF1E81" w:rsidP="0036001D">
            <w:pPr>
              <w:pStyle w:val="NormalWeb"/>
              <w:rPr>
                <w:color w:val="FFFFFF" w:themeColor="background1"/>
                <w:sz w:val="20"/>
              </w:rPr>
            </w:pPr>
            <w:r w:rsidRPr="00B26D35">
              <w:rPr>
                <w:color w:val="FFFFFF" w:themeColor="background1"/>
                <w:sz w:val="20"/>
              </w:rPr>
              <w:t>WHO regions</w:t>
            </w:r>
          </w:p>
        </w:tc>
        <w:tc>
          <w:tcPr>
            <w:tcW w:w="953" w:type="dxa"/>
            <w:hideMark/>
          </w:tcPr>
          <w:p w14:paraId="3076FB37" w14:textId="77777777" w:rsidR="00CF1E81" w:rsidRPr="00B26D35" w:rsidRDefault="00CF1E81" w:rsidP="0036001D">
            <w:pPr>
              <w:pStyle w:val="NormalWeb"/>
              <w:jc w:val="center"/>
              <w:rPr>
                <w:color w:val="FFFFFF" w:themeColor="background1"/>
                <w:sz w:val="20"/>
              </w:rPr>
            </w:pPr>
            <w:r w:rsidRPr="00B26D35">
              <w:rPr>
                <w:color w:val="FFFFFF" w:themeColor="background1"/>
                <w:sz w:val="20"/>
              </w:rPr>
              <w:t>%</w:t>
            </w:r>
          </w:p>
        </w:tc>
        <w:tc>
          <w:tcPr>
            <w:tcW w:w="3375" w:type="dxa"/>
            <w:hideMark/>
          </w:tcPr>
          <w:p w14:paraId="5F903835" w14:textId="77777777" w:rsidR="00CF1E81" w:rsidRPr="00B26D35" w:rsidRDefault="00CF1E81" w:rsidP="0036001D">
            <w:pPr>
              <w:pStyle w:val="NormalWeb"/>
              <w:jc w:val="center"/>
              <w:rPr>
                <w:color w:val="FFFFFF" w:themeColor="background1"/>
                <w:sz w:val="20"/>
              </w:rPr>
            </w:pPr>
            <w:r w:rsidRPr="00B26D35">
              <w:rPr>
                <w:color w:val="FFFFFF" w:themeColor="background1"/>
                <w:sz w:val="20"/>
              </w:rPr>
              <w:t>n</w:t>
            </w:r>
          </w:p>
        </w:tc>
      </w:tr>
      <w:tr w:rsidR="00CF1E81" w:rsidRPr="00B26D35" w14:paraId="18C6C6AA" w14:textId="77777777" w:rsidTr="0036001D">
        <w:tc>
          <w:tcPr>
            <w:tcW w:w="5812" w:type="dxa"/>
            <w:hideMark/>
          </w:tcPr>
          <w:p w14:paraId="53708914" w14:textId="77777777" w:rsidR="00CF1E81" w:rsidRPr="00B26D35" w:rsidRDefault="00CF1E81" w:rsidP="002C2236">
            <w:pPr>
              <w:pStyle w:val="NormalWeb"/>
              <w:rPr>
                <w:sz w:val="20"/>
              </w:rPr>
            </w:pPr>
            <w:r w:rsidRPr="00B26D35">
              <w:rPr>
                <w:sz w:val="20"/>
              </w:rPr>
              <w:t>European Region (EURO)</w:t>
            </w:r>
          </w:p>
        </w:tc>
        <w:tc>
          <w:tcPr>
            <w:tcW w:w="953" w:type="dxa"/>
            <w:hideMark/>
          </w:tcPr>
          <w:p w14:paraId="1F47962A" w14:textId="77777777" w:rsidR="00CF1E81" w:rsidRPr="00B26D35" w:rsidRDefault="00CF1E81" w:rsidP="002C2236">
            <w:pPr>
              <w:pStyle w:val="NormalWeb"/>
              <w:jc w:val="center"/>
              <w:rPr>
                <w:sz w:val="20"/>
              </w:rPr>
            </w:pPr>
            <w:r w:rsidRPr="00B26D35">
              <w:rPr>
                <w:sz w:val="20"/>
              </w:rPr>
              <w:t>22%</w:t>
            </w:r>
          </w:p>
        </w:tc>
        <w:tc>
          <w:tcPr>
            <w:tcW w:w="3375" w:type="dxa"/>
            <w:hideMark/>
          </w:tcPr>
          <w:p w14:paraId="18589131" w14:textId="77777777" w:rsidR="00CF1E81" w:rsidRPr="00B26D35" w:rsidRDefault="00CF1E81" w:rsidP="002C2236">
            <w:pPr>
              <w:pStyle w:val="NormalWeb"/>
              <w:jc w:val="center"/>
              <w:rPr>
                <w:sz w:val="20"/>
              </w:rPr>
            </w:pPr>
            <w:r w:rsidRPr="00B26D35">
              <w:rPr>
                <w:sz w:val="20"/>
              </w:rPr>
              <w:t>54</w:t>
            </w:r>
          </w:p>
        </w:tc>
      </w:tr>
      <w:tr w:rsidR="00CF1E81" w:rsidRPr="00B26D35" w14:paraId="1BB6D883" w14:textId="77777777" w:rsidTr="0036001D">
        <w:trPr>
          <w:cnfStyle w:val="000000010000" w:firstRow="0" w:lastRow="0" w:firstColumn="0" w:lastColumn="0" w:oddVBand="0" w:evenVBand="0" w:oddHBand="0" w:evenHBand="1" w:firstRowFirstColumn="0" w:firstRowLastColumn="0" w:lastRowFirstColumn="0" w:lastRowLastColumn="0"/>
        </w:trPr>
        <w:tc>
          <w:tcPr>
            <w:tcW w:w="5812" w:type="dxa"/>
            <w:hideMark/>
          </w:tcPr>
          <w:p w14:paraId="1CC034A3" w14:textId="77777777" w:rsidR="00CF1E81" w:rsidRPr="00B26D35" w:rsidRDefault="00CF1E81" w:rsidP="002C2236">
            <w:pPr>
              <w:pStyle w:val="NormalWeb"/>
              <w:rPr>
                <w:sz w:val="20"/>
              </w:rPr>
            </w:pPr>
            <w:r w:rsidRPr="00B26D35">
              <w:rPr>
                <w:sz w:val="20"/>
              </w:rPr>
              <w:t>Region of the Americas (PAHO)</w:t>
            </w:r>
          </w:p>
        </w:tc>
        <w:tc>
          <w:tcPr>
            <w:tcW w:w="953" w:type="dxa"/>
            <w:hideMark/>
          </w:tcPr>
          <w:p w14:paraId="14B012A1" w14:textId="77777777" w:rsidR="00CF1E81" w:rsidRPr="00B26D35" w:rsidRDefault="00CF1E81" w:rsidP="002C2236">
            <w:pPr>
              <w:pStyle w:val="NormalWeb"/>
              <w:jc w:val="center"/>
              <w:rPr>
                <w:sz w:val="20"/>
              </w:rPr>
            </w:pPr>
            <w:r w:rsidRPr="00B26D35">
              <w:rPr>
                <w:sz w:val="20"/>
              </w:rPr>
              <w:t>16%</w:t>
            </w:r>
          </w:p>
        </w:tc>
        <w:tc>
          <w:tcPr>
            <w:tcW w:w="3375" w:type="dxa"/>
            <w:hideMark/>
          </w:tcPr>
          <w:p w14:paraId="41C773EB" w14:textId="77777777" w:rsidR="00CF1E81" w:rsidRPr="00B26D35" w:rsidRDefault="00CF1E81" w:rsidP="002C2236">
            <w:pPr>
              <w:pStyle w:val="NormalWeb"/>
              <w:jc w:val="center"/>
              <w:rPr>
                <w:sz w:val="20"/>
              </w:rPr>
            </w:pPr>
            <w:r w:rsidRPr="00B26D35">
              <w:rPr>
                <w:sz w:val="20"/>
              </w:rPr>
              <w:t>39</w:t>
            </w:r>
          </w:p>
        </w:tc>
      </w:tr>
      <w:tr w:rsidR="00CF1E81" w:rsidRPr="00B26D35" w14:paraId="1DDBEA43" w14:textId="77777777" w:rsidTr="0036001D">
        <w:tc>
          <w:tcPr>
            <w:tcW w:w="5812" w:type="dxa"/>
            <w:hideMark/>
          </w:tcPr>
          <w:p w14:paraId="509CE0C5" w14:textId="77777777" w:rsidR="00CF1E81" w:rsidRPr="00B26D35" w:rsidRDefault="00CF1E81" w:rsidP="002C2236">
            <w:pPr>
              <w:pStyle w:val="NormalWeb"/>
              <w:rPr>
                <w:sz w:val="20"/>
              </w:rPr>
            </w:pPr>
            <w:r w:rsidRPr="00B26D35">
              <w:rPr>
                <w:sz w:val="20"/>
              </w:rPr>
              <w:t>Western Pacific Region (WPRO)</w:t>
            </w:r>
          </w:p>
        </w:tc>
        <w:tc>
          <w:tcPr>
            <w:tcW w:w="953" w:type="dxa"/>
            <w:hideMark/>
          </w:tcPr>
          <w:p w14:paraId="2D67D4D6" w14:textId="77777777" w:rsidR="00CF1E81" w:rsidRPr="00B26D35" w:rsidRDefault="00CF1E81" w:rsidP="002C2236">
            <w:pPr>
              <w:pStyle w:val="NormalWeb"/>
              <w:jc w:val="center"/>
              <w:rPr>
                <w:sz w:val="20"/>
              </w:rPr>
            </w:pPr>
            <w:r w:rsidRPr="00B26D35">
              <w:rPr>
                <w:sz w:val="20"/>
              </w:rPr>
              <w:t>13%</w:t>
            </w:r>
          </w:p>
        </w:tc>
        <w:tc>
          <w:tcPr>
            <w:tcW w:w="3375" w:type="dxa"/>
            <w:hideMark/>
          </w:tcPr>
          <w:p w14:paraId="035CE578" w14:textId="77777777" w:rsidR="00CF1E81" w:rsidRPr="00B26D35" w:rsidRDefault="00CF1E81" w:rsidP="002C2236">
            <w:pPr>
              <w:pStyle w:val="NormalWeb"/>
              <w:jc w:val="center"/>
              <w:rPr>
                <w:sz w:val="20"/>
              </w:rPr>
            </w:pPr>
            <w:r w:rsidRPr="00B26D35">
              <w:rPr>
                <w:sz w:val="20"/>
              </w:rPr>
              <w:t>33</w:t>
            </w:r>
          </w:p>
        </w:tc>
      </w:tr>
      <w:tr w:rsidR="00CF1E81" w:rsidRPr="00B26D35" w14:paraId="38AFE594" w14:textId="77777777" w:rsidTr="0036001D">
        <w:trPr>
          <w:cnfStyle w:val="000000010000" w:firstRow="0" w:lastRow="0" w:firstColumn="0" w:lastColumn="0" w:oddVBand="0" w:evenVBand="0" w:oddHBand="0" w:evenHBand="1" w:firstRowFirstColumn="0" w:firstRowLastColumn="0" w:lastRowFirstColumn="0" w:lastRowLastColumn="0"/>
        </w:trPr>
        <w:tc>
          <w:tcPr>
            <w:tcW w:w="5812" w:type="dxa"/>
            <w:hideMark/>
          </w:tcPr>
          <w:p w14:paraId="18B6D2A0" w14:textId="77777777" w:rsidR="00CF1E81" w:rsidRPr="00B26D35" w:rsidRDefault="00CF1E81" w:rsidP="002C2236">
            <w:pPr>
              <w:pStyle w:val="NormalWeb"/>
              <w:rPr>
                <w:sz w:val="20"/>
              </w:rPr>
            </w:pPr>
            <w:r w:rsidRPr="00B26D35">
              <w:rPr>
                <w:sz w:val="20"/>
              </w:rPr>
              <w:t>Eastern Mediterranean Region (EMRO)</w:t>
            </w:r>
          </w:p>
        </w:tc>
        <w:tc>
          <w:tcPr>
            <w:tcW w:w="953" w:type="dxa"/>
            <w:hideMark/>
          </w:tcPr>
          <w:p w14:paraId="38BB0623" w14:textId="77777777" w:rsidR="00CF1E81" w:rsidRPr="00B26D35" w:rsidRDefault="00CF1E81" w:rsidP="002C2236">
            <w:pPr>
              <w:pStyle w:val="NormalWeb"/>
              <w:jc w:val="center"/>
              <w:rPr>
                <w:sz w:val="20"/>
              </w:rPr>
            </w:pPr>
            <w:r w:rsidRPr="00B26D35">
              <w:rPr>
                <w:sz w:val="20"/>
              </w:rPr>
              <w:t>6%</w:t>
            </w:r>
          </w:p>
        </w:tc>
        <w:tc>
          <w:tcPr>
            <w:tcW w:w="3375" w:type="dxa"/>
            <w:hideMark/>
          </w:tcPr>
          <w:p w14:paraId="79E74786" w14:textId="77777777" w:rsidR="00CF1E81" w:rsidRPr="00B26D35" w:rsidRDefault="00CF1E81" w:rsidP="002C2236">
            <w:pPr>
              <w:pStyle w:val="NormalWeb"/>
              <w:jc w:val="center"/>
              <w:rPr>
                <w:sz w:val="20"/>
              </w:rPr>
            </w:pPr>
            <w:r w:rsidRPr="00B26D35">
              <w:rPr>
                <w:sz w:val="20"/>
              </w:rPr>
              <w:t>16</w:t>
            </w:r>
          </w:p>
        </w:tc>
      </w:tr>
      <w:tr w:rsidR="00CF1E81" w:rsidRPr="00B26D35" w14:paraId="434A4474" w14:textId="77777777" w:rsidTr="0036001D">
        <w:tc>
          <w:tcPr>
            <w:tcW w:w="5812" w:type="dxa"/>
            <w:hideMark/>
          </w:tcPr>
          <w:p w14:paraId="4F072905" w14:textId="77777777" w:rsidR="00CF1E81" w:rsidRPr="00B26D35" w:rsidRDefault="00CF1E81" w:rsidP="002C2236">
            <w:pPr>
              <w:pStyle w:val="NormalWeb"/>
              <w:rPr>
                <w:sz w:val="20"/>
              </w:rPr>
            </w:pPr>
            <w:r w:rsidRPr="00B26D35">
              <w:rPr>
                <w:sz w:val="20"/>
              </w:rPr>
              <w:t>South-East Asia Region (SEARO)</w:t>
            </w:r>
          </w:p>
        </w:tc>
        <w:tc>
          <w:tcPr>
            <w:tcW w:w="953" w:type="dxa"/>
            <w:hideMark/>
          </w:tcPr>
          <w:p w14:paraId="60BD7EE1" w14:textId="77777777" w:rsidR="00CF1E81" w:rsidRPr="00B26D35" w:rsidRDefault="00CF1E81" w:rsidP="002C2236">
            <w:pPr>
              <w:pStyle w:val="NormalWeb"/>
              <w:jc w:val="center"/>
              <w:rPr>
                <w:sz w:val="20"/>
              </w:rPr>
            </w:pPr>
            <w:r w:rsidRPr="00B26D35">
              <w:rPr>
                <w:sz w:val="20"/>
              </w:rPr>
              <w:t>4%</w:t>
            </w:r>
          </w:p>
        </w:tc>
        <w:tc>
          <w:tcPr>
            <w:tcW w:w="3375" w:type="dxa"/>
            <w:hideMark/>
          </w:tcPr>
          <w:p w14:paraId="60B96450" w14:textId="77777777" w:rsidR="00CF1E81" w:rsidRPr="00B26D35" w:rsidRDefault="00CF1E81" w:rsidP="002C2236">
            <w:pPr>
              <w:pStyle w:val="NormalWeb"/>
              <w:jc w:val="center"/>
              <w:rPr>
                <w:sz w:val="20"/>
              </w:rPr>
            </w:pPr>
            <w:r w:rsidRPr="00B26D35">
              <w:rPr>
                <w:sz w:val="20"/>
              </w:rPr>
              <w:t>9</w:t>
            </w:r>
          </w:p>
        </w:tc>
      </w:tr>
      <w:tr w:rsidR="00CF1E81" w:rsidRPr="00B26D35" w14:paraId="33C3271E" w14:textId="77777777" w:rsidTr="0036001D">
        <w:trPr>
          <w:cnfStyle w:val="000000010000" w:firstRow="0" w:lastRow="0" w:firstColumn="0" w:lastColumn="0" w:oddVBand="0" w:evenVBand="0" w:oddHBand="0" w:evenHBand="1" w:firstRowFirstColumn="0" w:firstRowLastColumn="0" w:lastRowFirstColumn="0" w:lastRowLastColumn="0"/>
        </w:trPr>
        <w:tc>
          <w:tcPr>
            <w:tcW w:w="5812" w:type="dxa"/>
            <w:hideMark/>
          </w:tcPr>
          <w:p w14:paraId="1330E57E" w14:textId="77777777" w:rsidR="00CF1E81" w:rsidRPr="00B26D35" w:rsidRDefault="00CF1E81" w:rsidP="002C2236">
            <w:pPr>
              <w:pStyle w:val="NormalWeb"/>
              <w:rPr>
                <w:sz w:val="20"/>
              </w:rPr>
            </w:pPr>
            <w:r w:rsidRPr="00B26D35">
              <w:rPr>
                <w:sz w:val="20"/>
              </w:rPr>
              <w:t>International conveyance</w:t>
            </w:r>
          </w:p>
        </w:tc>
        <w:tc>
          <w:tcPr>
            <w:tcW w:w="953" w:type="dxa"/>
            <w:hideMark/>
          </w:tcPr>
          <w:p w14:paraId="55E0D3F6" w14:textId="77777777" w:rsidR="00CF1E81" w:rsidRPr="00B26D35" w:rsidRDefault="00CF1E81" w:rsidP="002C2236">
            <w:pPr>
              <w:pStyle w:val="NormalWeb"/>
              <w:jc w:val="center"/>
              <w:rPr>
                <w:sz w:val="20"/>
              </w:rPr>
            </w:pPr>
            <w:r w:rsidRPr="00B26D35">
              <w:rPr>
                <w:sz w:val="20"/>
              </w:rPr>
              <w:t>4%</w:t>
            </w:r>
          </w:p>
        </w:tc>
        <w:tc>
          <w:tcPr>
            <w:tcW w:w="3375" w:type="dxa"/>
            <w:hideMark/>
          </w:tcPr>
          <w:p w14:paraId="2D305F42" w14:textId="77777777" w:rsidR="00CF1E81" w:rsidRPr="00B26D35" w:rsidRDefault="00CF1E81" w:rsidP="002C2236">
            <w:pPr>
              <w:pStyle w:val="NormalWeb"/>
              <w:jc w:val="center"/>
              <w:rPr>
                <w:sz w:val="20"/>
              </w:rPr>
            </w:pPr>
            <w:r w:rsidRPr="00B26D35">
              <w:rPr>
                <w:sz w:val="20"/>
              </w:rPr>
              <w:t>10</w:t>
            </w:r>
          </w:p>
        </w:tc>
      </w:tr>
      <w:tr w:rsidR="00CF1E81" w:rsidRPr="00B26D35" w14:paraId="2AEFC0C3" w14:textId="77777777" w:rsidTr="0036001D">
        <w:tc>
          <w:tcPr>
            <w:tcW w:w="5812" w:type="dxa"/>
            <w:hideMark/>
          </w:tcPr>
          <w:p w14:paraId="60C06FF4" w14:textId="77777777" w:rsidR="00CF1E81" w:rsidRPr="00B26D35" w:rsidRDefault="00CF1E81" w:rsidP="002C2236">
            <w:pPr>
              <w:pStyle w:val="NormalWeb"/>
              <w:rPr>
                <w:sz w:val="20"/>
              </w:rPr>
            </w:pPr>
            <w:r w:rsidRPr="00B26D35">
              <w:rPr>
                <w:sz w:val="20"/>
              </w:rPr>
              <w:t>African Region (AFRO)</w:t>
            </w:r>
          </w:p>
        </w:tc>
        <w:tc>
          <w:tcPr>
            <w:tcW w:w="953" w:type="dxa"/>
            <w:hideMark/>
          </w:tcPr>
          <w:p w14:paraId="5193DD79" w14:textId="77777777" w:rsidR="00CF1E81" w:rsidRPr="00B26D35" w:rsidRDefault="00CF1E81" w:rsidP="002C2236">
            <w:pPr>
              <w:pStyle w:val="NormalWeb"/>
              <w:jc w:val="center"/>
              <w:rPr>
                <w:sz w:val="20"/>
              </w:rPr>
            </w:pPr>
            <w:r w:rsidRPr="00B26D35">
              <w:rPr>
                <w:sz w:val="20"/>
              </w:rPr>
              <w:t>0%</w:t>
            </w:r>
          </w:p>
        </w:tc>
        <w:tc>
          <w:tcPr>
            <w:tcW w:w="3375" w:type="dxa"/>
            <w:hideMark/>
          </w:tcPr>
          <w:p w14:paraId="30A45222" w14:textId="77777777" w:rsidR="00CF1E81" w:rsidRPr="00B26D35" w:rsidRDefault="00CF1E81" w:rsidP="002C2236">
            <w:pPr>
              <w:pStyle w:val="NormalWeb"/>
              <w:jc w:val="center"/>
              <w:rPr>
                <w:sz w:val="20"/>
              </w:rPr>
            </w:pPr>
            <w:r w:rsidRPr="00B26D35">
              <w:rPr>
                <w:sz w:val="20"/>
              </w:rPr>
              <w:t>0</w:t>
            </w:r>
          </w:p>
        </w:tc>
      </w:tr>
      <w:tr w:rsidR="00CF1E81" w:rsidRPr="00B26D35" w14:paraId="6DB7FB35" w14:textId="77777777" w:rsidTr="0036001D">
        <w:trPr>
          <w:cnfStyle w:val="000000010000" w:firstRow="0" w:lastRow="0" w:firstColumn="0" w:lastColumn="0" w:oddVBand="0" w:evenVBand="0" w:oddHBand="0" w:evenHBand="1" w:firstRowFirstColumn="0" w:firstRowLastColumn="0" w:lastRowFirstColumn="0" w:lastRowLastColumn="0"/>
        </w:trPr>
        <w:tc>
          <w:tcPr>
            <w:tcW w:w="5812" w:type="dxa"/>
            <w:hideMark/>
          </w:tcPr>
          <w:p w14:paraId="4AC2CD95" w14:textId="77777777" w:rsidR="00CF1E81" w:rsidRPr="00B26D35" w:rsidRDefault="00CF1E81" w:rsidP="002C2236">
            <w:pPr>
              <w:pStyle w:val="NormalWeb"/>
              <w:rPr>
                <w:sz w:val="20"/>
              </w:rPr>
            </w:pPr>
            <w:r w:rsidRPr="00B26D35">
              <w:rPr>
                <w:sz w:val="20"/>
              </w:rPr>
              <w:t>Locally acquired</w:t>
            </w:r>
          </w:p>
        </w:tc>
        <w:tc>
          <w:tcPr>
            <w:tcW w:w="953" w:type="dxa"/>
            <w:hideMark/>
          </w:tcPr>
          <w:p w14:paraId="2E55B7AE" w14:textId="77777777" w:rsidR="00CF1E81" w:rsidRPr="00B26D35" w:rsidRDefault="00CF1E81" w:rsidP="002C2236">
            <w:pPr>
              <w:pStyle w:val="NormalWeb"/>
              <w:jc w:val="center"/>
              <w:rPr>
                <w:sz w:val="20"/>
              </w:rPr>
            </w:pPr>
            <w:r w:rsidRPr="00B26D35">
              <w:rPr>
                <w:sz w:val="20"/>
              </w:rPr>
              <w:t>35%</w:t>
            </w:r>
          </w:p>
        </w:tc>
        <w:tc>
          <w:tcPr>
            <w:tcW w:w="3375" w:type="dxa"/>
            <w:hideMark/>
          </w:tcPr>
          <w:p w14:paraId="29744CED" w14:textId="77777777" w:rsidR="00CF1E81" w:rsidRPr="00B26D35" w:rsidRDefault="00CF1E81" w:rsidP="002C2236">
            <w:pPr>
              <w:pStyle w:val="NormalWeb"/>
              <w:jc w:val="center"/>
              <w:rPr>
                <w:sz w:val="20"/>
              </w:rPr>
            </w:pPr>
            <w:r w:rsidRPr="00B26D35">
              <w:rPr>
                <w:sz w:val="20"/>
              </w:rPr>
              <w:t>87</w:t>
            </w:r>
          </w:p>
        </w:tc>
      </w:tr>
      <w:tr w:rsidR="00CF1E81" w:rsidRPr="00B26D35" w14:paraId="4E0BA2CC" w14:textId="77777777" w:rsidTr="006E6955">
        <w:tc>
          <w:tcPr>
            <w:tcW w:w="5812" w:type="dxa"/>
            <w:shd w:val="clear" w:color="auto" w:fill="FDE9D9" w:themeFill="accent6" w:themeFillTint="33"/>
            <w:hideMark/>
          </w:tcPr>
          <w:p w14:paraId="462D1BA9" w14:textId="77777777" w:rsidR="00CF1E81" w:rsidRPr="00B26D35" w:rsidRDefault="00CF1E81" w:rsidP="002C2236">
            <w:pPr>
              <w:pStyle w:val="NormalWeb"/>
              <w:rPr>
                <w:b/>
                <w:sz w:val="20"/>
              </w:rPr>
            </w:pPr>
            <w:r w:rsidRPr="00B26D35">
              <w:rPr>
                <w:b/>
                <w:sz w:val="20"/>
              </w:rPr>
              <w:t>Total</w:t>
            </w:r>
          </w:p>
        </w:tc>
        <w:tc>
          <w:tcPr>
            <w:tcW w:w="953" w:type="dxa"/>
            <w:shd w:val="clear" w:color="auto" w:fill="FDE9D9" w:themeFill="accent6" w:themeFillTint="33"/>
            <w:hideMark/>
          </w:tcPr>
          <w:p w14:paraId="4B8B0287" w14:textId="77777777" w:rsidR="00CF1E81" w:rsidRPr="00B26D35" w:rsidRDefault="00CF1E81" w:rsidP="002C2236">
            <w:pPr>
              <w:pStyle w:val="NormalWeb"/>
              <w:jc w:val="center"/>
              <w:rPr>
                <w:b/>
                <w:sz w:val="20"/>
              </w:rPr>
            </w:pPr>
            <w:r w:rsidRPr="00B26D35">
              <w:rPr>
                <w:b/>
                <w:sz w:val="20"/>
              </w:rPr>
              <w:t>100%</w:t>
            </w:r>
          </w:p>
        </w:tc>
        <w:tc>
          <w:tcPr>
            <w:tcW w:w="3375" w:type="dxa"/>
            <w:shd w:val="clear" w:color="auto" w:fill="FDE9D9" w:themeFill="accent6" w:themeFillTint="33"/>
            <w:hideMark/>
          </w:tcPr>
          <w:p w14:paraId="2EECD09B" w14:textId="77777777" w:rsidR="00CF1E81" w:rsidRPr="00B26D35" w:rsidRDefault="00CF1E81" w:rsidP="002C2236">
            <w:pPr>
              <w:pStyle w:val="NormalWeb"/>
              <w:jc w:val="center"/>
              <w:rPr>
                <w:b/>
                <w:sz w:val="20"/>
              </w:rPr>
            </w:pPr>
            <w:r w:rsidRPr="00B26D35">
              <w:rPr>
                <w:b/>
                <w:sz w:val="20"/>
              </w:rPr>
              <w:t>248</w:t>
            </w:r>
          </w:p>
        </w:tc>
      </w:tr>
    </w:tbl>
    <w:p w14:paraId="2F7159CE" w14:textId="77777777" w:rsidR="00CF1E81" w:rsidRDefault="00CF1E81" w:rsidP="00590CB9">
      <w:pPr>
        <w:pStyle w:val="CDIfootnotes"/>
      </w:pPr>
      <w:proofErr w:type="gramStart"/>
      <w:r>
        <w:t>a</w:t>
      </w:r>
      <w:r>
        <w:tab/>
        <w:t>Five cases</w:t>
      </w:r>
      <w:proofErr w:type="gramEnd"/>
      <w:r>
        <w:t xml:space="preserve"> that reported overseas travel to an unknown country are included as under investigation.</w:t>
      </w:r>
    </w:p>
    <w:p w14:paraId="2A8F0AAE" w14:textId="77777777" w:rsidR="00CF1E81" w:rsidRDefault="00CF1E81">
      <w:pPr>
        <w:pStyle w:val="Heading2"/>
        <w:rPr>
          <w:rFonts w:eastAsia="Times New Roman"/>
        </w:rPr>
      </w:pPr>
      <w:r>
        <w:rPr>
          <w:rFonts w:eastAsia="Times New Roman"/>
        </w:rPr>
        <w:lastRenderedPageBreak/>
        <w:t xml:space="preserve">International cases </w:t>
      </w:r>
    </w:p>
    <w:p w14:paraId="4C997CB1" w14:textId="0B91AFF6" w:rsidR="00CF1E81" w:rsidRDefault="00CF1E81">
      <w:pPr>
        <w:pStyle w:val="NormalWeb"/>
      </w:pPr>
      <w:r>
        <w:t>As at 19:00 AEDT 14 March 2020, the number of confirmed COVID-19 cases reported to the World Health Organization (WHO) was 142,539 globally.</w:t>
      </w:r>
      <w:r>
        <w:rPr>
          <w:vertAlign w:val="superscript"/>
        </w:rPr>
        <w:t>1</w:t>
      </w:r>
      <w:r>
        <w:t xml:space="preserve"> The proportion of total cases reported from mainland China has continued to decrease, from 79% on 7 March 2020 to 57% (n = 81,021) on 14 March 2020.</w:t>
      </w:r>
      <w:r>
        <w:rPr>
          <w:vertAlign w:val="superscript"/>
        </w:rPr>
        <w:t>1,2</w:t>
      </w:r>
      <w:r>
        <w:t xml:space="preserve"> On 26 February 2020, the number of new cases reported outside of mainland China (n = 459) exceeded the number reported from mainland China (n = 412) for the first time and this trend has continued to date (Figure 4). The total number of confirmed COVID-19 cases reported by 134 countries, territories and areas outside of mainland China in the current reporting week ha</w:t>
      </w:r>
      <w:r w:rsidR="00096D35">
        <w:t>s</w:t>
      </w:r>
      <w:r>
        <w:t xml:space="preserve"> increased almost threefold (n = 61,518) compared to the preceding week (n = 21,110).</w:t>
      </w:r>
      <w:r>
        <w:rPr>
          <w:vertAlign w:val="superscript"/>
        </w:rPr>
        <w:t>1,3</w:t>
      </w:r>
      <w:r>
        <w:t xml:space="preserve"> Italy reported 29% (n = 17,660) of all cases outside of mainland China; the Islamic Republic of Iran reported 18% (n = 11,364); the Republic of Korea reported 13% (n = 8,086) and Spain reported 7% (n = 4,231). Thirty-eight countries, territories and areas reported cases of COVID-19 for the first time in the past seven days. Of all the countries, territories and areas outside of mainland China with known transmission classification (n = 134), fifty-eight percent (n = 78) have reported local transmission of COVID-19. </w:t>
      </w:r>
    </w:p>
    <w:p w14:paraId="37517715" w14:textId="77777777" w:rsidR="00E516A2" w:rsidRDefault="00E516A2">
      <w:pPr>
        <w:rPr>
          <w:b/>
        </w:rPr>
      </w:pPr>
      <w:r>
        <w:br w:type="page"/>
      </w:r>
    </w:p>
    <w:p w14:paraId="4B521FDE" w14:textId="77777777" w:rsidR="00CF1E81" w:rsidRDefault="00CF1E81" w:rsidP="00E516A2">
      <w:pPr>
        <w:pStyle w:val="CDIFigures"/>
      </w:pPr>
      <w:r>
        <w:lastRenderedPageBreak/>
        <w:t>Figure 4. Cases of COVID-19 reported to WHO; and number of countries, territories and areas from 21 January to 14 March 2020</w:t>
      </w:r>
      <w:r w:rsidRPr="00B26D35">
        <w:rPr>
          <w:vertAlign w:val="superscript"/>
        </w:rPr>
        <w:t>1</w:t>
      </w:r>
    </w:p>
    <w:p w14:paraId="289D6D2E" w14:textId="77777777" w:rsidR="00CF1E81" w:rsidRDefault="00CF1E81">
      <w:pPr>
        <w:pStyle w:val="NormalWeb"/>
      </w:pPr>
      <w:r>
        <w:rPr>
          <w:noProof/>
        </w:rPr>
        <w:drawing>
          <wp:inline distT="0" distB="0" distL="0" distR="0" wp14:anchorId="145E05AD" wp14:editId="10C286A4">
            <wp:extent cx="6638135" cy="4121629"/>
            <wp:effectExtent l="0" t="0" r="0" b="0"/>
            <wp:docPr id="4" name="Picture 4" descr="Bar chart showing mainland China cases of COVID-19, as well as cases from countries and regions outside mainland China, reported daily from 21 January to 14 March 2020. The figure also includes a timeline of the number of countries and SARS outside mainland China which have reported ca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ar chart showing mainland China cases of COVID-19, as well as cases from countries and regions outside mainland China, reported daily from 21 January to 14 March 2020. The figure also includes a timeline of the number of countries and SARS outside mainland China which have reported cases."/>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6647155" cy="4127230"/>
                    </a:xfrm>
                    <a:prstGeom prst="rect">
                      <a:avLst/>
                    </a:prstGeom>
                  </pic:spPr>
                </pic:pic>
              </a:graphicData>
            </a:graphic>
          </wp:inline>
        </w:drawing>
      </w:r>
    </w:p>
    <w:p w14:paraId="3A7235E8" w14:textId="77777777" w:rsidR="00CF1E81" w:rsidRPr="008018A8" w:rsidRDefault="00CF1E81" w:rsidP="008018A8">
      <w:pPr>
        <w:pStyle w:val="CDIfootnotes"/>
      </w:pPr>
      <w:r w:rsidRPr="008018A8">
        <w:t>a</w:t>
      </w:r>
      <w:r w:rsidRPr="008018A8">
        <w:tab/>
        <w:t>WHO declares the outbreak of COVID-19 a Public Health Emergency of International Concern (30/01/2020)</w:t>
      </w:r>
    </w:p>
    <w:p w14:paraId="4A8AE7F6" w14:textId="77777777" w:rsidR="00CF1E81" w:rsidRPr="008018A8" w:rsidRDefault="00CF1E81" w:rsidP="008018A8">
      <w:pPr>
        <w:pStyle w:val="CDIfootnotes"/>
      </w:pPr>
      <w:r w:rsidRPr="008018A8">
        <w:t>b</w:t>
      </w:r>
      <w:r w:rsidRPr="008018A8">
        <w:tab/>
        <w:t xml:space="preserve">WHO </w:t>
      </w:r>
      <w:proofErr w:type="gramStart"/>
      <w:r w:rsidRPr="008018A8">
        <w:t>start</w:t>
      </w:r>
      <w:proofErr w:type="gramEnd"/>
      <w:r w:rsidRPr="008018A8">
        <w:t xml:space="preserve"> reporting both laboratory confirmed and clinically diagnosed cases from Hubei Province (17/02/2020)</w:t>
      </w:r>
    </w:p>
    <w:p w14:paraId="4DF1AAAC" w14:textId="77777777" w:rsidR="00CF1E81" w:rsidRPr="008018A8" w:rsidRDefault="00CF1E81" w:rsidP="008018A8">
      <w:pPr>
        <w:pStyle w:val="CDIfootnotes"/>
      </w:pPr>
      <w:r w:rsidRPr="008018A8">
        <w:t>c</w:t>
      </w:r>
      <w:r w:rsidRPr="008018A8">
        <w:tab/>
        <w:t>Hubei Province cease reporting clinically diagnosed cases (20/02/2020)</w:t>
      </w:r>
    </w:p>
    <w:p w14:paraId="4B2D6E50" w14:textId="77777777" w:rsidR="00CF1E81" w:rsidRDefault="00CF1E81" w:rsidP="00BA1F17">
      <w:r>
        <w:t xml:space="preserve">Globally, 5,393 deaths have been reported, with 57% (n = 3,075) reported from Hubei Province, China and 119 deaths reported from elsewhere within mainland China. The remaining 2,199 deaths were reported by 35 countries, </w:t>
      </w:r>
      <w:proofErr w:type="gramStart"/>
      <w:r>
        <w:t>territories</w:t>
      </w:r>
      <w:proofErr w:type="gramEnd"/>
      <w:r>
        <w:t xml:space="preserve"> and areas outside of mainland China.</w:t>
      </w:r>
      <w:r>
        <w:rPr>
          <w:vertAlign w:val="superscript"/>
        </w:rPr>
        <w:t xml:space="preserve">1 </w:t>
      </w:r>
    </w:p>
    <w:p w14:paraId="28EDC722" w14:textId="77777777" w:rsidR="00CF1E81" w:rsidRDefault="00CF1E81" w:rsidP="00BA1F17">
      <w:r w:rsidRPr="005F5170">
        <w:rPr>
          <w:rStyle w:val="Emphasis"/>
          <w:b w:val="0"/>
        </w:rPr>
        <w:t xml:space="preserve">The current estimates on epidemiological parameters including severity, transmissibility and incubation period are uncertain. Estimates are likely to change as more information becomes available. </w:t>
      </w:r>
    </w:p>
    <w:p w14:paraId="44FD358C" w14:textId="77777777" w:rsidR="00BA1F17" w:rsidRDefault="00BA1F17">
      <w:pPr>
        <w:rPr>
          <w:rFonts w:asciiTheme="majorHAnsi" w:eastAsiaTheme="majorEastAsia" w:hAnsiTheme="majorHAnsi" w:cstheme="majorBidi"/>
          <w:b/>
          <w:bCs/>
          <w:sz w:val="26"/>
          <w:szCs w:val="26"/>
        </w:rPr>
      </w:pPr>
      <w:r>
        <w:br w:type="page"/>
      </w:r>
    </w:p>
    <w:p w14:paraId="40FC1FAA" w14:textId="77777777" w:rsidR="00CF1E81" w:rsidRDefault="00BA1F17" w:rsidP="00BA1F17">
      <w:pPr>
        <w:pStyle w:val="Heading2"/>
      </w:pPr>
      <w:r>
        <w:rPr>
          <w:noProof/>
        </w:rPr>
        <w:lastRenderedPageBreak/>
        <mc:AlternateContent>
          <mc:Choice Requires="wps">
            <w:drawing>
              <wp:inline distT="0" distB="0" distL="0" distR="0" wp14:anchorId="5755C3F6" wp14:editId="4CD27CC3">
                <wp:extent cx="6646460" cy="4701396"/>
                <wp:effectExtent l="0" t="0" r="21590" b="23495"/>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6460" cy="4701396"/>
                        </a:xfrm>
                        <a:prstGeom prst="rect">
                          <a:avLst/>
                        </a:prstGeom>
                        <a:solidFill>
                          <a:schemeClr val="bg1">
                            <a:lumMod val="95000"/>
                          </a:schemeClr>
                        </a:solidFill>
                        <a:ln w="3175">
                          <a:solidFill>
                            <a:srgbClr val="000000"/>
                          </a:solidFill>
                          <a:miter lim="800000"/>
                          <a:headEnd/>
                          <a:tailEnd/>
                        </a:ln>
                      </wps:spPr>
                      <wps:txbx>
                        <w:txbxContent>
                          <w:p w14:paraId="4BE16D5A" w14:textId="77777777" w:rsidR="002617E1" w:rsidRPr="00BA1F17" w:rsidRDefault="002617E1" w:rsidP="00BA1F17">
                            <w:pPr>
                              <w:pStyle w:val="Heading2"/>
                            </w:pPr>
                            <w:r w:rsidRPr="00BA1F17">
                              <w:t xml:space="preserve">Country in focus: Italy </w:t>
                            </w:r>
                          </w:p>
                          <w:p w14:paraId="222CFAA0" w14:textId="77777777" w:rsidR="002617E1" w:rsidRDefault="002617E1" w:rsidP="00BA1F17">
                            <w:pPr>
                              <w:pStyle w:val="NormalWeb"/>
                            </w:pPr>
                            <w:r w:rsidRPr="005F5170">
                              <w:rPr>
                                <w:rStyle w:val="Emphasis"/>
                                <w:b w:val="0"/>
                              </w:rPr>
                              <w:t xml:space="preserve">Data on confirmed cases of COVID-19 in Italy have not been made publicly available. The following is therefore a brief summary based on information obtained from WHO situation reports and the Italian Ministry of Health. </w:t>
                            </w:r>
                          </w:p>
                          <w:p w14:paraId="3297994D" w14:textId="19A2E531" w:rsidR="002617E1" w:rsidRDefault="002617E1" w:rsidP="00BA1F17">
                            <w:pPr>
                              <w:pStyle w:val="NormalWeb"/>
                            </w:pPr>
                            <w:r>
                              <w:t>Italy reported its first two confirmed cases of COVID-19 on 31 January 2020.</w:t>
                            </w:r>
                            <w:r>
                              <w:rPr>
                                <w:vertAlign w:val="superscript"/>
                              </w:rPr>
                              <w:t>4</w:t>
                            </w:r>
                            <w:r>
                              <w:t xml:space="preserve"> Cases increased rapidly with 6 new cases reported on 22 February 2020 up to 17,660 cases on 14 March 2020. Reported deaths increased more than sixfold (n = 197) on 7 March to 1268 on 14 March 2020.</w:t>
                            </w:r>
                            <w:r>
                              <w:rPr>
                                <w:vertAlign w:val="superscript"/>
                              </w:rPr>
                              <w:t>1,2</w:t>
                            </w:r>
                            <w:r>
                              <w:t xml:space="preserve"> Among the cases reported as at 14 March 2020, 51% (n = 9,059) were reported in </w:t>
                            </w:r>
                            <w:proofErr w:type="spellStart"/>
                            <w:r>
                              <w:t>Lombardia</w:t>
                            </w:r>
                            <w:proofErr w:type="spellEnd"/>
                            <w:r>
                              <w:t>, 13% (n = 2,349) in Emilia Romagna and 10% (n = 1,775) in Veneto.</w:t>
                            </w:r>
                            <w:r>
                              <w:rPr>
                                <w:vertAlign w:val="superscript"/>
                              </w:rPr>
                              <w:t>5</w:t>
                            </w:r>
                            <w:r>
                              <w:t xml:space="preserve"> Italy is now the epicentre outside of mainland China with the most rapid growth of COVID-19 cases, surpassing the Republic of Korea and the Islamic Republic of Iran (Figure 5).</w:t>
                            </w:r>
                          </w:p>
                          <w:p w14:paraId="4887BE85" w14:textId="77777777" w:rsidR="00012020" w:rsidRDefault="00012020" w:rsidP="00012020">
                            <w:r>
                              <w:t xml:space="preserve">Based on confirmed cases up to 14 March 2020, the case fatality rate (CFR) for Italy has been calculated at 7.8%. As the outbreak continues, the confirmed CFR may change. The current calculated CFR does not include the number of cases with mild infections that may be missed from current surveillance, nor does it account for the recently confirmed cases that may subsequently develop severe disease and die. </w:t>
                            </w:r>
                          </w:p>
                          <w:p w14:paraId="1AA4BE5A" w14:textId="77777777" w:rsidR="00012020" w:rsidRDefault="00012020" w:rsidP="00012020">
                            <w:r>
                              <w:t>On 9 March 2020, Italy became the first European country to place a nationwide travel ban from all travel unless certified as justified on professional or health grounds.</w:t>
                            </w:r>
                            <w:r>
                              <w:rPr>
                                <w:vertAlign w:val="superscript"/>
                              </w:rPr>
                              <w:t>6</w:t>
                            </w:r>
                            <w:r>
                              <w:t xml:space="preserve"> The nationwide restrictions will be in effect until 3 April 2020. On 11 March 2020, the Italian Prime Minister imposed new restrictions by closing non-essential commercial activities in the country, with the exception of basic necessities and pharmacies. The new restrictions will be valid for two weeks.</w:t>
                            </w:r>
                            <w:r>
                              <w:rPr>
                                <w:vertAlign w:val="superscript"/>
                              </w:rPr>
                              <w:t>7</w:t>
                            </w:r>
                          </w:p>
                          <w:p w14:paraId="193F496E" w14:textId="77777777" w:rsidR="00012020" w:rsidRDefault="00012020" w:rsidP="00BA1F17">
                            <w:pPr>
                              <w:pStyle w:val="NormalWeb"/>
                            </w:pPr>
                          </w:p>
                        </w:txbxContent>
                      </wps:txbx>
                      <wps:bodyPr rot="0" vert="horz" wrap="square" lIns="91440" tIns="45720" rIns="91440" bIns="45720" anchor="t" anchorCtr="0">
                        <a:noAutofit/>
                      </wps:bodyPr>
                    </wps:wsp>
                  </a:graphicData>
                </a:graphic>
              </wp:inline>
            </w:drawing>
          </mc:Choice>
          <mc:Fallback>
            <w:pict>
              <v:shape w14:anchorId="5755C3F6" id="_x0000_s1027" type="#_x0000_t202" style="width:523.35pt;height:37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" fillcolor="#f2f2f2 [3052]" strokeweight=".25pt">
                <v:textbox>
                  <w:txbxContent>
                    <w:p w14:paraId="4BE16D5A" w14:textId="77777777" w:rsidR="002617E1" w:rsidRPr="00BA1F17" w:rsidRDefault="002617E1" w:rsidP="00BA1F17">
                      <w:pPr>
                        <w:pStyle w:val="Heading2"/>
                      </w:pPr>
                      <w:r w:rsidRPr="00BA1F17">
                        <w:t xml:space="preserve">Country in focus: Italy </w:t>
                      </w:r>
                    </w:p>
                    <w:p w14:paraId="222CFAA0" w14:textId="77777777" w:rsidR="002617E1" w:rsidRDefault="002617E1" w:rsidP="00BA1F17">
                      <w:pPr>
                        <w:pStyle w:val="NormalWeb"/>
                      </w:pPr>
                      <w:r w:rsidRPr="005F5170">
                        <w:rPr>
                          <w:rStyle w:val="Emphasis"/>
                          <w:b w:val="0"/>
                        </w:rPr>
                        <w:t xml:space="preserve">Data on confirmed cases of COVID-19 in Italy have not been made publicly available. The following is therefore a brief summary based on information obtained from WHO situation reports and the Italian Ministry of Health. </w:t>
                      </w:r>
                    </w:p>
                    <w:p w14:paraId="3297994D" w14:textId="19A2E531" w:rsidR="002617E1" w:rsidRDefault="002617E1" w:rsidP="00BA1F17">
                      <w:pPr>
                        <w:pStyle w:val="NormalWeb"/>
                      </w:pPr>
                      <w:r>
                        <w:t>Italy reported its first two confirmed cases of COVID-19 on 31 January 2020.</w:t>
                      </w:r>
                      <w:r>
                        <w:rPr>
                          <w:vertAlign w:val="superscript"/>
                        </w:rPr>
                        <w:t>4</w:t>
                      </w:r>
                      <w:r>
                        <w:t xml:space="preserve"> Cases increased rapidly with 6 new cases reported on 22 February 2020 up to 17,660 cases on 14 March 2020. Reported deaths increased more than sixfold (n = 197) on 7 March to 1268 on 14 March 2020.</w:t>
                      </w:r>
                      <w:r>
                        <w:rPr>
                          <w:vertAlign w:val="superscript"/>
                        </w:rPr>
                        <w:t>1,2</w:t>
                      </w:r>
                      <w:r>
                        <w:t xml:space="preserve"> Among the cases reported as at 14 March 2020, 51% (n = 9,059) were reported in Lombardia, 13% (n = 2,349) in Emilia Romagna and 10% (n = 1,775) in Veneto.</w:t>
                      </w:r>
                      <w:r>
                        <w:rPr>
                          <w:vertAlign w:val="superscript"/>
                        </w:rPr>
                        <w:t>5</w:t>
                      </w:r>
                      <w:r>
                        <w:t xml:space="preserve"> Italy is now the epicentre outside of mainland China with the most rapid growth of COVID-19 cases, surpassing the Republic of Korea and the Islamic Republic of Iran (Figure 5).</w:t>
                      </w:r>
                    </w:p>
                    <w:p w14:paraId="4887BE85" w14:textId="77777777" w:rsidR="00012020" w:rsidRDefault="00012020" w:rsidP="00012020">
                      <w:r>
                        <w:t xml:space="preserve">Based on confirmed cases up to 14 March 2020, the case fatality rate (CFR) for Italy has been calculated at 7.8%. As the outbreak continues, the confirmed CFR may change. The current calculated CFR does not include the number of cases with mild infections that may be missed from current surveillance, nor does it account for the recently confirmed cases that may subsequently develop severe disease and die. </w:t>
                      </w:r>
                    </w:p>
                    <w:p w14:paraId="1AA4BE5A" w14:textId="77777777" w:rsidR="00012020" w:rsidRDefault="00012020" w:rsidP="00012020">
                      <w:r>
                        <w:t>On 9 March 2020, Italy became the first European country to place a nationwide travel ban from all travel unless certified as justified on professional or health grounds.</w:t>
                      </w:r>
                      <w:r>
                        <w:rPr>
                          <w:vertAlign w:val="superscript"/>
                        </w:rPr>
                        <w:t>6</w:t>
                      </w:r>
                      <w:r>
                        <w:t xml:space="preserve"> The nationwide restrictions will be in effect until 3 April 2020. On 11 March 2020, the Italian Prime Minister imposed new restrictions by closing non-essential commercial activities in the country, with the exception of basic necessities and pharmacies. The new restrictions will be valid for two weeks.</w:t>
                      </w:r>
                      <w:r>
                        <w:rPr>
                          <w:vertAlign w:val="superscript"/>
                        </w:rPr>
                        <w:t>7</w:t>
                      </w:r>
                    </w:p>
                    <w:p w14:paraId="193F496E" w14:textId="77777777" w:rsidR="00012020" w:rsidRDefault="00012020" w:rsidP="00BA1F17">
                      <w:pPr>
                        <w:pStyle w:val="NormalWeb"/>
                      </w:pPr>
                    </w:p>
                  </w:txbxContent>
                </v:textbox>
                <w10:anchorlock/>
              </v:shape>
            </w:pict>
          </mc:Fallback>
        </mc:AlternateContent>
      </w:r>
    </w:p>
    <w:p w14:paraId="12B20CE7" w14:textId="77777777" w:rsidR="00012020" w:rsidRDefault="00012020" w:rsidP="00BA1F17">
      <w:pPr>
        <w:pStyle w:val="CDIFigures"/>
        <w:sectPr w:rsidR="00012020" w:rsidSect="00A30C37">
          <w:pgSz w:w="11906" w:h="16838"/>
          <w:pgMar w:top="720" w:right="720" w:bottom="1134" w:left="720" w:header="709" w:footer="284" w:gutter="0"/>
          <w:cols w:space="708"/>
          <w:titlePg/>
          <w:docGrid w:linePitch="360"/>
        </w:sectPr>
      </w:pPr>
    </w:p>
    <w:p w14:paraId="23579480" w14:textId="057C7570" w:rsidR="00CF1E81" w:rsidRDefault="00CF1E81" w:rsidP="00BA1F17">
      <w:pPr>
        <w:pStyle w:val="CDIFigures"/>
      </w:pPr>
      <w:r>
        <w:lastRenderedPageBreak/>
        <w:t>Figure 5: Number of COVID-19 cases by country and days since passing 100 cases, up to 14 March 2020</w:t>
      </w:r>
    </w:p>
    <w:p w14:paraId="71E8C0DF" w14:textId="77777777" w:rsidR="00CF1E81" w:rsidRDefault="00CF1E81">
      <w:pPr>
        <w:rPr>
          <w:rFonts w:eastAsia="Times New Roman"/>
        </w:rPr>
      </w:pPr>
      <w:r>
        <w:rPr>
          <w:rFonts w:eastAsia="Times New Roman"/>
          <w:noProof/>
        </w:rPr>
        <w:drawing>
          <wp:inline distT="0" distB="0" distL="0" distR="0" wp14:anchorId="3D6D5AFF" wp14:editId="3702A317">
            <wp:extent cx="9603900" cy="5796951"/>
            <wp:effectExtent l="0" t="0" r="0" b="0"/>
            <wp:docPr id="5" name="Picture 5" descr="Line graph comparing the growth in number of COVID-19 cases, from the ‘starting point’ of 100 cases in each country, for the Islamic Republic of Iran, Italy, and Republic of Korea, The highest sustained growth in cases among these countries has occurred in Italy.&#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ine graph comparing the growth in number of COVID-19 cases, from the ‘starting point’ of 100 cases in each country, for the Islamic Republic of Iran, Italy, and Republic of Korea, The highest sustained growth in cases among these countries has occurred in Italy."/>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5781" t="12593" r="4680" b="10980"/>
                    <a:stretch/>
                  </pic:blipFill>
                  <pic:spPr bwMode="auto">
                    <a:xfrm>
                      <a:off x="0" y="0"/>
                      <a:ext cx="9623493" cy="5808778"/>
                    </a:xfrm>
                    <a:prstGeom prst="rect">
                      <a:avLst/>
                    </a:prstGeom>
                    <a:ln>
                      <a:noFill/>
                    </a:ln>
                    <a:extLst>
                      <a:ext uri="{53640926-AAD7-44D8-BBD7-CCE9431645EC}">
                        <a14:shadowObscured xmlns:a14="http://schemas.microsoft.com/office/drawing/2010/main"/>
                      </a:ext>
                    </a:extLst>
                  </pic:spPr>
                </pic:pic>
              </a:graphicData>
            </a:graphic>
          </wp:inline>
        </w:drawing>
      </w:r>
    </w:p>
    <w:p w14:paraId="63D303C3" w14:textId="77777777" w:rsidR="00012020" w:rsidRDefault="00012020" w:rsidP="0058559B">
      <w:pPr>
        <w:pStyle w:val="Heading2"/>
        <w:sectPr w:rsidR="00012020" w:rsidSect="00012020">
          <w:pgSz w:w="16838" w:h="11906" w:orient="landscape"/>
          <w:pgMar w:top="720" w:right="720" w:bottom="720" w:left="1134" w:header="709" w:footer="284" w:gutter="0"/>
          <w:cols w:space="708"/>
          <w:titlePg/>
          <w:docGrid w:linePitch="360"/>
        </w:sectPr>
      </w:pPr>
    </w:p>
    <w:p w14:paraId="76792225" w14:textId="55F99B98" w:rsidR="00CF1E81" w:rsidRPr="0058559B" w:rsidRDefault="00CF1E81" w:rsidP="0058559B">
      <w:pPr>
        <w:pStyle w:val="Heading2"/>
      </w:pPr>
      <w:r w:rsidRPr="0058559B">
        <w:lastRenderedPageBreak/>
        <w:t xml:space="preserve">Transmission </w:t>
      </w:r>
    </w:p>
    <w:p w14:paraId="201FD529" w14:textId="77777777" w:rsidR="00CF1E81" w:rsidRDefault="00CF1E81" w:rsidP="0058559B">
      <w:r>
        <w:t>Human-to-human transmission of SARS-CoV-2 is via droplets and fomites from an infected person to a close contact.</w:t>
      </w:r>
      <w:r>
        <w:rPr>
          <w:vertAlign w:val="superscript"/>
        </w:rPr>
        <w:t>8</w:t>
      </w:r>
      <w:r>
        <w:t xml:space="preserve"> A study of cases and their close contacts in China supports this. Household contacts and those who travelled with a confirmed COVID-19 case were strongly associated with an increased risk of infection.</w:t>
      </w:r>
      <w:r>
        <w:rPr>
          <w:vertAlign w:val="superscript"/>
        </w:rPr>
        <w:t>9</w:t>
      </w:r>
      <w:r>
        <w:t xml:space="preserve"> The study also examined the average time from symptom onset to disease confirmation among cases who were identified through symptom-based surveillance (i.e. symptomatic screening at airports, community fever monitoring and testing of hospital patients) and contact-based surveillance (i.e. monitoring and testing of close contacts of confirmed COVID-19 cases). Compared to cases identified through symptom-based surveillance, cases identified through contact-based surveillance were associated with a 2.3 day decrease from symptom onset to disease confirmation, and a 1.9 day decrease from symptom onset to isolation. Based on modelling, researchers have found that effective contact tracing increases the probability of control.</w:t>
      </w:r>
      <w:r>
        <w:rPr>
          <w:vertAlign w:val="superscript"/>
        </w:rPr>
        <w:t>9</w:t>
      </w:r>
      <w:r>
        <w:t xml:space="preserve"> A virological analysis of nine hospitalised cases found proof of active virus replication in upper respiratory tract tissues, with pharyngeal virus shedding very high during the first week of symptoms.</w:t>
      </w:r>
      <w:r>
        <w:rPr>
          <w:vertAlign w:val="superscript"/>
        </w:rPr>
        <w:t>10</w:t>
      </w:r>
      <w:r>
        <w:t xml:space="preserve"> COVID-19 can often present as a common cold-like illness where the virus is shed for a prolonged time after symptoms end, including in stools.</w:t>
      </w:r>
      <w:r>
        <w:rPr>
          <w:vertAlign w:val="superscript"/>
        </w:rPr>
        <w:t>10</w:t>
      </w:r>
      <w:r>
        <w:t xml:space="preserve"> This may have implications for current case definitions and re-evaluation of the prospects of outbreak containment.</w:t>
      </w:r>
      <w:r>
        <w:rPr>
          <w:vertAlign w:val="superscript"/>
        </w:rPr>
        <w:t xml:space="preserve">10 </w:t>
      </w:r>
    </w:p>
    <w:p w14:paraId="00415925" w14:textId="77777777" w:rsidR="00CF1E81" w:rsidRDefault="00CF1E81" w:rsidP="0058559B">
      <w:r>
        <w:t>Current evidence does not support airborne or faecal-oral spread as major factors in transmission.</w:t>
      </w:r>
      <w:r>
        <w:rPr>
          <w:vertAlign w:val="superscript"/>
        </w:rPr>
        <w:t xml:space="preserve">8 </w:t>
      </w:r>
    </w:p>
    <w:p w14:paraId="66058C59" w14:textId="77777777" w:rsidR="00CF1E81" w:rsidRPr="0058559B" w:rsidRDefault="00CF1E81" w:rsidP="0058559B">
      <w:pPr>
        <w:pStyle w:val="Heading2"/>
      </w:pPr>
      <w:r w:rsidRPr="0058559B">
        <w:t xml:space="preserve">Incubation period </w:t>
      </w:r>
    </w:p>
    <w:p w14:paraId="7DE61D1A" w14:textId="77777777" w:rsidR="00CF1E81" w:rsidRDefault="00CF1E81" w:rsidP="0058559B">
      <w:r>
        <w:t>Estimates of median incubation period, based on seven published studies, are 5 to 6 days (ranging from 0 to 14 days).</w:t>
      </w:r>
      <w:r>
        <w:rPr>
          <w:vertAlign w:val="superscript"/>
        </w:rPr>
        <w:t>11</w:t>
      </w:r>
      <w:r>
        <w:t xml:space="preserve"> Patients with long incubation periods do occasionally occur and have been reported, however medical experts have described these patients as ‘outliers’ who should be studied further and do not represent a significant shift in thinking about the virus.</w:t>
      </w:r>
      <w:r>
        <w:rPr>
          <w:vertAlign w:val="superscript"/>
        </w:rPr>
        <w:t xml:space="preserve">11 </w:t>
      </w:r>
    </w:p>
    <w:p w14:paraId="7FF776D0" w14:textId="77777777" w:rsidR="00CF1E81" w:rsidRPr="0058559B" w:rsidRDefault="00CF1E81" w:rsidP="0058559B">
      <w:pPr>
        <w:pStyle w:val="Heading2"/>
      </w:pPr>
      <w:r w:rsidRPr="0058559B">
        <w:t xml:space="preserve">Clinical features </w:t>
      </w:r>
    </w:p>
    <w:p w14:paraId="5395F9E1" w14:textId="77777777" w:rsidR="00CF1E81" w:rsidRDefault="00CF1E81" w:rsidP="0058559B">
      <w:r>
        <w:t>Ongoing evidence, including a recently published meta-analysis, supports previous research that COVID-19 presents as mild illness in the majority of cases with fever and cough being the most commonly reported symptoms. Severe or fatal outcomes tend to occur in the elderly or those with comorbid conditions.</w:t>
      </w:r>
      <w:r>
        <w:rPr>
          <w:vertAlign w:val="superscript"/>
        </w:rPr>
        <w:t>8,12</w:t>
      </w:r>
      <w:r>
        <w:t xml:space="preserve"> Some COVID-19 patients show neurological signs such as headache, </w:t>
      </w:r>
      <w:proofErr w:type="gramStart"/>
      <w:r>
        <w:t>nausea</w:t>
      </w:r>
      <w:proofErr w:type="gramEnd"/>
      <w:r>
        <w:t xml:space="preserve"> and vomiting. A study identified increasing evidence that coronaviruses are not always confined to the respiratory tract and may also invade the central nervous system inducing neurological symptoms.</w:t>
      </w:r>
      <w:r>
        <w:rPr>
          <w:vertAlign w:val="superscript"/>
        </w:rPr>
        <w:t>13</w:t>
      </w:r>
      <w:r>
        <w:t xml:space="preserve"> As such, it is likely that the potential invasion of SARS-CoV2 to the central nervous system is partially responsible for the acute respiratory failure of COVID-19 patients.</w:t>
      </w:r>
      <w:r>
        <w:rPr>
          <w:vertAlign w:val="superscript"/>
        </w:rPr>
        <w:t>13</w:t>
      </w:r>
      <w:r>
        <w:t xml:space="preserve"> Examination of cases and their close contacts in China found a positive association between age and time from symptom onset to recovery. Median time to recovery was estimated to be 27 days in 20–29 year olds, 32 days in 50–59 year olds, and 36 days in those aged over 70 years. The study also found an association between clinical severity and time from symptom onset to time to recovery. Compared to people with mild disease, those with moderate and severe disease were associated with a 19% and 58% increase in time to recovery, respectively.</w:t>
      </w:r>
      <w:r>
        <w:rPr>
          <w:vertAlign w:val="superscript"/>
        </w:rPr>
        <w:t>9</w:t>
      </w:r>
      <w:r>
        <w:t xml:space="preserve"> A retrospective cohort study looking at risk factors for mortality among patients with COVID-19 who have experienced a definite outcome found an increase in the odds of in-hospital death associated with older age, higher sequential organ failure assessment score and elevated blood d-dimer levels on admission.</w:t>
      </w:r>
      <w:r>
        <w:rPr>
          <w:vertAlign w:val="superscript"/>
        </w:rPr>
        <w:t>14</w:t>
      </w:r>
      <w:r>
        <w:t xml:space="preserve"> Detectable SARS-CoV-2 RNA persisted for a median of 20 days in survivors and sustained until death in non-survivors.</w:t>
      </w:r>
      <w:r>
        <w:rPr>
          <w:vertAlign w:val="superscript"/>
        </w:rPr>
        <w:t xml:space="preserve">14 </w:t>
      </w:r>
    </w:p>
    <w:p w14:paraId="3BA0115E" w14:textId="77777777" w:rsidR="00CF1E81" w:rsidRPr="0058559B" w:rsidRDefault="00CF1E81" w:rsidP="0058559B">
      <w:pPr>
        <w:pStyle w:val="Heading2"/>
      </w:pPr>
      <w:r w:rsidRPr="0058559B">
        <w:t xml:space="preserve">Molecular epidemiology </w:t>
      </w:r>
    </w:p>
    <w:p w14:paraId="06C71AD1" w14:textId="77777777" w:rsidR="00CF1E81" w:rsidRDefault="00CF1E81" w:rsidP="0058559B">
      <w:r>
        <w:t>Based on modelling, researchers estimated that initial human SARS-CoV-2 infection was in November to early December 2019.</w:t>
      </w:r>
      <w:r>
        <w:rPr>
          <w:vertAlign w:val="superscript"/>
        </w:rPr>
        <w:t>15</w:t>
      </w:r>
      <w:r>
        <w:t xml:space="preserve"> An analysis based on 86 genomic sequences of SARS-CoV-2, obtained from the Global Initiative on Sharing All Influenza Data (GISAID), found many mutations.</w:t>
      </w:r>
      <w:r>
        <w:rPr>
          <w:vertAlign w:val="superscript"/>
        </w:rPr>
        <w:t>16</w:t>
      </w:r>
      <w:r>
        <w:t xml:space="preserve"> This suggests that SARS-CoV-2 will continue to evolve as the outbreak occurs. Ongoing surveillance of sequences and shared mutations will assist with understanding the spread of the virus globally and within Australia. </w:t>
      </w:r>
    </w:p>
    <w:p w14:paraId="1F5C8B56" w14:textId="77777777" w:rsidR="00CF1E81" w:rsidRPr="0058559B" w:rsidRDefault="00CF1E81" w:rsidP="0058559B">
      <w:pPr>
        <w:pStyle w:val="Heading2"/>
      </w:pPr>
      <w:r w:rsidRPr="0058559B">
        <w:lastRenderedPageBreak/>
        <w:t xml:space="preserve">Treatment </w:t>
      </w:r>
    </w:p>
    <w:p w14:paraId="3C5A19B1" w14:textId="77777777" w:rsidR="00CF1E81" w:rsidRDefault="00CF1E81" w:rsidP="0058559B">
      <w:r>
        <w:t>Current clinical management of COVID-19 cases focuses on early recognition, isolation, appropriate infection control measures and provision of supportive care.</w:t>
      </w:r>
      <w:r>
        <w:rPr>
          <w:vertAlign w:val="superscript"/>
        </w:rPr>
        <w:t>17</w:t>
      </w:r>
      <w:r>
        <w:t xml:space="preserve"> Whilst there is no specific antiviral treatment currently recommended for patients with suspected or confirmed SARS-CoV-2 infection, multiple clinical trials are underway to evaluate a number of therapeutic agents, including remdesivir, lopinavir/ritonavir, and chloroquine.</w:t>
      </w:r>
      <w:r>
        <w:rPr>
          <w:vertAlign w:val="superscript"/>
        </w:rPr>
        <w:t xml:space="preserve">18 </w:t>
      </w:r>
    </w:p>
    <w:p w14:paraId="67985EA9" w14:textId="77777777" w:rsidR="00CF1E81" w:rsidRPr="0058559B" w:rsidRDefault="00CF1E81" w:rsidP="0058559B">
      <w:pPr>
        <w:pStyle w:val="Heading2"/>
      </w:pPr>
      <w:r w:rsidRPr="0058559B">
        <w:t xml:space="preserve">Comparison between COVID-19, SARS and MERS </w:t>
      </w:r>
    </w:p>
    <w:p w14:paraId="5B745E8C" w14:textId="77777777" w:rsidR="00CF1E81" w:rsidRDefault="00CF1E81" w:rsidP="0058559B">
      <w:r>
        <w:t>Coronaviruses are a group of viruses that can cause upper respiratory tract infections in humans. Coronaviruses can occasionally cause severe diseases such as Middle East Respiratory Syndrome (MERS), Severe Acute Respiratory Syndrome (SARS) and more recently COVID-19. Similar to MERS-</w:t>
      </w:r>
      <w:proofErr w:type="spellStart"/>
      <w:r>
        <w:t>CoV</w:t>
      </w:r>
      <w:proofErr w:type="spellEnd"/>
      <w:r>
        <w:t xml:space="preserve"> and SARS-</w:t>
      </w:r>
      <w:proofErr w:type="spellStart"/>
      <w:r>
        <w:t>CoV</w:t>
      </w:r>
      <w:proofErr w:type="spellEnd"/>
      <w:r>
        <w:t>, SARS-CoV-2 is thought to have originated from bats, and to have been transmitted to humans via an intermediate animal host. The intermediate animal host responsible for COVID-19 is currently unknown.</w:t>
      </w:r>
      <w:r>
        <w:rPr>
          <w:vertAlign w:val="superscript"/>
        </w:rPr>
        <w:t>19</w:t>
      </w:r>
      <w:r>
        <w:t xml:space="preserve"> Table 4 provides an overview of characteristics of COVID-19, MERS and SARS.</w:t>
      </w:r>
    </w:p>
    <w:p w14:paraId="1A5C02F1" w14:textId="77777777" w:rsidR="00CF1E81" w:rsidRDefault="00CF1E81" w:rsidP="0058559B">
      <w:pPr>
        <w:pStyle w:val="CDIFigures"/>
      </w:pPr>
      <w:r>
        <w:t>Table 4: Characteristics of COVID-19, MERS and SARS</w:t>
      </w:r>
      <w:r w:rsidRPr="002617E1">
        <w:rPr>
          <w:vertAlign w:val="superscript"/>
        </w:rPr>
        <w:t>20–22</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able 4 compares the characteristics, severity, fatality, and outbreak extent of COVID-19 with those of Middle East Respiratory Syndrome (MERS) and Severe Acute Respiratory Syndrome (SARS)."/>
      </w:tblPr>
      <w:tblGrid>
        <w:gridCol w:w="2694"/>
        <w:gridCol w:w="2668"/>
        <w:gridCol w:w="2038"/>
        <w:gridCol w:w="3066"/>
      </w:tblGrid>
      <w:tr w:rsidR="0058559B" w:rsidRPr="0058559B" w14:paraId="4539406E" w14:textId="77777777" w:rsidTr="00C55006">
        <w:trPr>
          <w:cnfStyle w:val="100000000000" w:firstRow="1" w:lastRow="0" w:firstColumn="0" w:lastColumn="0" w:oddVBand="0" w:evenVBand="0" w:oddHBand="0" w:evenHBand="0" w:firstRowFirstColumn="0" w:firstRowLastColumn="0" w:lastRowFirstColumn="0" w:lastRowLastColumn="0"/>
          <w:tblHeader/>
        </w:trPr>
        <w:tc>
          <w:tcPr>
            <w:tcW w:w="2694" w:type="dxa"/>
            <w:hideMark/>
          </w:tcPr>
          <w:p w14:paraId="56E9A879" w14:textId="77777777" w:rsidR="00CF1E81" w:rsidRPr="0058559B" w:rsidRDefault="00CF1E81">
            <w:pPr>
              <w:rPr>
                <w:color w:val="FFFFFF" w:themeColor="background1"/>
              </w:rPr>
            </w:pPr>
          </w:p>
        </w:tc>
        <w:tc>
          <w:tcPr>
            <w:tcW w:w="2668" w:type="dxa"/>
            <w:hideMark/>
          </w:tcPr>
          <w:p w14:paraId="5CF10A63" w14:textId="77777777" w:rsidR="00CF1E81" w:rsidRPr="0058559B" w:rsidRDefault="00CF1E81" w:rsidP="008018A8">
            <w:pPr>
              <w:pStyle w:val="NormalWeb"/>
              <w:jc w:val="center"/>
              <w:rPr>
                <w:color w:val="FFFFFF" w:themeColor="background1"/>
                <w:sz w:val="24"/>
                <w:szCs w:val="24"/>
              </w:rPr>
            </w:pPr>
            <w:r w:rsidRPr="0058559B">
              <w:rPr>
                <w:color w:val="FFFFFF" w:themeColor="background1"/>
              </w:rPr>
              <w:t>COVID-19</w:t>
            </w:r>
          </w:p>
        </w:tc>
        <w:tc>
          <w:tcPr>
            <w:tcW w:w="0" w:type="auto"/>
            <w:hideMark/>
          </w:tcPr>
          <w:p w14:paraId="26286F67" w14:textId="77777777" w:rsidR="00CF1E81" w:rsidRPr="0058559B" w:rsidRDefault="00CF1E81" w:rsidP="008018A8">
            <w:pPr>
              <w:pStyle w:val="NormalWeb"/>
              <w:jc w:val="center"/>
              <w:rPr>
                <w:color w:val="FFFFFF" w:themeColor="background1"/>
              </w:rPr>
            </w:pPr>
            <w:r w:rsidRPr="0058559B">
              <w:rPr>
                <w:color w:val="FFFFFF" w:themeColor="background1"/>
              </w:rPr>
              <w:t>MERS</w:t>
            </w:r>
          </w:p>
        </w:tc>
        <w:tc>
          <w:tcPr>
            <w:tcW w:w="0" w:type="auto"/>
            <w:hideMark/>
          </w:tcPr>
          <w:p w14:paraId="78468A6C" w14:textId="77777777" w:rsidR="00CF1E81" w:rsidRPr="0058559B" w:rsidRDefault="00CF1E81" w:rsidP="008018A8">
            <w:pPr>
              <w:pStyle w:val="NormalWeb"/>
              <w:jc w:val="center"/>
              <w:rPr>
                <w:color w:val="FFFFFF" w:themeColor="background1"/>
              </w:rPr>
            </w:pPr>
            <w:r w:rsidRPr="0058559B">
              <w:rPr>
                <w:color w:val="FFFFFF" w:themeColor="background1"/>
              </w:rPr>
              <w:t>SARS</w:t>
            </w:r>
          </w:p>
        </w:tc>
      </w:tr>
      <w:tr w:rsidR="00CF1E81" w14:paraId="22AD45EF" w14:textId="77777777" w:rsidTr="00C55006">
        <w:tc>
          <w:tcPr>
            <w:tcW w:w="2694" w:type="dxa"/>
            <w:hideMark/>
          </w:tcPr>
          <w:p w14:paraId="406984B7" w14:textId="77777777" w:rsidR="00CF1E81" w:rsidRDefault="00CF1E81">
            <w:pPr>
              <w:pStyle w:val="NormalWeb"/>
            </w:pPr>
            <w:r>
              <w:t>Median incubation period</w:t>
            </w:r>
          </w:p>
        </w:tc>
        <w:tc>
          <w:tcPr>
            <w:tcW w:w="2668" w:type="dxa"/>
            <w:hideMark/>
          </w:tcPr>
          <w:p w14:paraId="2B1548A2" w14:textId="77777777" w:rsidR="00CF1E81" w:rsidRDefault="00CF1E81" w:rsidP="008018A8">
            <w:pPr>
              <w:pStyle w:val="NormalWeb"/>
              <w:jc w:val="center"/>
            </w:pPr>
            <w:r>
              <w:t>5–6 days</w:t>
            </w:r>
          </w:p>
        </w:tc>
        <w:tc>
          <w:tcPr>
            <w:tcW w:w="0" w:type="auto"/>
            <w:hideMark/>
          </w:tcPr>
          <w:p w14:paraId="6A9034C2" w14:textId="77777777" w:rsidR="00CF1E81" w:rsidRDefault="00CF1E81" w:rsidP="008018A8">
            <w:pPr>
              <w:pStyle w:val="NormalWeb"/>
              <w:jc w:val="center"/>
            </w:pPr>
            <w:r>
              <w:t>5 days</w:t>
            </w:r>
          </w:p>
        </w:tc>
        <w:tc>
          <w:tcPr>
            <w:tcW w:w="0" w:type="auto"/>
            <w:hideMark/>
          </w:tcPr>
          <w:p w14:paraId="3944E260" w14:textId="77777777" w:rsidR="00CF1E81" w:rsidRDefault="00CF1E81" w:rsidP="008018A8">
            <w:pPr>
              <w:pStyle w:val="NormalWeb"/>
              <w:jc w:val="center"/>
            </w:pPr>
            <w:r>
              <w:t>4–5 days</w:t>
            </w:r>
          </w:p>
        </w:tc>
      </w:tr>
      <w:tr w:rsidR="00CF1E81" w14:paraId="3FB17F45" w14:textId="77777777" w:rsidTr="00C55006">
        <w:trPr>
          <w:cnfStyle w:val="000000010000" w:firstRow="0" w:lastRow="0" w:firstColumn="0" w:lastColumn="0" w:oddVBand="0" w:evenVBand="0" w:oddHBand="0" w:evenHBand="1" w:firstRowFirstColumn="0" w:firstRowLastColumn="0" w:lastRowFirstColumn="0" w:lastRowLastColumn="0"/>
        </w:trPr>
        <w:tc>
          <w:tcPr>
            <w:tcW w:w="2694" w:type="dxa"/>
            <w:hideMark/>
          </w:tcPr>
          <w:p w14:paraId="6C60991E" w14:textId="77777777" w:rsidR="00CF1E81" w:rsidRDefault="00CF1E81">
            <w:pPr>
              <w:pStyle w:val="NormalWeb"/>
            </w:pPr>
            <w:r>
              <w:t>Mode of transmission</w:t>
            </w:r>
          </w:p>
        </w:tc>
        <w:tc>
          <w:tcPr>
            <w:tcW w:w="2668" w:type="dxa"/>
            <w:hideMark/>
          </w:tcPr>
          <w:p w14:paraId="50DF160C" w14:textId="77777777" w:rsidR="00CF1E81" w:rsidRDefault="00CF1E81" w:rsidP="008018A8">
            <w:pPr>
              <w:pStyle w:val="NormalWeb"/>
              <w:jc w:val="center"/>
            </w:pPr>
            <w:r>
              <w:t>Respiratory droplet, close contact, fomites</w:t>
            </w:r>
          </w:p>
        </w:tc>
        <w:tc>
          <w:tcPr>
            <w:tcW w:w="0" w:type="auto"/>
            <w:hideMark/>
          </w:tcPr>
          <w:p w14:paraId="195DB7D5" w14:textId="77777777" w:rsidR="00CF1E81" w:rsidRDefault="00CF1E81" w:rsidP="008018A8">
            <w:pPr>
              <w:pStyle w:val="NormalWeb"/>
              <w:jc w:val="center"/>
            </w:pPr>
            <w:r>
              <w:t>Respiratory droplet, close contact</w:t>
            </w:r>
          </w:p>
        </w:tc>
        <w:tc>
          <w:tcPr>
            <w:tcW w:w="0" w:type="auto"/>
            <w:hideMark/>
          </w:tcPr>
          <w:p w14:paraId="3B622851" w14:textId="77777777" w:rsidR="00CF1E81" w:rsidRDefault="00CF1E81" w:rsidP="008018A8">
            <w:pPr>
              <w:pStyle w:val="NormalWeb"/>
              <w:jc w:val="center"/>
            </w:pPr>
            <w:r>
              <w:t>Respiratory droplet, close contact, fomites</w:t>
            </w:r>
          </w:p>
        </w:tc>
      </w:tr>
      <w:tr w:rsidR="00CF1E81" w14:paraId="6AD55C71" w14:textId="77777777" w:rsidTr="00C55006">
        <w:tc>
          <w:tcPr>
            <w:tcW w:w="2694" w:type="dxa"/>
            <w:hideMark/>
          </w:tcPr>
          <w:p w14:paraId="176C5DB9" w14:textId="77777777" w:rsidR="00CF1E81" w:rsidRDefault="00CF1E81">
            <w:pPr>
              <w:pStyle w:val="NormalWeb"/>
            </w:pPr>
            <w:r>
              <w:t>Symptoms</w:t>
            </w:r>
          </w:p>
        </w:tc>
        <w:tc>
          <w:tcPr>
            <w:tcW w:w="2668" w:type="dxa"/>
            <w:hideMark/>
          </w:tcPr>
          <w:p w14:paraId="33544C03" w14:textId="77777777" w:rsidR="00CF1E81" w:rsidRDefault="00CF1E81" w:rsidP="008018A8">
            <w:pPr>
              <w:pStyle w:val="NormalWeb"/>
              <w:jc w:val="center"/>
            </w:pPr>
            <w:r>
              <w:t>Fever, cough, fatigue and difficulty with breathing (dyspnoea)</w:t>
            </w:r>
          </w:p>
        </w:tc>
        <w:tc>
          <w:tcPr>
            <w:tcW w:w="0" w:type="auto"/>
            <w:hideMark/>
          </w:tcPr>
          <w:p w14:paraId="43F4E5B5" w14:textId="77777777" w:rsidR="00CF1E81" w:rsidRDefault="00CF1E81" w:rsidP="008018A8">
            <w:pPr>
              <w:pStyle w:val="NormalWeb"/>
              <w:jc w:val="center"/>
            </w:pPr>
            <w:r>
              <w:t>Fever, cough and shortness of breath</w:t>
            </w:r>
          </w:p>
        </w:tc>
        <w:tc>
          <w:tcPr>
            <w:tcW w:w="0" w:type="auto"/>
            <w:hideMark/>
          </w:tcPr>
          <w:p w14:paraId="251D29B2" w14:textId="77777777" w:rsidR="00CF1E81" w:rsidRDefault="00CF1E81" w:rsidP="008018A8">
            <w:pPr>
              <w:pStyle w:val="NormalWeb"/>
              <w:jc w:val="center"/>
            </w:pPr>
            <w:r>
              <w:t>Fever, malaise, myalgia, headache, diarrhoea and shivering (rigors)</w:t>
            </w:r>
          </w:p>
        </w:tc>
      </w:tr>
      <w:tr w:rsidR="00CF1E81" w14:paraId="7D92FF6F" w14:textId="77777777" w:rsidTr="00C55006">
        <w:trPr>
          <w:cnfStyle w:val="000000010000" w:firstRow="0" w:lastRow="0" w:firstColumn="0" w:lastColumn="0" w:oddVBand="0" w:evenVBand="0" w:oddHBand="0" w:evenHBand="1" w:firstRowFirstColumn="0" w:firstRowLastColumn="0" w:lastRowFirstColumn="0" w:lastRowLastColumn="0"/>
        </w:trPr>
        <w:tc>
          <w:tcPr>
            <w:tcW w:w="2694" w:type="dxa"/>
            <w:hideMark/>
          </w:tcPr>
          <w:p w14:paraId="16483F88" w14:textId="77777777" w:rsidR="00CF1E81" w:rsidRDefault="00CF1E81">
            <w:pPr>
              <w:pStyle w:val="NormalWeb"/>
            </w:pPr>
            <w:r>
              <w:t>Number of countries and regions affected</w:t>
            </w:r>
          </w:p>
        </w:tc>
        <w:tc>
          <w:tcPr>
            <w:tcW w:w="2668" w:type="dxa"/>
            <w:hideMark/>
          </w:tcPr>
          <w:p w14:paraId="6CBA0E35" w14:textId="77777777" w:rsidR="00CF1E81" w:rsidRDefault="00CF1E81" w:rsidP="008018A8">
            <w:pPr>
              <w:pStyle w:val="NormalWeb"/>
              <w:jc w:val="center"/>
            </w:pPr>
            <w:r>
              <w:t>134</w:t>
            </w:r>
          </w:p>
        </w:tc>
        <w:tc>
          <w:tcPr>
            <w:tcW w:w="0" w:type="auto"/>
            <w:hideMark/>
          </w:tcPr>
          <w:p w14:paraId="38C0043C" w14:textId="77777777" w:rsidR="00CF1E81" w:rsidRDefault="00CF1E81" w:rsidP="008018A8">
            <w:pPr>
              <w:pStyle w:val="NormalWeb"/>
              <w:jc w:val="center"/>
            </w:pPr>
            <w:r>
              <w:t>27</w:t>
            </w:r>
          </w:p>
        </w:tc>
        <w:tc>
          <w:tcPr>
            <w:tcW w:w="0" w:type="auto"/>
            <w:hideMark/>
          </w:tcPr>
          <w:p w14:paraId="396F4ABD" w14:textId="77777777" w:rsidR="00CF1E81" w:rsidRDefault="00CF1E81" w:rsidP="008018A8">
            <w:pPr>
              <w:pStyle w:val="NormalWeb"/>
              <w:jc w:val="center"/>
            </w:pPr>
            <w:r>
              <w:t>29</w:t>
            </w:r>
          </w:p>
        </w:tc>
      </w:tr>
      <w:tr w:rsidR="00CF1E81" w14:paraId="23282984" w14:textId="77777777" w:rsidTr="00C55006">
        <w:tc>
          <w:tcPr>
            <w:tcW w:w="2694" w:type="dxa"/>
            <w:hideMark/>
          </w:tcPr>
          <w:p w14:paraId="0B5E502B" w14:textId="77777777" w:rsidR="00CF1E81" w:rsidRDefault="00CF1E81">
            <w:pPr>
              <w:pStyle w:val="NormalWeb"/>
            </w:pPr>
            <w:r>
              <w:t>Regions severely affected</w:t>
            </w:r>
          </w:p>
        </w:tc>
        <w:tc>
          <w:tcPr>
            <w:tcW w:w="2668" w:type="dxa"/>
            <w:hideMark/>
          </w:tcPr>
          <w:p w14:paraId="3C364B6D" w14:textId="77777777" w:rsidR="00CF1E81" w:rsidRDefault="00CF1E81" w:rsidP="008018A8">
            <w:pPr>
              <w:pStyle w:val="NormalWeb"/>
              <w:jc w:val="center"/>
            </w:pPr>
            <w:r>
              <w:t>Mainland China, Republic of Korea, Italy and Islamic Republic of Iran</w:t>
            </w:r>
          </w:p>
        </w:tc>
        <w:tc>
          <w:tcPr>
            <w:tcW w:w="0" w:type="auto"/>
            <w:hideMark/>
          </w:tcPr>
          <w:p w14:paraId="09F86B38" w14:textId="77777777" w:rsidR="00CF1E81" w:rsidRDefault="00CF1E81" w:rsidP="008018A8">
            <w:pPr>
              <w:pStyle w:val="NormalWeb"/>
              <w:jc w:val="center"/>
            </w:pPr>
            <w:r>
              <w:t>Saudi Arabia</w:t>
            </w:r>
          </w:p>
        </w:tc>
        <w:tc>
          <w:tcPr>
            <w:tcW w:w="0" w:type="auto"/>
            <w:hideMark/>
          </w:tcPr>
          <w:p w14:paraId="1A35F5EC" w14:textId="77777777" w:rsidR="00CF1E81" w:rsidRDefault="00CF1E81" w:rsidP="008018A8">
            <w:pPr>
              <w:pStyle w:val="NormalWeb"/>
              <w:jc w:val="center"/>
            </w:pPr>
            <w:r>
              <w:t>Mainland China, Hong Kong SAR, Taiwan, Canada, Singapore</w:t>
            </w:r>
          </w:p>
        </w:tc>
      </w:tr>
      <w:tr w:rsidR="00CF1E81" w14:paraId="61C3C0E6" w14:textId="77777777" w:rsidTr="00C55006">
        <w:trPr>
          <w:cnfStyle w:val="000000010000" w:firstRow="0" w:lastRow="0" w:firstColumn="0" w:lastColumn="0" w:oddVBand="0" w:evenVBand="0" w:oddHBand="0" w:evenHBand="1" w:firstRowFirstColumn="0" w:firstRowLastColumn="0" w:lastRowFirstColumn="0" w:lastRowLastColumn="0"/>
        </w:trPr>
        <w:tc>
          <w:tcPr>
            <w:tcW w:w="2694" w:type="dxa"/>
            <w:hideMark/>
          </w:tcPr>
          <w:p w14:paraId="56CD6B11" w14:textId="77777777" w:rsidR="00CF1E81" w:rsidRDefault="00CF1E81">
            <w:pPr>
              <w:pStyle w:val="NormalWeb"/>
            </w:pPr>
            <w:r>
              <w:t>Number of cases globally</w:t>
            </w:r>
          </w:p>
        </w:tc>
        <w:tc>
          <w:tcPr>
            <w:tcW w:w="2668" w:type="dxa"/>
            <w:hideMark/>
          </w:tcPr>
          <w:p w14:paraId="21915B45" w14:textId="77777777" w:rsidR="00CF1E81" w:rsidRDefault="00CF1E81" w:rsidP="008018A8">
            <w:pPr>
              <w:pStyle w:val="NormalWeb"/>
              <w:jc w:val="center"/>
            </w:pPr>
            <w:r>
              <w:t>142,539</w:t>
            </w:r>
          </w:p>
        </w:tc>
        <w:tc>
          <w:tcPr>
            <w:tcW w:w="0" w:type="auto"/>
            <w:hideMark/>
          </w:tcPr>
          <w:p w14:paraId="606735B7" w14:textId="77777777" w:rsidR="00CF1E81" w:rsidRDefault="00CF1E81" w:rsidP="008018A8">
            <w:pPr>
              <w:pStyle w:val="NormalWeb"/>
              <w:jc w:val="center"/>
            </w:pPr>
            <w:r>
              <w:t>2,519</w:t>
            </w:r>
          </w:p>
        </w:tc>
        <w:tc>
          <w:tcPr>
            <w:tcW w:w="0" w:type="auto"/>
            <w:hideMark/>
          </w:tcPr>
          <w:p w14:paraId="72848A8A" w14:textId="77777777" w:rsidR="00CF1E81" w:rsidRDefault="00CF1E81" w:rsidP="008018A8">
            <w:pPr>
              <w:pStyle w:val="NormalWeb"/>
              <w:jc w:val="center"/>
            </w:pPr>
            <w:r>
              <w:t>8,422</w:t>
            </w:r>
          </w:p>
        </w:tc>
      </w:tr>
      <w:tr w:rsidR="00CF1E81" w14:paraId="616DFD43" w14:textId="77777777" w:rsidTr="00C55006">
        <w:tc>
          <w:tcPr>
            <w:tcW w:w="2694" w:type="dxa"/>
            <w:hideMark/>
          </w:tcPr>
          <w:p w14:paraId="2DCC1FA2" w14:textId="77777777" w:rsidR="00CF1E81" w:rsidRDefault="00CF1E81">
            <w:pPr>
              <w:pStyle w:val="NormalWeb"/>
            </w:pPr>
            <w:r>
              <w:t>Number of deaths globally</w:t>
            </w:r>
          </w:p>
        </w:tc>
        <w:tc>
          <w:tcPr>
            <w:tcW w:w="2668" w:type="dxa"/>
            <w:hideMark/>
          </w:tcPr>
          <w:p w14:paraId="0AE648CB" w14:textId="77777777" w:rsidR="00CF1E81" w:rsidRDefault="00CF1E81" w:rsidP="008018A8">
            <w:pPr>
              <w:pStyle w:val="NormalWeb"/>
              <w:jc w:val="center"/>
            </w:pPr>
            <w:r>
              <w:t>5,393</w:t>
            </w:r>
          </w:p>
        </w:tc>
        <w:tc>
          <w:tcPr>
            <w:tcW w:w="0" w:type="auto"/>
            <w:hideMark/>
          </w:tcPr>
          <w:p w14:paraId="3F835D67" w14:textId="77777777" w:rsidR="00CF1E81" w:rsidRDefault="00CF1E81" w:rsidP="008018A8">
            <w:pPr>
              <w:pStyle w:val="NormalWeb"/>
              <w:jc w:val="center"/>
            </w:pPr>
            <w:r>
              <w:t>866</w:t>
            </w:r>
          </w:p>
        </w:tc>
        <w:tc>
          <w:tcPr>
            <w:tcW w:w="0" w:type="auto"/>
            <w:hideMark/>
          </w:tcPr>
          <w:p w14:paraId="2DA3011A" w14:textId="77777777" w:rsidR="00CF1E81" w:rsidRDefault="00CF1E81" w:rsidP="008018A8">
            <w:pPr>
              <w:pStyle w:val="NormalWeb"/>
              <w:jc w:val="center"/>
            </w:pPr>
            <w:r>
              <w:t>916</w:t>
            </w:r>
          </w:p>
        </w:tc>
      </w:tr>
      <w:tr w:rsidR="00CF1E81" w14:paraId="1A4F8D53" w14:textId="77777777" w:rsidTr="00C55006">
        <w:trPr>
          <w:cnfStyle w:val="000000010000" w:firstRow="0" w:lastRow="0" w:firstColumn="0" w:lastColumn="0" w:oddVBand="0" w:evenVBand="0" w:oddHBand="0" w:evenHBand="1" w:firstRowFirstColumn="0" w:firstRowLastColumn="0" w:lastRowFirstColumn="0" w:lastRowLastColumn="0"/>
        </w:trPr>
        <w:tc>
          <w:tcPr>
            <w:tcW w:w="2694" w:type="dxa"/>
            <w:hideMark/>
          </w:tcPr>
          <w:p w14:paraId="5399E3BB" w14:textId="77777777" w:rsidR="00CF1E81" w:rsidRDefault="00CF1E81">
            <w:pPr>
              <w:pStyle w:val="NormalWeb"/>
            </w:pPr>
            <w:r>
              <w:t>Global case fatality rate</w:t>
            </w:r>
          </w:p>
        </w:tc>
        <w:tc>
          <w:tcPr>
            <w:tcW w:w="2668" w:type="dxa"/>
            <w:hideMark/>
          </w:tcPr>
          <w:p w14:paraId="51C26874" w14:textId="77777777" w:rsidR="00CF1E81" w:rsidRDefault="00CF1E81" w:rsidP="008018A8">
            <w:pPr>
              <w:pStyle w:val="NormalWeb"/>
              <w:jc w:val="center"/>
            </w:pPr>
            <w:r>
              <w:t>3.8%</w:t>
            </w:r>
          </w:p>
        </w:tc>
        <w:tc>
          <w:tcPr>
            <w:tcW w:w="0" w:type="auto"/>
            <w:hideMark/>
          </w:tcPr>
          <w:p w14:paraId="2A2E1D15" w14:textId="77777777" w:rsidR="00CF1E81" w:rsidRDefault="00CF1E81" w:rsidP="008018A8">
            <w:pPr>
              <w:pStyle w:val="NormalWeb"/>
              <w:jc w:val="center"/>
            </w:pPr>
            <w:r>
              <w:t>34.3%</w:t>
            </w:r>
          </w:p>
        </w:tc>
        <w:tc>
          <w:tcPr>
            <w:tcW w:w="0" w:type="auto"/>
            <w:hideMark/>
          </w:tcPr>
          <w:p w14:paraId="461E7A88" w14:textId="77777777" w:rsidR="00CF1E81" w:rsidRDefault="00CF1E81" w:rsidP="008018A8">
            <w:pPr>
              <w:pStyle w:val="NormalWeb"/>
              <w:jc w:val="center"/>
            </w:pPr>
            <w:r>
              <w:t>10.9%</w:t>
            </w:r>
          </w:p>
        </w:tc>
      </w:tr>
      <w:tr w:rsidR="00CF1E81" w14:paraId="49811304" w14:textId="77777777" w:rsidTr="00C55006">
        <w:tc>
          <w:tcPr>
            <w:tcW w:w="2694" w:type="dxa"/>
            <w:hideMark/>
          </w:tcPr>
          <w:p w14:paraId="78ED5B6D" w14:textId="77777777" w:rsidR="00CF1E81" w:rsidRDefault="00CF1E81">
            <w:pPr>
              <w:pStyle w:val="NormalWeb"/>
            </w:pPr>
            <w:r>
              <w:t>Prophylaxis available</w:t>
            </w:r>
          </w:p>
        </w:tc>
        <w:tc>
          <w:tcPr>
            <w:tcW w:w="2668" w:type="dxa"/>
            <w:hideMark/>
          </w:tcPr>
          <w:p w14:paraId="44D9603B" w14:textId="77777777" w:rsidR="00CF1E81" w:rsidRDefault="00CF1E81" w:rsidP="008018A8">
            <w:pPr>
              <w:pStyle w:val="NormalWeb"/>
              <w:jc w:val="center"/>
            </w:pPr>
            <w:r>
              <w:t>No</w:t>
            </w:r>
          </w:p>
        </w:tc>
        <w:tc>
          <w:tcPr>
            <w:tcW w:w="0" w:type="auto"/>
            <w:hideMark/>
          </w:tcPr>
          <w:p w14:paraId="624D862E" w14:textId="77777777" w:rsidR="00CF1E81" w:rsidRDefault="00CF1E81" w:rsidP="008018A8">
            <w:pPr>
              <w:pStyle w:val="NormalWeb"/>
              <w:jc w:val="center"/>
            </w:pPr>
            <w:r>
              <w:t>No</w:t>
            </w:r>
          </w:p>
        </w:tc>
        <w:tc>
          <w:tcPr>
            <w:tcW w:w="0" w:type="auto"/>
            <w:hideMark/>
          </w:tcPr>
          <w:p w14:paraId="53218F3E" w14:textId="77777777" w:rsidR="00CF1E81" w:rsidRDefault="00CF1E81" w:rsidP="008018A8">
            <w:pPr>
              <w:pStyle w:val="NormalWeb"/>
              <w:jc w:val="center"/>
            </w:pPr>
            <w:r>
              <w:t>No</w:t>
            </w:r>
          </w:p>
        </w:tc>
      </w:tr>
    </w:tbl>
    <w:p w14:paraId="77C363F4" w14:textId="77777777" w:rsidR="00CF1E81" w:rsidRDefault="00CF1E81">
      <w:pPr>
        <w:pStyle w:val="Heading2"/>
        <w:rPr>
          <w:rFonts w:eastAsia="Times New Roman"/>
        </w:rPr>
      </w:pPr>
      <w:r>
        <w:rPr>
          <w:rFonts w:eastAsia="Times New Roman"/>
        </w:rPr>
        <w:t xml:space="preserve">Public health response </w:t>
      </w:r>
    </w:p>
    <w:p w14:paraId="1DDE903D" w14:textId="77777777" w:rsidR="00CF1E81" w:rsidRDefault="00CF1E81" w:rsidP="00674A5D">
      <w:r>
        <w:t>The Report of the WHO-China Joint Mission on Coronavirus Disease 2019 (COVID-19) describes some of the key aspects associated with the evolving outbreak in mainland China, including transmission dynamics, disease progression and severity, mainland China’s response and knowledge gaps. As part of the report, the following major recommendations were made for countries with imported cases and/or outbreaks of COVID-19:</w:t>
      </w:r>
      <w:r>
        <w:rPr>
          <w:vertAlign w:val="superscript"/>
        </w:rPr>
        <w:t xml:space="preserve">8 </w:t>
      </w:r>
    </w:p>
    <w:p w14:paraId="7E502CBA" w14:textId="77777777" w:rsidR="00CF1E81" w:rsidRPr="00674A5D" w:rsidRDefault="00CF1E81" w:rsidP="002617E1">
      <w:pPr>
        <w:pStyle w:val="ListParagraph"/>
        <w:numPr>
          <w:ilvl w:val="0"/>
          <w:numId w:val="18"/>
        </w:numPr>
        <w:spacing w:before="100" w:beforeAutospacing="1" w:after="100" w:afterAutospacing="1" w:line="240" w:lineRule="auto"/>
        <w:rPr>
          <w:rFonts w:eastAsia="Times New Roman"/>
        </w:rPr>
      </w:pPr>
      <w:r w:rsidRPr="00674A5D">
        <w:rPr>
          <w:rFonts w:eastAsia="Times New Roman"/>
        </w:rPr>
        <w:t xml:space="preserve">Immediately activate the highest level of national Response Management protocols to ensure the all-of-government and all-of-society approach needed to contain COVID-19 with non-pharmaceutical public health measures; </w:t>
      </w:r>
    </w:p>
    <w:p w14:paraId="64D0E117" w14:textId="77777777" w:rsidR="00CF1E81" w:rsidRPr="00674A5D" w:rsidRDefault="00CF1E81" w:rsidP="002617E1">
      <w:pPr>
        <w:pStyle w:val="ListParagraph"/>
        <w:numPr>
          <w:ilvl w:val="0"/>
          <w:numId w:val="18"/>
        </w:numPr>
        <w:spacing w:before="100" w:beforeAutospacing="1" w:after="100" w:afterAutospacing="1" w:line="240" w:lineRule="auto"/>
        <w:rPr>
          <w:rFonts w:eastAsia="Times New Roman"/>
        </w:rPr>
      </w:pPr>
      <w:r w:rsidRPr="00674A5D">
        <w:rPr>
          <w:rFonts w:eastAsia="Times New Roman"/>
        </w:rPr>
        <w:t xml:space="preserve">Prioritise active, exhaustive case finding and immediate testing and isolation, painstaking contact tracing and rigorous quarantine of close contacts; </w:t>
      </w:r>
    </w:p>
    <w:p w14:paraId="3C582392" w14:textId="77777777" w:rsidR="00CF1E81" w:rsidRPr="00674A5D" w:rsidRDefault="00CF1E81" w:rsidP="002617E1">
      <w:pPr>
        <w:pStyle w:val="ListParagraph"/>
        <w:numPr>
          <w:ilvl w:val="0"/>
          <w:numId w:val="18"/>
        </w:numPr>
        <w:spacing w:before="100" w:beforeAutospacing="1" w:after="100" w:afterAutospacing="1" w:line="240" w:lineRule="auto"/>
        <w:rPr>
          <w:rFonts w:eastAsia="Times New Roman"/>
        </w:rPr>
      </w:pPr>
      <w:r w:rsidRPr="00674A5D">
        <w:rPr>
          <w:rFonts w:eastAsia="Times New Roman"/>
        </w:rPr>
        <w:t xml:space="preserve">Fully educate the general public on the seriousness of COVID-19 and their role in preventing its spread; </w:t>
      </w:r>
    </w:p>
    <w:p w14:paraId="1C596751" w14:textId="77777777" w:rsidR="00CF1E81" w:rsidRPr="00674A5D" w:rsidRDefault="00CF1E81" w:rsidP="002617E1">
      <w:pPr>
        <w:pStyle w:val="ListParagraph"/>
        <w:numPr>
          <w:ilvl w:val="0"/>
          <w:numId w:val="18"/>
        </w:numPr>
        <w:spacing w:before="100" w:beforeAutospacing="1" w:after="100" w:afterAutospacing="1" w:line="240" w:lineRule="auto"/>
        <w:rPr>
          <w:rFonts w:eastAsia="Times New Roman"/>
        </w:rPr>
      </w:pPr>
      <w:r w:rsidRPr="00674A5D">
        <w:rPr>
          <w:rFonts w:eastAsia="Times New Roman"/>
        </w:rPr>
        <w:lastRenderedPageBreak/>
        <w:t xml:space="preserve">Immediately expand surveillance to detect COVID-19 transmission chains, by testing all patients with atypical pneumonias, conducting screening in some patients with upper respiratory illnesses and/or recent COVID-19 exposure, and adding testing for the COVID-19 virus to existing surveillance systems (e.g. systems for influenza-like-illness); and </w:t>
      </w:r>
    </w:p>
    <w:p w14:paraId="2CDD48A6" w14:textId="77777777" w:rsidR="00CF1E81" w:rsidRPr="00674A5D" w:rsidRDefault="00CF1E81" w:rsidP="002617E1">
      <w:pPr>
        <w:pStyle w:val="ListParagraph"/>
        <w:numPr>
          <w:ilvl w:val="0"/>
          <w:numId w:val="18"/>
        </w:numPr>
        <w:spacing w:before="100" w:beforeAutospacing="1" w:after="100" w:afterAutospacing="1" w:line="240" w:lineRule="auto"/>
        <w:rPr>
          <w:rFonts w:eastAsia="Times New Roman"/>
        </w:rPr>
      </w:pPr>
      <w:r w:rsidRPr="00674A5D">
        <w:rPr>
          <w:rFonts w:eastAsia="Times New Roman"/>
        </w:rPr>
        <w:t xml:space="preserve">Conduct multi-sector scenario planning and simulations for the deployment of even more stringent measures to interrupt transmission chains as needed (e.g. the suspension of large-scale gatherings and the closure of schools and workplaces). </w:t>
      </w:r>
    </w:p>
    <w:p w14:paraId="4038C0F3" w14:textId="77777777" w:rsidR="00CF1E81" w:rsidRPr="00674A5D" w:rsidRDefault="00CF1E81" w:rsidP="00674A5D">
      <w:pPr>
        <w:pStyle w:val="Heading1"/>
      </w:pPr>
      <w:r w:rsidRPr="00674A5D">
        <w:t xml:space="preserve">Background </w:t>
      </w:r>
    </w:p>
    <w:p w14:paraId="5C4F1067" w14:textId="77777777" w:rsidR="00CF1E81" w:rsidRDefault="00CF1E81" w:rsidP="00674A5D">
      <w:r>
        <w:t>On 31 December 2019, the World Health Organization (WHO) was notified about a large number of cases of pneumonia of unknown origin in Wuhan City, Hubei Province, China. Chinese authorities isolated and identified a novel coronavirus on 7 January 2020.</w:t>
      </w:r>
      <w:r>
        <w:rPr>
          <w:vertAlign w:val="superscript"/>
        </w:rPr>
        <w:t>23</w:t>
      </w:r>
      <w:r>
        <w:t xml:space="preserve"> WHO declared the outbreak of COVID-19 a Public Health Emergency of International Concern (PHEIC) on 30 January 2020.</w:t>
      </w:r>
      <w:r>
        <w:rPr>
          <w:vertAlign w:val="superscript"/>
        </w:rPr>
        <w:t xml:space="preserve">8 </w:t>
      </w:r>
    </w:p>
    <w:p w14:paraId="60352F5C" w14:textId="0A6C1AEE" w:rsidR="00CF1E81" w:rsidRDefault="00CF1E81" w:rsidP="00674A5D">
      <w:r>
        <w:t>From 1 February 2020, Australia denied entry to anyone who had left or transited through mainland China, with the exception of Australian citizens, permanent residents and their immediate family and air crew who have been using appropriate personal protective equipment (Figure 4).</w:t>
      </w:r>
      <w:r>
        <w:rPr>
          <w:vertAlign w:val="superscript"/>
        </w:rPr>
        <w:t>24</w:t>
      </w:r>
      <w:r>
        <w:t xml:space="preserve"> The Australian Health Protection Principal Committee (AHPPC) have reviewed these restrictions weekly, and on 4 March 2020, they released a statement recommending current travel restrictions for mainland China and the Islamic Republic of Iran remain in place for a further seven days.</w:t>
      </w:r>
      <w:r>
        <w:rPr>
          <w:vertAlign w:val="superscript"/>
        </w:rPr>
        <w:t>25</w:t>
      </w:r>
      <w:r>
        <w:t xml:space="preserve"> On 5 March 2020, the Prime Minister announced new travel restrictions for travellers coming from the Republic of Korea, and implementation of enhanced health screening for arrivals from Italy. From 5 March 2020, foreign nationals (excluding permanent residents of Australia) will be prevented from coming to Australia until 14 days after leaving the Republic of Korea.</w:t>
      </w:r>
      <w:r>
        <w:rPr>
          <w:vertAlign w:val="superscript"/>
        </w:rPr>
        <w:t>26</w:t>
      </w:r>
      <w:r>
        <w:t xml:space="preserve"> On 8 March 2020, AHPPC recommended that people who have been a close contact of a confirmed COVID-19 case, or who returned from or transited through a listed higher risk country*, must not attend public gatherings until 14 days after leaving the country or having contact with a confirmed case even if they are completely symptom free.</w:t>
      </w:r>
      <w:r>
        <w:rPr>
          <w:vertAlign w:val="superscript"/>
        </w:rPr>
        <w:t>27</w:t>
      </w:r>
      <w:r>
        <w:t xml:space="preserve"> Those undergoing COVID-19 testing also must not attend public gatherings until they have received their result.</w:t>
      </w:r>
      <w:r>
        <w:rPr>
          <w:vertAlign w:val="superscript"/>
        </w:rPr>
        <w:t>27</w:t>
      </w:r>
      <w:r>
        <w:t xml:space="preserve"> On March 11, AHPPC recommended that the government continue to direct primary focus toward domestic containment and preparedness of COVID-19, and that enhanced border measures and travel restrictions be maintained for a further 7 days.</w:t>
      </w:r>
      <w:r>
        <w:rPr>
          <w:vertAlign w:val="superscript"/>
        </w:rPr>
        <w:t xml:space="preserve">28 </w:t>
      </w:r>
      <w:r>
        <w:t>On March 12, AHPPC provided recommendations on testing and work restriction for health and aged care workers. In addition to the other suspect case criteria, AHPPC recommended testing for any health care worker (H</w:t>
      </w:r>
      <w:r w:rsidR="0069055B">
        <w:t>C</w:t>
      </w:r>
      <w:r>
        <w:t>W) who provides direct care AND who has a fever (&gt;</w:t>
      </w:r>
      <w:r w:rsidR="0069055B">
        <w:t xml:space="preserve"> </w:t>
      </w:r>
      <w:r>
        <w:t>37.5</w:t>
      </w:r>
      <w:r w:rsidR="0069055B">
        <w:t xml:space="preserve"> °C</w:t>
      </w:r>
      <w:r>
        <w:t>) AND an acute respiratory infection (e.g. shortness of breath, cough, coryza, and/or sore throat), are classified as a suspect case and should be tested for COVID-19. Recommendations for exclusion from work for HCW were also provided.</w:t>
      </w:r>
      <w:r>
        <w:rPr>
          <w:vertAlign w:val="superscript"/>
        </w:rPr>
        <w:t xml:space="preserve">29 </w:t>
      </w:r>
      <w:r>
        <w:t>On 13 March, AHPPC provided recommendations for public gatherings and testing by putting in place social distancing measures to mitigate spread.</w:t>
      </w:r>
      <w:r>
        <w:rPr>
          <w:vertAlign w:val="superscript"/>
        </w:rPr>
        <w:t>30</w:t>
      </w:r>
      <w:r>
        <w:t xml:space="preserve"> This includes: </w:t>
      </w:r>
    </w:p>
    <w:p w14:paraId="7366C47F" w14:textId="77777777" w:rsidR="00CF1E81" w:rsidRPr="00674A5D" w:rsidRDefault="00CF1E81" w:rsidP="00674A5D">
      <w:pPr>
        <w:pStyle w:val="ListParagraph"/>
        <w:numPr>
          <w:ilvl w:val="0"/>
          <w:numId w:val="17"/>
        </w:numPr>
        <w:rPr>
          <w:rFonts w:eastAsia="Times New Roman"/>
        </w:rPr>
      </w:pPr>
      <w:r w:rsidRPr="00674A5D">
        <w:rPr>
          <w:rFonts w:eastAsia="Times New Roman"/>
        </w:rPr>
        <w:t>Limiting non-essential organised gatherings to fewer than 500 people</w:t>
      </w:r>
      <w:r w:rsidR="0069055B">
        <w:rPr>
          <w:rFonts w:eastAsia="Times New Roman"/>
        </w:rPr>
        <w:t>;</w:t>
      </w:r>
      <w:r w:rsidRPr="00674A5D">
        <w:rPr>
          <w:rFonts w:eastAsia="Times New Roman"/>
        </w:rPr>
        <w:t xml:space="preserve"> </w:t>
      </w:r>
    </w:p>
    <w:p w14:paraId="488D2171" w14:textId="77777777" w:rsidR="00CF1E81" w:rsidRPr="00674A5D" w:rsidRDefault="00CF1E81" w:rsidP="00674A5D">
      <w:pPr>
        <w:pStyle w:val="ListParagraph"/>
        <w:numPr>
          <w:ilvl w:val="0"/>
          <w:numId w:val="17"/>
        </w:numPr>
        <w:rPr>
          <w:rFonts w:eastAsia="Times New Roman"/>
        </w:rPr>
      </w:pPr>
      <w:r w:rsidRPr="00674A5D">
        <w:rPr>
          <w:rFonts w:eastAsia="Times New Roman"/>
        </w:rPr>
        <w:t>Limiting non-essential meetings or conferences of critical workforce e.g. healthcare professionals and emergency services</w:t>
      </w:r>
      <w:r w:rsidR="0069055B">
        <w:rPr>
          <w:rFonts w:eastAsia="Times New Roman"/>
        </w:rPr>
        <w:t>;</w:t>
      </w:r>
      <w:r w:rsidRPr="00674A5D">
        <w:rPr>
          <w:rFonts w:eastAsia="Times New Roman"/>
        </w:rPr>
        <w:t xml:space="preserve"> </w:t>
      </w:r>
    </w:p>
    <w:p w14:paraId="6948B5B4" w14:textId="77777777" w:rsidR="00CF1E81" w:rsidRPr="00674A5D" w:rsidRDefault="00CF1E81" w:rsidP="00674A5D">
      <w:pPr>
        <w:pStyle w:val="ListParagraph"/>
        <w:numPr>
          <w:ilvl w:val="0"/>
          <w:numId w:val="17"/>
        </w:numPr>
        <w:rPr>
          <w:rFonts w:eastAsia="Times New Roman"/>
        </w:rPr>
      </w:pPr>
      <w:r w:rsidRPr="00674A5D">
        <w:rPr>
          <w:rFonts w:eastAsia="Times New Roman"/>
        </w:rPr>
        <w:t xml:space="preserve">Encouraging all Australians to exercise personal responsibility for social distancing measures; and </w:t>
      </w:r>
    </w:p>
    <w:p w14:paraId="256FA970" w14:textId="77777777" w:rsidR="00CF1E81" w:rsidRPr="00674A5D" w:rsidRDefault="00CF1E81" w:rsidP="00674A5D">
      <w:pPr>
        <w:pStyle w:val="ListParagraph"/>
        <w:numPr>
          <w:ilvl w:val="0"/>
          <w:numId w:val="17"/>
        </w:numPr>
        <w:rPr>
          <w:rFonts w:eastAsia="Times New Roman"/>
        </w:rPr>
      </w:pPr>
      <w:r w:rsidRPr="00674A5D">
        <w:rPr>
          <w:rFonts w:eastAsia="Times New Roman"/>
        </w:rPr>
        <w:t xml:space="preserve">Initiating measures to protect vulnerable populations, such as reducing visitors to all residential care facilities and remote Aboriginal and Torres Strait Islander communities. </w:t>
      </w:r>
    </w:p>
    <w:p w14:paraId="47C3E882" w14:textId="77777777" w:rsidR="00CF1E81" w:rsidRDefault="00CF1E81" w:rsidP="00674A5D">
      <w:r>
        <w:t>AHPPC acknowledges that diagnostic testing issues are related to an emerging global shortage and are reviewing the case definition. The current situation emphasises the need for testing to be limited to the current recommendations.</w:t>
      </w:r>
      <w:r>
        <w:rPr>
          <w:vertAlign w:val="superscript"/>
        </w:rPr>
        <w:t xml:space="preserve">30 </w:t>
      </w:r>
    </w:p>
    <w:p w14:paraId="41BB8D42" w14:textId="7051E045" w:rsidR="00CF1E81" w:rsidRDefault="00CF1E81" w:rsidP="00674A5D">
      <w:r>
        <w:lastRenderedPageBreak/>
        <w:t>AHPPC acknowledged that Australia’s border measures may no longer be able to prevent the importation of COVID-19, and the primary focus should now be directed at domestic containment and preparedness.</w:t>
      </w:r>
      <w:r>
        <w:rPr>
          <w:vertAlign w:val="superscript"/>
        </w:rPr>
        <w:t>24</w:t>
      </w:r>
      <w:r>
        <w:t xml:space="preserve"> Local transmission of COVID-19 has occurred in Australia, highlighting the need of effective containment measures to limit spread. Early isolation of identified cases and quarantine of suspected cases and close contacts is a key measure to minimise transmission of COVID-19 in the community. However, as COVID-19 presents as mild illness in the majority of cases, early identification and isolation of cases may be difficult to achieve. </w:t>
      </w:r>
    </w:p>
    <w:p w14:paraId="5326E222" w14:textId="77777777" w:rsidR="00CF1E81" w:rsidRPr="00674A5D" w:rsidRDefault="00CF1E81" w:rsidP="00674A5D">
      <w:pPr>
        <w:pStyle w:val="Heading1"/>
      </w:pPr>
      <w:r w:rsidRPr="00674A5D">
        <w:t xml:space="preserve">Methods </w:t>
      </w:r>
    </w:p>
    <w:p w14:paraId="15BE254B" w14:textId="77777777" w:rsidR="00CF1E81" w:rsidRDefault="00CF1E81" w:rsidP="00674A5D">
      <w:r>
        <w:t xml:space="preserve">Data for this report were current as at 19:00 hours AEDT, 14 March 2020. </w:t>
      </w:r>
    </w:p>
    <w:p w14:paraId="3AA97A26" w14:textId="77777777" w:rsidR="00CF1E81" w:rsidRDefault="00CF1E81" w:rsidP="00674A5D">
      <w:r>
        <w:t>This report outlines what is known epidemiologically on COVID-19 in Australia and from publicly available data from WHO Situation Reports, other countries’ official updates and the scientific literature. Data on domestic cases in this report were collected from the National Notifiable Diseases Surveillance System (NNDSS) and jurisdictional health department media releases. The Communicable Diseases Network Australia (CDNA) developed the case definition for suspect and confirmed cases, which was modified at different time points during the outbreak (Table 5). Data were analysed using Stata to describe the epidemiology of COVID-19 in Australia and the progress of the epidemic.</w:t>
      </w:r>
    </w:p>
    <w:p w14:paraId="12BFDDB9" w14:textId="77777777" w:rsidR="00CF1E81" w:rsidRDefault="00CF1E81" w:rsidP="00674A5D">
      <w:pPr>
        <w:pStyle w:val="CDIFigures"/>
      </w:pPr>
      <w:r>
        <w:t>Table 5: Australian COVID-19 case definition as of 14 March 2020</w:t>
      </w:r>
      <w:r w:rsidRPr="000A5430">
        <w:rPr>
          <w:vertAlign w:val="superscript"/>
        </w:rPr>
        <w:t>31</w:t>
      </w:r>
    </w:p>
    <w:tbl>
      <w:tblPr>
        <w:tblStyle w:val="CDI-Standard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Description w:val="Table 5 shows the Australian case definition for COVID-19 developed on 13 March 2020, for both suspect and confirmed cases."/>
      </w:tblPr>
      <w:tblGrid>
        <w:gridCol w:w="685"/>
        <w:gridCol w:w="1264"/>
        <w:gridCol w:w="5030"/>
        <w:gridCol w:w="3477"/>
      </w:tblGrid>
      <w:tr w:rsidR="008018A8" w:rsidRPr="008018A8" w14:paraId="734D95AA" w14:textId="77777777" w:rsidTr="00256620">
        <w:trPr>
          <w:cnfStyle w:val="100000000000" w:firstRow="1" w:lastRow="0" w:firstColumn="0" w:lastColumn="0" w:oddVBand="0" w:evenVBand="0" w:oddHBand="0" w:evenHBand="0" w:firstRowFirstColumn="0" w:firstRowLastColumn="0" w:lastRowFirstColumn="0" w:lastRowLastColumn="0"/>
          <w:tblHeader/>
        </w:trPr>
        <w:tc>
          <w:tcPr>
            <w:tcW w:w="0" w:type="auto"/>
            <w:hideMark/>
          </w:tcPr>
          <w:p w14:paraId="65A9B47B" w14:textId="77777777" w:rsidR="00CF1E81" w:rsidRPr="008018A8" w:rsidRDefault="00CF1E81">
            <w:pPr>
              <w:pStyle w:val="NormalWeb"/>
              <w:rPr>
                <w:color w:val="FFFFFF" w:themeColor="background1"/>
                <w:sz w:val="18"/>
                <w:szCs w:val="18"/>
              </w:rPr>
            </w:pPr>
            <w:r w:rsidRPr="008018A8">
              <w:rPr>
                <w:color w:val="FFFFFF" w:themeColor="background1"/>
                <w:sz w:val="18"/>
                <w:szCs w:val="18"/>
              </w:rPr>
              <w:t>Version</w:t>
            </w:r>
          </w:p>
        </w:tc>
        <w:tc>
          <w:tcPr>
            <w:tcW w:w="0" w:type="auto"/>
            <w:hideMark/>
          </w:tcPr>
          <w:p w14:paraId="3A7DCE51" w14:textId="77777777" w:rsidR="00CF1E81" w:rsidRPr="008018A8" w:rsidRDefault="00CF1E81">
            <w:pPr>
              <w:pStyle w:val="NormalWeb"/>
              <w:rPr>
                <w:color w:val="FFFFFF" w:themeColor="background1"/>
                <w:sz w:val="18"/>
                <w:szCs w:val="18"/>
              </w:rPr>
            </w:pPr>
            <w:r w:rsidRPr="008018A8">
              <w:rPr>
                <w:color w:val="FFFFFF" w:themeColor="background1"/>
                <w:sz w:val="18"/>
                <w:szCs w:val="18"/>
              </w:rPr>
              <w:t>Date of development</w:t>
            </w:r>
          </w:p>
        </w:tc>
        <w:tc>
          <w:tcPr>
            <w:tcW w:w="0" w:type="auto"/>
            <w:hideMark/>
          </w:tcPr>
          <w:p w14:paraId="0760C808" w14:textId="77777777" w:rsidR="00CF1E81" w:rsidRPr="008018A8" w:rsidRDefault="00CF1E81">
            <w:pPr>
              <w:pStyle w:val="NormalWeb"/>
              <w:rPr>
                <w:color w:val="FFFFFF" w:themeColor="background1"/>
                <w:sz w:val="18"/>
                <w:szCs w:val="18"/>
              </w:rPr>
            </w:pPr>
            <w:r w:rsidRPr="008018A8">
              <w:rPr>
                <w:color w:val="FFFFFF" w:themeColor="background1"/>
                <w:sz w:val="18"/>
                <w:szCs w:val="18"/>
              </w:rPr>
              <w:t>Suspect Case</w:t>
            </w:r>
          </w:p>
        </w:tc>
        <w:tc>
          <w:tcPr>
            <w:tcW w:w="0" w:type="auto"/>
            <w:hideMark/>
          </w:tcPr>
          <w:p w14:paraId="26E67CC7" w14:textId="77777777" w:rsidR="00CF1E81" w:rsidRPr="008018A8" w:rsidRDefault="00CF1E81">
            <w:pPr>
              <w:pStyle w:val="NormalWeb"/>
              <w:rPr>
                <w:color w:val="FFFFFF" w:themeColor="background1"/>
                <w:sz w:val="18"/>
                <w:szCs w:val="18"/>
              </w:rPr>
            </w:pPr>
            <w:r w:rsidRPr="008018A8">
              <w:rPr>
                <w:color w:val="FFFFFF" w:themeColor="background1"/>
                <w:sz w:val="18"/>
                <w:szCs w:val="18"/>
              </w:rPr>
              <w:t>Confirmed Case</w:t>
            </w:r>
          </w:p>
        </w:tc>
      </w:tr>
      <w:tr w:rsidR="00CF1E81" w:rsidRPr="008018A8" w14:paraId="0F29B8DF" w14:textId="77777777" w:rsidTr="008018A8">
        <w:tc>
          <w:tcPr>
            <w:tcW w:w="0" w:type="auto"/>
            <w:hideMark/>
          </w:tcPr>
          <w:p w14:paraId="02737D84" w14:textId="77777777" w:rsidR="00CF1E81" w:rsidRPr="008018A8" w:rsidRDefault="00CF1E81">
            <w:pPr>
              <w:pStyle w:val="NormalWeb"/>
              <w:rPr>
                <w:sz w:val="18"/>
                <w:szCs w:val="18"/>
              </w:rPr>
            </w:pPr>
            <w:r w:rsidRPr="008018A8">
              <w:rPr>
                <w:sz w:val="18"/>
                <w:szCs w:val="18"/>
              </w:rPr>
              <w:t>1.18</w:t>
            </w:r>
          </w:p>
        </w:tc>
        <w:tc>
          <w:tcPr>
            <w:tcW w:w="0" w:type="auto"/>
            <w:hideMark/>
          </w:tcPr>
          <w:p w14:paraId="23A2F404" w14:textId="77777777" w:rsidR="00CF1E81" w:rsidRPr="008018A8" w:rsidRDefault="00CF1E81">
            <w:pPr>
              <w:pStyle w:val="NormalWeb"/>
              <w:rPr>
                <w:sz w:val="18"/>
                <w:szCs w:val="18"/>
              </w:rPr>
            </w:pPr>
            <w:r w:rsidRPr="008018A8">
              <w:rPr>
                <w:sz w:val="18"/>
                <w:szCs w:val="18"/>
              </w:rPr>
              <w:t>13 March 2020</w:t>
            </w:r>
          </w:p>
        </w:tc>
        <w:tc>
          <w:tcPr>
            <w:tcW w:w="0" w:type="auto"/>
            <w:hideMark/>
          </w:tcPr>
          <w:p w14:paraId="3D7806BC" w14:textId="77777777" w:rsidR="00CF1E81" w:rsidRPr="008018A8" w:rsidRDefault="00CF1E81">
            <w:pPr>
              <w:pStyle w:val="NormalWeb"/>
              <w:rPr>
                <w:sz w:val="18"/>
                <w:szCs w:val="18"/>
              </w:rPr>
            </w:pPr>
            <w:r w:rsidRPr="008018A8">
              <w:rPr>
                <w:sz w:val="18"/>
                <w:szCs w:val="18"/>
              </w:rPr>
              <w:t>A. If the patient satisfies epidemiological and clinical criteria, they are classified as a suspect case.</w:t>
            </w:r>
            <w:r w:rsidRPr="008018A8">
              <w:rPr>
                <w:sz w:val="18"/>
                <w:szCs w:val="18"/>
              </w:rPr>
              <w:br/>
              <w:t xml:space="preserve">Epidemiological </w:t>
            </w:r>
            <w:proofErr w:type="gramStart"/>
            <w:r w:rsidRPr="008018A8">
              <w:rPr>
                <w:sz w:val="18"/>
                <w:szCs w:val="18"/>
              </w:rPr>
              <w:t>criteria</w:t>
            </w:r>
            <w:proofErr w:type="gramEnd"/>
          </w:p>
          <w:p w14:paraId="40A73D81" w14:textId="77777777" w:rsidR="00CF1E81" w:rsidRPr="008018A8" w:rsidRDefault="00CF1E81" w:rsidP="00CF1E81">
            <w:pPr>
              <w:numPr>
                <w:ilvl w:val="0"/>
                <w:numId w:val="11"/>
              </w:numPr>
              <w:spacing w:before="100" w:beforeAutospacing="1" w:after="100" w:afterAutospacing="1"/>
              <w:rPr>
                <w:rFonts w:eastAsia="Times New Roman"/>
                <w:sz w:val="18"/>
                <w:szCs w:val="18"/>
              </w:rPr>
            </w:pPr>
            <w:r w:rsidRPr="008018A8">
              <w:rPr>
                <w:rFonts w:eastAsia="Times New Roman"/>
                <w:sz w:val="18"/>
                <w:szCs w:val="18"/>
              </w:rPr>
              <w:t>International travel in the 14 days before illness onset.</w:t>
            </w:r>
          </w:p>
          <w:p w14:paraId="6AEF4438" w14:textId="77777777" w:rsidR="00CF1E81" w:rsidRPr="008018A8" w:rsidRDefault="00CF1E81">
            <w:pPr>
              <w:pStyle w:val="NormalWeb"/>
              <w:rPr>
                <w:sz w:val="18"/>
                <w:szCs w:val="18"/>
              </w:rPr>
            </w:pPr>
            <w:r w:rsidRPr="008018A8">
              <w:rPr>
                <w:sz w:val="18"/>
                <w:szCs w:val="18"/>
              </w:rPr>
              <w:t>OR</w:t>
            </w:r>
          </w:p>
          <w:p w14:paraId="781907AF" w14:textId="77777777" w:rsidR="00CF1E81" w:rsidRPr="008018A8" w:rsidRDefault="00CF1E81" w:rsidP="00CF1E81">
            <w:pPr>
              <w:numPr>
                <w:ilvl w:val="0"/>
                <w:numId w:val="12"/>
              </w:numPr>
              <w:spacing w:before="100" w:beforeAutospacing="1" w:after="100" w:afterAutospacing="1"/>
              <w:rPr>
                <w:rFonts w:eastAsia="Times New Roman"/>
                <w:sz w:val="18"/>
                <w:szCs w:val="18"/>
              </w:rPr>
            </w:pPr>
            <w:r w:rsidRPr="008018A8">
              <w:rPr>
                <w:rFonts w:eastAsia="Times New Roman"/>
                <w:sz w:val="18"/>
                <w:szCs w:val="18"/>
              </w:rPr>
              <w:t>Close contact in 14 days before illness onset with a confirmed case of COVID-19.</w:t>
            </w:r>
          </w:p>
          <w:p w14:paraId="7348C1C7" w14:textId="77777777" w:rsidR="00CF1E81" w:rsidRPr="008018A8" w:rsidRDefault="00CF1E81">
            <w:pPr>
              <w:pStyle w:val="NormalWeb"/>
              <w:rPr>
                <w:sz w:val="18"/>
                <w:szCs w:val="18"/>
              </w:rPr>
            </w:pPr>
            <w:r w:rsidRPr="008018A8">
              <w:rPr>
                <w:sz w:val="18"/>
                <w:szCs w:val="18"/>
              </w:rPr>
              <w:t>Clinical criteria</w:t>
            </w:r>
          </w:p>
          <w:p w14:paraId="493EDD36" w14:textId="77777777" w:rsidR="00CF1E81" w:rsidRPr="008018A8" w:rsidRDefault="00CF1E81" w:rsidP="00CF1E81">
            <w:pPr>
              <w:numPr>
                <w:ilvl w:val="0"/>
                <w:numId w:val="13"/>
              </w:numPr>
              <w:spacing w:before="100" w:beforeAutospacing="1" w:after="100" w:afterAutospacing="1"/>
              <w:rPr>
                <w:rFonts w:eastAsia="Times New Roman"/>
                <w:sz w:val="18"/>
                <w:szCs w:val="18"/>
              </w:rPr>
            </w:pPr>
            <w:r w:rsidRPr="008018A8">
              <w:rPr>
                <w:rFonts w:eastAsia="Times New Roman"/>
                <w:sz w:val="18"/>
                <w:szCs w:val="18"/>
              </w:rPr>
              <w:t>Fever</w:t>
            </w:r>
          </w:p>
          <w:p w14:paraId="0BB94C71" w14:textId="77777777" w:rsidR="00CF1E81" w:rsidRPr="008018A8" w:rsidRDefault="00CF1E81">
            <w:pPr>
              <w:pStyle w:val="NormalWeb"/>
              <w:rPr>
                <w:sz w:val="18"/>
                <w:szCs w:val="18"/>
              </w:rPr>
            </w:pPr>
            <w:r w:rsidRPr="008018A8">
              <w:rPr>
                <w:sz w:val="18"/>
                <w:szCs w:val="18"/>
              </w:rPr>
              <w:t>OR</w:t>
            </w:r>
          </w:p>
          <w:p w14:paraId="5EB64D23" w14:textId="77777777" w:rsidR="00CF1E81" w:rsidRPr="008018A8" w:rsidRDefault="00CF1E81" w:rsidP="00CF1E81">
            <w:pPr>
              <w:numPr>
                <w:ilvl w:val="0"/>
                <w:numId w:val="14"/>
              </w:numPr>
              <w:spacing w:before="100" w:beforeAutospacing="1" w:after="100" w:afterAutospacing="1"/>
              <w:rPr>
                <w:rFonts w:eastAsia="Times New Roman"/>
                <w:sz w:val="18"/>
                <w:szCs w:val="18"/>
              </w:rPr>
            </w:pPr>
            <w:r w:rsidRPr="008018A8">
              <w:rPr>
                <w:rFonts w:eastAsia="Times New Roman"/>
                <w:sz w:val="18"/>
                <w:szCs w:val="18"/>
              </w:rPr>
              <w:t>Acute respiratory infection (e.g. shortness of breath, cough, sore throat) with or without fever.</w:t>
            </w:r>
          </w:p>
          <w:p w14:paraId="12BA1980" w14:textId="77777777" w:rsidR="00CF1E81" w:rsidRPr="008018A8" w:rsidRDefault="00CF1E81">
            <w:pPr>
              <w:pStyle w:val="NormalWeb"/>
              <w:rPr>
                <w:sz w:val="18"/>
                <w:szCs w:val="18"/>
              </w:rPr>
            </w:pPr>
            <w:r w:rsidRPr="008018A8">
              <w:rPr>
                <w:sz w:val="18"/>
                <w:szCs w:val="18"/>
              </w:rPr>
              <w:br/>
              <w:t>B. If the patient has severe community-acquired pneumonia (critically ill) and no other cause is identified, with or without recent international travel, they are classified as a suspect case.</w:t>
            </w:r>
          </w:p>
          <w:p w14:paraId="0870F88E" w14:textId="77777777" w:rsidR="00CF1E81" w:rsidRPr="008018A8" w:rsidRDefault="00CF1E81">
            <w:pPr>
              <w:pStyle w:val="NormalWeb"/>
              <w:rPr>
                <w:sz w:val="18"/>
                <w:szCs w:val="18"/>
              </w:rPr>
            </w:pPr>
            <w:r w:rsidRPr="008018A8">
              <w:rPr>
                <w:sz w:val="18"/>
                <w:szCs w:val="18"/>
              </w:rPr>
              <w:br/>
              <w:t>C. If any healthcare worker with direct patient contact has a fever (≥ 37.5</w:t>
            </w:r>
            <w:r w:rsidRPr="008018A8">
              <w:rPr>
                <w:rFonts w:hint="cs"/>
                <w:sz w:val="18"/>
                <w:szCs w:val="18"/>
              </w:rPr>
              <w:t>°C</w:t>
            </w:r>
            <w:r w:rsidRPr="008018A8">
              <w:rPr>
                <w:sz w:val="18"/>
                <w:szCs w:val="18"/>
              </w:rPr>
              <w:t>) AND an acute respiratory infection (e.g. shortness of breath, cough, sore throat), they are classified as a suspect case.</w:t>
            </w:r>
          </w:p>
        </w:tc>
        <w:tc>
          <w:tcPr>
            <w:tcW w:w="0" w:type="auto"/>
            <w:hideMark/>
          </w:tcPr>
          <w:p w14:paraId="70FC03C6" w14:textId="77777777" w:rsidR="00CF1E81" w:rsidRPr="008018A8" w:rsidRDefault="00CF1E81">
            <w:pPr>
              <w:pStyle w:val="NormalWeb"/>
              <w:rPr>
                <w:sz w:val="18"/>
                <w:szCs w:val="18"/>
              </w:rPr>
            </w:pPr>
            <w:r w:rsidRPr="008018A8">
              <w:rPr>
                <w:sz w:val="18"/>
                <w:szCs w:val="18"/>
              </w:rPr>
              <w:t>A person who tests positive to a validated specific SARS-CoV-2 nucleic acid test or has the virus identified by electron microscopy or viral culture.</w:t>
            </w:r>
          </w:p>
        </w:tc>
      </w:tr>
    </w:tbl>
    <w:p w14:paraId="4EA5F2E4" w14:textId="77777777" w:rsidR="00CF1E81" w:rsidRDefault="00CF1E81" w:rsidP="00674A5D">
      <w:r>
        <w:lastRenderedPageBreak/>
        <w:t xml:space="preserve">Data for the international cases of COVID-19 by country were compiled from the latest WHO Situation Report. Case definitions may vary by country making comparisons difficult. Rapid reviews of the current state of knowledge on COVID-19 were conducted from the literature using PubMed. </w:t>
      </w:r>
    </w:p>
    <w:p w14:paraId="4F63F14A" w14:textId="77777777" w:rsidR="00CF1E81" w:rsidRPr="00674A5D" w:rsidRDefault="00CF1E81" w:rsidP="00674A5D">
      <w:pPr>
        <w:pStyle w:val="Heading1"/>
      </w:pPr>
      <w:r w:rsidRPr="00674A5D">
        <w:t xml:space="preserve">Acknowledgements </w:t>
      </w:r>
    </w:p>
    <w:p w14:paraId="482C8344" w14:textId="77777777" w:rsidR="00CF1E81" w:rsidRDefault="00CF1E81" w:rsidP="00674A5D">
      <w:r>
        <w:t xml:space="preserve">This report represents surveillance data reported through CDNA as part of the nationally-coordinated response to COVID-19. We thank public health staff from incident emergency operations centres in state and territory health departments, and the Australian Government Department of Health, along with state and territory public health laboratories. </w:t>
      </w:r>
    </w:p>
    <w:p w14:paraId="6EB4AA4E" w14:textId="77777777" w:rsidR="00CF1E81" w:rsidRPr="00674A5D" w:rsidRDefault="00CF1E81" w:rsidP="00674A5D">
      <w:pPr>
        <w:pStyle w:val="Heading1"/>
      </w:pPr>
      <w:r w:rsidRPr="00674A5D">
        <w:t xml:space="preserve">Author details </w:t>
      </w:r>
    </w:p>
    <w:p w14:paraId="23F6740A" w14:textId="77777777" w:rsidR="00CF1E81" w:rsidRPr="00674A5D" w:rsidRDefault="00CF1E81" w:rsidP="00674A5D">
      <w:pPr>
        <w:pStyle w:val="Heading2"/>
      </w:pPr>
      <w:r w:rsidRPr="00674A5D">
        <w:t xml:space="preserve">Corresponding author </w:t>
      </w:r>
    </w:p>
    <w:p w14:paraId="40CE674B" w14:textId="77777777" w:rsidR="00CF1E81" w:rsidRDefault="00CF1E81" w:rsidP="00674A5D">
      <w:r>
        <w:t xml:space="preserve">Malinda V </w:t>
      </w:r>
      <w:proofErr w:type="spellStart"/>
      <w:r>
        <w:t>Chea</w:t>
      </w:r>
      <w:proofErr w:type="spellEnd"/>
      <w:r>
        <w:t xml:space="preserve"> </w:t>
      </w:r>
    </w:p>
    <w:p w14:paraId="495D82E9" w14:textId="77777777" w:rsidR="00CF1E81" w:rsidRDefault="00CF1E81" w:rsidP="00674A5D">
      <w:r>
        <w:t xml:space="preserve">NIR Surveillance Team, Communicable Disease Epidemiology and Surveillance Section, Health Protection Policy Branch, Australian Government Department of Health, GPO Box 9484, MDP 14, Canberra, ACT 2601. </w:t>
      </w:r>
    </w:p>
    <w:p w14:paraId="2373F63E" w14:textId="77777777" w:rsidR="00CF1E81" w:rsidRDefault="00CF1E81" w:rsidP="00674A5D">
      <w:r>
        <w:t xml:space="preserve">Email: epi.coronavirus@health.gov.au </w:t>
      </w:r>
    </w:p>
    <w:p w14:paraId="32BA7AF2" w14:textId="77777777" w:rsidR="00CF1E81" w:rsidRPr="00674A5D" w:rsidRDefault="00CF1E81" w:rsidP="00674A5D">
      <w:pPr>
        <w:pStyle w:val="Heading1"/>
      </w:pPr>
      <w:r w:rsidRPr="00674A5D">
        <w:t xml:space="preserve">References </w:t>
      </w:r>
    </w:p>
    <w:p w14:paraId="370B6843" w14:textId="77777777" w:rsidR="00CF1E81" w:rsidRDefault="00CF1E81" w:rsidP="00CF1E81">
      <w:pPr>
        <w:numPr>
          <w:ilvl w:val="0"/>
          <w:numId w:val="15"/>
        </w:numPr>
        <w:spacing w:before="100" w:beforeAutospacing="1" w:after="100" w:afterAutospacing="1" w:line="240" w:lineRule="auto"/>
        <w:rPr>
          <w:rFonts w:eastAsia="Times New Roman"/>
        </w:rPr>
      </w:pPr>
      <w:r>
        <w:rPr>
          <w:rFonts w:eastAsia="Times New Roman"/>
        </w:rPr>
        <w:t>World Health Organization (WHO). Coronavirus disease 2019 (COVID-19) situation report – 54: 14 March 2020. Geneva: WHO; 2020. [Accessed on 15 March 2020.] Available from: https://www.who.int/docs/default-source/coronaviruse/situation-reports/</w:t>
      </w:r>
      <w:r w:rsidR="00F824BF">
        <w:rPr>
          <w:rFonts w:eastAsia="Times New Roman"/>
        </w:rPr>
        <w:t>20200314-sitrep-54-covid-19.pdf</w:t>
      </w:r>
      <w:r>
        <w:rPr>
          <w:rFonts w:eastAsia="Times New Roman"/>
        </w:rPr>
        <w:t xml:space="preserve">. </w:t>
      </w:r>
    </w:p>
    <w:p w14:paraId="4BAB9DB8" w14:textId="77777777" w:rsidR="00CF1E81" w:rsidRDefault="00CF1E81" w:rsidP="00CF1E81">
      <w:pPr>
        <w:numPr>
          <w:ilvl w:val="0"/>
          <w:numId w:val="15"/>
        </w:numPr>
        <w:spacing w:before="100" w:beforeAutospacing="1" w:after="100" w:afterAutospacing="1" w:line="240" w:lineRule="auto"/>
        <w:rPr>
          <w:rFonts w:eastAsia="Times New Roman"/>
        </w:rPr>
      </w:pPr>
      <w:r>
        <w:rPr>
          <w:rFonts w:eastAsia="Times New Roman"/>
        </w:rPr>
        <w:t>WHO. Coronavirus disease 2019 (COVID-19) situation report – 47: 07 March 2020. Geneva: WHO; 2020. [Accessed on 15 March 2020.] Available from: https://www.who.int/docs/default-source/coronaviruse/situation-reports/</w:t>
      </w:r>
      <w:r w:rsidR="00F824BF">
        <w:rPr>
          <w:rFonts w:eastAsia="Times New Roman"/>
        </w:rPr>
        <w:t>20200307-sitrep-47-covid-19.pdf</w:t>
      </w:r>
      <w:r>
        <w:rPr>
          <w:rFonts w:eastAsia="Times New Roman"/>
        </w:rPr>
        <w:t xml:space="preserve">. </w:t>
      </w:r>
    </w:p>
    <w:p w14:paraId="11CE6B59" w14:textId="77777777" w:rsidR="00CF1E81" w:rsidRDefault="00CF1E81" w:rsidP="00CF1E81">
      <w:pPr>
        <w:numPr>
          <w:ilvl w:val="0"/>
          <w:numId w:val="15"/>
        </w:numPr>
        <w:spacing w:before="100" w:beforeAutospacing="1" w:after="100" w:afterAutospacing="1" w:line="240" w:lineRule="auto"/>
        <w:rPr>
          <w:rFonts w:eastAsia="Times New Roman"/>
        </w:rPr>
      </w:pPr>
      <w:r>
        <w:rPr>
          <w:rFonts w:eastAsia="Times New Roman"/>
        </w:rPr>
        <w:t>WHO. Coronavirus disease 2019 (COVID-19) situation report – 40: 29 February 2020. Geneva: WHO; 2020. [Accessed on 15 March 2020.] Available from: https://www.who.int/docs/default-source/coronaviruse/situation-reports/</w:t>
      </w:r>
      <w:r w:rsidR="00F824BF">
        <w:rPr>
          <w:rFonts w:eastAsia="Times New Roman"/>
        </w:rPr>
        <w:t>20200229-sitrep-40-covid-19.pdf</w:t>
      </w:r>
      <w:r>
        <w:rPr>
          <w:rFonts w:eastAsia="Times New Roman"/>
        </w:rPr>
        <w:t xml:space="preserve">. </w:t>
      </w:r>
    </w:p>
    <w:p w14:paraId="36F8DE18" w14:textId="77777777" w:rsidR="00CF1E81" w:rsidRDefault="00CF1E81" w:rsidP="00CF1E81">
      <w:pPr>
        <w:numPr>
          <w:ilvl w:val="0"/>
          <w:numId w:val="15"/>
        </w:numPr>
        <w:spacing w:before="100" w:beforeAutospacing="1" w:after="100" w:afterAutospacing="1" w:line="240" w:lineRule="auto"/>
        <w:rPr>
          <w:rFonts w:eastAsia="Times New Roman"/>
        </w:rPr>
      </w:pPr>
      <w:r>
        <w:rPr>
          <w:rFonts w:eastAsia="Times New Roman"/>
        </w:rPr>
        <w:t>WHO. Novel Coronavirus (2019-nCoV) situation report – 11: 31 January 2020. Geneva: WHO; 2020. [Accessed on 15 March 2020.] Available from: https://www.who.int/docs/default-source/coronaviruse/situation-repo</w:t>
      </w:r>
      <w:r w:rsidR="00F824BF">
        <w:rPr>
          <w:rFonts w:eastAsia="Times New Roman"/>
        </w:rPr>
        <w:t>rts/20200131-sitrep-11-ncov.pdf</w:t>
      </w:r>
      <w:r>
        <w:rPr>
          <w:rFonts w:eastAsia="Times New Roman"/>
        </w:rPr>
        <w:t xml:space="preserve">. </w:t>
      </w:r>
    </w:p>
    <w:p w14:paraId="046D115E" w14:textId="77777777" w:rsidR="00CF1E81" w:rsidRDefault="00CF1E81" w:rsidP="00CF1E81">
      <w:pPr>
        <w:numPr>
          <w:ilvl w:val="0"/>
          <w:numId w:val="15"/>
        </w:numPr>
        <w:spacing w:before="100" w:beforeAutospacing="1" w:after="100" w:afterAutospacing="1" w:line="240" w:lineRule="auto"/>
        <w:rPr>
          <w:rFonts w:eastAsia="Times New Roman"/>
        </w:rPr>
      </w:pPr>
      <w:r>
        <w:rPr>
          <w:rFonts w:eastAsia="Times New Roman"/>
        </w:rPr>
        <w:t>Ministry of Health. COVID-19 cases in Italy at 6 pm on March 14</w:t>
      </w:r>
      <w:r>
        <w:rPr>
          <w:rFonts w:eastAsia="Times New Roman"/>
          <w:vertAlign w:val="superscript"/>
        </w:rPr>
        <w:t>th</w:t>
      </w:r>
      <w:r>
        <w:rPr>
          <w:rFonts w:eastAsia="Times New Roman"/>
        </w:rPr>
        <w:t xml:space="preserve">. [Internet.] Rome: </w:t>
      </w:r>
      <w:r w:rsidR="0069055B">
        <w:rPr>
          <w:rFonts w:eastAsia="Times New Roman"/>
        </w:rPr>
        <w:t xml:space="preserve">Italian Government </w:t>
      </w:r>
      <w:r>
        <w:rPr>
          <w:rFonts w:eastAsia="Times New Roman"/>
        </w:rPr>
        <w:t>Ministry of Health; 2020. [Accessed on 15 March 2020.] Available from: http://www.salute.gov.it/imgs/C</w:t>
      </w:r>
      <w:r w:rsidR="00F824BF">
        <w:rPr>
          <w:rFonts w:eastAsia="Times New Roman"/>
        </w:rPr>
        <w:t>_17_pagineAree_5351_12_file.pdf</w:t>
      </w:r>
      <w:r>
        <w:rPr>
          <w:rFonts w:eastAsia="Times New Roman"/>
        </w:rPr>
        <w:t xml:space="preserve">. </w:t>
      </w:r>
    </w:p>
    <w:p w14:paraId="67400409" w14:textId="77777777" w:rsidR="00CF1E81" w:rsidRDefault="00CF1E81" w:rsidP="00CF1E81">
      <w:pPr>
        <w:numPr>
          <w:ilvl w:val="0"/>
          <w:numId w:val="15"/>
        </w:numPr>
        <w:spacing w:before="100" w:beforeAutospacing="1" w:after="100" w:afterAutospacing="1" w:line="240" w:lineRule="auto"/>
        <w:rPr>
          <w:rFonts w:eastAsia="Times New Roman"/>
        </w:rPr>
      </w:pPr>
      <w:r>
        <w:rPr>
          <w:rFonts w:eastAsia="Times New Roman"/>
        </w:rPr>
        <w:t xml:space="preserve">Ministry of Health. COVID-19 </w:t>
      </w:r>
      <w:proofErr w:type="spellStart"/>
      <w:r>
        <w:rPr>
          <w:rFonts w:eastAsia="Times New Roman"/>
        </w:rPr>
        <w:t>COVID-19</w:t>
      </w:r>
      <w:proofErr w:type="spellEnd"/>
      <w:r>
        <w:rPr>
          <w:rFonts w:eastAsia="Times New Roman"/>
        </w:rPr>
        <w:t xml:space="preserve">, closed cinemas, pubs, discos throughout Italy. [Internet.] Rome: </w:t>
      </w:r>
      <w:r w:rsidR="0069055B">
        <w:rPr>
          <w:rFonts w:eastAsia="Times New Roman"/>
        </w:rPr>
        <w:t xml:space="preserve">Italian Government </w:t>
      </w:r>
      <w:r>
        <w:rPr>
          <w:rFonts w:eastAsia="Times New Roman"/>
        </w:rPr>
        <w:t>Ministry of Health; 2020. [Accessed on 12 March 2020.] Available from: http://www.salute.gov.it/portale/news/p3_2_1_1_1.jsp?lingua=italiano&amp;menu</w:t>
      </w:r>
      <w:r w:rsidR="001F581F">
        <w:rPr>
          <w:rFonts w:eastAsia="Times New Roman"/>
        </w:rPr>
        <w:t>=notizie&amp;p=dalministero&amp;id=4175</w:t>
      </w:r>
      <w:r>
        <w:rPr>
          <w:rFonts w:eastAsia="Times New Roman"/>
        </w:rPr>
        <w:t xml:space="preserve">. </w:t>
      </w:r>
    </w:p>
    <w:p w14:paraId="1DE7B2A6" w14:textId="77777777" w:rsidR="00CF1E81" w:rsidRDefault="00CF1E81" w:rsidP="00CF1E81">
      <w:pPr>
        <w:numPr>
          <w:ilvl w:val="0"/>
          <w:numId w:val="15"/>
        </w:numPr>
        <w:spacing w:before="100" w:beforeAutospacing="1" w:after="100" w:afterAutospacing="1" w:line="240" w:lineRule="auto"/>
        <w:rPr>
          <w:rFonts w:eastAsia="Times New Roman"/>
        </w:rPr>
      </w:pPr>
      <w:r>
        <w:rPr>
          <w:rFonts w:eastAsia="Times New Roman"/>
        </w:rPr>
        <w:t xml:space="preserve">Ministry of Health. COVID-19, close non-essential commercial activities. [Internet.] Rome: </w:t>
      </w:r>
      <w:r w:rsidR="0069055B">
        <w:rPr>
          <w:rFonts w:eastAsia="Times New Roman"/>
        </w:rPr>
        <w:t xml:space="preserve">Italian Government </w:t>
      </w:r>
      <w:r>
        <w:rPr>
          <w:rFonts w:eastAsia="Times New Roman"/>
        </w:rPr>
        <w:t>Ministry of Health; 2020. [Accessed on 12 March 2020.] Available from: http://www.salute.gov.it/portale/news/p3_2_1_1_1.jsp?lingua=italiano&amp;menu</w:t>
      </w:r>
      <w:r w:rsidR="001F581F">
        <w:rPr>
          <w:rFonts w:eastAsia="Times New Roman"/>
        </w:rPr>
        <w:t>=notizie&amp;p=dalministero&amp;id=4212</w:t>
      </w:r>
      <w:r>
        <w:rPr>
          <w:rFonts w:eastAsia="Times New Roman"/>
        </w:rPr>
        <w:t xml:space="preserve">. </w:t>
      </w:r>
    </w:p>
    <w:p w14:paraId="5CBD5AED" w14:textId="77777777" w:rsidR="00CF1E81" w:rsidRDefault="00CF1E81" w:rsidP="00CF1E81">
      <w:pPr>
        <w:numPr>
          <w:ilvl w:val="0"/>
          <w:numId w:val="15"/>
        </w:numPr>
        <w:spacing w:before="100" w:beforeAutospacing="1" w:after="100" w:afterAutospacing="1" w:line="240" w:lineRule="auto"/>
        <w:rPr>
          <w:rFonts w:eastAsia="Times New Roman"/>
        </w:rPr>
      </w:pPr>
      <w:r>
        <w:rPr>
          <w:rFonts w:eastAsia="Times New Roman"/>
        </w:rPr>
        <w:lastRenderedPageBreak/>
        <w:t>WHO. Report of the WHO-China joint mission on coronavirus disease 2019 (COVID-19). Geneva: WHO; 2020. [Accessed on 1 March 2020.] Available from: https://www.who.int/docs/default-source/coronaviruse/who-china-joint-missi</w:t>
      </w:r>
      <w:r w:rsidR="00F824BF">
        <w:rPr>
          <w:rFonts w:eastAsia="Times New Roman"/>
        </w:rPr>
        <w:t>on-on-covid-19-final-report.pdf</w:t>
      </w:r>
      <w:r>
        <w:rPr>
          <w:rFonts w:eastAsia="Times New Roman"/>
        </w:rPr>
        <w:t xml:space="preserve">. </w:t>
      </w:r>
    </w:p>
    <w:p w14:paraId="67562105" w14:textId="77777777" w:rsidR="00CF1E81" w:rsidRDefault="00CF1E81" w:rsidP="00CF1E81">
      <w:pPr>
        <w:numPr>
          <w:ilvl w:val="0"/>
          <w:numId w:val="15"/>
        </w:numPr>
        <w:spacing w:before="100" w:beforeAutospacing="1" w:after="100" w:afterAutospacing="1" w:line="240" w:lineRule="auto"/>
        <w:rPr>
          <w:rFonts w:eastAsia="Times New Roman"/>
        </w:rPr>
      </w:pPr>
      <w:r>
        <w:rPr>
          <w:rFonts w:eastAsia="Times New Roman"/>
        </w:rPr>
        <w:t xml:space="preserve">Bi Q, Wu Y, Mei S, Ye C, Zou X, Zhang Z et al. Epidemiology and transmission of COVID-19 in Shenzhen China: analysis of 391 cases and 1286 of their close contacts. </w:t>
      </w:r>
      <w:proofErr w:type="spellStart"/>
      <w:r w:rsidRPr="005F5170">
        <w:rPr>
          <w:rStyle w:val="Emphasis"/>
          <w:rFonts w:eastAsia="Times New Roman"/>
          <w:b w:val="0"/>
        </w:rPr>
        <w:t>medRxiv</w:t>
      </w:r>
      <w:proofErr w:type="spellEnd"/>
      <w:r>
        <w:rPr>
          <w:rFonts w:eastAsia="Times New Roman"/>
        </w:rPr>
        <w:t xml:space="preserve">. 2020. doi: https://doi.org/10.1101/2020.03.03.20028423. </w:t>
      </w:r>
    </w:p>
    <w:p w14:paraId="6E3D9E5F" w14:textId="77777777" w:rsidR="00CF1E81" w:rsidRDefault="00CF1E81" w:rsidP="00CF1E81">
      <w:pPr>
        <w:numPr>
          <w:ilvl w:val="0"/>
          <w:numId w:val="15"/>
        </w:numPr>
        <w:spacing w:before="100" w:beforeAutospacing="1" w:after="100" w:afterAutospacing="1" w:line="240" w:lineRule="auto"/>
        <w:rPr>
          <w:rFonts w:eastAsia="Times New Roman"/>
        </w:rPr>
      </w:pPr>
      <w:r>
        <w:rPr>
          <w:rFonts w:eastAsia="Times New Roman"/>
        </w:rPr>
        <w:t xml:space="preserve">Zhou F, Yu T, Du R, Fan G, Liu Y, Liu Z et al. Clinical course and risk factors for mortality of adult inpatients with COVID-19 in Wuhan, China: a retrospective cohort study. </w:t>
      </w:r>
      <w:r w:rsidRPr="005F5170">
        <w:rPr>
          <w:rStyle w:val="Emphasis"/>
          <w:rFonts w:eastAsia="Times New Roman"/>
          <w:b w:val="0"/>
        </w:rPr>
        <w:t xml:space="preserve">Lancet. </w:t>
      </w:r>
      <w:r>
        <w:rPr>
          <w:rFonts w:eastAsia="Times New Roman"/>
        </w:rPr>
        <w:t>2020. doi: https://doi.or</w:t>
      </w:r>
      <w:r w:rsidR="001F581F">
        <w:rPr>
          <w:rFonts w:eastAsia="Times New Roman"/>
        </w:rPr>
        <w:t>g/10.1016/S0140-6736(20)30566-3</w:t>
      </w:r>
      <w:r>
        <w:rPr>
          <w:rFonts w:eastAsia="Times New Roman"/>
        </w:rPr>
        <w:t xml:space="preserve">. </w:t>
      </w:r>
    </w:p>
    <w:p w14:paraId="4CF18F62" w14:textId="77777777" w:rsidR="00CF1E81" w:rsidRDefault="00CF1E81" w:rsidP="00CF1E81">
      <w:pPr>
        <w:numPr>
          <w:ilvl w:val="0"/>
          <w:numId w:val="15"/>
        </w:numPr>
        <w:spacing w:before="100" w:beforeAutospacing="1" w:after="100" w:afterAutospacing="1" w:line="240" w:lineRule="auto"/>
        <w:rPr>
          <w:rFonts w:eastAsia="Times New Roman"/>
        </w:rPr>
      </w:pPr>
      <w:r>
        <w:rPr>
          <w:rFonts w:eastAsia="Times New Roman"/>
        </w:rPr>
        <w:t>WHO. Coronavirus disease 2019 (COVID-19) situation report – 29: 18 February 2020. Geneva: WHO; 2020. [Accessed on 15 March 2020.] Available from: https://www.who.int/docs/default-source/coronaviruse/situation-reports/</w:t>
      </w:r>
      <w:r w:rsidR="00F824BF">
        <w:rPr>
          <w:rFonts w:eastAsia="Times New Roman"/>
        </w:rPr>
        <w:t>20200218-sitrep-29-covid-19.pdf</w:t>
      </w:r>
      <w:r>
        <w:rPr>
          <w:rFonts w:eastAsia="Times New Roman"/>
        </w:rPr>
        <w:t xml:space="preserve">. </w:t>
      </w:r>
    </w:p>
    <w:p w14:paraId="6A167997" w14:textId="77777777" w:rsidR="00CF1E81" w:rsidRDefault="00CF1E81" w:rsidP="00CF1E81">
      <w:pPr>
        <w:numPr>
          <w:ilvl w:val="0"/>
          <w:numId w:val="15"/>
        </w:numPr>
        <w:spacing w:before="100" w:beforeAutospacing="1" w:after="100" w:afterAutospacing="1" w:line="240" w:lineRule="auto"/>
        <w:rPr>
          <w:rFonts w:eastAsia="Times New Roman"/>
        </w:rPr>
      </w:pPr>
      <w:r>
        <w:rPr>
          <w:rFonts w:eastAsia="Times New Roman"/>
        </w:rPr>
        <w:t xml:space="preserve">Sun P, </w:t>
      </w:r>
      <w:proofErr w:type="spellStart"/>
      <w:r>
        <w:rPr>
          <w:rFonts w:eastAsia="Times New Roman"/>
        </w:rPr>
        <w:t>Qie</w:t>
      </w:r>
      <w:proofErr w:type="spellEnd"/>
      <w:r>
        <w:rPr>
          <w:rFonts w:eastAsia="Times New Roman"/>
        </w:rPr>
        <w:t xml:space="preserve"> S, Liu Z, Ren J, Xi JJ. Clinical characteristics of 50466 patients with 2019-nCoV infection. </w:t>
      </w:r>
      <w:proofErr w:type="spellStart"/>
      <w:r w:rsidRPr="005F5170">
        <w:rPr>
          <w:rStyle w:val="Emphasis"/>
          <w:rFonts w:eastAsia="Times New Roman"/>
          <w:b w:val="0"/>
        </w:rPr>
        <w:t>medRxiv</w:t>
      </w:r>
      <w:proofErr w:type="spellEnd"/>
      <w:r>
        <w:rPr>
          <w:rFonts w:eastAsia="Times New Roman"/>
        </w:rPr>
        <w:t>. 2020. doi: https://doi.</w:t>
      </w:r>
      <w:r w:rsidR="001F581F">
        <w:rPr>
          <w:rFonts w:eastAsia="Times New Roman"/>
        </w:rPr>
        <w:t>org/10.1101/2020.02.18.20024539</w:t>
      </w:r>
      <w:r>
        <w:rPr>
          <w:rFonts w:eastAsia="Times New Roman"/>
        </w:rPr>
        <w:t xml:space="preserve">. </w:t>
      </w:r>
    </w:p>
    <w:p w14:paraId="7B4391A2" w14:textId="77777777" w:rsidR="00CF1E81" w:rsidRDefault="00CF1E81" w:rsidP="00CF1E81">
      <w:pPr>
        <w:numPr>
          <w:ilvl w:val="0"/>
          <w:numId w:val="15"/>
        </w:numPr>
        <w:spacing w:before="100" w:beforeAutospacing="1" w:after="100" w:afterAutospacing="1" w:line="240" w:lineRule="auto"/>
        <w:rPr>
          <w:rFonts w:eastAsia="Times New Roman"/>
        </w:rPr>
      </w:pPr>
      <w:r>
        <w:rPr>
          <w:rFonts w:eastAsia="Times New Roman"/>
        </w:rPr>
        <w:t xml:space="preserve">Li Y, Bai W, </w:t>
      </w:r>
      <w:proofErr w:type="spellStart"/>
      <w:r>
        <w:rPr>
          <w:rFonts w:eastAsia="Times New Roman"/>
        </w:rPr>
        <w:t>Hashikawa</w:t>
      </w:r>
      <w:proofErr w:type="spellEnd"/>
      <w:r>
        <w:rPr>
          <w:rFonts w:eastAsia="Times New Roman"/>
        </w:rPr>
        <w:t xml:space="preserve"> T. The neuroinvasive potential of SARS-CoV2 may be at least partially responsible for the respiratory failure of COVID-19 patients. </w:t>
      </w:r>
      <w:r w:rsidRPr="005F5170">
        <w:rPr>
          <w:rStyle w:val="Emphasis"/>
          <w:rFonts w:eastAsia="Times New Roman"/>
          <w:b w:val="0"/>
        </w:rPr>
        <w:t xml:space="preserve">J. Med. </w:t>
      </w:r>
      <w:proofErr w:type="spellStart"/>
      <w:r w:rsidRPr="005F5170">
        <w:rPr>
          <w:rStyle w:val="Emphasis"/>
          <w:rFonts w:eastAsia="Times New Roman"/>
          <w:b w:val="0"/>
        </w:rPr>
        <w:t>Virol</w:t>
      </w:r>
      <w:proofErr w:type="spellEnd"/>
      <w:r w:rsidRPr="005F5170">
        <w:rPr>
          <w:rStyle w:val="Emphasis"/>
          <w:rFonts w:eastAsia="Times New Roman"/>
          <w:b w:val="0"/>
        </w:rPr>
        <w:t xml:space="preserve">. </w:t>
      </w:r>
      <w:r>
        <w:rPr>
          <w:rFonts w:eastAsia="Times New Roman"/>
        </w:rPr>
        <w:t>2020. doi: ht</w:t>
      </w:r>
      <w:r w:rsidR="001F581F">
        <w:rPr>
          <w:rFonts w:eastAsia="Times New Roman"/>
        </w:rPr>
        <w:t>tps://doi.org/10.1002/jmv.25728</w:t>
      </w:r>
      <w:r>
        <w:rPr>
          <w:rFonts w:eastAsia="Times New Roman"/>
        </w:rPr>
        <w:t xml:space="preserve">. </w:t>
      </w:r>
    </w:p>
    <w:p w14:paraId="6A36F6C0" w14:textId="77777777" w:rsidR="00CF1E81" w:rsidRDefault="00CF1E81" w:rsidP="00CF1E81">
      <w:pPr>
        <w:numPr>
          <w:ilvl w:val="0"/>
          <w:numId w:val="15"/>
        </w:numPr>
        <w:spacing w:before="100" w:beforeAutospacing="1" w:after="100" w:afterAutospacing="1" w:line="240" w:lineRule="auto"/>
        <w:rPr>
          <w:rFonts w:eastAsia="Times New Roman"/>
        </w:rPr>
      </w:pPr>
      <w:proofErr w:type="spellStart"/>
      <w:r>
        <w:rPr>
          <w:rFonts w:eastAsia="Times New Roman"/>
        </w:rPr>
        <w:t>Woelfel</w:t>
      </w:r>
      <w:proofErr w:type="spellEnd"/>
      <w:r>
        <w:rPr>
          <w:rFonts w:eastAsia="Times New Roman"/>
        </w:rPr>
        <w:t xml:space="preserve"> R, Corman VM, </w:t>
      </w:r>
      <w:proofErr w:type="spellStart"/>
      <w:r>
        <w:rPr>
          <w:rFonts w:eastAsia="Times New Roman"/>
        </w:rPr>
        <w:t>Guggemos</w:t>
      </w:r>
      <w:proofErr w:type="spellEnd"/>
      <w:r>
        <w:rPr>
          <w:rFonts w:eastAsia="Times New Roman"/>
        </w:rPr>
        <w:t xml:space="preserve"> W, </w:t>
      </w:r>
      <w:proofErr w:type="spellStart"/>
      <w:r>
        <w:rPr>
          <w:rFonts w:eastAsia="Times New Roman"/>
        </w:rPr>
        <w:t>Seilmaier</w:t>
      </w:r>
      <w:proofErr w:type="spellEnd"/>
      <w:r>
        <w:rPr>
          <w:rFonts w:eastAsia="Times New Roman"/>
        </w:rPr>
        <w:t xml:space="preserve"> M, </w:t>
      </w:r>
      <w:proofErr w:type="spellStart"/>
      <w:r>
        <w:rPr>
          <w:rFonts w:eastAsia="Times New Roman"/>
        </w:rPr>
        <w:t>Zange</w:t>
      </w:r>
      <w:proofErr w:type="spellEnd"/>
      <w:r>
        <w:rPr>
          <w:rFonts w:eastAsia="Times New Roman"/>
        </w:rPr>
        <w:t xml:space="preserve"> S, Mueller MA et al. Clinical presentation and virological assessment of hospitalized cases of coronavirus disease 2019 in a travel-associated transmission cluster. </w:t>
      </w:r>
      <w:proofErr w:type="spellStart"/>
      <w:r w:rsidRPr="005F5170">
        <w:rPr>
          <w:rStyle w:val="Emphasis"/>
          <w:rFonts w:eastAsia="Times New Roman"/>
          <w:b w:val="0"/>
        </w:rPr>
        <w:t>medRxiv</w:t>
      </w:r>
      <w:proofErr w:type="spellEnd"/>
      <w:r w:rsidRPr="005F5170">
        <w:rPr>
          <w:rStyle w:val="Emphasis"/>
          <w:rFonts w:eastAsia="Times New Roman"/>
          <w:b w:val="0"/>
        </w:rPr>
        <w:t xml:space="preserve">. </w:t>
      </w:r>
      <w:r>
        <w:rPr>
          <w:rFonts w:eastAsia="Times New Roman"/>
        </w:rPr>
        <w:t>2020.</w:t>
      </w:r>
      <w:r w:rsidRPr="005F5170">
        <w:rPr>
          <w:rStyle w:val="Emphasis"/>
          <w:rFonts w:eastAsia="Times New Roman"/>
          <w:b w:val="0"/>
        </w:rPr>
        <w:t xml:space="preserve"> </w:t>
      </w:r>
      <w:r>
        <w:rPr>
          <w:rFonts w:eastAsia="Times New Roman"/>
        </w:rPr>
        <w:t>doi: https://doi.</w:t>
      </w:r>
      <w:r w:rsidR="001F581F">
        <w:rPr>
          <w:rFonts w:eastAsia="Times New Roman"/>
        </w:rPr>
        <w:t>org/10.1101/2020.03.05.20030502</w:t>
      </w:r>
      <w:r>
        <w:rPr>
          <w:rFonts w:eastAsia="Times New Roman"/>
        </w:rPr>
        <w:t xml:space="preserve">. </w:t>
      </w:r>
    </w:p>
    <w:p w14:paraId="59A50A2D" w14:textId="10159FAB" w:rsidR="00CF1E81" w:rsidRDefault="00CF1E81" w:rsidP="00CF1E81">
      <w:pPr>
        <w:numPr>
          <w:ilvl w:val="0"/>
          <w:numId w:val="15"/>
        </w:numPr>
        <w:spacing w:before="100" w:beforeAutospacing="1" w:after="100" w:afterAutospacing="1" w:line="240" w:lineRule="auto"/>
        <w:rPr>
          <w:rFonts w:eastAsia="Times New Roman"/>
        </w:rPr>
      </w:pPr>
      <w:r>
        <w:rPr>
          <w:rFonts w:eastAsia="Times New Roman"/>
        </w:rPr>
        <w:t xml:space="preserve">Bedford T, </w:t>
      </w:r>
      <w:proofErr w:type="spellStart"/>
      <w:r>
        <w:rPr>
          <w:rFonts w:eastAsia="Times New Roman"/>
        </w:rPr>
        <w:t>Neher</w:t>
      </w:r>
      <w:proofErr w:type="spellEnd"/>
      <w:r>
        <w:rPr>
          <w:rFonts w:eastAsia="Times New Roman"/>
        </w:rPr>
        <w:t xml:space="preserve"> R, Hadfield J, </w:t>
      </w:r>
      <w:proofErr w:type="spellStart"/>
      <w:r>
        <w:rPr>
          <w:rFonts w:eastAsia="Times New Roman"/>
        </w:rPr>
        <w:t>Hodcroft</w:t>
      </w:r>
      <w:proofErr w:type="spellEnd"/>
      <w:r>
        <w:rPr>
          <w:rFonts w:eastAsia="Times New Roman"/>
        </w:rPr>
        <w:t xml:space="preserve"> E, </w:t>
      </w:r>
      <w:proofErr w:type="spellStart"/>
      <w:r>
        <w:rPr>
          <w:rFonts w:eastAsia="Times New Roman"/>
        </w:rPr>
        <w:t>Ilcisin</w:t>
      </w:r>
      <w:proofErr w:type="spellEnd"/>
      <w:r>
        <w:rPr>
          <w:rFonts w:eastAsia="Times New Roman"/>
        </w:rPr>
        <w:t xml:space="preserve"> M, Müller N. Genomic analysis of </w:t>
      </w:r>
      <w:proofErr w:type="spellStart"/>
      <w:r>
        <w:rPr>
          <w:rFonts w:eastAsia="Times New Roman"/>
        </w:rPr>
        <w:t>nCOV</w:t>
      </w:r>
      <w:proofErr w:type="spellEnd"/>
      <w:r>
        <w:rPr>
          <w:rFonts w:eastAsia="Times New Roman"/>
        </w:rPr>
        <w:t xml:space="preserve"> spread. Situation report 2020-01-30. [Internet.] 2020. Available from: https://nextstrain.org/nar</w:t>
      </w:r>
      <w:r w:rsidR="001F581F">
        <w:rPr>
          <w:rFonts w:eastAsia="Times New Roman"/>
        </w:rPr>
        <w:t>ratives/ncov/sit-rep/2020-01-30</w:t>
      </w:r>
      <w:r>
        <w:rPr>
          <w:rFonts w:eastAsia="Times New Roman"/>
        </w:rPr>
        <w:t xml:space="preserve">. </w:t>
      </w:r>
    </w:p>
    <w:p w14:paraId="2B8445CD" w14:textId="77777777" w:rsidR="00CF1E81" w:rsidRDefault="00CF1E81" w:rsidP="00CF1E81">
      <w:pPr>
        <w:numPr>
          <w:ilvl w:val="0"/>
          <w:numId w:val="15"/>
        </w:numPr>
        <w:spacing w:before="100" w:beforeAutospacing="1" w:after="100" w:afterAutospacing="1" w:line="240" w:lineRule="auto"/>
        <w:rPr>
          <w:rFonts w:eastAsia="Times New Roman"/>
        </w:rPr>
      </w:pPr>
      <w:r>
        <w:rPr>
          <w:rFonts w:eastAsia="Times New Roman"/>
        </w:rPr>
        <w:t xml:space="preserve">Phan T. Genetic diversity and evolution of SARS-CoV-2. </w:t>
      </w:r>
      <w:r w:rsidRPr="005F5170">
        <w:rPr>
          <w:rStyle w:val="Emphasis"/>
          <w:rFonts w:eastAsia="Times New Roman"/>
          <w:b w:val="0"/>
        </w:rPr>
        <w:t xml:space="preserve">Infect Genet </w:t>
      </w:r>
      <w:proofErr w:type="spellStart"/>
      <w:r w:rsidRPr="005F5170">
        <w:rPr>
          <w:rStyle w:val="Emphasis"/>
          <w:rFonts w:eastAsia="Times New Roman"/>
          <w:b w:val="0"/>
        </w:rPr>
        <w:t>Evol</w:t>
      </w:r>
      <w:proofErr w:type="spellEnd"/>
      <w:r>
        <w:rPr>
          <w:rFonts w:eastAsia="Times New Roman"/>
        </w:rPr>
        <w:t>. 2020. doi: https://doi.o</w:t>
      </w:r>
      <w:r w:rsidR="001F581F">
        <w:rPr>
          <w:rFonts w:eastAsia="Times New Roman"/>
        </w:rPr>
        <w:t>rg/10.1016/j.meegid.2020.104260</w:t>
      </w:r>
      <w:r>
        <w:rPr>
          <w:rFonts w:eastAsia="Times New Roman"/>
        </w:rPr>
        <w:t xml:space="preserve">. </w:t>
      </w:r>
    </w:p>
    <w:p w14:paraId="0C76A111" w14:textId="77777777" w:rsidR="00CF1E81" w:rsidRDefault="00CF1E81" w:rsidP="00CF1E81">
      <w:pPr>
        <w:numPr>
          <w:ilvl w:val="0"/>
          <w:numId w:val="15"/>
        </w:numPr>
        <w:spacing w:before="100" w:beforeAutospacing="1" w:after="100" w:afterAutospacing="1" w:line="240" w:lineRule="auto"/>
        <w:rPr>
          <w:rFonts w:eastAsia="Times New Roman"/>
        </w:rPr>
      </w:pPr>
      <w:r>
        <w:rPr>
          <w:rFonts w:eastAsia="Times New Roman"/>
        </w:rPr>
        <w:t>WHO. Clinical management of severe acute respiratory infection when novel coronavirus (</w:t>
      </w:r>
      <w:proofErr w:type="spellStart"/>
      <w:r>
        <w:rPr>
          <w:rFonts w:eastAsia="Times New Roman"/>
        </w:rPr>
        <w:t>nCoV</w:t>
      </w:r>
      <w:proofErr w:type="spellEnd"/>
      <w:r>
        <w:rPr>
          <w:rFonts w:eastAsia="Times New Roman"/>
        </w:rPr>
        <w:t>) infection is suspected. [Internet.] Geneva: WHO; 2020. [Accessed on 23 February 2020.] Available from: https://www.who.int/publications-detail/clinical-management-of-severe-acute-respiratory-infection-when-novel-coronaviru</w:t>
      </w:r>
      <w:r w:rsidR="00F824BF">
        <w:rPr>
          <w:rFonts w:eastAsia="Times New Roman"/>
        </w:rPr>
        <w:t>s-(ncov)-infection-is-suspected</w:t>
      </w:r>
      <w:r>
        <w:rPr>
          <w:rFonts w:eastAsia="Times New Roman"/>
        </w:rPr>
        <w:t xml:space="preserve">. </w:t>
      </w:r>
    </w:p>
    <w:p w14:paraId="3E0DC99D" w14:textId="77777777" w:rsidR="00CF1E81" w:rsidRDefault="00CF1E81" w:rsidP="00CF1E81">
      <w:pPr>
        <w:numPr>
          <w:ilvl w:val="0"/>
          <w:numId w:val="15"/>
        </w:numPr>
        <w:spacing w:before="100" w:beforeAutospacing="1" w:after="100" w:afterAutospacing="1" w:line="240" w:lineRule="auto"/>
        <w:rPr>
          <w:rFonts w:eastAsia="Times New Roman"/>
        </w:rPr>
      </w:pPr>
      <w:r>
        <w:rPr>
          <w:rFonts w:eastAsia="Times New Roman"/>
        </w:rPr>
        <w:t xml:space="preserve">Harrison, C. Coronavirus puts drug repurposing on the fast track. </w:t>
      </w:r>
      <w:r w:rsidRPr="005F5170">
        <w:rPr>
          <w:rStyle w:val="Emphasis"/>
          <w:rFonts w:eastAsia="Times New Roman"/>
          <w:b w:val="0"/>
        </w:rPr>
        <w:t xml:space="preserve">Nat </w:t>
      </w:r>
      <w:proofErr w:type="spellStart"/>
      <w:r w:rsidRPr="005F5170">
        <w:rPr>
          <w:rStyle w:val="Emphasis"/>
          <w:rFonts w:eastAsia="Times New Roman"/>
          <w:b w:val="0"/>
        </w:rPr>
        <w:t>Biotechnol</w:t>
      </w:r>
      <w:proofErr w:type="spellEnd"/>
      <w:r>
        <w:rPr>
          <w:rFonts w:eastAsia="Times New Roman"/>
        </w:rPr>
        <w:t xml:space="preserve">. 2020. doi: https://doi.org/10.1038/d41587-020-00003-1. </w:t>
      </w:r>
    </w:p>
    <w:p w14:paraId="31FC6DF8" w14:textId="77777777" w:rsidR="00CF1E81" w:rsidRDefault="00CF1E81" w:rsidP="00CF1E81">
      <w:pPr>
        <w:numPr>
          <w:ilvl w:val="0"/>
          <w:numId w:val="15"/>
        </w:numPr>
        <w:spacing w:before="100" w:beforeAutospacing="1" w:after="100" w:afterAutospacing="1" w:line="240" w:lineRule="auto"/>
        <w:rPr>
          <w:rFonts w:eastAsia="Times New Roman"/>
        </w:rPr>
      </w:pPr>
      <w:r>
        <w:rPr>
          <w:rFonts w:eastAsia="Times New Roman"/>
        </w:rPr>
        <w:t>WHO. Novel coronavirus (2019-nCoV) situation report – 22: 11 February 2020. Geneva: WHO; 2020. [Accessed on 12 February 2020.] Available from: https://www.who.int/docs/default-source/coronaviruse/situation-repo</w:t>
      </w:r>
      <w:r w:rsidR="00F824BF">
        <w:rPr>
          <w:rFonts w:eastAsia="Times New Roman"/>
        </w:rPr>
        <w:t>rts/20200211-sitrep-22-ncov.pdf</w:t>
      </w:r>
      <w:r>
        <w:rPr>
          <w:rFonts w:eastAsia="Times New Roman"/>
        </w:rPr>
        <w:t xml:space="preserve">. </w:t>
      </w:r>
    </w:p>
    <w:p w14:paraId="3C138615" w14:textId="77777777" w:rsidR="00CF1E81" w:rsidRDefault="00CF1E81" w:rsidP="00CF1E81">
      <w:pPr>
        <w:numPr>
          <w:ilvl w:val="0"/>
          <w:numId w:val="15"/>
        </w:numPr>
        <w:spacing w:before="100" w:beforeAutospacing="1" w:after="100" w:afterAutospacing="1" w:line="240" w:lineRule="auto"/>
        <w:rPr>
          <w:rFonts w:eastAsia="Times New Roman"/>
        </w:rPr>
      </w:pPr>
      <w:r>
        <w:rPr>
          <w:rFonts w:eastAsia="Times New Roman"/>
        </w:rPr>
        <w:t>World Health Organization Regional Office for the Eastern Mediterranean. MERS situation update, January 2020. [Internet.] Egypt: World Health Organization Regional Office for the Eastern Mediterranean; 2020. [Accessed on 7 March 2020.] Available from: http://www.emro.who.int/pandemic-epidemic-diseases/mers-cov/mers-sit</w:t>
      </w:r>
      <w:r w:rsidR="00F824BF">
        <w:rPr>
          <w:rFonts w:eastAsia="Times New Roman"/>
        </w:rPr>
        <w:t>uation-update-january-2020.html</w:t>
      </w:r>
      <w:r>
        <w:rPr>
          <w:rFonts w:eastAsia="Times New Roman"/>
        </w:rPr>
        <w:t xml:space="preserve">. </w:t>
      </w:r>
    </w:p>
    <w:p w14:paraId="540B95F1" w14:textId="77777777" w:rsidR="00CF1E81" w:rsidRDefault="00CF1E81" w:rsidP="00CF1E81">
      <w:pPr>
        <w:numPr>
          <w:ilvl w:val="0"/>
          <w:numId w:val="15"/>
        </w:numPr>
        <w:spacing w:before="100" w:beforeAutospacing="1" w:after="100" w:afterAutospacing="1" w:line="240" w:lineRule="auto"/>
        <w:rPr>
          <w:rFonts w:eastAsia="Times New Roman"/>
        </w:rPr>
      </w:pPr>
      <w:proofErr w:type="spellStart"/>
      <w:r>
        <w:rPr>
          <w:rFonts w:eastAsia="Times New Roman"/>
        </w:rPr>
        <w:t>Centers</w:t>
      </w:r>
      <w:proofErr w:type="spellEnd"/>
      <w:r>
        <w:rPr>
          <w:rFonts w:eastAsia="Times New Roman"/>
        </w:rPr>
        <w:t xml:space="preserve"> for Disease Control and Prevention (CDC). MERS clinical features. [Internet.] Atlanta: United States Department of Health and Human Services, CDC; 2019. [Accessed on 7 March 2020.] Available from: https://www.cdc.gov/coronavi</w:t>
      </w:r>
      <w:r w:rsidR="00F824BF">
        <w:rPr>
          <w:rFonts w:eastAsia="Times New Roman"/>
        </w:rPr>
        <w:t>rus/mers/clinical-features.html</w:t>
      </w:r>
      <w:r>
        <w:rPr>
          <w:rFonts w:eastAsia="Times New Roman"/>
        </w:rPr>
        <w:t xml:space="preserve">. </w:t>
      </w:r>
    </w:p>
    <w:p w14:paraId="5B840EDF" w14:textId="77777777" w:rsidR="00CF1E81" w:rsidRDefault="00CF1E81" w:rsidP="00CF1E81">
      <w:pPr>
        <w:numPr>
          <w:ilvl w:val="0"/>
          <w:numId w:val="15"/>
        </w:numPr>
        <w:spacing w:before="100" w:beforeAutospacing="1" w:after="100" w:afterAutospacing="1" w:line="240" w:lineRule="auto"/>
        <w:rPr>
          <w:rFonts w:eastAsia="Times New Roman"/>
        </w:rPr>
      </w:pPr>
      <w:r>
        <w:rPr>
          <w:rFonts w:eastAsia="Times New Roman"/>
        </w:rPr>
        <w:t>WHO. Consensus document on the epidemiology of severe acute respiratory syndrome (SARS). [Internet.] Geneva: WHO; 2003. [Accessed on 7 March 2020.] Available from: https://www.wh</w:t>
      </w:r>
      <w:r w:rsidR="00F824BF">
        <w:rPr>
          <w:rFonts w:eastAsia="Times New Roman"/>
        </w:rPr>
        <w:t>o.int/csr/sars/WHOconsensus.pdf</w:t>
      </w:r>
      <w:r>
        <w:rPr>
          <w:rFonts w:eastAsia="Times New Roman"/>
        </w:rPr>
        <w:t xml:space="preserve">. </w:t>
      </w:r>
    </w:p>
    <w:p w14:paraId="743B766C" w14:textId="77777777" w:rsidR="00CF1E81" w:rsidRDefault="00CF1E81" w:rsidP="00CF1E81">
      <w:pPr>
        <w:numPr>
          <w:ilvl w:val="0"/>
          <w:numId w:val="15"/>
        </w:numPr>
        <w:spacing w:before="100" w:beforeAutospacing="1" w:after="100" w:afterAutospacing="1" w:line="240" w:lineRule="auto"/>
        <w:rPr>
          <w:rFonts w:eastAsia="Times New Roman"/>
        </w:rPr>
      </w:pPr>
      <w:r>
        <w:rPr>
          <w:rFonts w:eastAsia="Times New Roman"/>
        </w:rPr>
        <w:t>WHO. Novel coronavirus (2019-nCoV) situation report – 1: 21 January 2020. Geneva: WHO; 2020. [Accessed on 22 January 2020.] Available from: https://www.who.int/docs/default-source/coronaviruse/situation-reports/</w:t>
      </w:r>
      <w:r w:rsidR="00F824BF">
        <w:rPr>
          <w:rFonts w:eastAsia="Times New Roman"/>
        </w:rPr>
        <w:t>20200121-sitrep-1-2019-ncov.pdf</w:t>
      </w:r>
      <w:r>
        <w:rPr>
          <w:rFonts w:eastAsia="Times New Roman"/>
        </w:rPr>
        <w:t xml:space="preserve">. </w:t>
      </w:r>
    </w:p>
    <w:p w14:paraId="283AFF47" w14:textId="77777777" w:rsidR="00CF1E81" w:rsidRDefault="00CF1E81" w:rsidP="00CF1E81">
      <w:pPr>
        <w:numPr>
          <w:ilvl w:val="0"/>
          <w:numId w:val="15"/>
        </w:numPr>
        <w:spacing w:before="100" w:beforeAutospacing="1" w:after="100" w:afterAutospacing="1" w:line="240" w:lineRule="auto"/>
        <w:rPr>
          <w:rFonts w:eastAsia="Times New Roman"/>
        </w:rPr>
      </w:pPr>
      <w:r>
        <w:rPr>
          <w:rFonts w:eastAsia="Times New Roman"/>
        </w:rPr>
        <w:t>Australian Government Department of Health. Australian Health Protection Principal Committee (AHPPC) novel coronavirus statement on 1 February 2020. [Internet.] Canberra: Australian Government Department of Health; 2020. [Accessed on 7 February 2020.] Available from: https://www.health.gov.au/news/australian-health-protection-principal-committee-ahppc-novel-coronavir</w:t>
      </w:r>
      <w:r w:rsidR="00F824BF">
        <w:rPr>
          <w:rFonts w:eastAsia="Times New Roman"/>
        </w:rPr>
        <w:t>us-statement-on-1-february-2020</w:t>
      </w:r>
      <w:r>
        <w:rPr>
          <w:rFonts w:eastAsia="Times New Roman"/>
        </w:rPr>
        <w:t xml:space="preserve">. </w:t>
      </w:r>
    </w:p>
    <w:p w14:paraId="7A600BF3" w14:textId="77777777" w:rsidR="00CF1E81" w:rsidRDefault="00CF1E81" w:rsidP="00CF1E81">
      <w:pPr>
        <w:numPr>
          <w:ilvl w:val="0"/>
          <w:numId w:val="15"/>
        </w:numPr>
        <w:spacing w:before="100" w:beforeAutospacing="1" w:after="100" w:afterAutospacing="1" w:line="240" w:lineRule="auto"/>
        <w:rPr>
          <w:rFonts w:eastAsia="Times New Roman"/>
        </w:rPr>
      </w:pPr>
      <w:r>
        <w:rPr>
          <w:rFonts w:eastAsia="Times New Roman"/>
        </w:rPr>
        <w:t xml:space="preserve">Australian Government Department of Health. Australian Health Protection Principal Committee (AHPPC) coronavirus (COVID-19) statement on 4 March 2020. [Internet.] Canberra: Australian Government </w:t>
      </w:r>
      <w:r>
        <w:rPr>
          <w:rFonts w:eastAsia="Times New Roman"/>
        </w:rPr>
        <w:lastRenderedPageBreak/>
        <w:t>Department of Health; 2020. [Accessed on 7 March 2020.] Available from: https://www.health.gov.au/news/australian-health-protection-principal-committee-ahppc-coronavirus-covid-19-statement-on-4-march-2020</w:t>
      </w:r>
      <w:r w:rsidR="001F581F">
        <w:rPr>
          <w:rFonts w:eastAsia="Times New Roman"/>
        </w:rPr>
        <w:t>.</w:t>
      </w:r>
    </w:p>
    <w:p w14:paraId="51B75C37" w14:textId="77777777" w:rsidR="00CF1E81" w:rsidRDefault="00CF1E81" w:rsidP="00CF1E81">
      <w:pPr>
        <w:numPr>
          <w:ilvl w:val="0"/>
          <w:numId w:val="15"/>
        </w:numPr>
        <w:spacing w:before="100" w:beforeAutospacing="1" w:after="100" w:afterAutospacing="1" w:line="240" w:lineRule="auto"/>
        <w:rPr>
          <w:rFonts w:eastAsia="Times New Roman"/>
        </w:rPr>
      </w:pPr>
      <w:r>
        <w:rPr>
          <w:rFonts w:eastAsia="Times New Roman"/>
        </w:rPr>
        <w:t>Australian Government Department of the Prime Minister and Cabinet. Update on novel coronavirus (COVID-19) in Australia. [Internet.] Canberra: Australian Government Department of the Prime Minister and Cabinet; 2020. [Accessed on 7 March 2020.] Available from: https://www.pm.gov.au/media/update-novel-c</w:t>
      </w:r>
      <w:r w:rsidR="00F824BF">
        <w:rPr>
          <w:rFonts w:eastAsia="Times New Roman"/>
        </w:rPr>
        <w:t>oronavirus-covid-19-australia-0</w:t>
      </w:r>
      <w:r>
        <w:rPr>
          <w:rFonts w:eastAsia="Times New Roman"/>
        </w:rPr>
        <w:t xml:space="preserve">. </w:t>
      </w:r>
    </w:p>
    <w:p w14:paraId="02599C66" w14:textId="77777777" w:rsidR="00CF1E81" w:rsidRDefault="00CF1E81" w:rsidP="00CF1E81">
      <w:pPr>
        <w:numPr>
          <w:ilvl w:val="0"/>
          <w:numId w:val="15"/>
        </w:numPr>
        <w:spacing w:before="100" w:beforeAutospacing="1" w:after="100" w:afterAutospacing="1" w:line="240" w:lineRule="auto"/>
        <w:rPr>
          <w:rFonts w:eastAsia="Times New Roman"/>
        </w:rPr>
      </w:pPr>
      <w:r>
        <w:rPr>
          <w:rFonts w:eastAsia="Times New Roman"/>
        </w:rPr>
        <w:t>Australian Government Department of Health. Australian Health Protection Principal Committee (AHPPC) coronavirus (COVID-19) statement on 8 March 2020. [Internet.] Canberra: Australian Government Department of Health; 2020. [Accessed on 11 March 2020.] Available from: https://www.health.gov.au/news/australian-health-protection-principal-committee-ahppc-coronavirus-cov</w:t>
      </w:r>
      <w:r w:rsidR="00F824BF">
        <w:rPr>
          <w:rFonts w:eastAsia="Times New Roman"/>
        </w:rPr>
        <w:t>id-19-statement-on-8-march-2020</w:t>
      </w:r>
      <w:r>
        <w:rPr>
          <w:rFonts w:eastAsia="Times New Roman"/>
        </w:rPr>
        <w:t xml:space="preserve">. </w:t>
      </w:r>
    </w:p>
    <w:p w14:paraId="42D1B68B" w14:textId="77777777" w:rsidR="00CF1E81" w:rsidRDefault="00CF1E81" w:rsidP="00CF1E81">
      <w:pPr>
        <w:numPr>
          <w:ilvl w:val="0"/>
          <w:numId w:val="15"/>
        </w:numPr>
        <w:spacing w:before="100" w:beforeAutospacing="1" w:after="100" w:afterAutospacing="1" w:line="240" w:lineRule="auto"/>
        <w:rPr>
          <w:rFonts w:eastAsia="Times New Roman"/>
        </w:rPr>
      </w:pPr>
      <w:r>
        <w:rPr>
          <w:rFonts w:eastAsia="Times New Roman"/>
        </w:rPr>
        <w:t>Australian Government Department of Health. Australian Health Protection Principal Committee (AHPPC) coronavirus (COVID-19) statement on 11 March 2020. [Internet.] Canberra: Australian Government Department of Health; 2020. [Accessed on 13 March 2020.] Available from: https://www.health.gov.au/news/australian-health-protection-principal-committee-ahppc-coronavirus-covi</w:t>
      </w:r>
      <w:r w:rsidR="00F824BF">
        <w:rPr>
          <w:rFonts w:eastAsia="Times New Roman"/>
        </w:rPr>
        <w:t>d-19-statement-on-11-march-2020</w:t>
      </w:r>
      <w:r>
        <w:rPr>
          <w:rFonts w:eastAsia="Times New Roman"/>
        </w:rPr>
        <w:t xml:space="preserve">. </w:t>
      </w:r>
    </w:p>
    <w:p w14:paraId="0254C2E7" w14:textId="77777777" w:rsidR="00CF1E81" w:rsidRDefault="00CF1E81" w:rsidP="00CF1E81">
      <w:pPr>
        <w:numPr>
          <w:ilvl w:val="0"/>
          <w:numId w:val="15"/>
        </w:numPr>
        <w:spacing w:before="100" w:beforeAutospacing="1" w:after="100" w:afterAutospacing="1" w:line="240" w:lineRule="auto"/>
        <w:rPr>
          <w:rFonts w:eastAsia="Times New Roman"/>
        </w:rPr>
      </w:pPr>
      <w:r>
        <w:rPr>
          <w:rFonts w:eastAsia="Times New Roman"/>
        </w:rPr>
        <w:t xml:space="preserve">Australian Government Department of Health. Australian Health Protection Principal Committee (AHPPC) coronavirus (COVID-19) statement on 12 March 2020. [Internet.] Canberra: Australian Government Department of Health; 2020. [Accessed on 15 March 2020.] Available from: https://www.health.gov.au/news/australian-health-protection-principal-committee-ahppc-coronavirus-covid-19-statement-on-12-march-2020. </w:t>
      </w:r>
    </w:p>
    <w:p w14:paraId="08C5B837" w14:textId="77777777" w:rsidR="00CF1E81" w:rsidRDefault="00CF1E81" w:rsidP="00CF1E81">
      <w:pPr>
        <w:numPr>
          <w:ilvl w:val="0"/>
          <w:numId w:val="15"/>
        </w:numPr>
        <w:spacing w:before="100" w:beforeAutospacing="1" w:after="100" w:afterAutospacing="1" w:line="240" w:lineRule="auto"/>
        <w:rPr>
          <w:rFonts w:eastAsia="Times New Roman"/>
        </w:rPr>
      </w:pPr>
      <w:r>
        <w:rPr>
          <w:rFonts w:eastAsia="Times New Roman"/>
        </w:rPr>
        <w:t>Australian Government Department of Health. Australian Health Protection Principal Committee (AHPPC) coronavirus (COVID-19) statement on 13 March 2020. [Internet.] Canberra: Australian Government Department of Health; 2020. [Accessed on 15 March 2020.] Available from: https://www.health.gov.au/news/australian-health-protection-principal-committee-ahppc-coronavirus-covid-19-statement-on-13-march-20</w:t>
      </w:r>
      <w:r w:rsidR="00F824BF">
        <w:rPr>
          <w:rFonts w:eastAsia="Times New Roman"/>
        </w:rPr>
        <w:t>20</w:t>
      </w:r>
      <w:r>
        <w:rPr>
          <w:rFonts w:eastAsia="Times New Roman"/>
        </w:rPr>
        <w:t xml:space="preserve">. </w:t>
      </w:r>
    </w:p>
    <w:p w14:paraId="2438D47A" w14:textId="77777777" w:rsidR="008B5348" w:rsidRPr="00566BA4" w:rsidRDefault="00CF1E81" w:rsidP="00566BA4">
      <w:pPr>
        <w:numPr>
          <w:ilvl w:val="0"/>
          <w:numId w:val="15"/>
        </w:numPr>
        <w:spacing w:before="100" w:beforeAutospacing="1" w:after="100" w:afterAutospacing="1" w:line="240" w:lineRule="auto"/>
        <w:rPr>
          <w:rStyle w:val="A10"/>
          <w:rFonts w:cstheme="minorBidi"/>
          <w:color w:val="auto"/>
        </w:rPr>
      </w:pPr>
      <w:r w:rsidRPr="00566BA4">
        <w:rPr>
          <w:rFonts w:eastAsia="Times New Roman"/>
        </w:rPr>
        <w:t>Australian Government Department of Health. Novel coronavirus 2019 (2019-nCoV) - CDNA national guidelines for public health units. [Internet.] Canberra: Australian Government Department of Health; 2020. [Accessed on 15 March 2020.] Available from: https://www1.health.gov.au/internet/main/publishing.nsf/Content/7A8654A8CB144F5FCA2584F8001F91E2/$File</w:t>
      </w:r>
      <w:r w:rsidR="00F824BF">
        <w:rPr>
          <w:rFonts w:eastAsia="Times New Roman"/>
        </w:rPr>
        <w:t>/interim-COVID-19-SoNG-v2.0.pdf</w:t>
      </w:r>
      <w:r w:rsidRPr="00566BA4">
        <w:rPr>
          <w:rFonts w:eastAsia="Times New Roman"/>
        </w:rPr>
        <w:t>.</w:t>
      </w:r>
      <w:r>
        <w:t> </w:t>
      </w:r>
    </w:p>
    <w:p w14:paraId="333C0329" w14:textId="77777777" w:rsidR="008B5348" w:rsidRDefault="008B5348">
      <w:pPr>
        <w:rPr>
          <w:rStyle w:val="A10"/>
        </w:rPr>
        <w:sectPr w:rsidR="008B5348" w:rsidSect="00A30C37">
          <w:pgSz w:w="11906" w:h="16838"/>
          <w:pgMar w:top="720" w:right="720" w:bottom="1134" w:left="720" w:header="709" w:footer="284" w:gutter="0"/>
          <w:cols w:space="708"/>
          <w:titlePg/>
          <w:docGrid w:linePitch="360"/>
        </w:sectPr>
      </w:pPr>
    </w:p>
    <w:p w14:paraId="205204FD"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05962BE0"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6D1DF6EB" w14:textId="77777777" w:rsidR="000A5F42" w:rsidRPr="000606CC" w:rsidRDefault="000A5F42" w:rsidP="000A5F42">
      <w:pPr>
        <w:pStyle w:val="NoSpacing"/>
        <w:rPr>
          <w:rStyle w:val="URI"/>
          <w:rFonts w:cstheme="minorHAnsi"/>
          <w:sz w:val="20"/>
          <w:szCs w:val="18"/>
        </w:rPr>
      </w:pPr>
    </w:p>
    <w:p w14:paraId="319682F4"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Communicable Diseases Intelligence (CDI) is a peer-reviewed scientific journal published by the Office of Health Protection, Department of Health. The journal aims to disseminate information on the epidemiology, surveillance, prevention and control of communicable diseases of relevance to Australia.</w:t>
      </w:r>
    </w:p>
    <w:p w14:paraId="762AAA52" w14:textId="77777777" w:rsidR="000A5F42" w:rsidRPr="000606CC" w:rsidRDefault="000A5F42" w:rsidP="000A5F42">
      <w:pPr>
        <w:pStyle w:val="NoSpacing"/>
        <w:rPr>
          <w:rStyle w:val="Strong"/>
          <w:rFonts w:cstheme="minorHAnsi"/>
          <w:sz w:val="20"/>
          <w:szCs w:val="18"/>
        </w:rPr>
      </w:pPr>
    </w:p>
    <w:p w14:paraId="5DD50A44"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611AA9">
        <w:rPr>
          <w:rFonts w:cstheme="minorHAnsi"/>
          <w:sz w:val="20"/>
          <w:szCs w:val="18"/>
        </w:rPr>
        <w:t>Tanja Farmer</w:t>
      </w:r>
    </w:p>
    <w:p w14:paraId="50F7C3EB"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4C23F9D1"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1B33B2E6"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Durrheim, </w:t>
      </w:r>
      <w:r w:rsidRPr="000606CC">
        <w:rPr>
          <w:rStyle w:val="nobreak"/>
          <w:rFonts w:cstheme="minorHAnsi"/>
          <w:sz w:val="20"/>
          <w:szCs w:val="18"/>
        </w:rPr>
        <w:t>Mark Ferson</w:t>
      </w:r>
      <w:r w:rsidR="00F55648">
        <w:rPr>
          <w:rFonts w:cstheme="minorHAnsi"/>
          <w:sz w:val="20"/>
          <w:szCs w:val="18"/>
        </w:rPr>
        <w:t xml:space="preserve">, John Kaldor, </w:t>
      </w:r>
      <w:r w:rsidRPr="000606CC">
        <w:rPr>
          <w:rStyle w:val="nobreak"/>
          <w:rFonts w:cstheme="minorHAnsi"/>
          <w:sz w:val="20"/>
          <w:szCs w:val="18"/>
        </w:rPr>
        <w:t>Martyn Kirk</w:t>
      </w:r>
      <w:r w:rsidR="00F55648">
        <w:rPr>
          <w:rStyle w:val="nobreak"/>
          <w:rFonts w:cstheme="minorHAnsi"/>
          <w:sz w:val="20"/>
          <w:szCs w:val="18"/>
        </w:rPr>
        <w:t xml:space="preserve"> and Linda Selvey</w:t>
      </w:r>
    </w:p>
    <w:p w14:paraId="2962F194" w14:textId="77777777" w:rsidR="000A5F42" w:rsidRPr="000606CC" w:rsidRDefault="000A5F42" w:rsidP="000A5F42">
      <w:pPr>
        <w:pStyle w:val="NoSpacing"/>
        <w:rPr>
          <w:rStyle w:val="Strong"/>
          <w:rFonts w:cstheme="minorHAnsi"/>
          <w:sz w:val="20"/>
          <w:szCs w:val="18"/>
        </w:rPr>
      </w:pPr>
    </w:p>
    <w:p w14:paraId="53DA944E" w14:textId="065E1D4D"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7"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03785080" w14:textId="77777777" w:rsidR="000A5F42" w:rsidRPr="000606CC" w:rsidRDefault="000A5F42" w:rsidP="000A5F42">
      <w:pPr>
        <w:pStyle w:val="NoSpacing"/>
        <w:rPr>
          <w:rStyle w:val="Strong"/>
          <w:rFonts w:cstheme="minorHAnsi"/>
          <w:sz w:val="20"/>
          <w:szCs w:val="18"/>
        </w:rPr>
      </w:pPr>
    </w:p>
    <w:p w14:paraId="39B50203"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Pr="000606CC">
        <w:rPr>
          <w:rFonts w:cstheme="minorHAnsi"/>
          <w:sz w:val="20"/>
          <w:szCs w:val="18"/>
        </w:rPr>
        <w:t xml:space="preserve">Communicable Diseases Intelligence is produced by: </w:t>
      </w:r>
      <w:r w:rsidRPr="000606CC">
        <w:rPr>
          <w:rFonts w:cstheme="minorHAnsi"/>
          <w:sz w:val="20"/>
          <w:szCs w:val="18"/>
        </w:rPr>
        <w:br/>
        <w:t>Health Protection Policy Branch, Office of Health Protection, Australian Government Department of Health</w:t>
      </w:r>
      <w:r w:rsidRPr="000606CC">
        <w:rPr>
          <w:rFonts w:cstheme="minorHAnsi"/>
          <w:sz w:val="20"/>
          <w:szCs w:val="18"/>
        </w:rPr>
        <w:br/>
        <w:t>GPO Box 9848, (MDP 6) CANBERRA ACT 2601</w:t>
      </w:r>
    </w:p>
    <w:p w14:paraId="701AF9D0" w14:textId="77777777" w:rsidR="000A5F42" w:rsidRPr="000606CC" w:rsidRDefault="000A5F42" w:rsidP="000A5F42">
      <w:pPr>
        <w:pStyle w:val="NoSpacing"/>
        <w:rPr>
          <w:rStyle w:val="Strong"/>
          <w:rFonts w:cstheme="minorHAnsi"/>
          <w:sz w:val="20"/>
          <w:szCs w:val="18"/>
        </w:rPr>
      </w:pPr>
    </w:p>
    <w:p w14:paraId="55EEA0C4" w14:textId="3B4A9BF6"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8"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3E9A50F3" w14:textId="77777777" w:rsidR="000A5F42" w:rsidRPr="000606CC" w:rsidRDefault="000A5F42" w:rsidP="000A5F42">
      <w:pPr>
        <w:pStyle w:val="NoSpacing"/>
        <w:rPr>
          <w:rStyle w:val="Strong"/>
          <w:rFonts w:cstheme="minorHAnsi"/>
          <w:sz w:val="20"/>
          <w:szCs w:val="18"/>
        </w:rPr>
      </w:pPr>
    </w:p>
    <w:p w14:paraId="41205AA3" w14:textId="65EFB03D"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Submit an </w:t>
      </w:r>
      <w:proofErr w:type="gramStart"/>
      <w:r w:rsidRPr="000606CC">
        <w:rPr>
          <w:rStyle w:val="Strong"/>
          <w:rFonts w:cstheme="minorHAnsi"/>
          <w:sz w:val="20"/>
          <w:szCs w:val="18"/>
        </w:rPr>
        <w:t>Article</w:t>
      </w:r>
      <w:proofErr w:type="gramEnd"/>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9"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1141E952" w14:textId="3237F7EC"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20" w:history="1">
        <w:r w:rsidRPr="000606CC">
          <w:rPr>
            <w:rStyle w:val="Hyperlink"/>
            <w:rFonts w:cstheme="minorHAnsi"/>
            <w:sz w:val="20"/>
            <w:szCs w:val="18"/>
          </w:rPr>
          <w:t>cdi.editor@health.gov.au</w:t>
        </w:r>
      </w:hyperlink>
      <w:r w:rsidRPr="000606CC">
        <w:rPr>
          <w:rFonts w:cstheme="minorHAnsi"/>
          <w:sz w:val="20"/>
          <w:szCs w:val="18"/>
        </w:rPr>
        <w:t>.</w:t>
      </w:r>
    </w:p>
    <w:p w14:paraId="28A0BAEB" w14:textId="77777777" w:rsidR="000A5F42" w:rsidRPr="000606CC" w:rsidRDefault="000A5F42" w:rsidP="000A5F42">
      <w:pPr>
        <w:pStyle w:val="NoSpacing"/>
        <w:pBdr>
          <w:bottom w:val="single" w:sz="6" w:space="1" w:color="auto"/>
        </w:pBdr>
        <w:rPr>
          <w:rStyle w:val="Strong"/>
          <w:rFonts w:cstheme="minorHAnsi"/>
          <w:sz w:val="12"/>
          <w:szCs w:val="18"/>
        </w:rPr>
      </w:pPr>
    </w:p>
    <w:p w14:paraId="392F91D4" w14:textId="77777777" w:rsidR="000A5F42" w:rsidRPr="000606CC" w:rsidRDefault="000A5F42" w:rsidP="000A5F42">
      <w:pPr>
        <w:pStyle w:val="NoSpacing"/>
        <w:rPr>
          <w:rFonts w:cstheme="minorHAnsi"/>
          <w:sz w:val="20"/>
          <w:szCs w:val="18"/>
        </w:rPr>
      </w:pPr>
    </w:p>
    <w:p w14:paraId="70FA3E4A"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This journal is indexed by Index </w:t>
      </w:r>
      <w:proofErr w:type="spellStart"/>
      <w:r w:rsidRPr="000606CC">
        <w:rPr>
          <w:rFonts w:cstheme="minorHAnsi"/>
          <w:sz w:val="20"/>
          <w:szCs w:val="18"/>
        </w:rPr>
        <w:t>Medicus</w:t>
      </w:r>
      <w:proofErr w:type="spellEnd"/>
      <w:r w:rsidRPr="000606CC">
        <w:rPr>
          <w:rFonts w:cstheme="minorHAnsi"/>
          <w:sz w:val="20"/>
          <w:szCs w:val="18"/>
        </w:rPr>
        <w:t xml:space="preserve"> and Medline.</w:t>
      </w:r>
    </w:p>
    <w:p w14:paraId="4B3499A3" w14:textId="77777777" w:rsidR="000A5F42" w:rsidRPr="000606CC" w:rsidRDefault="000A5F42" w:rsidP="000A5F42">
      <w:pPr>
        <w:pStyle w:val="NoSpacing"/>
        <w:rPr>
          <w:rFonts w:cstheme="minorHAnsi"/>
          <w:sz w:val="20"/>
          <w:szCs w:val="18"/>
        </w:rPr>
      </w:pPr>
    </w:p>
    <w:p w14:paraId="3BF6ECB0"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0AE2FA0D" w14:textId="77777777" w:rsidR="000A5F42" w:rsidRPr="000606CC" w:rsidRDefault="000A5F42" w:rsidP="000A5F42">
      <w:pPr>
        <w:pStyle w:val="NoSpacing"/>
        <w:rPr>
          <w:rFonts w:cstheme="minorHAnsi"/>
          <w:sz w:val="20"/>
          <w:szCs w:val="18"/>
        </w:rPr>
      </w:pPr>
      <w:r w:rsidRPr="000606CC">
        <w:rPr>
          <w:rFonts w:cstheme="minorHAnsi"/>
          <w:sz w:val="20"/>
          <w:szCs w:val="18"/>
        </w:rPr>
        <w:t>© 2019 Commonwealth of Australia as represented by the Department of Health</w:t>
      </w:r>
    </w:p>
    <w:p w14:paraId="409F7D98" w14:textId="222B42AD"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21"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41A204E3" w14:textId="77777777" w:rsidR="000A5F42" w:rsidRPr="000606CC" w:rsidRDefault="000A5F42" w:rsidP="000A5F42">
      <w:pPr>
        <w:pStyle w:val="NoSpacing"/>
        <w:rPr>
          <w:rFonts w:cstheme="minorHAnsi"/>
          <w:sz w:val="20"/>
          <w:szCs w:val="18"/>
        </w:rPr>
      </w:pPr>
    </w:p>
    <w:p w14:paraId="7FA25C0A"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12B1FB33" w14:textId="5A6C5918"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22"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50FE87E7"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logos (including the Department of Health’s logo) and trademarks;</w:t>
      </w:r>
    </w:p>
    <w:p w14:paraId="4FB0817C"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images; </w:t>
      </w:r>
    </w:p>
    <w:p w14:paraId="41644059"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3E05690E"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709C05F1" w14:textId="77777777" w:rsidR="000A5F42" w:rsidRPr="000606CC" w:rsidRDefault="000A5F42" w:rsidP="000A5F42">
      <w:pPr>
        <w:pStyle w:val="NoSpacing"/>
        <w:rPr>
          <w:rStyle w:val="Strong"/>
          <w:rFonts w:cstheme="minorHAnsi"/>
          <w:sz w:val="20"/>
          <w:szCs w:val="18"/>
        </w:rPr>
      </w:pPr>
    </w:p>
    <w:p w14:paraId="2C9CCFCF"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16DD0959" w14:textId="77777777" w:rsidR="000A5F42" w:rsidRPr="000606CC" w:rsidRDefault="000A5F42" w:rsidP="000A5F42">
      <w:pPr>
        <w:pStyle w:val="NoSpacing"/>
        <w:rPr>
          <w:rStyle w:val="Strong"/>
          <w:rFonts w:cstheme="minorHAnsi"/>
          <w:sz w:val="20"/>
          <w:szCs w:val="18"/>
        </w:rPr>
      </w:pPr>
    </w:p>
    <w:p w14:paraId="38BC6A4F" w14:textId="27A10048"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Department of Health, GPO Box 9848, Canberra ACT 2601, or via e-mail to: </w:t>
      </w:r>
      <w:hyperlink r:id="rId23"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2F471D69" w14:textId="77777777" w:rsidR="000A5F42" w:rsidRPr="000606CC" w:rsidRDefault="000A5F42" w:rsidP="000A5F42">
      <w:pPr>
        <w:pStyle w:val="NoSpacing"/>
        <w:rPr>
          <w:rStyle w:val="URI"/>
          <w:rFonts w:cstheme="minorHAnsi"/>
          <w:sz w:val="20"/>
          <w:szCs w:val="18"/>
        </w:rPr>
      </w:pPr>
    </w:p>
    <w:p w14:paraId="56400E46" w14:textId="63E0DD25"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24" w:tooltip="Communicable Diseases Network Australia website" w:history="1">
        <w:r w:rsidRPr="000606CC">
          <w:rPr>
            <w:rStyle w:val="Hyperlink"/>
            <w:rFonts w:cstheme="minorHAnsi"/>
            <w:sz w:val="20"/>
            <w:szCs w:val="18"/>
          </w:rPr>
          <w:t>http://www.health.gov.au/cdna</w:t>
        </w:r>
      </w:hyperlink>
    </w:p>
    <w:p w14:paraId="7270780E" w14:textId="77777777" w:rsidR="001B37B8" w:rsidRPr="00E92237" w:rsidRDefault="001B37B8" w:rsidP="001B37B8">
      <w:pPr>
        <w:rPr>
          <w:rFonts w:cs="Myriad Pro"/>
          <w:color w:val="211D1E"/>
          <w:sz w:val="20"/>
          <w:szCs w:val="20"/>
        </w:rPr>
      </w:pPr>
    </w:p>
    <w:sectPr w:rsidR="001B37B8" w:rsidRPr="00E92237" w:rsidSect="002B75A9">
      <w:headerReference w:type="default" r:id="rId25"/>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B6A69" w14:textId="77777777" w:rsidR="00A16175" w:rsidRDefault="00A16175" w:rsidP="00E54DBA">
      <w:r>
        <w:separator/>
      </w:r>
    </w:p>
    <w:p w14:paraId="19CE07F4" w14:textId="77777777" w:rsidR="00A16175" w:rsidRDefault="00A16175"/>
    <w:p w14:paraId="1013CBE6" w14:textId="77777777" w:rsidR="00A16175" w:rsidRDefault="00A16175" w:rsidP="008714B0"/>
  </w:endnote>
  <w:endnote w:type="continuationSeparator" w:id="0">
    <w:p w14:paraId="2CD98822" w14:textId="77777777" w:rsidR="00A16175" w:rsidRDefault="00A16175" w:rsidP="00E54DBA">
      <w:r>
        <w:continuationSeparator/>
      </w:r>
    </w:p>
    <w:p w14:paraId="30483E78" w14:textId="77777777" w:rsidR="00A16175" w:rsidRDefault="00A16175"/>
    <w:p w14:paraId="5E914B52" w14:textId="77777777" w:rsidR="00A16175" w:rsidRDefault="00A16175"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Corbel"/>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4BCFC" w14:textId="07B8518B" w:rsidR="002617E1" w:rsidRPr="0042435E" w:rsidRDefault="002617E1"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9E7FDA">
      <w:rPr>
        <w:noProof/>
        <w:sz w:val="18"/>
      </w:rPr>
      <w:t>19</w:t>
    </w:r>
    <w:r w:rsidRPr="00BE6C3D">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sidR="009E7FDA">
      <w:rPr>
        <w:noProof/>
        <w:sz w:val="18"/>
      </w:rPr>
      <w:t>19</w:t>
    </w:r>
    <w:r>
      <w:rPr>
        <w:noProof/>
        <w:sz w:val="18"/>
      </w:rPr>
      <w:fldChar w:fldCharType="end"/>
    </w:r>
    <w:r>
      <w:rPr>
        <w:noProof/>
        <w:sz w:val="18"/>
      </w:rPr>
      <w:t xml:space="preserve"> </w:t>
    </w:r>
    <w:r w:rsidRPr="004315F5">
      <w:rPr>
        <w:sz w:val="18"/>
      </w:rPr>
      <w:t xml:space="preserve"> </w:t>
    </w:r>
    <w:r>
      <w:rPr>
        <w:noProof/>
        <w:sz w:val="18"/>
      </w:rPr>
      <w:ptab w:relativeTo="margin" w:alignment="center" w:leader="none"/>
    </w:r>
    <w:r w:rsidRPr="004315F5">
      <w:rPr>
        <w:sz w:val="18"/>
      </w:rPr>
      <w:t xml:space="preserve"> </w:t>
    </w:r>
    <w:r w:rsidRPr="005F5170">
      <w:rPr>
        <w:i/>
        <w:sz w:val="18"/>
      </w:rPr>
      <w:t>Commun Dis Intell (2018)</w:t>
    </w:r>
    <w:r>
      <w:rPr>
        <w:sz w:val="18"/>
      </w:rPr>
      <w:t xml:space="preserve"> </w:t>
    </w:r>
    <w:r>
      <w:rPr>
        <w:sz w:val="18"/>
      </w:rPr>
      <w:fldChar w:fldCharType="begin"/>
    </w:r>
    <w:r>
      <w:rPr>
        <w:sz w:val="18"/>
      </w:rPr>
      <w:instrText xml:space="preserve"> DOCPROPERTY  Year  \* MERGEFORMAT </w:instrText>
    </w:r>
    <w:r>
      <w:rPr>
        <w:sz w:val="18"/>
      </w:rPr>
      <w:fldChar w:fldCharType="separate"/>
    </w:r>
    <w:r>
      <w:rPr>
        <w:sz w:val="18"/>
      </w:rPr>
      <w:t>2020</w:t>
    </w:r>
    <w:r>
      <w:rPr>
        <w:sz w:val="18"/>
      </w:rPr>
      <w:fldChar w:fldCharType="end"/>
    </w:r>
    <w:r>
      <w:rPr>
        <w:sz w:val="18"/>
      </w:rPr>
      <w:t xml:space="preserve"> </w:t>
    </w:r>
    <w:r>
      <w:rPr>
        <w:sz w:val="18"/>
      </w:rPr>
      <w:fldChar w:fldCharType="begin"/>
    </w:r>
    <w:r>
      <w:rPr>
        <w:sz w:val="18"/>
      </w:rPr>
      <w:instrText xml:space="preserve"> DOCPROPERTY  Vol  \* MERGEFORMAT </w:instrText>
    </w:r>
    <w:r>
      <w:rPr>
        <w:sz w:val="18"/>
      </w:rPr>
      <w:fldChar w:fldCharType="separate"/>
    </w:r>
    <w:r>
      <w:rPr>
        <w:sz w:val="18"/>
      </w:rPr>
      <w:t>44</w:t>
    </w:r>
    <w:r>
      <w:rPr>
        <w:sz w:val="18"/>
      </w:rPr>
      <w:fldChar w:fldCharType="end"/>
    </w:r>
    <w:r>
      <w:rPr>
        <w:sz w:val="18"/>
      </w:rPr>
      <w:t xml:space="preserve"> </w:t>
    </w:r>
    <w:r>
      <w:rPr>
        <w:sz w:val="18"/>
      </w:rPr>
      <w:fldChar w:fldCharType="begin"/>
    </w:r>
    <w:r>
      <w:rPr>
        <w:sz w:val="18"/>
      </w:rPr>
      <w:instrText xml:space="preserve"> DOCPROPERTY  DOI  \* MERGEFORMAT </w:instrText>
    </w:r>
    <w:r>
      <w:rPr>
        <w:sz w:val="18"/>
      </w:rPr>
      <w:fldChar w:fldCharType="separate"/>
    </w:r>
    <w:r>
      <w:rPr>
        <w:sz w:val="18"/>
      </w:rPr>
      <w:t>https://doi.org/10.33321/cdi.2020.44.23</w:t>
    </w:r>
    <w:r>
      <w:rPr>
        <w:sz w:val="18"/>
      </w:rPr>
      <w:fldChar w:fldCharType="end"/>
    </w:r>
    <w:r>
      <w:rPr>
        <w:sz w:val="18"/>
      </w:rPr>
      <w:t xml:space="preserve"> </w:t>
    </w:r>
    <w:r w:rsidRPr="00155582">
      <w:rPr>
        <w:sz w:val="18"/>
      </w:rPr>
      <w:t>Epub</w:t>
    </w:r>
    <w:r>
      <w:rPr>
        <w:sz w:val="18"/>
      </w:rPr>
      <w:t xml:space="preserve"> </w:t>
    </w:r>
    <w:r>
      <w:rPr>
        <w:sz w:val="18"/>
      </w:rPr>
      <w:fldChar w:fldCharType="begin"/>
    </w:r>
    <w:r>
      <w:rPr>
        <w:sz w:val="18"/>
      </w:rPr>
      <w:instrText xml:space="preserve"> DOCPROPERTY  ePubDate  \* MERGEFORMAT </w:instrText>
    </w:r>
    <w:r>
      <w:rPr>
        <w:sz w:val="18"/>
      </w:rPr>
      <w:fldChar w:fldCharType="separate"/>
    </w:r>
    <w:r>
      <w:rPr>
        <w:sz w:val="18"/>
      </w:rPr>
      <w:t>19/3/2020</w:t>
    </w:r>
    <w:r>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CC4E1" w14:textId="47BBCA91" w:rsidR="002617E1" w:rsidRPr="00BB5378" w:rsidRDefault="002617E1"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9E7FDA">
      <w:rPr>
        <w:noProof/>
        <w:sz w:val="18"/>
      </w:rPr>
      <w:t>1</w:t>
    </w:r>
    <w:r w:rsidRPr="00BE6C3D">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sidR="009E7FDA">
      <w:rPr>
        <w:noProof/>
        <w:sz w:val="18"/>
      </w:rPr>
      <w:t>19</w:t>
    </w:r>
    <w:r>
      <w:rPr>
        <w:noProof/>
        <w:sz w:val="18"/>
      </w:rPr>
      <w:fldChar w:fldCharType="end"/>
    </w:r>
    <w:r>
      <w:rPr>
        <w:noProof/>
        <w:sz w:val="18"/>
      </w:rPr>
      <w:t xml:space="preserve"> </w:t>
    </w:r>
    <w:r>
      <w:rPr>
        <w:noProof/>
        <w:sz w:val="18"/>
      </w:rPr>
      <w:ptab w:relativeTo="margin" w:alignment="center" w:leader="none"/>
    </w:r>
    <w:r w:rsidRPr="004315F5">
      <w:rPr>
        <w:sz w:val="18"/>
      </w:rPr>
      <w:t xml:space="preserve"> </w:t>
    </w:r>
    <w:r w:rsidRPr="005F5170">
      <w:rPr>
        <w:i/>
        <w:sz w:val="18"/>
      </w:rPr>
      <w:t>Commun Dis Intell (2018)</w:t>
    </w:r>
    <w:r>
      <w:rPr>
        <w:sz w:val="18"/>
      </w:rPr>
      <w:t xml:space="preserve"> </w:t>
    </w:r>
    <w:r>
      <w:rPr>
        <w:sz w:val="18"/>
      </w:rPr>
      <w:fldChar w:fldCharType="begin"/>
    </w:r>
    <w:r>
      <w:rPr>
        <w:sz w:val="18"/>
      </w:rPr>
      <w:instrText xml:space="preserve"> DOCPROPERTY  Year  \* MERGEFORMAT </w:instrText>
    </w:r>
    <w:r>
      <w:rPr>
        <w:sz w:val="18"/>
      </w:rPr>
      <w:fldChar w:fldCharType="separate"/>
    </w:r>
    <w:r>
      <w:rPr>
        <w:sz w:val="18"/>
      </w:rPr>
      <w:t>2020</w:t>
    </w:r>
    <w:r>
      <w:rPr>
        <w:sz w:val="18"/>
      </w:rPr>
      <w:fldChar w:fldCharType="end"/>
    </w:r>
    <w:r>
      <w:rPr>
        <w:sz w:val="18"/>
      </w:rPr>
      <w:t xml:space="preserve"> </w:t>
    </w:r>
    <w:r>
      <w:rPr>
        <w:sz w:val="18"/>
      </w:rPr>
      <w:fldChar w:fldCharType="begin"/>
    </w:r>
    <w:r>
      <w:rPr>
        <w:sz w:val="18"/>
      </w:rPr>
      <w:instrText xml:space="preserve"> DOCPROPERTY  Vol  \* MERGEFORMAT </w:instrText>
    </w:r>
    <w:r>
      <w:rPr>
        <w:sz w:val="18"/>
      </w:rPr>
      <w:fldChar w:fldCharType="separate"/>
    </w:r>
    <w:r>
      <w:rPr>
        <w:sz w:val="18"/>
      </w:rPr>
      <w:t>44</w:t>
    </w:r>
    <w:r>
      <w:rPr>
        <w:sz w:val="18"/>
      </w:rPr>
      <w:fldChar w:fldCharType="end"/>
    </w:r>
    <w:r>
      <w:rPr>
        <w:sz w:val="18"/>
      </w:rPr>
      <w:t xml:space="preserve"> </w:t>
    </w:r>
    <w:r>
      <w:rPr>
        <w:sz w:val="18"/>
      </w:rPr>
      <w:fldChar w:fldCharType="begin"/>
    </w:r>
    <w:r>
      <w:rPr>
        <w:sz w:val="18"/>
      </w:rPr>
      <w:instrText xml:space="preserve"> DOCPROPERTY  DOI  \* MERGEFORMAT </w:instrText>
    </w:r>
    <w:r>
      <w:rPr>
        <w:sz w:val="18"/>
      </w:rPr>
      <w:fldChar w:fldCharType="separate"/>
    </w:r>
    <w:r>
      <w:rPr>
        <w:sz w:val="18"/>
      </w:rPr>
      <w:t>https://doi.org/10.33321/cdi.2020.44.23</w:t>
    </w:r>
    <w:r>
      <w:rPr>
        <w:sz w:val="18"/>
      </w:rPr>
      <w:fldChar w:fldCharType="end"/>
    </w:r>
    <w:r>
      <w:rPr>
        <w:sz w:val="18"/>
      </w:rPr>
      <w:t xml:space="preserve"> </w:t>
    </w:r>
    <w:r w:rsidRPr="00155582">
      <w:rPr>
        <w:sz w:val="18"/>
      </w:rPr>
      <w:t xml:space="preserve">Epub </w:t>
    </w:r>
    <w:r>
      <w:rPr>
        <w:sz w:val="18"/>
      </w:rPr>
      <w:fldChar w:fldCharType="begin"/>
    </w:r>
    <w:r>
      <w:rPr>
        <w:sz w:val="18"/>
      </w:rPr>
      <w:instrText xml:space="preserve"> DOCPROPERTY  ePubDate  \* MERGEFORMAT </w:instrText>
    </w:r>
    <w:r>
      <w:rPr>
        <w:sz w:val="18"/>
      </w:rPr>
      <w:fldChar w:fldCharType="separate"/>
    </w:r>
    <w:r>
      <w:rPr>
        <w:sz w:val="18"/>
      </w:rPr>
      <w:t>19/3/2020</w:t>
    </w:r>
    <w:r>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E278A" w14:textId="77777777" w:rsidR="00A16175" w:rsidRDefault="00A16175" w:rsidP="00E54DBA">
      <w:r>
        <w:separator/>
      </w:r>
    </w:p>
  </w:footnote>
  <w:footnote w:type="continuationSeparator" w:id="0">
    <w:p w14:paraId="6F9FD035" w14:textId="77777777" w:rsidR="00A16175" w:rsidRDefault="00A16175" w:rsidP="00E54DBA">
      <w:r>
        <w:continuationSeparator/>
      </w:r>
    </w:p>
  </w:footnote>
  <w:footnote w:type="continuationNotice" w:id="1">
    <w:p w14:paraId="5E4DDA0A" w14:textId="77777777" w:rsidR="00A16175" w:rsidRPr="00224EFF" w:rsidRDefault="00A16175" w:rsidP="00224EF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45B89" w14:textId="77777777" w:rsidR="002617E1" w:rsidRPr="00A153B6" w:rsidRDefault="0099399B"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2617E1">
          <w:t>Weekly epidemiological report</w:t>
        </w:r>
      </w:sdtContent>
    </w:sdt>
    <w:r w:rsidR="002617E1">
      <w:ptab w:relativeTo="margin" w:alignment="right" w:leader="none"/>
    </w:r>
    <w:r w:rsidR="002617E1"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CEEB3" w14:textId="77777777" w:rsidR="002617E1" w:rsidRPr="000A5F42" w:rsidRDefault="002617E1" w:rsidP="000A5F42">
    <w:pPr>
      <w:pStyle w:val="Header"/>
      <w:jc w:val="center"/>
      <w:rPr>
        <w:b/>
      </w:rPr>
    </w:pPr>
    <w:r w:rsidRPr="00E810C5">
      <w:rPr>
        <w:rFonts w:cs="Myriad Pro"/>
        <w:noProof/>
        <w:color w:val="211D1E"/>
        <w:sz w:val="16"/>
      </w:rPr>
      <w:drawing>
        <wp:inline distT="0" distB="0" distL="0" distR="0" wp14:anchorId="2DA84C2F" wp14:editId="2C7F66EA">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6115A"/>
    <w:multiLevelType w:val="hybridMultilevel"/>
    <w:tmpl w:val="E072180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B934A55"/>
    <w:multiLevelType w:val="multilevel"/>
    <w:tmpl w:val="DEB41B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F946B83"/>
    <w:multiLevelType w:val="multilevel"/>
    <w:tmpl w:val="BE46F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A057054"/>
    <w:multiLevelType w:val="multilevel"/>
    <w:tmpl w:val="3D787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8B264B"/>
    <w:multiLevelType w:val="multilevel"/>
    <w:tmpl w:val="882A1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135408"/>
    <w:multiLevelType w:val="multilevel"/>
    <w:tmpl w:val="0D362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372AB9"/>
    <w:multiLevelType w:val="hybridMultilevel"/>
    <w:tmpl w:val="61A0CF46"/>
    <w:lvl w:ilvl="0" w:tplc="0C09000F">
      <w:start w:val="1"/>
      <w:numFmt w:val="decimal"/>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672F428E"/>
    <w:multiLevelType w:val="multilevel"/>
    <w:tmpl w:val="070840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5029E8"/>
    <w:multiLevelType w:val="multilevel"/>
    <w:tmpl w:val="BF6C0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CF765BA"/>
    <w:multiLevelType w:val="hybridMultilevel"/>
    <w:tmpl w:val="954ADD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EB657C5"/>
    <w:multiLevelType w:val="multilevel"/>
    <w:tmpl w:val="B1360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537510"/>
    <w:multiLevelType w:val="multilevel"/>
    <w:tmpl w:val="6F7A1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3049141">
    <w:abstractNumId w:val="3"/>
  </w:num>
  <w:num w:numId="2" w16cid:durableId="803813731">
    <w:abstractNumId w:val="5"/>
  </w:num>
  <w:num w:numId="3" w16cid:durableId="1718436503">
    <w:abstractNumId w:val="6"/>
  </w:num>
  <w:num w:numId="4" w16cid:durableId="1209147665">
    <w:abstractNumId w:val="2"/>
  </w:num>
  <w:num w:numId="5" w16cid:durableId="261306743">
    <w:abstractNumId w:val="13"/>
  </w:num>
  <w:num w:numId="6" w16cid:durableId="1668751669">
    <w:abstractNumId w:val="14"/>
  </w:num>
  <w:num w:numId="7" w16cid:durableId="1974670706">
    <w:abstractNumId w:val="11"/>
  </w:num>
  <w:num w:numId="8" w16cid:durableId="1326687">
    <w:abstractNumId w:val="4"/>
  </w:num>
  <w:num w:numId="9" w16cid:durableId="59329949">
    <w:abstractNumId w:val="16"/>
  </w:num>
  <w:num w:numId="10" w16cid:durableId="795367458">
    <w:abstractNumId w:val="8"/>
  </w:num>
  <w:num w:numId="11" w16cid:durableId="143670106">
    <w:abstractNumId w:val="12"/>
  </w:num>
  <w:num w:numId="12" w16cid:durableId="702052189">
    <w:abstractNumId w:val="7"/>
  </w:num>
  <w:num w:numId="13" w16cid:durableId="1180239909">
    <w:abstractNumId w:val="17"/>
  </w:num>
  <w:num w:numId="14" w16cid:durableId="579487681">
    <w:abstractNumId w:val="9"/>
  </w:num>
  <w:num w:numId="15" w16cid:durableId="817187144">
    <w:abstractNumId w:val="1"/>
  </w:num>
  <w:num w:numId="16" w16cid:durableId="1887140929">
    <w:abstractNumId w:val="0"/>
  </w:num>
  <w:num w:numId="17" w16cid:durableId="1279139372">
    <w:abstractNumId w:val="15"/>
  </w:num>
  <w:num w:numId="18" w16cid:durableId="4264614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defaultTabStop w:val="720"/>
  <w:noPunctuationKerning/>
  <w:characterSpacingControl w:val="doNotCompress"/>
  <w:hdrShapeDefaults>
    <o:shapedefaults v:ext="edit" spidmax="8193"/>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6C4"/>
    <w:rsid w:val="00000B5B"/>
    <w:rsid w:val="00001611"/>
    <w:rsid w:val="000104A8"/>
    <w:rsid w:val="00012020"/>
    <w:rsid w:val="0001246E"/>
    <w:rsid w:val="000124B1"/>
    <w:rsid w:val="00016FE6"/>
    <w:rsid w:val="00031064"/>
    <w:rsid w:val="00031692"/>
    <w:rsid w:val="00032531"/>
    <w:rsid w:val="00032AF5"/>
    <w:rsid w:val="000471BF"/>
    <w:rsid w:val="00047B68"/>
    <w:rsid w:val="00052600"/>
    <w:rsid w:val="0005643C"/>
    <w:rsid w:val="0006264A"/>
    <w:rsid w:val="00073D77"/>
    <w:rsid w:val="000770B0"/>
    <w:rsid w:val="00081655"/>
    <w:rsid w:val="000864E0"/>
    <w:rsid w:val="000969B3"/>
    <w:rsid w:val="00096D35"/>
    <w:rsid w:val="000A5430"/>
    <w:rsid w:val="000A5F42"/>
    <w:rsid w:val="000D4B4D"/>
    <w:rsid w:val="00113D58"/>
    <w:rsid w:val="00115C4C"/>
    <w:rsid w:val="001378A3"/>
    <w:rsid w:val="00155582"/>
    <w:rsid w:val="00161590"/>
    <w:rsid w:val="00171CC0"/>
    <w:rsid w:val="00175494"/>
    <w:rsid w:val="00175629"/>
    <w:rsid w:val="001830EC"/>
    <w:rsid w:val="00183534"/>
    <w:rsid w:val="001A4A96"/>
    <w:rsid w:val="001A5D05"/>
    <w:rsid w:val="001A796C"/>
    <w:rsid w:val="001B2614"/>
    <w:rsid w:val="001B37B8"/>
    <w:rsid w:val="001B552F"/>
    <w:rsid w:val="001C0893"/>
    <w:rsid w:val="001C1303"/>
    <w:rsid w:val="001C70B2"/>
    <w:rsid w:val="001D37C7"/>
    <w:rsid w:val="001D6629"/>
    <w:rsid w:val="001D6888"/>
    <w:rsid w:val="001F581F"/>
    <w:rsid w:val="00224EFF"/>
    <w:rsid w:val="002276DC"/>
    <w:rsid w:val="00227E00"/>
    <w:rsid w:val="002307CB"/>
    <w:rsid w:val="00231046"/>
    <w:rsid w:val="00234F21"/>
    <w:rsid w:val="00242659"/>
    <w:rsid w:val="002428F7"/>
    <w:rsid w:val="0024315F"/>
    <w:rsid w:val="0024770F"/>
    <w:rsid w:val="00252C9A"/>
    <w:rsid w:val="00256309"/>
    <w:rsid w:val="00256620"/>
    <w:rsid w:val="00257484"/>
    <w:rsid w:val="00260636"/>
    <w:rsid w:val="002617E1"/>
    <w:rsid w:val="002743FD"/>
    <w:rsid w:val="00275C78"/>
    <w:rsid w:val="00280594"/>
    <w:rsid w:val="00281EE3"/>
    <w:rsid w:val="00284E4A"/>
    <w:rsid w:val="002A3799"/>
    <w:rsid w:val="002A3BCC"/>
    <w:rsid w:val="002A4516"/>
    <w:rsid w:val="002A569F"/>
    <w:rsid w:val="002A7066"/>
    <w:rsid w:val="002B001E"/>
    <w:rsid w:val="002B09B7"/>
    <w:rsid w:val="002B75A9"/>
    <w:rsid w:val="002C21B0"/>
    <w:rsid w:val="002C2236"/>
    <w:rsid w:val="002E2FB3"/>
    <w:rsid w:val="002F327B"/>
    <w:rsid w:val="002F7916"/>
    <w:rsid w:val="00301626"/>
    <w:rsid w:val="003059EC"/>
    <w:rsid w:val="00316CCD"/>
    <w:rsid w:val="0032493B"/>
    <w:rsid w:val="00324F7E"/>
    <w:rsid w:val="00325B94"/>
    <w:rsid w:val="003323BC"/>
    <w:rsid w:val="00346D42"/>
    <w:rsid w:val="00346E11"/>
    <w:rsid w:val="0036001D"/>
    <w:rsid w:val="003601C0"/>
    <w:rsid w:val="00362F8E"/>
    <w:rsid w:val="003635F5"/>
    <w:rsid w:val="00372A88"/>
    <w:rsid w:val="00381A0F"/>
    <w:rsid w:val="003A1B3A"/>
    <w:rsid w:val="003A40F5"/>
    <w:rsid w:val="003B5B8C"/>
    <w:rsid w:val="003D62C3"/>
    <w:rsid w:val="003D6339"/>
    <w:rsid w:val="003D79B1"/>
    <w:rsid w:val="003E74EE"/>
    <w:rsid w:val="003F0552"/>
    <w:rsid w:val="003F3BC2"/>
    <w:rsid w:val="00401ED1"/>
    <w:rsid w:val="0040224C"/>
    <w:rsid w:val="00413EE1"/>
    <w:rsid w:val="004164BB"/>
    <w:rsid w:val="00421ECE"/>
    <w:rsid w:val="00422FEB"/>
    <w:rsid w:val="0042435E"/>
    <w:rsid w:val="004315F5"/>
    <w:rsid w:val="00433456"/>
    <w:rsid w:val="00433DFA"/>
    <w:rsid w:val="00435D67"/>
    <w:rsid w:val="00447536"/>
    <w:rsid w:val="00464A58"/>
    <w:rsid w:val="00473D2D"/>
    <w:rsid w:val="00474AD1"/>
    <w:rsid w:val="004A2125"/>
    <w:rsid w:val="004A38F6"/>
    <w:rsid w:val="004B4EB6"/>
    <w:rsid w:val="004C083C"/>
    <w:rsid w:val="004C67C6"/>
    <w:rsid w:val="004D29DE"/>
    <w:rsid w:val="00510EAC"/>
    <w:rsid w:val="00542A57"/>
    <w:rsid w:val="00565974"/>
    <w:rsid w:val="00566BA4"/>
    <w:rsid w:val="005732C0"/>
    <w:rsid w:val="0057336D"/>
    <w:rsid w:val="0057489A"/>
    <w:rsid w:val="00574ACF"/>
    <w:rsid w:val="00575FB4"/>
    <w:rsid w:val="00581588"/>
    <w:rsid w:val="0058540B"/>
    <w:rsid w:val="0058559B"/>
    <w:rsid w:val="005871AD"/>
    <w:rsid w:val="00587C87"/>
    <w:rsid w:val="00590B80"/>
    <w:rsid w:val="00590CB9"/>
    <w:rsid w:val="005A6B3E"/>
    <w:rsid w:val="005B3134"/>
    <w:rsid w:val="005B4D90"/>
    <w:rsid w:val="005B4E61"/>
    <w:rsid w:val="005B5952"/>
    <w:rsid w:val="005B595A"/>
    <w:rsid w:val="005B65CF"/>
    <w:rsid w:val="005B66C2"/>
    <w:rsid w:val="005D2465"/>
    <w:rsid w:val="005E33DD"/>
    <w:rsid w:val="005E4229"/>
    <w:rsid w:val="005E540E"/>
    <w:rsid w:val="005E55FB"/>
    <w:rsid w:val="005F16BB"/>
    <w:rsid w:val="005F5170"/>
    <w:rsid w:val="00602EB3"/>
    <w:rsid w:val="00607115"/>
    <w:rsid w:val="00611AA9"/>
    <w:rsid w:val="00620768"/>
    <w:rsid w:val="0062594B"/>
    <w:rsid w:val="00627563"/>
    <w:rsid w:val="00631406"/>
    <w:rsid w:val="006324FF"/>
    <w:rsid w:val="006351D6"/>
    <w:rsid w:val="00636E0D"/>
    <w:rsid w:val="0064142F"/>
    <w:rsid w:val="00643CB4"/>
    <w:rsid w:val="00656427"/>
    <w:rsid w:val="00660255"/>
    <w:rsid w:val="00674A5D"/>
    <w:rsid w:val="0069055B"/>
    <w:rsid w:val="006971F3"/>
    <w:rsid w:val="006C74A3"/>
    <w:rsid w:val="006D1381"/>
    <w:rsid w:val="006D31BC"/>
    <w:rsid w:val="006E6955"/>
    <w:rsid w:val="006E7943"/>
    <w:rsid w:val="006F24EA"/>
    <w:rsid w:val="00700000"/>
    <w:rsid w:val="00704CA9"/>
    <w:rsid w:val="0071048D"/>
    <w:rsid w:val="00710F86"/>
    <w:rsid w:val="007111A8"/>
    <w:rsid w:val="00731BC3"/>
    <w:rsid w:val="007354DE"/>
    <w:rsid w:val="00741192"/>
    <w:rsid w:val="00743A33"/>
    <w:rsid w:val="00746080"/>
    <w:rsid w:val="0075144A"/>
    <w:rsid w:val="00786329"/>
    <w:rsid w:val="00792C7D"/>
    <w:rsid w:val="00794A4D"/>
    <w:rsid w:val="007A5234"/>
    <w:rsid w:val="007B7854"/>
    <w:rsid w:val="007C56A1"/>
    <w:rsid w:val="007C6454"/>
    <w:rsid w:val="007E01E0"/>
    <w:rsid w:val="007F0B93"/>
    <w:rsid w:val="007F2ECA"/>
    <w:rsid w:val="007F76C4"/>
    <w:rsid w:val="008018A8"/>
    <w:rsid w:val="00811708"/>
    <w:rsid w:val="00816B90"/>
    <w:rsid w:val="00817799"/>
    <w:rsid w:val="00822F5F"/>
    <w:rsid w:val="00824FD3"/>
    <w:rsid w:val="00826589"/>
    <w:rsid w:val="00834BCC"/>
    <w:rsid w:val="00850D54"/>
    <w:rsid w:val="008714B0"/>
    <w:rsid w:val="00876331"/>
    <w:rsid w:val="00880726"/>
    <w:rsid w:val="008A0CE7"/>
    <w:rsid w:val="008A3544"/>
    <w:rsid w:val="008B48B8"/>
    <w:rsid w:val="008B5348"/>
    <w:rsid w:val="008B58F8"/>
    <w:rsid w:val="008C0712"/>
    <w:rsid w:val="008C4520"/>
    <w:rsid w:val="008C5F09"/>
    <w:rsid w:val="008D470F"/>
    <w:rsid w:val="008E1F8F"/>
    <w:rsid w:val="008E4768"/>
    <w:rsid w:val="008E761E"/>
    <w:rsid w:val="008F77B3"/>
    <w:rsid w:val="009008F5"/>
    <w:rsid w:val="00904CC1"/>
    <w:rsid w:val="009066AF"/>
    <w:rsid w:val="00912050"/>
    <w:rsid w:val="00912E48"/>
    <w:rsid w:val="0092746F"/>
    <w:rsid w:val="00935DC9"/>
    <w:rsid w:val="009446C0"/>
    <w:rsid w:val="0096082E"/>
    <w:rsid w:val="00961347"/>
    <w:rsid w:val="00967410"/>
    <w:rsid w:val="00967D73"/>
    <w:rsid w:val="0098119A"/>
    <w:rsid w:val="00984AAF"/>
    <w:rsid w:val="00991B09"/>
    <w:rsid w:val="0099399B"/>
    <w:rsid w:val="00993CB2"/>
    <w:rsid w:val="009A5166"/>
    <w:rsid w:val="009A76F8"/>
    <w:rsid w:val="009B2B83"/>
    <w:rsid w:val="009C49F8"/>
    <w:rsid w:val="009D77CC"/>
    <w:rsid w:val="009E2423"/>
    <w:rsid w:val="009E55D7"/>
    <w:rsid w:val="009E7FDA"/>
    <w:rsid w:val="009F4150"/>
    <w:rsid w:val="009F5665"/>
    <w:rsid w:val="009F5DAD"/>
    <w:rsid w:val="00A01BCA"/>
    <w:rsid w:val="00A05C4A"/>
    <w:rsid w:val="00A10458"/>
    <w:rsid w:val="00A153B6"/>
    <w:rsid w:val="00A16175"/>
    <w:rsid w:val="00A164D5"/>
    <w:rsid w:val="00A273C3"/>
    <w:rsid w:val="00A30C37"/>
    <w:rsid w:val="00A36C65"/>
    <w:rsid w:val="00A41BBE"/>
    <w:rsid w:val="00A45BDD"/>
    <w:rsid w:val="00A46A0A"/>
    <w:rsid w:val="00A553F8"/>
    <w:rsid w:val="00A6708F"/>
    <w:rsid w:val="00A71BF6"/>
    <w:rsid w:val="00A72994"/>
    <w:rsid w:val="00A86F9A"/>
    <w:rsid w:val="00AA35E6"/>
    <w:rsid w:val="00AA50B6"/>
    <w:rsid w:val="00AB3472"/>
    <w:rsid w:val="00AD0762"/>
    <w:rsid w:val="00AE4452"/>
    <w:rsid w:val="00AE7C38"/>
    <w:rsid w:val="00B01F99"/>
    <w:rsid w:val="00B02B37"/>
    <w:rsid w:val="00B05276"/>
    <w:rsid w:val="00B132DB"/>
    <w:rsid w:val="00B26D35"/>
    <w:rsid w:val="00B31427"/>
    <w:rsid w:val="00B33861"/>
    <w:rsid w:val="00B37514"/>
    <w:rsid w:val="00B40DE2"/>
    <w:rsid w:val="00B47CF2"/>
    <w:rsid w:val="00B50210"/>
    <w:rsid w:val="00B53955"/>
    <w:rsid w:val="00B6408A"/>
    <w:rsid w:val="00B714B8"/>
    <w:rsid w:val="00B82C2C"/>
    <w:rsid w:val="00B8720B"/>
    <w:rsid w:val="00B876EF"/>
    <w:rsid w:val="00B938E7"/>
    <w:rsid w:val="00BA1F17"/>
    <w:rsid w:val="00BA4697"/>
    <w:rsid w:val="00BB5378"/>
    <w:rsid w:val="00BC0BD3"/>
    <w:rsid w:val="00BD0107"/>
    <w:rsid w:val="00BE0C33"/>
    <w:rsid w:val="00BE262C"/>
    <w:rsid w:val="00BE6C3D"/>
    <w:rsid w:val="00BF693D"/>
    <w:rsid w:val="00C07606"/>
    <w:rsid w:val="00C102A2"/>
    <w:rsid w:val="00C12542"/>
    <w:rsid w:val="00C14542"/>
    <w:rsid w:val="00C24725"/>
    <w:rsid w:val="00C30BA9"/>
    <w:rsid w:val="00C3541E"/>
    <w:rsid w:val="00C36A8F"/>
    <w:rsid w:val="00C4245B"/>
    <w:rsid w:val="00C42FFA"/>
    <w:rsid w:val="00C507D8"/>
    <w:rsid w:val="00C55006"/>
    <w:rsid w:val="00C62EAC"/>
    <w:rsid w:val="00C63F9F"/>
    <w:rsid w:val="00C7689B"/>
    <w:rsid w:val="00C7723C"/>
    <w:rsid w:val="00C838F5"/>
    <w:rsid w:val="00C9428E"/>
    <w:rsid w:val="00CA1AF4"/>
    <w:rsid w:val="00CA6068"/>
    <w:rsid w:val="00CB15E1"/>
    <w:rsid w:val="00CB3D46"/>
    <w:rsid w:val="00CD1A87"/>
    <w:rsid w:val="00CD35F3"/>
    <w:rsid w:val="00CD5C93"/>
    <w:rsid w:val="00CE342B"/>
    <w:rsid w:val="00CF1E81"/>
    <w:rsid w:val="00CF320C"/>
    <w:rsid w:val="00CF3A4B"/>
    <w:rsid w:val="00CF4001"/>
    <w:rsid w:val="00D05837"/>
    <w:rsid w:val="00D12D8A"/>
    <w:rsid w:val="00D13E0C"/>
    <w:rsid w:val="00D25896"/>
    <w:rsid w:val="00D2677A"/>
    <w:rsid w:val="00D373A1"/>
    <w:rsid w:val="00D37C0F"/>
    <w:rsid w:val="00D45661"/>
    <w:rsid w:val="00D45943"/>
    <w:rsid w:val="00D47D22"/>
    <w:rsid w:val="00D51865"/>
    <w:rsid w:val="00D51D0C"/>
    <w:rsid w:val="00D562C2"/>
    <w:rsid w:val="00D62BE4"/>
    <w:rsid w:val="00D74140"/>
    <w:rsid w:val="00DA6E56"/>
    <w:rsid w:val="00DC6705"/>
    <w:rsid w:val="00DD2DE8"/>
    <w:rsid w:val="00DE28CD"/>
    <w:rsid w:val="00DE38B4"/>
    <w:rsid w:val="00DE5D02"/>
    <w:rsid w:val="00E005A9"/>
    <w:rsid w:val="00E1166E"/>
    <w:rsid w:val="00E24DC0"/>
    <w:rsid w:val="00E2519C"/>
    <w:rsid w:val="00E25F2A"/>
    <w:rsid w:val="00E41455"/>
    <w:rsid w:val="00E42AD2"/>
    <w:rsid w:val="00E50856"/>
    <w:rsid w:val="00E516A2"/>
    <w:rsid w:val="00E538CC"/>
    <w:rsid w:val="00E54DBA"/>
    <w:rsid w:val="00E63D7C"/>
    <w:rsid w:val="00E640D5"/>
    <w:rsid w:val="00E66E2E"/>
    <w:rsid w:val="00E67691"/>
    <w:rsid w:val="00E92237"/>
    <w:rsid w:val="00E951EF"/>
    <w:rsid w:val="00E96C57"/>
    <w:rsid w:val="00EA08CC"/>
    <w:rsid w:val="00EA3D54"/>
    <w:rsid w:val="00EA56D9"/>
    <w:rsid w:val="00EA5CE3"/>
    <w:rsid w:val="00EB51C1"/>
    <w:rsid w:val="00EB5AE1"/>
    <w:rsid w:val="00EB5E0B"/>
    <w:rsid w:val="00EC2171"/>
    <w:rsid w:val="00ED442D"/>
    <w:rsid w:val="00ED70C2"/>
    <w:rsid w:val="00EE18FF"/>
    <w:rsid w:val="00EE489F"/>
    <w:rsid w:val="00F0647F"/>
    <w:rsid w:val="00F10CE3"/>
    <w:rsid w:val="00F14F3B"/>
    <w:rsid w:val="00F16362"/>
    <w:rsid w:val="00F207C7"/>
    <w:rsid w:val="00F36B6D"/>
    <w:rsid w:val="00F43FA3"/>
    <w:rsid w:val="00F50536"/>
    <w:rsid w:val="00F55648"/>
    <w:rsid w:val="00F70046"/>
    <w:rsid w:val="00F748C2"/>
    <w:rsid w:val="00F76C5C"/>
    <w:rsid w:val="00F81EF3"/>
    <w:rsid w:val="00F824BF"/>
    <w:rsid w:val="00F84496"/>
    <w:rsid w:val="00F85DCB"/>
    <w:rsid w:val="00F86F9C"/>
    <w:rsid w:val="00F90D76"/>
    <w:rsid w:val="00F97C60"/>
    <w:rsid w:val="00FC002E"/>
    <w:rsid w:val="00FC4C23"/>
    <w:rsid w:val="00FC642E"/>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41B00FD"/>
  <w15:docId w15:val="{CE783887-04F0-46D3-90F3-B8CC69682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339"/>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22"/>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AE4452"/>
    <w:pPr>
      <w:spacing w:after="0" w:line="240" w:lineRule="auto"/>
    </w:pPr>
    <w:rPr>
      <w:rFonts w:ascii="Calibri" w:hAnsi="Calibri"/>
    </w:rPr>
    <w:tblPr>
      <w:tblStyleRowBandSize w:val="1"/>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4C083C"/>
    <w:pPr>
      <w:spacing w:line="240" w:lineRule="auto"/>
      <w:ind w:left="720" w:hanging="720"/>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4C083C"/>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character" w:styleId="CommentReference">
    <w:name w:val="annotation reference"/>
    <w:basedOn w:val="DefaultParagraphFont"/>
    <w:uiPriority w:val="99"/>
    <w:semiHidden/>
    <w:unhideWhenUsed/>
    <w:rsid w:val="00032AF5"/>
    <w:rPr>
      <w:sz w:val="16"/>
      <w:szCs w:val="16"/>
    </w:rPr>
  </w:style>
  <w:style w:type="paragraph" w:styleId="CommentText">
    <w:name w:val="annotation text"/>
    <w:basedOn w:val="Normal"/>
    <w:link w:val="CommentTextChar"/>
    <w:uiPriority w:val="99"/>
    <w:semiHidden/>
    <w:unhideWhenUsed/>
    <w:rsid w:val="00032AF5"/>
    <w:pPr>
      <w:spacing w:line="240" w:lineRule="auto"/>
    </w:pPr>
    <w:rPr>
      <w:sz w:val="20"/>
      <w:szCs w:val="20"/>
    </w:rPr>
  </w:style>
  <w:style w:type="character" w:customStyle="1" w:styleId="CommentTextChar">
    <w:name w:val="Comment Text Char"/>
    <w:basedOn w:val="DefaultParagraphFont"/>
    <w:link w:val="CommentText"/>
    <w:uiPriority w:val="99"/>
    <w:semiHidden/>
    <w:rsid w:val="00032AF5"/>
    <w:rPr>
      <w:sz w:val="20"/>
      <w:szCs w:val="20"/>
    </w:rPr>
  </w:style>
  <w:style w:type="paragraph" w:styleId="CommentSubject">
    <w:name w:val="annotation subject"/>
    <w:basedOn w:val="CommentText"/>
    <w:next w:val="CommentText"/>
    <w:link w:val="CommentSubjectChar"/>
    <w:uiPriority w:val="99"/>
    <w:semiHidden/>
    <w:unhideWhenUsed/>
    <w:rsid w:val="00032AF5"/>
    <w:rPr>
      <w:b/>
      <w:bCs/>
    </w:rPr>
  </w:style>
  <w:style w:type="character" w:customStyle="1" w:styleId="CommentSubjectChar">
    <w:name w:val="Comment Subject Char"/>
    <w:basedOn w:val="CommentTextChar"/>
    <w:link w:val="CommentSubject"/>
    <w:uiPriority w:val="99"/>
    <w:semiHidden/>
    <w:rsid w:val="00032AF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yperlink" Target="mailto:cdi.editor@health.gov.au"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s://creativecommons.org/licenses/by-nc-nd/4.0/legalcode" TargetMode="Externa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yperlink" Target="http://www.health.gov.au/cdi"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yperlink" Target="mailto:cdi.editor@health.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www.health.gov.au/cdna" TargetMode="Externa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yperlink" Target="mailto:copyright@health.gov.au" TargetMode="External"/><Relationship Id="rId10" Type="http://schemas.openxmlformats.org/officeDocument/2006/relationships/footer" Target="footer1.xml"/><Relationship Id="rId19" Type="http://schemas.openxmlformats.org/officeDocument/2006/relationships/hyperlink" Target="http://health.gov.au/cdi"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3.png"/><Relationship Id="rId22" Type="http://schemas.openxmlformats.org/officeDocument/2006/relationships/hyperlink" Target="http://www.itsanhonour.gov.au/"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6.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A85F10C-CEFE-411F-8553-063A5AD42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4874</Words>
  <Characters>30612</Characters>
  <Application>Microsoft Office Word</Application>
  <DocSecurity>0</DocSecurity>
  <Lines>255</Lines>
  <Paragraphs>70</Paragraphs>
  <ScaleCrop>false</ScaleCrop>
  <HeadingPairs>
    <vt:vector size="2" baseType="variant">
      <vt:variant>
        <vt:lpstr>Title</vt:lpstr>
      </vt:variant>
      <vt:variant>
        <vt:i4>1</vt:i4>
      </vt:variant>
    </vt:vector>
  </HeadingPairs>
  <TitlesOfParts>
    <vt:vector size="1" baseType="lpstr">
      <vt:lpstr>Communicable Diseases Intelligence 2020 - COVID-19 - Australia - Epidemiology Report 7 - Reporting week ending 1900 AEDT 14 March 2020</vt:lpstr>
    </vt:vector>
  </TitlesOfParts>
  <Company>Australian Government, Department of Health</Company>
  <LinksUpToDate>false</LinksUpToDate>
  <CharactersWithSpaces>35416</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2020 - COVID-19 - Australia - Epidemiology Report 7 - Reporting week ending 1900 AEDT 14 March 2020</dc:title>
  <dc:subject>This is the seventh epidemiological report for coronavirus disease 2019 (COVID-19), reported in Australia as at 19:00 Australian Eastern Daylight Time [AEDT] 14 March 2020. It includes data on COVID-19 cases diagnosed in Australia, the international situation and a review of current evidence.</dc:subject>
  <dc:creator>COVID-19 National Incident Room Surveillance Team</dc:creator>
  <cp:keywords>SARS-CoV-2; novel coronavirus; 2019-nCoV; coronavirus disease 2019; COVID-19; acute respiratory disease; case definition; epidemiology; Australia</cp:keywords>
  <dc:description>© Commonwealth of Australia CC BY-NC-ND ISSN: 2209-6051 (Online)</dc:description>
  <cp:lastPrinted>2018-05-10T02:19:00Z</cp:lastPrinted>
  <dcterms:created xsi:type="dcterms:W3CDTF">2024-08-28T23:21:00Z</dcterms:created>
  <dcterms:modified xsi:type="dcterms:W3CDTF">2024-08-28T23:21:00Z</dcterms:modified>
  <cp:category>Weekly epidemiological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2020</vt:lpwstr>
  </property>
  <property fmtid="{D5CDD505-2E9C-101B-9397-08002B2CF9AE}" pid="3" name="Vol">
    <vt:i4>44</vt:i4>
  </property>
  <property fmtid="{D5CDD505-2E9C-101B-9397-08002B2CF9AE}" pid="4" name="ePubDate">
    <vt:lpwstr>19/3/2020</vt:lpwstr>
  </property>
  <property fmtid="{D5CDD505-2E9C-101B-9397-08002B2CF9AE}" pid="5" name="DOI">
    <vt:lpwstr>https://doi.org/10.33321/cdi.2020.44.23</vt:lpwstr>
  </property>
</Properties>
</file>