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CBF2" w14:textId="0F4D24B9" w:rsidR="00B50D8D" w:rsidRPr="00341720" w:rsidRDefault="00282B56" w:rsidP="00341720">
      <w:pPr>
        <w:pStyle w:val="CDIDOIinformation"/>
      </w:pPr>
      <w:r>
        <w:fldChar w:fldCharType="begin"/>
      </w:r>
      <w:r>
        <w:instrText xml:space="preserve"> DOCPROPERTY  Year  \* MERGEFORMAT </w:instrText>
      </w:r>
      <w:r>
        <w:fldChar w:fldCharType="separate"/>
      </w:r>
      <w:r w:rsidR="00684D27">
        <w:t>2025</w:t>
      </w:r>
      <w:r>
        <w:fldChar w:fldCharType="end"/>
      </w:r>
      <w:r w:rsidR="00A623E8" w:rsidRPr="00341720">
        <w:t xml:space="preserve"> • </w:t>
      </w:r>
      <w:r w:rsidR="00B50D8D" w:rsidRPr="00341720">
        <w:t xml:space="preserve">Volume </w:t>
      </w:r>
      <w:fldSimple w:instr=" DOCPROPERTY  Vol  \* MERGEFORMAT ">
        <w:r w:rsidR="00684D27">
          <w:t>49</w:t>
        </w:r>
      </w:fldSimple>
      <w:r w:rsidR="00725C33" w:rsidRPr="00341720">
        <w:t xml:space="preserve"> </w:t>
      </w:r>
      <w:r w:rsidR="008E3F81" w:rsidRPr="00341720">
        <w:t>•</w:t>
      </w:r>
      <w:r w:rsidR="00725C33" w:rsidRPr="00341720">
        <w:t xml:space="preserve"> </w:t>
      </w:r>
      <w:fldSimple w:instr=" DOCPROPERTY  DOI  \* MERGEFORMAT ">
        <w:r w:rsidR="00684D27">
          <w:t>https://doi.org/10.33321/cdi.2025.49.020</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684D27">
          <w:t>25/03/2025</w:t>
        </w:r>
      </w:fldSimple>
    </w:p>
    <w:p w14:paraId="5BEDED63" w14:textId="2454110C" w:rsidR="006B16A5" w:rsidRPr="006B16A5" w:rsidRDefault="00684D27" w:rsidP="001020EE">
      <w:pPr>
        <w:pStyle w:val="Title"/>
        <w:divId w:val="935526654"/>
      </w:pPr>
      <w:r w:rsidRPr="00684D27">
        <w:t>Prevalence of Murray Valley encephalitis virus antibodies in northern Victoria following the 2023 outbreak: a cross-sectional serological survey</w:t>
      </w:r>
    </w:p>
    <w:p w14:paraId="51B8CD13" w14:textId="5AF6F27C" w:rsidR="007A33B9" w:rsidRPr="0037146D" w:rsidRDefault="00684D27" w:rsidP="0037146D">
      <w:pPr>
        <w:pStyle w:val="Subtitle"/>
        <w:divId w:val="935526654"/>
      </w:pPr>
      <w:r w:rsidRPr="00684D27">
        <w:t>Marie Heloury, Joshua Szanyi, Maxwell Braddick, Alexander Fidao, Madeleine J Marsland, Tilda</w:t>
      </w:r>
      <w:r>
        <w:t> </w:t>
      </w:r>
      <w:r w:rsidRPr="00684D27">
        <w:t>N</w:t>
      </w:r>
      <w:r>
        <w:t> </w:t>
      </w:r>
      <w:r w:rsidRPr="00684D27">
        <w:t xml:space="preserve">Thomson, Mitch Batty, Suellen Nicholson, Theo </w:t>
      </w:r>
      <w:proofErr w:type="spellStart"/>
      <w:r w:rsidRPr="00684D27">
        <w:t>Karapanagiotidis</w:t>
      </w:r>
      <w:proofErr w:type="spellEnd"/>
      <w:r w:rsidRPr="00684D27">
        <w:t xml:space="preserve">, Kylie Carville, </w:t>
      </w:r>
      <w:r>
        <w:br/>
      </w:r>
      <w:r w:rsidRPr="00684D27">
        <w:t>Anna-Jane</w:t>
      </w:r>
      <w:r>
        <w:t> </w:t>
      </w:r>
      <w:r w:rsidRPr="00684D27">
        <w:t xml:space="preserve">Glynn-Robinson, Chuan Kok Lim, Naveen </w:t>
      </w:r>
      <w:proofErr w:type="spellStart"/>
      <w:r w:rsidRPr="00684D27">
        <w:t>Tenneti</w:t>
      </w:r>
      <w:proofErr w:type="spellEnd"/>
      <w:r w:rsidRPr="00684D27">
        <w:t>, Anthony Zheng, William Cross, Jim</w:t>
      </w:r>
      <w:r>
        <w:t> </w:t>
      </w:r>
      <w:r w:rsidRPr="00684D27">
        <w:t>Black, Helen O’Brien</w:t>
      </w:r>
    </w:p>
    <w:p w14:paraId="39A03123" w14:textId="77777777" w:rsidR="0037146D" w:rsidRDefault="0037146D" w:rsidP="0037146D">
      <w:pPr>
        <w:pStyle w:val="Heading1"/>
        <w:divId w:val="935526654"/>
        <w:rPr>
          <w:lang w:val="en-GB"/>
        </w:rPr>
      </w:pPr>
      <w:r>
        <w:rPr>
          <w:lang w:val="en-GB"/>
        </w:rPr>
        <w:t>Abstract</w:t>
      </w:r>
    </w:p>
    <w:p w14:paraId="20EC87CB" w14:textId="77777777" w:rsidR="00684D27" w:rsidRPr="00684D27" w:rsidRDefault="00684D27" w:rsidP="00684D27">
      <w:pPr>
        <w:pStyle w:val="Normal-morespace"/>
        <w:divId w:val="935526654"/>
        <w:rPr>
          <w:lang w:val="en-GB"/>
        </w:rPr>
      </w:pPr>
      <w:r w:rsidRPr="00684D27">
        <w:rPr>
          <w:lang w:val="en-GB"/>
        </w:rPr>
        <w:t>Following the first outbreak of Murray Valley encephalitis in Victoria, Australia, since 1974, a serological survey was conducted in 2023 and 2024 to estimate the seroprevalence of Murray Valley encephalitis virus (MVEV) antibodies among residents in the north of the state. Between October 2023 and April 2024, a total of 507 residents from 11 local government areas in northern Victoria — Mildura, Swan Hill, Campaspe, Gannawarra, Greater Bendigo, Loddon, Greater Shepparton, Moira, Wodonga, Wangaratta, and Indigo — were tested for MVEV total antibody. Seroprevalence was 2.0% (95% confidence interval: 1.1–3.6%), comparable to background levels of seropositivity prior to the 2023 outbreak. No strong associations were identified between a range of potential risk or protective factors and MVEV seropositivity. Low seroprevalence suggests that the population in this region remains immunologically vulnerable to MVEV infection. Ongoing vector control and efforts to prevent mosquito bites will be critical in preventing flavivirus transmission in northern Victoria during future mosquito seasons.</w:t>
      </w:r>
    </w:p>
    <w:p w14:paraId="2CAACD3E" w14:textId="76046EEB" w:rsidR="00620509" w:rsidRPr="006D508B" w:rsidRDefault="00620509" w:rsidP="00620509">
      <w:pPr>
        <w:pStyle w:val="CDIBoxtext-Green"/>
        <w:divId w:val="935526654"/>
        <w:rPr>
          <w:lang w:val="en-GB"/>
        </w:rPr>
      </w:pPr>
      <w:r w:rsidRPr="0037146D">
        <w:rPr>
          <w:lang w:val="en-GB"/>
        </w:rPr>
        <w:t xml:space="preserve">Keywords: </w:t>
      </w:r>
      <w:r w:rsidR="00684D27" w:rsidRPr="00684D27">
        <w:rPr>
          <w:lang w:val="en-GB"/>
        </w:rPr>
        <w:t>Murray Valley encephalitis virus; serology; seroprevalence; flavivirus infections; vector control; mosquito vectors; epidemiology; Victoria; cross-sectional studies</w:t>
      </w:r>
    </w:p>
    <w:p w14:paraId="0568DA0D" w14:textId="77777777" w:rsidR="008A0736" w:rsidRDefault="008A0736" w:rsidP="008A0736">
      <w:pPr>
        <w:pStyle w:val="Heading1"/>
        <w:divId w:val="935526654"/>
      </w:pPr>
      <w:r>
        <w:lastRenderedPageBreak/>
        <w:t>Introduction</w:t>
      </w:r>
    </w:p>
    <w:p w14:paraId="78DEE50E" w14:textId="77777777" w:rsidR="00B54051" w:rsidRPr="00B54051" w:rsidRDefault="00B54051" w:rsidP="00B54051">
      <w:pPr>
        <w:divId w:val="935526654"/>
        <w:rPr>
          <w:lang w:val="en-GB"/>
        </w:rPr>
      </w:pPr>
      <w:r w:rsidRPr="00B54051">
        <w:rPr>
          <w:lang w:val="en-GB"/>
        </w:rPr>
        <w:t>Murray Valley encephalitis virus (MVEV) is a mosquito-borne flavivirus that was first isolated in 1951 during an encephalitis outbreak in the Murray Valley region of south-eastern Australia.</w:t>
      </w:r>
      <w:r w:rsidRPr="00B54051">
        <w:rPr>
          <w:vertAlign w:val="superscript"/>
          <w:lang w:val="en-GB"/>
        </w:rPr>
        <w:t>1</w:t>
      </w:r>
      <w:r w:rsidRPr="00B54051">
        <w:rPr>
          <w:lang w:val="en-GB"/>
        </w:rPr>
        <w:t xml:space="preserve"> The epidemiology of MVEV in the region has since been characterised by discrete outbreaks of encephalitis separated by long periods of no detected disease activity in humans.</w:t>
      </w:r>
      <w:r w:rsidRPr="00B54051">
        <w:rPr>
          <w:vertAlign w:val="superscript"/>
          <w:lang w:val="en-GB"/>
        </w:rPr>
        <w:t>2</w:t>
      </w:r>
      <w:r w:rsidRPr="00B54051">
        <w:rPr>
          <w:lang w:val="en-GB"/>
        </w:rPr>
        <w:t xml:space="preserve"> This pattern is thought to be facilitated by the maintenance of enzootic foci in northern Australia, in a cycle involving the freshwater mosquito </w:t>
      </w:r>
      <w:r w:rsidRPr="00B54051">
        <w:rPr>
          <w:i/>
          <w:iCs/>
          <w:lang w:val="en-GB"/>
        </w:rPr>
        <w:t>Culex annulirostris</w:t>
      </w:r>
      <w:r w:rsidRPr="00B54051">
        <w:rPr>
          <w:lang w:val="en-GB"/>
        </w:rPr>
        <w:t xml:space="preserve"> as a vector and waterbirds as amplifying hosts that migrate to the south-east of the country during floods.</w:t>
      </w:r>
      <w:r w:rsidRPr="00B54051">
        <w:rPr>
          <w:vertAlign w:val="superscript"/>
          <w:lang w:val="en-GB"/>
        </w:rPr>
        <w:t>3,4</w:t>
      </w:r>
      <w:r w:rsidRPr="00B54051">
        <w:rPr>
          <w:lang w:val="en-GB"/>
        </w:rPr>
        <w:t xml:space="preserve"> Human infection is not believed to result in sufficient viraemia to enable onward transmission.</w:t>
      </w:r>
      <w:r w:rsidRPr="00B54051">
        <w:rPr>
          <w:vertAlign w:val="superscript"/>
          <w:lang w:val="en-GB"/>
        </w:rPr>
        <w:t>5</w:t>
      </w:r>
    </w:p>
    <w:p w14:paraId="1A06395B" w14:textId="39891FD4" w:rsidR="00B54051" w:rsidRPr="00B54051" w:rsidRDefault="00B54051" w:rsidP="00B54051">
      <w:pPr>
        <w:divId w:val="935526654"/>
        <w:rPr>
          <w:lang w:val="en-GB"/>
        </w:rPr>
      </w:pPr>
      <w:r w:rsidRPr="00B54051">
        <w:rPr>
          <w:lang w:val="en-GB"/>
        </w:rPr>
        <w:t>Asymptomatic MVEV infection is common, with an estimated 1 in 150 to 1 in 1000 infected individuals developing clinical disease.</w:t>
      </w:r>
      <w:r w:rsidRPr="00B54051">
        <w:rPr>
          <w:vertAlign w:val="superscript"/>
          <w:lang w:val="en-GB"/>
        </w:rPr>
        <w:t>3</w:t>
      </w:r>
      <w:r w:rsidRPr="00B54051">
        <w:rPr>
          <w:lang w:val="en-GB"/>
        </w:rPr>
        <w:t xml:space="preserve"> However, when symptomatic infection does occur, disease can be severe, characterised by encephalitis, progressive neurological deterioration, and a reported case fatality rate that ranges widely from approximately 15% to 85%.</w:t>
      </w:r>
      <w:r w:rsidRPr="00B54051">
        <w:rPr>
          <w:vertAlign w:val="superscript"/>
          <w:lang w:val="en-GB"/>
        </w:rPr>
        <w:t>2,6</w:t>
      </w:r>
      <w:r w:rsidRPr="00B54051">
        <w:rPr>
          <w:lang w:val="en-GB"/>
        </w:rPr>
        <w:t xml:space="preserve"> Only an estimated 40% of survivors fully recover, with the remainder experiencing long-term neurological sequelae.</w:t>
      </w:r>
      <w:r w:rsidRPr="00B54051">
        <w:rPr>
          <w:vertAlign w:val="superscript"/>
          <w:lang w:val="en-GB"/>
        </w:rPr>
        <w:t>3</w:t>
      </w:r>
      <w:r w:rsidRPr="00B54051">
        <w:rPr>
          <w:lang w:val="en-GB"/>
        </w:rPr>
        <w:t xml:space="preserve"> There is no specific treatment available for symptomatic MVEV infection and management is supportive. Laboratory diagnosis of MVEV infection is generally achieved via serological testing, but the interpretation of results is complex for several reasons, including serological cross-reactivity with other flaviviruses, unknown duration of seropositivity following infection, and the antibody response from vaccination such as JEV vaccination.</w:t>
      </w:r>
      <w:r w:rsidRPr="00B54051">
        <w:rPr>
          <w:vertAlign w:val="superscript"/>
          <w:lang w:val="en-GB"/>
        </w:rPr>
        <w:t>2</w:t>
      </w:r>
      <w:r w:rsidRPr="00B54051">
        <w:rPr>
          <w:lang w:val="en-GB"/>
        </w:rPr>
        <w:t xml:space="preserve"> </w:t>
      </w:r>
    </w:p>
    <w:p w14:paraId="7BD327DB" w14:textId="77777777" w:rsidR="00B54051" w:rsidRPr="00B54051" w:rsidRDefault="00B54051" w:rsidP="00B54051">
      <w:pPr>
        <w:divId w:val="935526654"/>
        <w:rPr>
          <w:lang w:val="en-GB"/>
        </w:rPr>
      </w:pPr>
      <w:r w:rsidRPr="00B54051">
        <w:rPr>
          <w:lang w:val="en-GB"/>
        </w:rPr>
        <w:t>In October 2022, extensive flooding occurred in areas of the Murray-Darling Basin in northern Victoria and southern New South Wales following unusually high levels of rainfall.</w:t>
      </w:r>
      <w:r w:rsidRPr="00B54051">
        <w:rPr>
          <w:vertAlign w:val="superscript"/>
          <w:lang w:val="en-GB"/>
        </w:rPr>
        <w:t>2</w:t>
      </w:r>
      <w:r w:rsidRPr="00B54051">
        <w:rPr>
          <w:lang w:val="en-GB"/>
        </w:rPr>
        <w:t xml:space="preserve"> Large numbers of mosquitoes were subsequently detected in northern Victoria as part of the state’s mosquito surveillance program, followed by the identification of MVEV in mosquito traps across 11 local government areas (LGAs), most frequently in the north-west of the state.</w:t>
      </w:r>
      <w:r w:rsidRPr="00B54051">
        <w:rPr>
          <w:vertAlign w:val="superscript"/>
          <w:lang w:val="en-GB"/>
        </w:rPr>
        <w:t>2</w:t>
      </w:r>
      <w:r w:rsidRPr="00B54051">
        <w:rPr>
          <w:lang w:val="en-GB"/>
        </w:rPr>
        <w:t xml:space="preserve"> Six human cases of Murray Valley encephalitis (MVE) were confirmed in Victoria between January and March 2023, five of which were fatal.</w:t>
      </w:r>
      <w:r w:rsidRPr="00B54051">
        <w:rPr>
          <w:vertAlign w:val="superscript"/>
          <w:lang w:val="en-GB"/>
        </w:rPr>
        <w:t>2</w:t>
      </w:r>
      <w:r w:rsidRPr="00B54051">
        <w:rPr>
          <w:lang w:val="en-GB"/>
        </w:rPr>
        <w:t xml:space="preserve"> This was the first confirmed detection of human MVEV infection in Victoria since 1974, although serological evidence of equine infection and seroconversion of sentinel chickens were both detected in early 2011.</w:t>
      </w:r>
      <w:r w:rsidRPr="00B54051">
        <w:rPr>
          <w:vertAlign w:val="superscript"/>
          <w:lang w:val="en-GB"/>
        </w:rPr>
        <w:t>7,8</w:t>
      </w:r>
      <w:r w:rsidRPr="00B54051">
        <w:rPr>
          <w:lang w:val="en-GB"/>
        </w:rPr>
        <w:t xml:space="preserve"> This MVEV outbreak followed the emergence of Japanese encephalitis virus (JEV) for the first time in southern Australia in early 2022.</w:t>
      </w:r>
      <w:r w:rsidRPr="00B54051">
        <w:rPr>
          <w:vertAlign w:val="superscript"/>
          <w:lang w:val="en-GB"/>
        </w:rPr>
        <w:t>2</w:t>
      </w:r>
      <w:r w:rsidRPr="00B54051">
        <w:rPr>
          <w:lang w:val="en-GB"/>
        </w:rPr>
        <w:t xml:space="preserve"> Due to shared ecological factors, it is hypothesised that the risk areas for JEV overlap with those of MVEV. </w:t>
      </w:r>
    </w:p>
    <w:p w14:paraId="6EACE78E" w14:textId="77777777" w:rsidR="00B54051" w:rsidRPr="00B54051" w:rsidRDefault="00B54051" w:rsidP="00B54051">
      <w:pPr>
        <w:divId w:val="935526654"/>
        <w:rPr>
          <w:lang w:val="en-GB"/>
        </w:rPr>
      </w:pPr>
      <w:r w:rsidRPr="00B54051">
        <w:rPr>
          <w:lang w:val="en-GB"/>
        </w:rPr>
        <w:t>Despite the 2023 outbreak being the fourth proven outbreak of MVEV in south-eastern Australia since isolation of the virus in 1951, limited data are available regarding the ecology of MVEV in the region, individual-level risk factors for infection, or how common prior infection is in the population. Notified clinical cases are likely to represent a minority of infected individuals.</w:t>
      </w:r>
      <w:r w:rsidRPr="00B54051">
        <w:rPr>
          <w:vertAlign w:val="superscript"/>
          <w:lang w:val="en-GB"/>
        </w:rPr>
        <w:t>2</w:t>
      </w:r>
      <w:r w:rsidRPr="00B54051">
        <w:rPr>
          <w:lang w:val="en-GB"/>
        </w:rPr>
        <w:t xml:space="preserve"> In 2022, a JEV serological survey was conducted in northern Victoria in which samples were also tested for MVEV antibodies.</w:t>
      </w:r>
      <w:r w:rsidRPr="00B54051">
        <w:rPr>
          <w:vertAlign w:val="superscript"/>
          <w:lang w:val="en-GB"/>
        </w:rPr>
        <w:t>9</w:t>
      </w:r>
      <w:r w:rsidRPr="00B54051">
        <w:rPr>
          <w:lang w:val="en-GB"/>
        </w:rPr>
        <w:t xml:space="preserve"> While MVEV seroprevalence in this 2022 study was 3%, recruitment ceased in December 2022 (prior to the 2023 outbreak), and recruitment location selection was primarily informed by JEV epidemiology. North-western regions of Victoria, where MVEV mosquito detections and human encephalitis cases occurred during the 2023 outbreak, were also under-represented.</w:t>
      </w:r>
      <w:r w:rsidRPr="00B54051">
        <w:rPr>
          <w:vertAlign w:val="superscript"/>
          <w:lang w:val="en-GB"/>
        </w:rPr>
        <w:t>9</w:t>
      </w:r>
      <w:r w:rsidRPr="00B54051">
        <w:rPr>
          <w:lang w:val="en-GB"/>
        </w:rPr>
        <w:t xml:space="preserve"> </w:t>
      </w:r>
    </w:p>
    <w:p w14:paraId="7A3C1B1C" w14:textId="77777777" w:rsidR="00B54051" w:rsidRPr="00B54051" w:rsidRDefault="00B54051" w:rsidP="00B54051">
      <w:pPr>
        <w:divId w:val="935526654"/>
        <w:rPr>
          <w:lang w:val="en-GB"/>
        </w:rPr>
      </w:pPr>
      <w:r w:rsidRPr="00B54051">
        <w:rPr>
          <w:lang w:val="en-GB"/>
        </w:rPr>
        <w:t>Accordingly, in the current study we aimed to determine the prevalence of MVEV antibody seropositivity and risk factors associated with seropositivity in a population of northern Victorian residents in late 2023 to early 2024, following the 2023 MVEV outbreak.</w:t>
      </w:r>
    </w:p>
    <w:p w14:paraId="6BA5FECF" w14:textId="77777777" w:rsidR="008A0736" w:rsidRDefault="008A0736" w:rsidP="008A0736">
      <w:pPr>
        <w:pStyle w:val="Heading1"/>
        <w:divId w:val="935526654"/>
        <w:rPr>
          <w:lang w:val="en-GB"/>
        </w:rPr>
      </w:pPr>
      <w:r>
        <w:rPr>
          <w:lang w:val="en-GB"/>
        </w:rPr>
        <w:lastRenderedPageBreak/>
        <w:t>Methods</w:t>
      </w:r>
    </w:p>
    <w:p w14:paraId="21F370C9" w14:textId="77777777" w:rsidR="00B54051" w:rsidRPr="00B54051" w:rsidRDefault="00B54051" w:rsidP="00B54051">
      <w:pPr>
        <w:divId w:val="935526654"/>
        <w:rPr>
          <w:lang w:val="en-GB"/>
        </w:rPr>
      </w:pPr>
      <w:r w:rsidRPr="00B54051">
        <w:rPr>
          <w:lang w:val="en-GB"/>
        </w:rPr>
        <w:t>We report our study in accordance with the STROBE statement on cross-sectional studies.</w:t>
      </w:r>
      <w:r w:rsidRPr="00B54051">
        <w:rPr>
          <w:vertAlign w:val="superscript"/>
          <w:lang w:val="en-GB"/>
        </w:rPr>
        <w:t>10</w:t>
      </w:r>
    </w:p>
    <w:p w14:paraId="5A2D2CE8" w14:textId="07ADFCC0" w:rsidR="008A0736" w:rsidRDefault="00B54051" w:rsidP="00B54051">
      <w:pPr>
        <w:pStyle w:val="Heading2"/>
        <w:divId w:val="935526654"/>
      </w:pPr>
      <w:r>
        <w:t>Participant recruitment</w:t>
      </w:r>
    </w:p>
    <w:p w14:paraId="688F0AE4" w14:textId="77777777" w:rsidR="00B54051" w:rsidRPr="00B54051" w:rsidRDefault="00B54051" w:rsidP="00B54051">
      <w:pPr>
        <w:divId w:val="935526654"/>
        <w:rPr>
          <w:lang w:val="en-GB"/>
        </w:rPr>
      </w:pPr>
      <w:r w:rsidRPr="00B54051">
        <w:rPr>
          <w:lang w:val="en-GB"/>
        </w:rPr>
        <w:t>Participant recruitment took place from 23 October 2023 to 16 April 2024 in 11 LGAs across three regions in northern Victoria, Australia: Mildura, Swan Hill, Campaspe, Gannawarra, Greater Bendigo, and Loddon LGAs (in the Loddon Mallee region); Greater Shepparton and Moira LGAs (in the Goulburn Valley region); and Wodonga, Indigo, and Wangaratta LGAs (in the Ovens Murray region). These LGAs were selected based on MVEV detections in mosquitoes during the 2022–2023 mosquito breeding season and on likely vector exposure locations for MVE cases in the 2023 outbreak,</w:t>
      </w:r>
      <w:r w:rsidRPr="00B54051">
        <w:rPr>
          <w:vertAlign w:val="superscript"/>
          <w:lang w:val="en-GB"/>
        </w:rPr>
        <w:t>2</w:t>
      </w:r>
      <w:r w:rsidRPr="00B54051">
        <w:rPr>
          <w:lang w:val="en-GB"/>
        </w:rPr>
        <w:t xml:space="preserve"> to capture a population of northern Victorians presumed to be at high risk of MVEV infection. With an estimated population seroprevalence of 3%, a minimum sample size of 500 participants was required to assess MVEV seroprevalence with a precision of 1.5% and a confidence level of 95%.</w:t>
      </w:r>
    </w:p>
    <w:p w14:paraId="52A1C071" w14:textId="77777777" w:rsidR="00B54051" w:rsidRPr="00B54051" w:rsidRDefault="00B54051" w:rsidP="00B54051">
      <w:pPr>
        <w:divId w:val="935526654"/>
        <w:rPr>
          <w:lang w:val="en-GB"/>
        </w:rPr>
      </w:pPr>
      <w:r w:rsidRPr="00B54051">
        <w:rPr>
          <w:lang w:val="en-GB"/>
        </w:rPr>
        <w:t>Individuals of all ages were eligible to participate if they currently lived in one of the 11 included LGAs. Individuals were not eligible to participate if they had been vaccinated for JEV, or had been previously diagnosed with MVEV, JEV, or West Nile virus Kunjin subtype (KUNV) infection due to the risk of serological cross-reactivity. Most participants were recruited when attending pathology collection sites for unrelated pathology testing. The study was also advertised via social media, mass media, and through community organisations in the included LGAs.</w:t>
      </w:r>
    </w:p>
    <w:p w14:paraId="15ACE272" w14:textId="5EA44C5B" w:rsidR="00B54051" w:rsidRDefault="00B54051" w:rsidP="00B54051">
      <w:pPr>
        <w:pStyle w:val="Heading2"/>
        <w:divId w:val="935526654"/>
      </w:pPr>
      <w:r>
        <w:t>Data collection</w:t>
      </w:r>
    </w:p>
    <w:p w14:paraId="60A431D9" w14:textId="77777777" w:rsidR="00B54051" w:rsidRPr="00B54051" w:rsidRDefault="00B54051" w:rsidP="00B54051">
      <w:pPr>
        <w:divId w:val="935526654"/>
        <w:rPr>
          <w:lang w:val="en-GB"/>
        </w:rPr>
      </w:pPr>
      <w:r w:rsidRPr="00B54051">
        <w:rPr>
          <w:lang w:val="en-GB"/>
        </w:rPr>
        <w:t>Participants provided written consent through an online form and completed an online questionnaire about potential risk and protective factors for MVEV infection. This included demographic information, occupational history, proximity to water sources, leisure activities, time spent outdoors, close contact with water birds, and avoidance of mosquito bites. For participants aged less than 18 years, consent was provided by an accompanying parent or guardian. Following completion of the consent form and questionnaire, a blood sample was collected by a phlebotomist at a participating pathology collection centre in a serum-separating tube and transported within 24 hours of collection to the Victorian Infectious Diseases Reference Laboratory (VIDRL) in Melbourne.</w:t>
      </w:r>
    </w:p>
    <w:p w14:paraId="16192DD9" w14:textId="77777777" w:rsidR="00B54051" w:rsidRPr="00B54051" w:rsidRDefault="00B54051" w:rsidP="00B54051">
      <w:pPr>
        <w:divId w:val="935526654"/>
        <w:rPr>
          <w:lang w:val="en-GB"/>
        </w:rPr>
      </w:pPr>
      <w:r w:rsidRPr="00B54051">
        <w:rPr>
          <w:lang w:val="en-GB"/>
        </w:rPr>
        <w:t>Blood samples were tested at VIDRL for MVEV total antibody using an in-house defined epitope blocking (DEB) enzyme-linked immunosorbent assay (ELISA). This DEB ELISA was accredited by the National Association of Testing Authorities (NATA) in 2011 and validated against a MVEV haemagglutination inhibition test and a MVEV microneutralisation test on samples from the 1974 MVE outbreak. Samples positive for MVEV total antibody were tested for JEV total antibody and KUNV total antibody using DEB ELISAs. Samples positive for MVEV total antibody, JEV total antibody and/or KUNV total antibody were tested for MVEV immunoglobulin M (IgM), JEV IgM, and/or KUNV IgM respectively with an immunofluorescence assay (IFA). All positive samples were retested to ensure reproducibility. Participants who tested positive for MVEV total antibody were invited to complete a follow-up questionnaire to collect more detailed information about their history of mosquito-borne viral infections, vaccination history, and travel history.</w:t>
      </w:r>
    </w:p>
    <w:p w14:paraId="267054B1" w14:textId="07171387" w:rsidR="00B54051" w:rsidRDefault="00B54051" w:rsidP="00B54051">
      <w:pPr>
        <w:pStyle w:val="Heading2"/>
        <w:divId w:val="935526654"/>
      </w:pPr>
      <w:r>
        <w:lastRenderedPageBreak/>
        <w:t>Statistical analysis</w:t>
      </w:r>
    </w:p>
    <w:p w14:paraId="2356210C" w14:textId="77777777" w:rsidR="00B54051" w:rsidRPr="00B54051" w:rsidRDefault="00B54051" w:rsidP="00B54051">
      <w:pPr>
        <w:divId w:val="935526654"/>
        <w:rPr>
          <w:lang w:val="en-GB"/>
        </w:rPr>
      </w:pPr>
      <w:r w:rsidRPr="00B54051">
        <w:rPr>
          <w:lang w:val="en-GB"/>
        </w:rPr>
        <w:t>The primary outcome was MVEV total antibody seroprevalence, with 95% confidence intervals (95% CIs) derived assuming a binomial distribution. Prevalence odds ratios (PORs) for exposures, risk and protective factors were calculated with corresponding 95% CIs using logistic regression for continuous variables and Fisher’s exact test for categorical variables. All analyses were undertaken in R version 4.3.1.</w:t>
      </w:r>
      <w:r w:rsidRPr="00B54051">
        <w:rPr>
          <w:vertAlign w:val="superscript"/>
          <w:lang w:val="en-GB"/>
        </w:rPr>
        <w:t>11</w:t>
      </w:r>
    </w:p>
    <w:p w14:paraId="15DF2CE5" w14:textId="24059251" w:rsidR="00B54051" w:rsidRDefault="00B54051" w:rsidP="00B54051">
      <w:pPr>
        <w:pStyle w:val="Heading2"/>
        <w:divId w:val="935526654"/>
      </w:pPr>
      <w:r>
        <w:t>Ethics approval</w:t>
      </w:r>
    </w:p>
    <w:p w14:paraId="115AB867" w14:textId="77777777" w:rsidR="00B54051" w:rsidRPr="00B54051" w:rsidRDefault="00B54051" w:rsidP="00B54051">
      <w:pPr>
        <w:divId w:val="935526654"/>
        <w:rPr>
          <w:lang w:val="en-GB"/>
        </w:rPr>
      </w:pPr>
      <w:r w:rsidRPr="00B54051">
        <w:rPr>
          <w:lang w:val="en-GB"/>
        </w:rPr>
        <w:t>Ethical approval for this study was granted by the Victorian Department of Health and Department of Families, Fairness and Housing Human Research Ethics Committee (reference HREC/101670/DOH-2023-396684).</w:t>
      </w:r>
    </w:p>
    <w:p w14:paraId="122094BB" w14:textId="77777777" w:rsidR="008A0736" w:rsidRDefault="008A0736" w:rsidP="008A0736">
      <w:pPr>
        <w:pStyle w:val="Heading1"/>
        <w:divId w:val="935526654"/>
        <w:rPr>
          <w:lang w:val="en-GB"/>
        </w:rPr>
      </w:pPr>
      <w:r>
        <w:rPr>
          <w:lang w:val="en-GB"/>
        </w:rPr>
        <w:t>Results</w:t>
      </w:r>
    </w:p>
    <w:p w14:paraId="58429C21" w14:textId="77777777" w:rsidR="00B54051" w:rsidRPr="00B54051" w:rsidRDefault="00B54051" w:rsidP="00B54051">
      <w:pPr>
        <w:divId w:val="935526654"/>
        <w:rPr>
          <w:lang w:val="en-GB"/>
        </w:rPr>
      </w:pPr>
      <w:r w:rsidRPr="00B54051">
        <w:rPr>
          <w:lang w:val="en-GB"/>
        </w:rPr>
        <w:t>A total of 583 participants were recruited across the 11 included LGAs. Sixty-four individuals consented to participate but did not have a blood sample collected and were therefore excluded from the analysis. In addition, 12 blood samples were collected for testing where a completed consent form and questionnaire were not received from the participants. These samples were destroyed and are not included in the analysis. The final sample comprised 507 individuals.</w:t>
      </w:r>
    </w:p>
    <w:p w14:paraId="0E6C8CD0" w14:textId="1BA8226F" w:rsidR="00B54051" w:rsidRPr="00B54051" w:rsidRDefault="00B54051" w:rsidP="00B54051">
      <w:pPr>
        <w:divId w:val="935526654"/>
        <w:rPr>
          <w:lang w:val="en-GB"/>
        </w:rPr>
      </w:pPr>
      <w:r w:rsidRPr="00B54051">
        <w:rPr>
          <w:lang w:val="en-GB"/>
        </w:rPr>
        <w:t>The age of participants ranged from 5 to 99 years (median 55 years); 65.7% (n = 333) were female; 1.4% (n</w:t>
      </w:r>
      <w:r w:rsidR="005C1AD7">
        <w:rPr>
          <w:lang w:val="en-GB"/>
        </w:rPr>
        <w:t> </w:t>
      </w:r>
      <w:r w:rsidRPr="00B54051">
        <w:rPr>
          <w:lang w:val="en-GB"/>
        </w:rPr>
        <w:t>= 7) identified as Aboriginal and 0.4% (n = 2) identified as Torres Strait Islander (Table 1). Participation per LGA ranged from 54 per 100,000 inhabitants in Loddon to 151 per 100,000 inhabitants in Wangaratta (Figure 1a).</w:t>
      </w:r>
    </w:p>
    <w:p w14:paraId="7562AD79" w14:textId="071306B6" w:rsidR="00B54051" w:rsidRPr="00B54051" w:rsidRDefault="00B54051" w:rsidP="00B54051">
      <w:pPr>
        <w:divId w:val="935526654"/>
        <w:rPr>
          <w:lang w:val="en-GB"/>
        </w:rPr>
      </w:pPr>
      <w:r w:rsidRPr="00B54051">
        <w:rPr>
          <w:lang w:val="en-GB"/>
        </w:rPr>
        <w:t>In total, ten samples (2.0%; 95% CI: 1.1–3.6%) tested positive for MVEV total antibody by DEB ELISA (Table</w:t>
      </w:r>
      <w:r>
        <w:rPr>
          <w:lang w:val="en-GB"/>
        </w:rPr>
        <w:t> </w:t>
      </w:r>
      <w:r w:rsidRPr="00B54051">
        <w:rPr>
          <w:lang w:val="en-GB"/>
        </w:rPr>
        <w:t>2). Of the ten samples positive for MVEV total antibody, eight were also positive for JEV or KUNV total antibody by DEB ELISA (six were positive for JEV total antibody, one was positive for KUNV total antibody, and one was positive for both JEV total antibody and MVEV IgM). None of the participants who tested positive for JEV total antibody or KUNV total antibody tested positive for JEV IgM or KUNV IgM (Figure 2). MVEV total antibody seropositivity ranged from 0.0% in Loddon, Indigo, Moira, Greater Shepparton, and Swan Hill to 8.3% (95% CI: 1.5–35.4%) in Gannawarra (Figure 1b). The majority of MVEV seropositive participants (70.0%; n = 7) resided in the Loddon Mallee region in the north-west of Victoria (Greater Bendigo, Campaspe, Gannawarra, and Mildura LGAs).</w:t>
      </w:r>
    </w:p>
    <w:p w14:paraId="65A5F7B6" w14:textId="77777777" w:rsidR="00B54051" w:rsidRDefault="00B54051" w:rsidP="00B54051">
      <w:pPr>
        <w:divId w:val="935526654"/>
        <w:rPr>
          <w:lang w:val="en-GB"/>
        </w:rPr>
      </w:pPr>
      <w:r w:rsidRPr="00B54051">
        <w:rPr>
          <w:lang w:val="en-GB"/>
        </w:rPr>
        <w:t>The age of MVEV total antibody seropositive participants ranged from 18 to 87 years (median 68 years), and the POR for MVEV total antibody seropositivity per one-year increase in age was 1.02 (95% CI: 0.99–1.06). Fifty percent of MVEV seropositive participants were male, and none identified as Aboriginal or Torres Strait Islander. Most MVEV total antibody seropositive participants (90.0%; n = 9) were born in Australia, and the remaining one participant was born in a country where MVEV and JEV are not endemic.</w:t>
      </w:r>
    </w:p>
    <w:p w14:paraId="3DEDDDAD" w14:textId="77777777" w:rsidR="00B54051" w:rsidRPr="00B54051" w:rsidRDefault="00B54051" w:rsidP="00B54051">
      <w:pPr>
        <w:divId w:val="935526654"/>
        <w:rPr>
          <w:lang w:val="en-GB"/>
        </w:rPr>
      </w:pPr>
      <w:r w:rsidRPr="00B54051">
        <w:rPr>
          <w:lang w:val="en-GB"/>
        </w:rPr>
        <w:t>Of the ten MVEV total antibody seropositive participants, six completed the follow-up questionnaire. Three reported a history of recreational travel to regions with historic MVEV activity for greater than one month, such as the Top End or Barkly region in the Northern Territory or northern Queensland.</w:t>
      </w:r>
      <w:r w:rsidRPr="00B54051">
        <w:rPr>
          <w:vertAlign w:val="superscript"/>
          <w:lang w:val="en-GB"/>
        </w:rPr>
        <w:t xml:space="preserve">12 </w:t>
      </w:r>
      <w:r w:rsidRPr="00B54051">
        <w:rPr>
          <w:lang w:val="en-GB"/>
        </w:rPr>
        <w:t xml:space="preserve">None reported </w:t>
      </w:r>
      <w:r w:rsidRPr="00B54051">
        <w:rPr>
          <w:lang w:val="en-GB"/>
        </w:rPr>
        <w:lastRenderedPageBreak/>
        <w:t>being vaccinated against or infected with dengue fever or yellow fever, but one reported past infection with Ross River virus.</w:t>
      </w:r>
    </w:p>
    <w:p w14:paraId="695E1B13" w14:textId="77777777" w:rsidR="00B54051" w:rsidRPr="00B54051" w:rsidRDefault="00B54051" w:rsidP="00B54051">
      <w:pPr>
        <w:divId w:val="935526654"/>
        <w:rPr>
          <w:lang w:val="en-GB"/>
        </w:rPr>
      </w:pPr>
      <w:r w:rsidRPr="00B54051">
        <w:rPr>
          <w:lang w:val="en-GB"/>
        </w:rPr>
        <w:t>Table 3 shows the associations between MVEV seropositivity and the potential risk and protective factors included in the study. Many of the hypothesised risk or protective factors had PORs &gt; 1, but confidence intervals were generally very wide and, in all cases, crossed the null. For example, seropositive participants reported more frequent exposure to standing water sources (POR 3.4; 95% CI: 0.7–33.1) and water birds (POR 2.4; 95% CI: 0.6–10.8) than did seronegative participants.</w:t>
      </w:r>
    </w:p>
    <w:p w14:paraId="06F67240" w14:textId="1B7F739C" w:rsidR="008A0736" w:rsidRDefault="00AF1608" w:rsidP="00AF1608">
      <w:pPr>
        <w:pStyle w:val="CDITable-Title"/>
        <w:divId w:val="935526654"/>
      </w:pPr>
      <w:r w:rsidRPr="00AF1608">
        <w:t>Table 1: Demographic characteristics of Murray Valley encephalitis virus seropositive and seronegative individuals across 11 local government areas in northern Victoria, October 2023 to April 2024</w:t>
      </w:r>
    </w:p>
    <w:tbl>
      <w:tblPr>
        <w:tblW w:w="0" w:type="auto"/>
        <w:tblLayout w:type="fixed"/>
        <w:tblCellMar>
          <w:left w:w="0" w:type="dxa"/>
          <w:right w:w="0" w:type="dxa"/>
        </w:tblCellMar>
        <w:tblLook w:val="0000" w:firstRow="0" w:lastRow="0" w:firstColumn="0" w:lastColumn="0" w:noHBand="0" w:noVBand="0"/>
        <w:tblCaption w:val="Table 1: Demographic characteristics of Murray Valley encephalitis virus seropositive and seronegative individuals across 11 local government areas in northern Victoria, October 2023 to April 2024"/>
        <w:tblDescription w:val="Table 1 shows the demographic characteristics of study participants, grouped by those who were Murray Valley encephalitis virus seropositive, Murray Valley encephalitis virus seronegative, and total participants."/>
      </w:tblPr>
      <w:tblGrid>
        <w:gridCol w:w="1417"/>
        <w:gridCol w:w="1985"/>
        <w:gridCol w:w="2078"/>
        <w:gridCol w:w="2079"/>
        <w:gridCol w:w="2079"/>
      </w:tblGrid>
      <w:tr w:rsidR="00AF1608" w:rsidRPr="00AF1608" w14:paraId="7043B631" w14:textId="77777777" w:rsidTr="00212BF6">
        <w:trPr>
          <w:divId w:val="935526654"/>
          <w:trHeight w:val="20"/>
          <w:tblHeader/>
        </w:trPr>
        <w:tc>
          <w:tcPr>
            <w:tcW w:w="1417" w:type="dxa"/>
            <w:shd w:val="clear" w:color="auto" w:fill="033636" w:themeFill="text2"/>
            <w:tcMar>
              <w:top w:w="113" w:type="dxa"/>
              <w:left w:w="113" w:type="dxa"/>
              <w:bottom w:w="113" w:type="dxa"/>
              <w:right w:w="113" w:type="dxa"/>
            </w:tcMar>
            <w:vAlign w:val="bottom"/>
          </w:tcPr>
          <w:p w14:paraId="5BE26700" w14:textId="77777777" w:rsidR="00AF1608" w:rsidRPr="00AF1608" w:rsidRDefault="00AF1608" w:rsidP="00AF1608">
            <w:pPr>
              <w:pStyle w:val="CDITable-HeaderRowLeft"/>
            </w:pPr>
            <w:r w:rsidRPr="00AF1608">
              <w:t>Demographic factor</w:t>
            </w:r>
          </w:p>
        </w:tc>
        <w:tc>
          <w:tcPr>
            <w:tcW w:w="1985" w:type="dxa"/>
            <w:shd w:val="clear" w:color="auto" w:fill="033636" w:themeFill="text2"/>
            <w:tcMar>
              <w:top w:w="113" w:type="dxa"/>
              <w:left w:w="113" w:type="dxa"/>
              <w:bottom w:w="113" w:type="dxa"/>
              <w:right w:w="113" w:type="dxa"/>
            </w:tcMar>
            <w:vAlign w:val="bottom"/>
          </w:tcPr>
          <w:p w14:paraId="17964ECF" w14:textId="77777777" w:rsidR="00AF1608" w:rsidRPr="00AF1608" w:rsidRDefault="00AF1608" w:rsidP="00212BF6">
            <w:pPr>
              <w:pStyle w:val="CDITable-HeaderRowLeft"/>
            </w:pPr>
            <w:r w:rsidRPr="00AF1608">
              <w:t>Category</w:t>
            </w:r>
          </w:p>
        </w:tc>
        <w:tc>
          <w:tcPr>
            <w:tcW w:w="2078" w:type="dxa"/>
            <w:shd w:val="clear" w:color="auto" w:fill="033636" w:themeFill="text2"/>
            <w:tcMar>
              <w:top w:w="113" w:type="dxa"/>
              <w:left w:w="113" w:type="dxa"/>
              <w:bottom w:w="113" w:type="dxa"/>
              <w:right w:w="113" w:type="dxa"/>
            </w:tcMar>
            <w:vAlign w:val="bottom"/>
          </w:tcPr>
          <w:p w14:paraId="7C5A180A" w14:textId="641C617F" w:rsidR="00AF1608" w:rsidRPr="00AF1608" w:rsidRDefault="00AF1608" w:rsidP="00AF1608">
            <w:pPr>
              <w:pStyle w:val="CDITable-HeaderRowCentre"/>
            </w:pPr>
            <w:r w:rsidRPr="00AF1608">
              <w:t>MVEV seropositive, n</w:t>
            </w:r>
            <w:r>
              <w:t> </w:t>
            </w:r>
            <w:r w:rsidRPr="00AF1608">
              <w:t>(%)</w:t>
            </w:r>
            <w:r w:rsidRPr="00AF1608">
              <w:br/>
              <w:t>N = 10</w:t>
            </w:r>
          </w:p>
        </w:tc>
        <w:tc>
          <w:tcPr>
            <w:tcW w:w="2079" w:type="dxa"/>
            <w:shd w:val="clear" w:color="auto" w:fill="033636" w:themeFill="text2"/>
            <w:tcMar>
              <w:top w:w="113" w:type="dxa"/>
              <w:left w:w="113" w:type="dxa"/>
              <w:bottom w:w="113" w:type="dxa"/>
              <w:right w:w="113" w:type="dxa"/>
            </w:tcMar>
            <w:vAlign w:val="bottom"/>
          </w:tcPr>
          <w:p w14:paraId="2759245B" w14:textId="21FA817D" w:rsidR="00AF1608" w:rsidRPr="00AF1608" w:rsidRDefault="00AF1608" w:rsidP="00AF1608">
            <w:pPr>
              <w:pStyle w:val="CDITable-HeaderRowCentre"/>
            </w:pPr>
            <w:r w:rsidRPr="00AF1608">
              <w:t>MVEV seronegative, n</w:t>
            </w:r>
            <w:r>
              <w:t> </w:t>
            </w:r>
            <w:r w:rsidRPr="00AF1608">
              <w:t>(%)</w:t>
            </w:r>
            <w:r w:rsidRPr="00AF1608">
              <w:br/>
              <w:t>N = 497</w:t>
            </w:r>
          </w:p>
        </w:tc>
        <w:tc>
          <w:tcPr>
            <w:tcW w:w="2079" w:type="dxa"/>
            <w:shd w:val="clear" w:color="auto" w:fill="033636" w:themeFill="text2"/>
            <w:tcMar>
              <w:top w:w="113" w:type="dxa"/>
              <w:left w:w="113" w:type="dxa"/>
              <w:bottom w:w="113" w:type="dxa"/>
              <w:right w:w="113" w:type="dxa"/>
            </w:tcMar>
            <w:vAlign w:val="bottom"/>
          </w:tcPr>
          <w:p w14:paraId="21D4801E" w14:textId="3BADF336" w:rsidR="00AF1608" w:rsidRPr="00AF1608" w:rsidRDefault="00AF1608" w:rsidP="00AF1608">
            <w:pPr>
              <w:pStyle w:val="CDITable-HeaderRowCentre"/>
            </w:pPr>
            <w:r w:rsidRPr="00AF1608">
              <w:t>Total participants,</w:t>
            </w:r>
            <w:r>
              <w:t xml:space="preserve"> </w:t>
            </w:r>
            <w:r>
              <w:br/>
            </w:r>
            <w:r w:rsidRPr="00AF1608">
              <w:t>n (%)</w:t>
            </w:r>
            <w:r w:rsidRPr="00AF1608">
              <w:br/>
              <w:t>N = 507</w:t>
            </w:r>
          </w:p>
        </w:tc>
      </w:tr>
      <w:tr w:rsidR="00AF1608" w:rsidRPr="00AF1608" w14:paraId="5E4CE311" w14:textId="77777777" w:rsidTr="00212BF6">
        <w:trPr>
          <w:divId w:val="935526654"/>
          <w:trHeight w:val="20"/>
        </w:trPr>
        <w:tc>
          <w:tcPr>
            <w:tcW w:w="1417"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0B177F3" w14:textId="77777777" w:rsidR="00AF1608" w:rsidRPr="00AF1608" w:rsidRDefault="00AF1608" w:rsidP="00AF1608">
            <w:pPr>
              <w:pStyle w:val="CDITable-RowLeft"/>
            </w:pPr>
            <w:r w:rsidRPr="00AF1608">
              <w:t>Age</w:t>
            </w:r>
          </w:p>
        </w:tc>
        <w:tc>
          <w:tcPr>
            <w:tcW w:w="1985" w:type="dxa"/>
            <w:shd w:val="clear" w:color="auto" w:fill="F2F2F2" w:themeFill="background1" w:themeFillShade="F2"/>
            <w:tcMar>
              <w:top w:w="113" w:type="dxa"/>
              <w:left w:w="113" w:type="dxa"/>
              <w:bottom w:w="113" w:type="dxa"/>
              <w:right w:w="113" w:type="dxa"/>
            </w:tcMar>
            <w:vAlign w:val="center"/>
          </w:tcPr>
          <w:p w14:paraId="635392BF" w14:textId="77777777" w:rsidR="00AF1608" w:rsidRPr="00AF1608" w:rsidRDefault="00AF1608" w:rsidP="00AF1608">
            <w:pPr>
              <w:pStyle w:val="CDITable-RowLeft"/>
            </w:pPr>
            <w:r w:rsidRPr="00AF1608">
              <w:t>0–9</w:t>
            </w:r>
          </w:p>
        </w:tc>
        <w:tc>
          <w:tcPr>
            <w:tcW w:w="2078" w:type="dxa"/>
            <w:shd w:val="clear" w:color="auto" w:fill="F2F2F2" w:themeFill="background1" w:themeFillShade="F2"/>
            <w:tcMar>
              <w:top w:w="113" w:type="dxa"/>
              <w:left w:w="113" w:type="dxa"/>
              <w:bottom w:w="113" w:type="dxa"/>
              <w:right w:w="113" w:type="dxa"/>
            </w:tcMar>
            <w:vAlign w:val="center"/>
          </w:tcPr>
          <w:p w14:paraId="183191C4" w14:textId="77777777" w:rsidR="00AF1608" w:rsidRPr="00AF1608" w:rsidRDefault="00AF1608" w:rsidP="00AF1608">
            <w:pPr>
              <w:pStyle w:val="CDITable-RowCentre"/>
            </w:pPr>
            <w:r w:rsidRPr="00AF1608">
              <w:t>0 (0.0%)</w:t>
            </w:r>
          </w:p>
        </w:tc>
        <w:tc>
          <w:tcPr>
            <w:tcW w:w="2079" w:type="dxa"/>
            <w:shd w:val="clear" w:color="auto" w:fill="F2F2F2" w:themeFill="background1" w:themeFillShade="F2"/>
            <w:tcMar>
              <w:top w:w="113" w:type="dxa"/>
              <w:left w:w="113" w:type="dxa"/>
              <w:bottom w:w="113" w:type="dxa"/>
              <w:right w:w="113" w:type="dxa"/>
            </w:tcMar>
            <w:vAlign w:val="center"/>
          </w:tcPr>
          <w:p w14:paraId="40B1C0A7" w14:textId="77777777" w:rsidR="00AF1608" w:rsidRPr="00AF1608" w:rsidRDefault="00AF1608" w:rsidP="00AF1608">
            <w:pPr>
              <w:pStyle w:val="CDITable-RowCentre"/>
            </w:pPr>
            <w:r w:rsidRPr="00AF1608">
              <w:t>3 (0.6%)</w:t>
            </w:r>
          </w:p>
        </w:tc>
        <w:tc>
          <w:tcPr>
            <w:tcW w:w="2079" w:type="dxa"/>
            <w:shd w:val="clear" w:color="auto" w:fill="F2F2F2" w:themeFill="background1" w:themeFillShade="F2"/>
            <w:tcMar>
              <w:top w:w="113" w:type="dxa"/>
              <w:left w:w="113" w:type="dxa"/>
              <w:bottom w:w="113" w:type="dxa"/>
              <w:right w:w="113" w:type="dxa"/>
            </w:tcMar>
            <w:vAlign w:val="center"/>
          </w:tcPr>
          <w:p w14:paraId="7E38A633" w14:textId="77777777" w:rsidR="00AF1608" w:rsidRPr="00AF1608" w:rsidRDefault="00AF1608" w:rsidP="00AF1608">
            <w:pPr>
              <w:pStyle w:val="CDITable-RowCentre"/>
            </w:pPr>
            <w:r w:rsidRPr="00AF1608">
              <w:t>3 (0.6%)</w:t>
            </w:r>
          </w:p>
        </w:tc>
      </w:tr>
      <w:tr w:rsidR="00AF1608" w:rsidRPr="00AF1608" w14:paraId="1A91521E" w14:textId="77777777" w:rsidTr="00212BF6">
        <w:trPr>
          <w:divId w:val="935526654"/>
          <w:trHeight w:val="20"/>
        </w:trPr>
        <w:tc>
          <w:tcPr>
            <w:tcW w:w="1417" w:type="dxa"/>
            <w:vMerge/>
            <w:tcBorders>
              <w:bottom w:val="single" w:sz="6" w:space="0" w:color="033636" w:themeColor="text2"/>
            </w:tcBorders>
            <w:shd w:val="clear" w:color="auto" w:fill="C5FFEF" w:themeFill="background2" w:themeFillTint="33"/>
          </w:tcPr>
          <w:p w14:paraId="46AFFCC9" w14:textId="77777777" w:rsidR="00AF1608" w:rsidRPr="00AF1608" w:rsidRDefault="00AF1608" w:rsidP="00AF1608">
            <w:pPr>
              <w:pStyle w:val="CDITable-RowLeft"/>
            </w:pPr>
          </w:p>
        </w:tc>
        <w:tc>
          <w:tcPr>
            <w:tcW w:w="1985" w:type="dxa"/>
            <w:tcMar>
              <w:top w:w="113" w:type="dxa"/>
              <w:left w:w="113" w:type="dxa"/>
              <w:bottom w:w="113" w:type="dxa"/>
              <w:right w:w="113" w:type="dxa"/>
            </w:tcMar>
            <w:vAlign w:val="center"/>
          </w:tcPr>
          <w:p w14:paraId="68817D4A" w14:textId="77777777" w:rsidR="00AF1608" w:rsidRPr="00AF1608" w:rsidRDefault="00AF1608" w:rsidP="00AF1608">
            <w:pPr>
              <w:pStyle w:val="CDITable-RowLeft"/>
            </w:pPr>
            <w:r w:rsidRPr="00AF1608">
              <w:t>10–19</w:t>
            </w:r>
          </w:p>
        </w:tc>
        <w:tc>
          <w:tcPr>
            <w:tcW w:w="2078" w:type="dxa"/>
            <w:tcMar>
              <w:top w:w="113" w:type="dxa"/>
              <w:left w:w="113" w:type="dxa"/>
              <w:bottom w:w="113" w:type="dxa"/>
              <w:right w:w="113" w:type="dxa"/>
            </w:tcMar>
            <w:vAlign w:val="center"/>
          </w:tcPr>
          <w:p w14:paraId="4AB06AA8" w14:textId="77777777" w:rsidR="00AF1608" w:rsidRPr="00AF1608" w:rsidRDefault="00AF1608" w:rsidP="00AF1608">
            <w:pPr>
              <w:pStyle w:val="CDITable-RowCentre"/>
            </w:pPr>
            <w:r w:rsidRPr="00AF1608">
              <w:t>1 (10.0%)</w:t>
            </w:r>
          </w:p>
        </w:tc>
        <w:tc>
          <w:tcPr>
            <w:tcW w:w="2079" w:type="dxa"/>
            <w:tcMar>
              <w:top w:w="113" w:type="dxa"/>
              <w:left w:w="113" w:type="dxa"/>
              <w:bottom w:w="113" w:type="dxa"/>
              <w:right w:w="113" w:type="dxa"/>
            </w:tcMar>
            <w:vAlign w:val="center"/>
          </w:tcPr>
          <w:p w14:paraId="6CF882A6" w14:textId="77777777" w:rsidR="00AF1608" w:rsidRPr="00AF1608" w:rsidRDefault="00AF1608" w:rsidP="00AF1608">
            <w:pPr>
              <w:pStyle w:val="CDITable-RowCentre"/>
            </w:pPr>
            <w:r w:rsidRPr="00AF1608">
              <w:t>11 (2.2%)</w:t>
            </w:r>
          </w:p>
        </w:tc>
        <w:tc>
          <w:tcPr>
            <w:tcW w:w="2079" w:type="dxa"/>
            <w:tcMar>
              <w:top w:w="113" w:type="dxa"/>
              <w:left w:w="113" w:type="dxa"/>
              <w:bottom w:w="113" w:type="dxa"/>
              <w:right w:w="113" w:type="dxa"/>
            </w:tcMar>
            <w:vAlign w:val="center"/>
          </w:tcPr>
          <w:p w14:paraId="14B90F6C" w14:textId="77777777" w:rsidR="00AF1608" w:rsidRPr="00AF1608" w:rsidRDefault="00AF1608" w:rsidP="00AF1608">
            <w:pPr>
              <w:pStyle w:val="CDITable-RowCentre"/>
            </w:pPr>
            <w:r w:rsidRPr="00AF1608">
              <w:t>12 (2.4%)</w:t>
            </w:r>
          </w:p>
        </w:tc>
      </w:tr>
      <w:tr w:rsidR="00AF1608" w:rsidRPr="00AF1608" w14:paraId="55551F7A" w14:textId="77777777" w:rsidTr="00212BF6">
        <w:trPr>
          <w:divId w:val="935526654"/>
          <w:trHeight w:val="20"/>
        </w:trPr>
        <w:tc>
          <w:tcPr>
            <w:tcW w:w="1417" w:type="dxa"/>
            <w:vMerge/>
            <w:tcBorders>
              <w:bottom w:val="single" w:sz="6" w:space="0" w:color="033636" w:themeColor="text2"/>
            </w:tcBorders>
            <w:shd w:val="clear" w:color="auto" w:fill="C5FFEF" w:themeFill="background2" w:themeFillTint="33"/>
          </w:tcPr>
          <w:p w14:paraId="5407FEFF" w14:textId="77777777" w:rsidR="00AF1608" w:rsidRPr="00AF1608" w:rsidRDefault="00AF1608" w:rsidP="00AF1608">
            <w:pPr>
              <w:pStyle w:val="CDITable-RowLeft"/>
            </w:pPr>
          </w:p>
        </w:tc>
        <w:tc>
          <w:tcPr>
            <w:tcW w:w="1985" w:type="dxa"/>
            <w:shd w:val="clear" w:color="auto" w:fill="F2F2F2" w:themeFill="background1" w:themeFillShade="F2"/>
            <w:tcMar>
              <w:top w:w="113" w:type="dxa"/>
              <w:left w:w="113" w:type="dxa"/>
              <w:bottom w:w="113" w:type="dxa"/>
              <w:right w:w="113" w:type="dxa"/>
            </w:tcMar>
            <w:vAlign w:val="center"/>
          </w:tcPr>
          <w:p w14:paraId="51CE5C05" w14:textId="77777777" w:rsidR="00AF1608" w:rsidRPr="00AF1608" w:rsidRDefault="00AF1608" w:rsidP="00AF1608">
            <w:pPr>
              <w:pStyle w:val="CDITable-RowLeft"/>
            </w:pPr>
            <w:r w:rsidRPr="00AF1608">
              <w:t>20–39</w:t>
            </w:r>
          </w:p>
        </w:tc>
        <w:tc>
          <w:tcPr>
            <w:tcW w:w="2078" w:type="dxa"/>
            <w:shd w:val="clear" w:color="auto" w:fill="F2F2F2" w:themeFill="background1" w:themeFillShade="F2"/>
            <w:tcMar>
              <w:top w:w="113" w:type="dxa"/>
              <w:left w:w="113" w:type="dxa"/>
              <w:bottom w:w="113" w:type="dxa"/>
              <w:right w:w="113" w:type="dxa"/>
            </w:tcMar>
            <w:vAlign w:val="center"/>
          </w:tcPr>
          <w:p w14:paraId="74AD0E6B" w14:textId="77777777" w:rsidR="00AF1608" w:rsidRPr="00AF1608" w:rsidRDefault="00AF1608" w:rsidP="00AF1608">
            <w:pPr>
              <w:pStyle w:val="CDITable-RowCentre"/>
            </w:pPr>
            <w:r w:rsidRPr="00AF1608">
              <w:t>1 (10.0%)</w:t>
            </w:r>
          </w:p>
        </w:tc>
        <w:tc>
          <w:tcPr>
            <w:tcW w:w="2079" w:type="dxa"/>
            <w:shd w:val="clear" w:color="auto" w:fill="F2F2F2" w:themeFill="background1" w:themeFillShade="F2"/>
            <w:tcMar>
              <w:top w:w="113" w:type="dxa"/>
              <w:left w:w="113" w:type="dxa"/>
              <w:bottom w:w="113" w:type="dxa"/>
              <w:right w:w="113" w:type="dxa"/>
            </w:tcMar>
            <w:vAlign w:val="center"/>
          </w:tcPr>
          <w:p w14:paraId="2E0F2093" w14:textId="77777777" w:rsidR="00AF1608" w:rsidRPr="00AF1608" w:rsidRDefault="00AF1608" w:rsidP="00AF1608">
            <w:pPr>
              <w:pStyle w:val="CDITable-RowCentre"/>
            </w:pPr>
            <w:r w:rsidRPr="00AF1608">
              <w:t>136 (27.4%)</w:t>
            </w:r>
          </w:p>
        </w:tc>
        <w:tc>
          <w:tcPr>
            <w:tcW w:w="2079" w:type="dxa"/>
            <w:shd w:val="clear" w:color="auto" w:fill="F2F2F2" w:themeFill="background1" w:themeFillShade="F2"/>
            <w:tcMar>
              <w:top w:w="113" w:type="dxa"/>
              <w:left w:w="113" w:type="dxa"/>
              <w:bottom w:w="113" w:type="dxa"/>
              <w:right w:w="113" w:type="dxa"/>
            </w:tcMar>
            <w:vAlign w:val="center"/>
          </w:tcPr>
          <w:p w14:paraId="15616B11" w14:textId="77777777" w:rsidR="00AF1608" w:rsidRPr="00AF1608" w:rsidRDefault="00AF1608" w:rsidP="00AF1608">
            <w:pPr>
              <w:pStyle w:val="CDITable-RowCentre"/>
            </w:pPr>
            <w:r w:rsidRPr="00AF1608">
              <w:t>137 (27.0%)</w:t>
            </w:r>
          </w:p>
        </w:tc>
      </w:tr>
      <w:tr w:rsidR="00AF1608" w:rsidRPr="00AF1608" w14:paraId="74B1F840" w14:textId="77777777" w:rsidTr="00212BF6">
        <w:trPr>
          <w:divId w:val="935526654"/>
          <w:trHeight w:val="20"/>
        </w:trPr>
        <w:tc>
          <w:tcPr>
            <w:tcW w:w="1417" w:type="dxa"/>
            <w:vMerge/>
            <w:tcBorders>
              <w:bottom w:val="single" w:sz="6" w:space="0" w:color="033636" w:themeColor="text2"/>
            </w:tcBorders>
            <w:shd w:val="clear" w:color="auto" w:fill="C5FFEF" w:themeFill="background2" w:themeFillTint="33"/>
          </w:tcPr>
          <w:p w14:paraId="3DA55CEB" w14:textId="77777777" w:rsidR="00AF1608" w:rsidRPr="00AF1608" w:rsidRDefault="00AF1608" w:rsidP="00AF1608">
            <w:pPr>
              <w:pStyle w:val="CDITable-RowLeft"/>
            </w:pPr>
          </w:p>
        </w:tc>
        <w:tc>
          <w:tcPr>
            <w:tcW w:w="1985" w:type="dxa"/>
            <w:tcMar>
              <w:top w:w="113" w:type="dxa"/>
              <w:left w:w="113" w:type="dxa"/>
              <w:bottom w:w="113" w:type="dxa"/>
              <w:right w:w="113" w:type="dxa"/>
            </w:tcMar>
            <w:vAlign w:val="center"/>
          </w:tcPr>
          <w:p w14:paraId="0BEA75CC" w14:textId="77777777" w:rsidR="00AF1608" w:rsidRPr="00AF1608" w:rsidRDefault="00AF1608" w:rsidP="00AF1608">
            <w:pPr>
              <w:pStyle w:val="CDITable-RowLeft"/>
            </w:pPr>
            <w:r w:rsidRPr="00AF1608">
              <w:t>40–59</w:t>
            </w:r>
          </w:p>
        </w:tc>
        <w:tc>
          <w:tcPr>
            <w:tcW w:w="2078" w:type="dxa"/>
            <w:tcMar>
              <w:top w:w="113" w:type="dxa"/>
              <w:left w:w="113" w:type="dxa"/>
              <w:bottom w:w="113" w:type="dxa"/>
              <w:right w:w="113" w:type="dxa"/>
            </w:tcMar>
            <w:vAlign w:val="center"/>
          </w:tcPr>
          <w:p w14:paraId="3CB5BF18" w14:textId="77777777" w:rsidR="00AF1608" w:rsidRPr="00AF1608" w:rsidRDefault="00AF1608" w:rsidP="00AF1608">
            <w:pPr>
              <w:pStyle w:val="CDITable-RowCentre"/>
            </w:pPr>
            <w:r w:rsidRPr="00AF1608">
              <w:t>1 (10.0%)</w:t>
            </w:r>
          </w:p>
        </w:tc>
        <w:tc>
          <w:tcPr>
            <w:tcW w:w="2079" w:type="dxa"/>
            <w:tcMar>
              <w:top w:w="113" w:type="dxa"/>
              <w:left w:w="113" w:type="dxa"/>
              <w:bottom w:w="113" w:type="dxa"/>
              <w:right w:w="113" w:type="dxa"/>
            </w:tcMar>
            <w:vAlign w:val="center"/>
          </w:tcPr>
          <w:p w14:paraId="2370C719" w14:textId="77777777" w:rsidR="00AF1608" w:rsidRPr="00AF1608" w:rsidRDefault="00AF1608" w:rsidP="00AF1608">
            <w:pPr>
              <w:pStyle w:val="CDITable-RowCentre"/>
            </w:pPr>
            <w:r w:rsidRPr="00AF1608">
              <w:t>136 (27.4%)</w:t>
            </w:r>
          </w:p>
        </w:tc>
        <w:tc>
          <w:tcPr>
            <w:tcW w:w="2079" w:type="dxa"/>
            <w:tcMar>
              <w:top w:w="113" w:type="dxa"/>
              <w:left w:w="113" w:type="dxa"/>
              <w:bottom w:w="113" w:type="dxa"/>
              <w:right w:w="113" w:type="dxa"/>
            </w:tcMar>
            <w:vAlign w:val="center"/>
          </w:tcPr>
          <w:p w14:paraId="3892D995" w14:textId="77777777" w:rsidR="00AF1608" w:rsidRPr="00AF1608" w:rsidRDefault="00AF1608" w:rsidP="00AF1608">
            <w:pPr>
              <w:pStyle w:val="CDITable-RowCentre"/>
            </w:pPr>
            <w:r w:rsidRPr="00AF1608">
              <w:t>137 (27.0%)</w:t>
            </w:r>
          </w:p>
        </w:tc>
      </w:tr>
      <w:tr w:rsidR="00AF1608" w:rsidRPr="00AF1608" w14:paraId="248053BF" w14:textId="77777777" w:rsidTr="00212BF6">
        <w:trPr>
          <w:divId w:val="935526654"/>
          <w:trHeight w:val="20"/>
        </w:trPr>
        <w:tc>
          <w:tcPr>
            <w:tcW w:w="1417" w:type="dxa"/>
            <w:vMerge/>
            <w:tcBorders>
              <w:bottom w:val="single" w:sz="6" w:space="0" w:color="033636" w:themeColor="text2"/>
            </w:tcBorders>
            <w:shd w:val="clear" w:color="auto" w:fill="C5FFEF" w:themeFill="background2" w:themeFillTint="33"/>
          </w:tcPr>
          <w:p w14:paraId="6A8DA842" w14:textId="77777777" w:rsidR="00AF1608" w:rsidRPr="00AF1608" w:rsidRDefault="00AF1608" w:rsidP="00AF1608">
            <w:pPr>
              <w:pStyle w:val="CDITable-RowLeft"/>
            </w:pPr>
          </w:p>
        </w:tc>
        <w:tc>
          <w:tcPr>
            <w:tcW w:w="1985" w:type="dxa"/>
            <w:shd w:val="clear" w:color="auto" w:fill="F2F2F2" w:themeFill="background1" w:themeFillShade="F2"/>
            <w:tcMar>
              <w:top w:w="113" w:type="dxa"/>
              <w:left w:w="113" w:type="dxa"/>
              <w:bottom w:w="113" w:type="dxa"/>
              <w:right w:w="113" w:type="dxa"/>
            </w:tcMar>
            <w:vAlign w:val="center"/>
          </w:tcPr>
          <w:p w14:paraId="577CD34D" w14:textId="77777777" w:rsidR="00AF1608" w:rsidRPr="00AF1608" w:rsidRDefault="00AF1608" w:rsidP="00AF1608">
            <w:pPr>
              <w:pStyle w:val="CDITable-RowLeft"/>
            </w:pPr>
            <w:r w:rsidRPr="00AF1608">
              <w:t>60–79</w:t>
            </w:r>
          </w:p>
        </w:tc>
        <w:tc>
          <w:tcPr>
            <w:tcW w:w="2078" w:type="dxa"/>
            <w:shd w:val="clear" w:color="auto" w:fill="F2F2F2" w:themeFill="background1" w:themeFillShade="F2"/>
            <w:tcMar>
              <w:top w:w="113" w:type="dxa"/>
              <w:left w:w="113" w:type="dxa"/>
              <w:bottom w:w="113" w:type="dxa"/>
              <w:right w:w="113" w:type="dxa"/>
            </w:tcMar>
            <w:vAlign w:val="center"/>
          </w:tcPr>
          <w:p w14:paraId="6AC31D51" w14:textId="77777777" w:rsidR="00AF1608" w:rsidRPr="00AF1608" w:rsidRDefault="00AF1608" w:rsidP="00AF1608">
            <w:pPr>
              <w:pStyle w:val="CDITable-RowCentre"/>
            </w:pPr>
            <w:r w:rsidRPr="00AF1608">
              <w:t>6 (60.0%)</w:t>
            </w:r>
          </w:p>
        </w:tc>
        <w:tc>
          <w:tcPr>
            <w:tcW w:w="2079" w:type="dxa"/>
            <w:shd w:val="clear" w:color="auto" w:fill="F2F2F2" w:themeFill="background1" w:themeFillShade="F2"/>
            <w:tcMar>
              <w:top w:w="113" w:type="dxa"/>
              <w:left w:w="113" w:type="dxa"/>
              <w:bottom w:w="113" w:type="dxa"/>
              <w:right w:w="113" w:type="dxa"/>
            </w:tcMar>
            <w:vAlign w:val="center"/>
          </w:tcPr>
          <w:p w14:paraId="5A489F4A" w14:textId="77777777" w:rsidR="00AF1608" w:rsidRPr="00AF1608" w:rsidRDefault="00AF1608" w:rsidP="00AF1608">
            <w:pPr>
              <w:pStyle w:val="CDITable-RowCentre"/>
            </w:pPr>
            <w:r w:rsidRPr="00AF1608">
              <w:t>179 (36.0%)</w:t>
            </w:r>
          </w:p>
        </w:tc>
        <w:tc>
          <w:tcPr>
            <w:tcW w:w="2079" w:type="dxa"/>
            <w:shd w:val="clear" w:color="auto" w:fill="F2F2F2" w:themeFill="background1" w:themeFillShade="F2"/>
            <w:tcMar>
              <w:top w:w="113" w:type="dxa"/>
              <w:left w:w="113" w:type="dxa"/>
              <w:bottom w:w="113" w:type="dxa"/>
              <w:right w:w="113" w:type="dxa"/>
            </w:tcMar>
            <w:vAlign w:val="center"/>
          </w:tcPr>
          <w:p w14:paraId="2F13C52E" w14:textId="77777777" w:rsidR="00AF1608" w:rsidRPr="00AF1608" w:rsidRDefault="00AF1608" w:rsidP="00AF1608">
            <w:pPr>
              <w:pStyle w:val="CDITable-RowCentre"/>
            </w:pPr>
            <w:r w:rsidRPr="00AF1608">
              <w:t>185 (36.5%)</w:t>
            </w:r>
          </w:p>
        </w:tc>
      </w:tr>
      <w:tr w:rsidR="00AF1608" w:rsidRPr="00AF1608" w14:paraId="19C865D1" w14:textId="77777777" w:rsidTr="00212BF6">
        <w:trPr>
          <w:divId w:val="935526654"/>
          <w:trHeight w:val="20"/>
        </w:trPr>
        <w:tc>
          <w:tcPr>
            <w:tcW w:w="1417" w:type="dxa"/>
            <w:vMerge/>
            <w:tcBorders>
              <w:bottom w:val="single" w:sz="6" w:space="0" w:color="033636" w:themeColor="text2"/>
            </w:tcBorders>
            <w:shd w:val="clear" w:color="auto" w:fill="C5FFEF" w:themeFill="background2" w:themeFillTint="33"/>
          </w:tcPr>
          <w:p w14:paraId="6A199EA6" w14:textId="77777777" w:rsidR="00AF1608" w:rsidRPr="00AF1608" w:rsidRDefault="00AF1608" w:rsidP="00AF1608">
            <w:pPr>
              <w:pStyle w:val="CDITable-RowLeft"/>
            </w:pPr>
          </w:p>
        </w:tc>
        <w:tc>
          <w:tcPr>
            <w:tcW w:w="1985" w:type="dxa"/>
            <w:tcBorders>
              <w:bottom w:val="single" w:sz="6" w:space="0" w:color="033636" w:themeColor="text2"/>
            </w:tcBorders>
            <w:tcMar>
              <w:top w:w="113" w:type="dxa"/>
              <w:left w:w="113" w:type="dxa"/>
              <w:bottom w:w="113" w:type="dxa"/>
              <w:right w:w="113" w:type="dxa"/>
            </w:tcMar>
            <w:vAlign w:val="center"/>
          </w:tcPr>
          <w:p w14:paraId="73E84575" w14:textId="77777777" w:rsidR="00AF1608" w:rsidRPr="00AF1608" w:rsidRDefault="00AF1608" w:rsidP="00AF1608">
            <w:pPr>
              <w:pStyle w:val="CDITable-RowLeft"/>
            </w:pPr>
            <w:r w:rsidRPr="00AF1608">
              <w:t>≥ 80</w:t>
            </w:r>
          </w:p>
        </w:tc>
        <w:tc>
          <w:tcPr>
            <w:tcW w:w="2078" w:type="dxa"/>
            <w:tcBorders>
              <w:bottom w:val="single" w:sz="6" w:space="0" w:color="033636" w:themeColor="text2"/>
            </w:tcBorders>
            <w:tcMar>
              <w:top w:w="113" w:type="dxa"/>
              <w:left w:w="113" w:type="dxa"/>
              <w:bottom w:w="113" w:type="dxa"/>
              <w:right w:w="113" w:type="dxa"/>
            </w:tcMar>
            <w:vAlign w:val="center"/>
          </w:tcPr>
          <w:p w14:paraId="30BD7CB6" w14:textId="77777777" w:rsidR="00AF1608" w:rsidRPr="00AF1608" w:rsidRDefault="00AF1608" w:rsidP="00AF1608">
            <w:pPr>
              <w:pStyle w:val="CDITable-RowCentre"/>
            </w:pPr>
            <w:r w:rsidRPr="00AF1608">
              <w:t>1 (10.0%)</w:t>
            </w:r>
          </w:p>
        </w:tc>
        <w:tc>
          <w:tcPr>
            <w:tcW w:w="2079" w:type="dxa"/>
            <w:tcBorders>
              <w:bottom w:val="single" w:sz="6" w:space="0" w:color="033636" w:themeColor="text2"/>
            </w:tcBorders>
            <w:tcMar>
              <w:top w:w="113" w:type="dxa"/>
              <w:left w:w="113" w:type="dxa"/>
              <w:bottom w:w="113" w:type="dxa"/>
              <w:right w:w="113" w:type="dxa"/>
            </w:tcMar>
            <w:vAlign w:val="center"/>
          </w:tcPr>
          <w:p w14:paraId="70661879" w14:textId="77777777" w:rsidR="00AF1608" w:rsidRPr="00AF1608" w:rsidRDefault="00AF1608" w:rsidP="00AF1608">
            <w:pPr>
              <w:pStyle w:val="CDITable-RowCentre"/>
            </w:pPr>
            <w:r w:rsidRPr="00AF1608">
              <w:t>32 (6.4%)</w:t>
            </w:r>
          </w:p>
        </w:tc>
        <w:tc>
          <w:tcPr>
            <w:tcW w:w="2079" w:type="dxa"/>
            <w:tcBorders>
              <w:bottom w:val="single" w:sz="6" w:space="0" w:color="033636" w:themeColor="text2"/>
            </w:tcBorders>
            <w:tcMar>
              <w:top w:w="113" w:type="dxa"/>
              <w:left w:w="113" w:type="dxa"/>
              <w:bottom w:w="113" w:type="dxa"/>
              <w:right w:w="113" w:type="dxa"/>
            </w:tcMar>
            <w:vAlign w:val="center"/>
          </w:tcPr>
          <w:p w14:paraId="17C5C94E" w14:textId="77777777" w:rsidR="00AF1608" w:rsidRPr="00AF1608" w:rsidRDefault="00AF1608" w:rsidP="00AF1608">
            <w:pPr>
              <w:pStyle w:val="CDITable-RowCentre"/>
            </w:pPr>
            <w:r w:rsidRPr="00AF1608">
              <w:t>33 (6.5%)</w:t>
            </w:r>
          </w:p>
        </w:tc>
      </w:tr>
      <w:tr w:rsidR="00AF1608" w:rsidRPr="00AF1608" w14:paraId="7E603E60" w14:textId="77777777" w:rsidTr="00212BF6">
        <w:trPr>
          <w:divId w:val="935526654"/>
          <w:trHeight w:val="20"/>
        </w:trPr>
        <w:tc>
          <w:tcPr>
            <w:tcW w:w="1417"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7F6CA68" w14:textId="77777777" w:rsidR="00AF1608" w:rsidRPr="00AF1608" w:rsidRDefault="00AF1608" w:rsidP="00AF1608">
            <w:pPr>
              <w:pStyle w:val="CDITable-RowLeft"/>
            </w:pPr>
            <w:proofErr w:type="spellStart"/>
            <w:r w:rsidRPr="00AF1608">
              <w:t>Gender</w:t>
            </w:r>
            <w:r w:rsidRPr="00AF1608">
              <w:rPr>
                <w:vertAlign w:val="superscript"/>
              </w:rPr>
              <w:t>a</w:t>
            </w:r>
            <w:proofErr w:type="spellEnd"/>
          </w:p>
        </w:tc>
        <w:tc>
          <w:tcPr>
            <w:tcW w:w="1985"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1BFDC90" w14:textId="77777777" w:rsidR="00AF1608" w:rsidRPr="00AF1608" w:rsidRDefault="00AF1608" w:rsidP="00AF1608">
            <w:pPr>
              <w:pStyle w:val="CDITable-RowLeft"/>
            </w:pPr>
            <w:r w:rsidRPr="00AF1608">
              <w:t>Male</w:t>
            </w:r>
          </w:p>
        </w:tc>
        <w:tc>
          <w:tcPr>
            <w:tcW w:w="207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87D3F8E" w14:textId="77777777" w:rsidR="00AF1608" w:rsidRPr="00AF1608" w:rsidRDefault="00AF1608" w:rsidP="00AF1608">
            <w:pPr>
              <w:pStyle w:val="CDITable-RowCentre"/>
            </w:pPr>
            <w:r w:rsidRPr="00AF1608">
              <w:t>5 (50.0%)</w:t>
            </w:r>
          </w:p>
        </w:tc>
        <w:tc>
          <w:tcPr>
            <w:tcW w:w="207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7FBE9C0" w14:textId="77777777" w:rsidR="00AF1608" w:rsidRPr="00AF1608" w:rsidRDefault="00AF1608" w:rsidP="00AF1608">
            <w:pPr>
              <w:pStyle w:val="CDITable-RowCentre"/>
            </w:pPr>
            <w:r w:rsidRPr="00AF1608">
              <w:t>168 (33.8%)</w:t>
            </w:r>
          </w:p>
        </w:tc>
        <w:tc>
          <w:tcPr>
            <w:tcW w:w="207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6434950" w14:textId="77777777" w:rsidR="00AF1608" w:rsidRPr="00AF1608" w:rsidRDefault="00AF1608" w:rsidP="00AF1608">
            <w:pPr>
              <w:pStyle w:val="CDITable-RowCentre"/>
            </w:pPr>
            <w:r w:rsidRPr="00AF1608">
              <w:t>173 (34.1%)</w:t>
            </w:r>
          </w:p>
        </w:tc>
      </w:tr>
      <w:tr w:rsidR="00AF1608" w:rsidRPr="00AF1608" w14:paraId="32FAF4F3" w14:textId="77777777" w:rsidTr="00212BF6">
        <w:trPr>
          <w:divId w:val="935526654"/>
          <w:trHeight w:val="20"/>
        </w:trPr>
        <w:tc>
          <w:tcPr>
            <w:tcW w:w="1417" w:type="dxa"/>
            <w:vMerge/>
            <w:tcBorders>
              <w:bottom w:val="single" w:sz="6" w:space="0" w:color="033636" w:themeColor="text2"/>
            </w:tcBorders>
            <w:shd w:val="clear" w:color="auto" w:fill="C5FFEF" w:themeFill="background2" w:themeFillTint="33"/>
          </w:tcPr>
          <w:p w14:paraId="4D45F18B" w14:textId="77777777" w:rsidR="00AF1608" w:rsidRPr="00AF1608" w:rsidRDefault="00AF1608" w:rsidP="00AF1608">
            <w:pPr>
              <w:pStyle w:val="CDITable-RowLeft"/>
            </w:pPr>
          </w:p>
        </w:tc>
        <w:tc>
          <w:tcPr>
            <w:tcW w:w="1985" w:type="dxa"/>
            <w:tcBorders>
              <w:bottom w:val="single" w:sz="6" w:space="0" w:color="033636" w:themeColor="text2"/>
            </w:tcBorders>
            <w:tcMar>
              <w:top w:w="113" w:type="dxa"/>
              <w:left w:w="113" w:type="dxa"/>
              <w:bottom w:w="113" w:type="dxa"/>
              <w:right w:w="113" w:type="dxa"/>
            </w:tcMar>
            <w:vAlign w:val="center"/>
          </w:tcPr>
          <w:p w14:paraId="0F504754" w14:textId="77777777" w:rsidR="00AF1608" w:rsidRPr="00AF1608" w:rsidRDefault="00AF1608" w:rsidP="00AF1608">
            <w:pPr>
              <w:pStyle w:val="CDITable-RowLeft"/>
            </w:pPr>
            <w:r w:rsidRPr="00AF1608">
              <w:t>Female</w:t>
            </w:r>
          </w:p>
        </w:tc>
        <w:tc>
          <w:tcPr>
            <w:tcW w:w="2078" w:type="dxa"/>
            <w:tcBorders>
              <w:bottom w:val="single" w:sz="6" w:space="0" w:color="033636" w:themeColor="text2"/>
            </w:tcBorders>
            <w:tcMar>
              <w:top w:w="113" w:type="dxa"/>
              <w:left w:w="113" w:type="dxa"/>
              <w:bottom w:w="113" w:type="dxa"/>
              <w:right w:w="113" w:type="dxa"/>
            </w:tcMar>
            <w:vAlign w:val="center"/>
          </w:tcPr>
          <w:p w14:paraId="15CD0F3A" w14:textId="77777777" w:rsidR="00AF1608" w:rsidRPr="00AF1608" w:rsidRDefault="00AF1608" w:rsidP="00AF1608">
            <w:pPr>
              <w:pStyle w:val="CDITable-RowCentre"/>
            </w:pPr>
            <w:r w:rsidRPr="00AF1608">
              <w:t>5 (50.0%)</w:t>
            </w:r>
          </w:p>
        </w:tc>
        <w:tc>
          <w:tcPr>
            <w:tcW w:w="2079" w:type="dxa"/>
            <w:tcBorders>
              <w:bottom w:val="single" w:sz="6" w:space="0" w:color="033636" w:themeColor="text2"/>
            </w:tcBorders>
            <w:tcMar>
              <w:top w:w="113" w:type="dxa"/>
              <w:left w:w="113" w:type="dxa"/>
              <w:bottom w:w="113" w:type="dxa"/>
              <w:right w:w="113" w:type="dxa"/>
            </w:tcMar>
            <w:vAlign w:val="center"/>
          </w:tcPr>
          <w:p w14:paraId="76CDCFE6" w14:textId="77777777" w:rsidR="00AF1608" w:rsidRPr="00AF1608" w:rsidRDefault="00AF1608" w:rsidP="00AF1608">
            <w:pPr>
              <w:pStyle w:val="CDITable-RowCentre"/>
            </w:pPr>
            <w:r w:rsidRPr="00AF1608">
              <w:t>328 (66.0%)</w:t>
            </w:r>
          </w:p>
        </w:tc>
        <w:tc>
          <w:tcPr>
            <w:tcW w:w="2079" w:type="dxa"/>
            <w:tcBorders>
              <w:bottom w:val="single" w:sz="6" w:space="0" w:color="033636" w:themeColor="text2"/>
            </w:tcBorders>
            <w:tcMar>
              <w:top w:w="113" w:type="dxa"/>
              <w:left w:w="113" w:type="dxa"/>
              <w:bottom w:w="113" w:type="dxa"/>
              <w:right w:w="113" w:type="dxa"/>
            </w:tcMar>
            <w:vAlign w:val="center"/>
          </w:tcPr>
          <w:p w14:paraId="50ADB4B9" w14:textId="77777777" w:rsidR="00AF1608" w:rsidRPr="00AF1608" w:rsidRDefault="00AF1608" w:rsidP="00AF1608">
            <w:pPr>
              <w:pStyle w:val="CDITable-RowCentre"/>
            </w:pPr>
            <w:r w:rsidRPr="00AF1608">
              <w:t>333 (65.7%)</w:t>
            </w:r>
          </w:p>
        </w:tc>
      </w:tr>
      <w:tr w:rsidR="00AF1608" w:rsidRPr="00AF1608" w14:paraId="0205E419" w14:textId="77777777" w:rsidTr="00212BF6">
        <w:trPr>
          <w:divId w:val="935526654"/>
          <w:trHeight w:val="20"/>
        </w:trPr>
        <w:tc>
          <w:tcPr>
            <w:tcW w:w="1417"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093DCA7" w14:textId="77777777" w:rsidR="00AF1608" w:rsidRPr="00AF1608" w:rsidRDefault="00AF1608" w:rsidP="00AF1608">
            <w:pPr>
              <w:pStyle w:val="CDITable-RowLeft"/>
            </w:pPr>
            <w:r w:rsidRPr="00AF1608">
              <w:t>Aboriginal or Torres Strait Islander status</w:t>
            </w:r>
          </w:p>
        </w:tc>
        <w:tc>
          <w:tcPr>
            <w:tcW w:w="1985"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384CC5C" w14:textId="77777777" w:rsidR="00AF1608" w:rsidRPr="00AF1608" w:rsidRDefault="00AF1608" w:rsidP="00AF1608">
            <w:pPr>
              <w:pStyle w:val="CDITable-RowLeft"/>
            </w:pPr>
            <w:r w:rsidRPr="00AF1608">
              <w:t>Not Aboriginal or Torres Strait Islander</w:t>
            </w:r>
          </w:p>
        </w:tc>
        <w:tc>
          <w:tcPr>
            <w:tcW w:w="207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8A0A928" w14:textId="77777777" w:rsidR="00AF1608" w:rsidRPr="00AF1608" w:rsidRDefault="00AF1608" w:rsidP="00AF1608">
            <w:pPr>
              <w:pStyle w:val="CDITable-RowCentre"/>
            </w:pPr>
            <w:r w:rsidRPr="00AF1608">
              <w:t>10 (100%)</w:t>
            </w:r>
          </w:p>
        </w:tc>
        <w:tc>
          <w:tcPr>
            <w:tcW w:w="207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686452B" w14:textId="77777777" w:rsidR="00AF1608" w:rsidRPr="00AF1608" w:rsidRDefault="00AF1608" w:rsidP="00AF1608">
            <w:pPr>
              <w:pStyle w:val="CDITable-RowCentre"/>
            </w:pPr>
            <w:r w:rsidRPr="00AF1608">
              <w:t>485 (97.6%)</w:t>
            </w:r>
          </w:p>
        </w:tc>
        <w:tc>
          <w:tcPr>
            <w:tcW w:w="207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81829BB" w14:textId="77777777" w:rsidR="00AF1608" w:rsidRPr="00AF1608" w:rsidRDefault="00AF1608" w:rsidP="00AF1608">
            <w:pPr>
              <w:pStyle w:val="CDITable-RowCentre"/>
            </w:pPr>
            <w:r w:rsidRPr="00AF1608">
              <w:t>495 (97.6%)</w:t>
            </w:r>
          </w:p>
        </w:tc>
      </w:tr>
      <w:tr w:rsidR="00AF1608" w:rsidRPr="00AF1608" w14:paraId="6BCE7848" w14:textId="77777777" w:rsidTr="00212BF6">
        <w:trPr>
          <w:divId w:val="935526654"/>
          <w:trHeight w:val="20"/>
        </w:trPr>
        <w:tc>
          <w:tcPr>
            <w:tcW w:w="1417" w:type="dxa"/>
            <w:vMerge/>
            <w:tcBorders>
              <w:bottom w:val="single" w:sz="6" w:space="0" w:color="033636" w:themeColor="text2"/>
            </w:tcBorders>
            <w:shd w:val="clear" w:color="auto" w:fill="C5FFEF" w:themeFill="background2" w:themeFillTint="33"/>
          </w:tcPr>
          <w:p w14:paraId="370C3B8B" w14:textId="77777777" w:rsidR="00AF1608" w:rsidRPr="00AF1608" w:rsidRDefault="00AF1608" w:rsidP="00AF1608">
            <w:pPr>
              <w:pStyle w:val="CDITable-RowLeft"/>
            </w:pPr>
          </w:p>
        </w:tc>
        <w:tc>
          <w:tcPr>
            <w:tcW w:w="1985" w:type="dxa"/>
            <w:tcMar>
              <w:top w:w="113" w:type="dxa"/>
              <w:left w:w="113" w:type="dxa"/>
              <w:bottom w:w="113" w:type="dxa"/>
              <w:right w:w="113" w:type="dxa"/>
            </w:tcMar>
            <w:vAlign w:val="center"/>
          </w:tcPr>
          <w:p w14:paraId="6B5520A2" w14:textId="77777777" w:rsidR="00AF1608" w:rsidRPr="00AF1608" w:rsidRDefault="00AF1608" w:rsidP="00AF1608">
            <w:pPr>
              <w:pStyle w:val="CDITable-RowLeft"/>
            </w:pPr>
            <w:r w:rsidRPr="00AF1608">
              <w:t>Aboriginal</w:t>
            </w:r>
          </w:p>
        </w:tc>
        <w:tc>
          <w:tcPr>
            <w:tcW w:w="2078" w:type="dxa"/>
            <w:tcMar>
              <w:top w:w="113" w:type="dxa"/>
              <w:left w:w="113" w:type="dxa"/>
              <w:bottom w:w="113" w:type="dxa"/>
              <w:right w:w="113" w:type="dxa"/>
            </w:tcMar>
            <w:vAlign w:val="center"/>
          </w:tcPr>
          <w:p w14:paraId="3BD1CF3A" w14:textId="77777777" w:rsidR="00AF1608" w:rsidRPr="00AF1608" w:rsidRDefault="00AF1608" w:rsidP="00AF1608">
            <w:pPr>
              <w:pStyle w:val="CDITable-RowCentre"/>
            </w:pPr>
            <w:r w:rsidRPr="00AF1608">
              <w:t>0 (0.0%)</w:t>
            </w:r>
          </w:p>
        </w:tc>
        <w:tc>
          <w:tcPr>
            <w:tcW w:w="2079" w:type="dxa"/>
            <w:tcMar>
              <w:top w:w="113" w:type="dxa"/>
              <w:left w:w="113" w:type="dxa"/>
              <w:bottom w:w="113" w:type="dxa"/>
              <w:right w:w="113" w:type="dxa"/>
            </w:tcMar>
            <w:vAlign w:val="center"/>
          </w:tcPr>
          <w:p w14:paraId="7B07BEF4" w14:textId="77777777" w:rsidR="00AF1608" w:rsidRPr="00AF1608" w:rsidRDefault="00AF1608" w:rsidP="00AF1608">
            <w:pPr>
              <w:pStyle w:val="CDITable-RowCentre"/>
            </w:pPr>
            <w:r w:rsidRPr="00AF1608">
              <w:t>7 (1.4%)</w:t>
            </w:r>
          </w:p>
        </w:tc>
        <w:tc>
          <w:tcPr>
            <w:tcW w:w="2079" w:type="dxa"/>
            <w:tcMar>
              <w:top w:w="113" w:type="dxa"/>
              <w:left w:w="113" w:type="dxa"/>
              <w:bottom w:w="113" w:type="dxa"/>
              <w:right w:w="113" w:type="dxa"/>
            </w:tcMar>
            <w:vAlign w:val="center"/>
          </w:tcPr>
          <w:p w14:paraId="7335A381" w14:textId="77777777" w:rsidR="00AF1608" w:rsidRPr="00AF1608" w:rsidRDefault="00AF1608" w:rsidP="00AF1608">
            <w:pPr>
              <w:pStyle w:val="CDITable-RowCentre"/>
            </w:pPr>
            <w:r w:rsidRPr="00AF1608">
              <w:t>7 (1.4%)</w:t>
            </w:r>
          </w:p>
        </w:tc>
      </w:tr>
      <w:tr w:rsidR="00AF1608" w:rsidRPr="00AF1608" w14:paraId="3A8EC7AF" w14:textId="77777777" w:rsidTr="00212BF6">
        <w:trPr>
          <w:divId w:val="935526654"/>
          <w:trHeight w:val="20"/>
        </w:trPr>
        <w:tc>
          <w:tcPr>
            <w:tcW w:w="1417" w:type="dxa"/>
            <w:vMerge/>
            <w:tcBorders>
              <w:bottom w:val="single" w:sz="6" w:space="0" w:color="033636" w:themeColor="text2"/>
            </w:tcBorders>
            <w:shd w:val="clear" w:color="auto" w:fill="C5FFEF" w:themeFill="background2" w:themeFillTint="33"/>
          </w:tcPr>
          <w:p w14:paraId="6AE95C10" w14:textId="77777777" w:rsidR="00AF1608" w:rsidRPr="00AF1608" w:rsidRDefault="00AF1608" w:rsidP="00AF1608">
            <w:pPr>
              <w:pStyle w:val="CDITable-RowLeft"/>
            </w:pPr>
          </w:p>
        </w:tc>
        <w:tc>
          <w:tcPr>
            <w:tcW w:w="1985" w:type="dxa"/>
            <w:shd w:val="clear" w:color="auto" w:fill="F2F2F2" w:themeFill="background1" w:themeFillShade="F2"/>
            <w:tcMar>
              <w:top w:w="113" w:type="dxa"/>
              <w:left w:w="113" w:type="dxa"/>
              <w:bottom w:w="113" w:type="dxa"/>
              <w:right w:w="113" w:type="dxa"/>
            </w:tcMar>
            <w:vAlign w:val="center"/>
          </w:tcPr>
          <w:p w14:paraId="157DC009" w14:textId="77777777" w:rsidR="00AF1608" w:rsidRPr="00AF1608" w:rsidRDefault="00AF1608" w:rsidP="00AF1608">
            <w:pPr>
              <w:pStyle w:val="CDITable-RowLeft"/>
            </w:pPr>
            <w:r w:rsidRPr="00AF1608">
              <w:t>Torres Strait Islander</w:t>
            </w:r>
          </w:p>
        </w:tc>
        <w:tc>
          <w:tcPr>
            <w:tcW w:w="2078" w:type="dxa"/>
            <w:shd w:val="clear" w:color="auto" w:fill="F2F2F2" w:themeFill="background1" w:themeFillShade="F2"/>
            <w:tcMar>
              <w:top w:w="113" w:type="dxa"/>
              <w:left w:w="113" w:type="dxa"/>
              <w:bottom w:w="113" w:type="dxa"/>
              <w:right w:w="113" w:type="dxa"/>
            </w:tcMar>
            <w:vAlign w:val="center"/>
          </w:tcPr>
          <w:p w14:paraId="143CD43E" w14:textId="77777777" w:rsidR="00AF1608" w:rsidRPr="00AF1608" w:rsidRDefault="00AF1608" w:rsidP="00AF1608">
            <w:pPr>
              <w:pStyle w:val="CDITable-RowCentre"/>
            </w:pPr>
            <w:r w:rsidRPr="00AF1608">
              <w:t>0 (0.0%)</w:t>
            </w:r>
          </w:p>
        </w:tc>
        <w:tc>
          <w:tcPr>
            <w:tcW w:w="2079" w:type="dxa"/>
            <w:shd w:val="clear" w:color="auto" w:fill="F2F2F2" w:themeFill="background1" w:themeFillShade="F2"/>
            <w:tcMar>
              <w:top w:w="113" w:type="dxa"/>
              <w:left w:w="113" w:type="dxa"/>
              <w:bottom w:w="113" w:type="dxa"/>
              <w:right w:w="113" w:type="dxa"/>
            </w:tcMar>
            <w:vAlign w:val="center"/>
          </w:tcPr>
          <w:p w14:paraId="7CA7001F" w14:textId="77777777" w:rsidR="00AF1608" w:rsidRPr="00AF1608" w:rsidRDefault="00AF1608" w:rsidP="00AF1608">
            <w:pPr>
              <w:pStyle w:val="CDITable-RowCentre"/>
            </w:pPr>
            <w:r w:rsidRPr="00AF1608">
              <w:t>2 (0.4%)</w:t>
            </w:r>
          </w:p>
        </w:tc>
        <w:tc>
          <w:tcPr>
            <w:tcW w:w="2079" w:type="dxa"/>
            <w:shd w:val="clear" w:color="auto" w:fill="F2F2F2" w:themeFill="background1" w:themeFillShade="F2"/>
            <w:tcMar>
              <w:top w:w="113" w:type="dxa"/>
              <w:left w:w="113" w:type="dxa"/>
              <w:bottom w:w="113" w:type="dxa"/>
              <w:right w:w="113" w:type="dxa"/>
            </w:tcMar>
            <w:vAlign w:val="center"/>
          </w:tcPr>
          <w:p w14:paraId="2DBCAEE8" w14:textId="77777777" w:rsidR="00AF1608" w:rsidRPr="00AF1608" w:rsidRDefault="00AF1608" w:rsidP="00AF1608">
            <w:pPr>
              <w:pStyle w:val="CDITable-RowCentre"/>
            </w:pPr>
            <w:r w:rsidRPr="00AF1608">
              <w:t>2 (0.4%)</w:t>
            </w:r>
          </w:p>
        </w:tc>
      </w:tr>
      <w:tr w:rsidR="00AF1608" w:rsidRPr="00AF1608" w14:paraId="08C555A3" w14:textId="77777777" w:rsidTr="00212BF6">
        <w:trPr>
          <w:divId w:val="935526654"/>
          <w:trHeight w:val="20"/>
        </w:trPr>
        <w:tc>
          <w:tcPr>
            <w:tcW w:w="1417" w:type="dxa"/>
            <w:vMerge/>
            <w:tcBorders>
              <w:bottom w:val="single" w:sz="6" w:space="0" w:color="033636" w:themeColor="text2"/>
            </w:tcBorders>
            <w:shd w:val="clear" w:color="auto" w:fill="C5FFEF" w:themeFill="background2" w:themeFillTint="33"/>
          </w:tcPr>
          <w:p w14:paraId="128F5068" w14:textId="77777777" w:rsidR="00AF1608" w:rsidRPr="00AF1608" w:rsidRDefault="00AF1608" w:rsidP="00AF1608">
            <w:pPr>
              <w:pStyle w:val="CDITable-RowLeft"/>
            </w:pPr>
          </w:p>
        </w:tc>
        <w:tc>
          <w:tcPr>
            <w:tcW w:w="1985" w:type="dxa"/>
            <w:tcBorders>
              <w:bottom w:val="single" w:sz="6" w:space="0" w:color="033636" w:themeColor="text2"/>
            </w:tcBorders>
            <w:tcMar>
              <w:top w:w="113" w:type="dxa"/>
              <w:left w:w="113" w:type="dxa"/>
              <w:bottom w:w="113" w:type="dxa"/>
              <w:right w:w="113" w:type="dxa"/>
            </w:tcMar>
            <w:vAlign w:val="center"/>
          </w:tcPr>
          <w:p w14:paraId="1F0C525E" w14:textId="77777777" w:rsidR="00AF1608" w:rsidRPr="00AF1608" w:rsidRDefault="00AF1608" w:rsidP="00AF1608">
            <w:pPr>
              <w:pStyle w:val="CDITable-RowLeft"/>
            </w:pPr>
            <w:r w:rsidRPr="00AF1608">
              <w:t>Prefer not to say</w:t>
            </w:r>
          </w:p>
        </w:tc>
        <w:tc>
          <w:tcPr>
            <w:tcW w:w="2078" w:type="dxa"/>
            <w:tcBorders>
              <w:bottom w:val="single" w:sz="6" w:space="0" w:color="033636" w:themeColor="text2"/>
            </w:tcBorders>
            <w:tcMar>
              <w:top w:w="113" w:type="dxa"/>
              <w:left w:w="113" w:type="dxa"/>
              <w:bottom w:w="113" w:type="dxa"/>
              <w:right w:w="113" w:type="dxa"/>
            </w:tcMar>
            <w:vAlign w:val="center"/>
          </w:tcPr>
          <w:p w14:paraId="36C0968C" w14:textId="77777777" w:rsidR="00AF1608" w:rsidRPr="00AF1608" w:rsidRDefault="00AF1608" w:rsidP="00AF1608">
            <w:pPr>
              <w:pStyle w:val="CDITable-RowCentre"/>
            </w:pPr>
            <w:r w:rsidRPr="00AF1608">
              <w:t>0 (0.0%)</w:t>
            </w:r>
          </w:p>
        </w:tc>
        <w:tc>
          <w:tcPr>
            <w:tcW w:w="2079" w:type="dxa"/>
            <w:tcBorders>
              <w:bottom w:val="single" w:sz="6" w:space="0" w:color="033636" w:themeColor="text2"/>
            </w:tcBorders>
            <w:tcMar>
              <w:top w:w="113" w:type="dxa"/>
              <w:left w:w="113" w:type="dxa"/>
              <w:bottom w:w="113" w:type="dxa"/>
              <w:right w:w="113" w:type="dxa"/>
            </w:tcMar>
            <w:vAlign w:val="center"/>
          </w:tcPr>
          <w:p w14:paraId="155C4DC2" w14:textId="77777777" w:rsidR="00AF1608" w:rsidRPr="00AF1608" w:rsidRDefault="00AF1608" w:rsidP="00AF1608">
            <w:pPr>
              <w:pStyle w:val="CDITable-RowCentre"/>
            </w:pPr>
            <w:r w:rsidRPr="00AF1608">
              <w:t>3 (0.6%)</w:t>
            </w:r>
          </w:p>
        </w:tc>
        <w:tc>
          <w:tcPr>
            <w:tcW w:w="2079" w:type="dxa"/>
            <w:tcBorders>
              <w:bottom w:val="single" w:sz="6" w:space="0" w:color="033636" w:themeColor="text2"/>
            </w:tcBorders>
            <w:tcMar>
              <w:top w:w="113" w:type="dxa"/>
              <w:left w:w="113" w:type="dxa"/>
              <w:bottom w:w="113" w:type="dxa"/>
              <w:right w:w="113" w:type="dxa"/>
            </w:tcMar>
            <w:vAlign w:val="center"/>
          </w:tcPr>
          <w:p w14:paraId="111FB73D" w14:textId="77777777" w:rsidR="00AF1608" w:rsidRPr="00AF1608" w:rsidRDefault="00AF1608" w:rsidP="00AF1608">
            <w:pPr>
              <w:pStyle w:val="CDITable-RowCentre"/>
            </w:pPr>
            <w:r w:rsidRPr="00AF1608">
              <w:t>3 (0.6%)</w:t>
            </w:r>
          </w:p>
        </w:tc>
      </w:tr>
      <w:tr w:rsidR="00AF1608" w:rsidRPr="00AF1608" w14:paraId="682C7036" w14:textId="77777777" w:rsidTr="00212BF6">
        <w:trPr>
          <w:divId w:val="935526654"/>
          <w:trHeight w:val="20"/>
        </w:trPr>
        <w:tc>
          <w:tcPr>
            <w:tcW w:w="1417"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57303B7" w14:textId="77777777" w:rsidR="00AF1608" w:rsidRPr="00AF1608" w:rsidRDefault="00AF1608" w:rsidP="00AF1608">
            <w:pPr>
              <w:pStyle w:val="CDITable-RowLeft"/>
            </w:pPr>
            <w:r w:rsidRPr="00AF1608">
              <w:t>Country of birth</w:t>
            </w:r>
          </w:p>
        </w:tc>
        <w:tc>
          <w:tcPr>
            <w:tcW w:w="1985"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862517A" w14:textId="77777777" w:rsidR="00AF1608" w:rsidRPr="00AF1608" w:rsidRDefault="00AF1608" w:rsidP="00AF1608">
            <w:pPr>
              <w:pStyle w:val="CDITable-RowLeft"/>
            </w:pPr>
            <w:r w:rsidRPr="00AF1608">
              <w:t>Australia</w:t>
            </w:r>
          </w:p>
        </w:tc>
        <w:tc>
          <w:tcPr>
            <w:tcW w:w="207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EDCB8E4" w14:textId="77777777" w:rsidR="00AF1608" w:rsidRPr="00AF1608" w:rsidRDefault="00AF1608" w:rsidP="00AF1608">
            <w:pPr>
              <w:pStyle w:val="CDITable-RowCentre"/>
            </w:pPr>
            <w:r w:rsidRPr="00AF1608">
              <w:t>9 (90.0%)</w:t>
            </w:r>
          </w:p>
        </w:tc>
        <w:tc>
          <w:tcPr>
            <w:tcW w:w="207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4AE0189" w14:textId="77777777" w:rsidR="00AF1608" w:rsidRPr="00AF1608" w:rsidRDefault="00AF1608" w:rsidP="00AF1608">
            <w:pPr>
              <w:pStyle w:val="CDITable-RowCentre"/>
            </w:pPr>
            <w:r w:rsidRPr="00AF1608">
              <w:t>445 (89.6%)</w:t>
            </w:r>
          </w:p>
        </w:tc>
        <w:tc>
          <w:tcPr>
            <w:tcW w:w="207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27D9E3D" w14:textId="77777777" w:rsidR="00AF1608" w:rsidRPr="00AF1608" w:rsidRDefault="00AF1608" w:rsidP="00AF1608">
            <w:pPr>
              <w:pStyle w:val="CDITable-RowCentre"/>
            </w:pPr>
            <w:r w:rsidRPr="00AF1608">
              <w:t>454 (89.6%)</w:t>
            </w:r>
          </w:p>
        </w:tc>
      </w:tr>
      <w:tr w:rsidR="00AF1608" w:rsidRPr="00AF1608" w14:paraId="3B9F256C" w14:textId="77777777" w:rsidTr="00212BF6">
        <w:trPr>
          <w:divId w:val="935526654"/>
          <w:trHeight w:val="20"/>
        </w:trPr>
        <w:tc>
          <w:tcPr>
            <w:tcW w:w="1417" w:type="dxa"/>
            <w:vMerge/>
            <w:tcBorders>
              <w:bottom w:val="single" w:sz="6" w:space="0" w:color="033636" w:themeColor="text2"/>
            </w:tcBorders>
            <w:shd w:val="clear" w:color="auto" w:fill="C5FFEF" w:themeFill="background2" w:themeFillTint="33"/>
          </w:tcPr>
          <w:p w14:paraId="0BD9B098" w14:textId="77777777" w:rsidR="00AF1608" w:rsidRPr="00AF1608" w:rsidRDefault="00AF1608" w:rsidP="00AF1608"/>
        </w:tc>
        <w:tc>
          <w:tcPr>
            <w:tcW w:w="1985" w:type="dxa"/>
            <w:tcBorders>
              <w:bottom w:val="single" w:sz="6" w:space="0" w:color="033636" w:themeColor="text2"/>
            </w:tcBorders>
            <w:tcMar>
              <w:top w:w="113" w:type="dxa"/>
              <w:left w:w="113" w:type="dxa"/>
              <w:bottom w:w="113" w:type="dxa"/>
              <w:right w:w="113" w:type="dxa"/>
            </w:tcMar>
            <w:vAlign w:val="center"/>
          </w:tcPr>
          <w:p w14:paraId="39587D0D" w14:textId="77777777" w:rsidR="00AF1608" w:rsidRPr="00AF1608" w:rsidRDefault="00AF1608" w:rsidP="00AF1608">
            <w:pPr>
              <w:pStyle w:val="CDITable-RowLeft"/>
            </w:pPr>
            <w:r w:rsidRPr="00AF1608">
              <w:t>Other country</w:t>
            </w:r>
          </w:p>
        </w:tc>
        <w:tc>
          <w:tcPr>
            <w:tcW w:w="2078" w:type="dxa"/>
            <w:tcBorders>
              <w:bottom w:val="single" w:sz="6" w:space="0" w:color="033636" w:themeColor="text2"/>
            </w:tcBorders>
            <w:tcMar>
              <w:top w:w="113" w:type="dxa"/>
              <w:left w:w="113" w:type="dxa"/>
              <w:bottom w:w="113" w:type="dxa"/>
              <w:right w:w="113" w:type="dxa"/>
            </w:tcMar>
            <w:vAlign w:val="center"/>
          </w:tcPr>
          <w:p w14:paraId="12C240A7" w14:textId="77777777" w:rsidR="00AF1608" w:rsidRPr="00AF1608" w:rsidRDefault="00AF1608" w:rsidP="00AF1608">
            <w:pPr>
              <w:pStyle w:val="CDITable-RowCentre"/>
            </w:pPr>
            <w:r w:rsidRPr="00AF1608">
              <w:t>1 (10.0%)</w:t>
            </w:r>
          </w:p>
        </w:tc>
        <w:tc>
          <w:tcPr>
            <w:tcW w:w="2079" w:type="dxa"/>
            <w:tcBorders>
              <w:bottom w:val="single" w:sz="6" w:space="0" w:color="033636" w:themeColor="text2"/>
            </w:tcBorders>
            <w:tcMar>
              <w:top w:w="113" w:type="dxa"/>
              <w:left w:w="113" w:type="dxa"/>
              <w:bottom w:w="113" w:type="dxa"/>
              <w:right w:w="113" w:type="dxa"/>
            </w:tcMar>
            <w:vAlign w:val="center"/>
          </w:tcPr>
          <w:p w14:paraId="413713D8" w14:textId="77777777" w:rsidR="00AF1608" w:rsidRPr="00AF1608" w:rsidRDefault="00AF1608" w:rsidP="00AF1608">
            <w:pPr>
              <w:pStyle w:val="CDITable-RowCentre"/>
            </w:pPr>
            <w:r w:rsidRPr="00AF1608">
              <w:t>52 (10.4%)</w:t>
            </w:r>
          </w:p>
        </w:tc>
        <w:tc>
          <w:tcPr>
            <w:tcW w:w="2079" w:type="dxa"/>
            <w:tcBorders>
              <w:bottom w:val="single" w:sz="6" w:space="0" w:color="033636" w:themeColor="text2"/>
            </w:tcBorders>
            <w:tcMar>
              <w:top w:w="113" w:type="dxa"/>
              <w:left w:w="113" w:type="dxa"/>
              <w:bottom w:w="113" w:type="dxa"/>
              <w:right w:w="113" w:type="dxa"/>
            </w:tcMar>
            <w:vAlign w:val="center"/>
          </w:tcPr>
          <w:p w14:paraId="790122C0" w14:textId="77777777" w:rsidR="00AF1608" w:rsidRPr="00AF1608" w:rsidRDefault="00AF1608" w:rsidP="00AF1608">
            <w:pPr>
              <w:pStyle w:val="CDITable-RowCentre"/>
            </w:pPr>
            <w:r w:rsidRPr="00AF1608">
              <w:t>53 (10.4%)</w:t>
            </w:r>
          </w:p>
        </w:tc>
      </w:tr>
    </w:tbl>
    <w:p w14:paraId="1C32D8E2" w14:textId="56264F12" w:rsidR="00AF1608" w:rsidRDefault="00AF1608" w:rsidP="00AF1608">
      <w:pPr>
        <w:pStyle w:val="CDITable-Firstfootnote"/>
        <w:divId w:val="935526654"/>
      </w:pPr>
      <w:r w:rsidRPr="00AF1608">
        <w:t>a</w:t>
      </w:r>
      <w:r w:rsidRPr="00AF1608">
        <w:tab/>
        <w:t>One participant selected ‘I use a different term (please specify)’ but did not specify the term.</w:t>
      </w:r>
    </w:p>
    <w:p w14:paraId="39A3E830" w14:textId="70234D78" w:rsidR="00AF1608" w:rsidRDefault="00864A23" w:rsidP="00864A23">
      <w:pPr>
        <w:pStyle w:val="CDITable-Title"/>
        <w:divId w:val="935526654"/>
      </w:pPr>
      <w:r w:rsidRPr="00864A23">
        <w:lastRenderedPageBreak/>
        <w:t>Figure 1: Participant enrolment per 100,000 population (a) and percentage of participants who were Murray Valley encephalitis virus total antibody seropositive (b) in each included local government area</w:t>
      </w:r>
    </w:p>
    <w:p w14:paraId="2340A416" w14:textId="21E7E9C0" w:rsidR="00212BF6" w:rsidRDefault="00A11018" w:rsidP="00864A23">
      <w:pPr>
        <w:pStyle w:val="CDIFigure-Placeholder"/>
        <w:divId w:val="935526654"/>
      </w:pPr>
      <w:r>
        <w:rPr>
          <w:noProof/>
          <w14:ligatures w14:val="none"/>
        </w:rPr>
        <w:drawing>
          <wp:inline distT="0" distB="0" distL="0" distR="0" wp14:anchorId="58FF3587" wp14:editId="569A2DB8">
            <wp:extent cx="5651482" cy="4145639"/>
            <wp:effectExtent l="0" t="0" r="6985" b="7620"/>
            <wp:docPr id="1870036858" name="Picture 1" descr="Figure 1a is a map of Victoria showing participant enrolment per 100,000 people in each included local government area, indicating that participation in this study by population was highest in Wangarat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36858" name="Picture 1" descr="Figure 1a is a map of Victoria showing participant enrolment per 100,000 people in each included local government area, indicating that participation in this study by population was highest in Wangaratta. "/>
                    <pic:cNvPicPr/>
                  </pic:nvPicPr>
                  <pic:blipFill>
                    <a:blip r:embed="rId9">
                      <a:extLst>
                        <a:ext uri="{28A0092B-C50C-407E-A947-70E740481C1C}">
                          <a14:useLocalDpi xmlns:a14="http://schemas.microsoft.com/office/drawing/2010/main" val="0"/>
                        </a:ext>
                      </a:extLst>
                    </a:blip>
                    <a:stretch>
                      <a:fillRect/>
                    </a:stretch>
                  </pic:blipFill>
                  <pic:spPr>
                    <a:xfrm>
                      <a:off x="0" y="0"/>
                      <a:ext cx="5651482" cy="4145639"/>
                    </a:xfrm>
                    <a:prstGeom prst="rect">
                      <a:avLst/>
                    </a:prstGeom>
                  </pic:spPr>
                </pic:pic>
              </a:graphicData>
            </a:graphic>
          </wp:inline>
        </w:drawing>
      </w:r>
    </w:p>
    <w:p w14:paraId="151877B0" w14:textId="0E59D566" w:rsidR="00212BF6" w:rsidRDefault="00A11018" w:rsidP="00A11018">
      <w:pPr>
        <w:pStyle w:val="CDIFigure-Placeholder"/>
        <w:divId w:val="935526654"/>
      </w:pPr>
      <w:r>
        <w:rPr>
          <w:noProof/>
          <w14:ligatures w14:val="none"/>
        </w:rPr>
        <w:drawing>
          <wp:inline distT="0" distB="0" distL="0" distR="0" wp14:anchorId="275C6360" wp14:editId="6A251009">
            <wp:extent cx="5639289" cy="4145639"/>
            <wp:effectExtent l="0" t="0" r="0" b="7620"/>
            <wp:docPr id="2009389940" name="Picture 2" descr="Figure 1b is a map of Victoria showing the percentage of participants who were Murray Valley encephalitis virus total antibody seropositive in each included local government area, which was highest in Gannaw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89940" name="Picture 2" descr="Figure 1b is a map of Victoria showing the percentage of participants who were Murray Valley encephalitis virus total antibody seropositive in each included local government area, which was highest in Gannawarra."/>
                    <pic:cNvPicPr/>
                  </pic:nvPicPr>
                  <pic:blipFill>
                    <a:blip r:embed="rId10">
                      <a:extLst>
                        <a:ext uri="{28A0092B-C50C-407E-A947-70E740481C1C}">
                          <a14:useLocalDpi xmlns:a14="http://schemas.microsoft.com/office/drawing/2010/main" val="0"/>
                        </a:ext>
                      </a:extLst>
                    </a:blip>
                    <a:stretch>
                      <a:fillRect/>
                    </a:stretch>
                  </pic:blipFill>
                  <pic:spPr>
                    <a:xfrm>
                      <a:off x="0" y="0"/>
                      <a:ext cx="5639289" cy="4145639"/>
                    </a:xfrm>
                    <a:prstGeom prst="rect">
                      <a:avLst/>
                    </a:prstGeom>
                  </pic:spPr>
                </pic:pic>
              </a:graphicData>
            </a:graphic>
          </wp:inline>
        </w:drawing>
      </w:r>
    </w:p>
    <w:p w14:paraId="2F9E30C2" w14:textId="3BE938AF" w:rsidR="00212BF6" w:rsidRDefault="00A11018" w:rsidP="00A11018">
      <w:pPr>
        <w:pStyle w:val="CDITable-Title"/>
        <w:divId w:val="935526654"/>
      </w:pPr>
      <w:r w:rsidRPr="00A11018">
        <w:lastRenderedPageBreak/>
        <w:t>Table 2: Murray Valley encephalitis virus seropositivity across 11 local government areas in northern Victoria, October 2023 to April 2024</w:t>
      </w:r>
    </w:p>
    <w:tbl>
      <w:tblPr>
        <w:tblW w:w="0" w:type="auto"/>
        <w:tblLayout w:type="fixed"/>
        <w:tblCellMar>
          <w:left w:w="0" w:type="dxa"/>
          <w:right w:w="0" w:type="dxa"/>
        </w:tblCellMar>
        <w:tblLook w:val="0000" w:firstRow="0" w:lastRow="0" w:firstColumn="0" w:lastColumn="0" w:noHBand="0" w:noVBand="0"/>
        <w:tblCaption w:val="Table 2: Murray Valley encephalitis virus seropositivity across 11 local government areas in northern Victoria, October 2023 to April 2024"/>
        <w:tblDescription w:val="Table 2 shows the number of Murray Valley encephalitis virus seropositive participants, the total number of participants, and the percentage of seropositive participants, by residential local government area."/>
      </w:tblPr>
      <w:tblGrid>
        <w:gridCol w:w="2409"/>
        <w:gridCol w:w="2410"/>
        <w:gridCol w:w="2409"/>
        <w:gridCol w:w="2410"/>
      </w:tblGrid>
      <w:tr w:rsidR="00A11018" w:rsidRPr="00A11018" w14:paraId="32CBF873" w14:textId="77777777" w:rsidTr="00A11018">
        <w:trPr>
          <w:divId w:val="935526654"/>
          <w:trHeight w:val="60"/>
          <w:tblHeader/>
        </w:trPr>
        <w:tc>
          <w:tcPr>
            <w:tcW w:w="2409" w:type="dxa"/>
            <w:shd w:val="clear" w:color="auto" w:fill="033636" w:themeFill="text2"/>
            <w:tcMar>
              <w:top w:w="113" w:type="dxa"/>
              <w:left w:w="113" w:type="dxa"/>
              <w:bottom w:w="113" w:type="dxa"/>
              <w:right w:w="113" w:type="dxa"/>
            </w:tcMar>
            <w:vAlign w:val="bottom"/>
          </w:tcPr>
          <w:p w14:paraId="22DD3DC0" w14:textId="18A3B4A4" w:rsidR="00A11018" w:rsidRPr="00A11018" w:rsidRDefault="00A11018" w:rsidP="00A11018">
            <w:pPr>
              <w:pStyle w:val="CDITable-HeaderRowLeft"/>
            </w:pPr>
            <w:r w:rsidRPr="00A11018">
              <w:t>Residential local government</w:t>
            </w:r>
            <w:r>
              <w:t> </w:t>
            </w:r>
            <w:r w:rsidRPr="00A11018">
              <w:t>area</w:t>
            </w:r>
          </w:p>
        </w:tc>
        <w:tc>
          <w:tcPr>
            <w:tcW w:w="2410" w:type="dxa"/>
            <w:shd w:val="clear" w:color="auto" w:fill="033636" w:themeFill="text2"/>
            <w:tcMar>
              <w:top w:w="113" w:type="dxa"/>
              <w:left w:w="113" w:type="dxa"/>
              <w:bottom w:w="113" w:type="dxa"/>
              <w:right w:w="113" w:type="dxa"/>
            </w:tcMar>
            <w:vAlign w:val="bottom"/>
          </w:tcPr>
          <w:p w14:paraId="1C96C06D" w14:textId="77777777" w:rsidR="00A11018" w:rsidRPr="00A11018" w:rsidRDefault="00A11018" w:rsidP="00A11018">
            <w:pPr>
              <w:pStyle w:val="CDITable-HeaderRowCentre"/>
            </w:pPr>
            <w:r w:rsidRPr="00A11018">
              <w:t>Number seropositive</w:t>
            </w:r>
          </w:p>
        </w:tc>
        <w:tc>
          <w:tcPr>
            <w:tcW w:w="2409" w:type="dxa"/>
            <w:shd w:val="clear" w:color="auto" w:fill="033636" w:themeFill="text2"/>
            <w:tcMar>
              <w:top w:w="113" w:type="dxa"/>
              <w:left w:w="113" w:type="dxa"/>
              <w:bottom w:w="113" w:type="dxa"/>
              <w:right w:w="113" w:type="dxa"/>
            </w:tcMar>
            <w:vAlign w:val="bottom"/>
          </w:tcPr>
          <w:p w14:paraId="5E60C89F" w14:textId="77777777" w:rsidR="00A11018" w:rsidRPr="00A11018" w:rsidRDefault="00A11018" w:rsidP="00A11018">
            <w:pPr>
              <w:pStyle w:val="CDITable-HeaderRowCentre"/>
            </w:pPr>
            <w:r w:rsidRPr="00A11018">
              <w:t>Total participants</w:t>
            </w:r>
          </w:p>
        </w:tc>
        <w:tc>
          <w:tcPr>
            <w:tcW w:w="2410" w:type="dxa"/>
            <w:shd w:val="clear" w:color="auto" w:fill="033636" w:themeFill="text2"/>
            <w:tcMar>
              <w:top w:w="113" w:type="dxa"/>
              <w:left w:w="113" w:type="dxa"/>
              <w:bottom w:w="113" w:type="dxa"/>
              <w:right w:w="113" w:type="dxa"/>
            </w:tcMar>
            <w:vAlign w:val="bottom"/>
          </w:tcPr>
          <w:p w14:paraId="41FD705A" w14:textId="77777777" w:rsidR="00A11018" w:rsidRPr="00A11018" w:rsidRDefault="00A11018" w:rsidP="00A11018">
            <w:pPr>
              <w:pStyle w:val="CDITable-HeaderRowCentre"/>
            </w:pPr>
            <w:r w:rsidRPr="00A11018">
              <w:t>% seropositive</w:t>
            </w:r>
            <w:r w:rsidRPr="00A11018">
              <w:br/>
              <w:t xml:space="preserve">(95% </w:t>
            </w:r>
            <w:proofErr w:type="gramStart"/>
            <w:r w:rsidRPr="00A11018">
              <w:t>CI)</w:t>
            </w:r>
            <w:r w:rsidRPr="00A11018">
              <w:rPr>
                <w:vertAlign w:val="superscript"/>
              </w:rPr>
              <w:t>a</w:t>
            </w:r>
            <w:proofErr w:type="gramEnd"/>
          </w:p>
        </w:tc>
      </w:tr>
      <w:tr w:rsidR="00A11018" w:rsidRPr="00A11018" w14:paraId="480F7B6D" w14:textId="77777777" w:rsidTr="00A11018">
        <w:trPr>
          <w:divId w:val="935526654"/>
          <w:trHeight w:val="60"/>
        </w:trPr>
        <w:tc>
          <w:tcPr>
            <w:tcW w:w="2409" w:type="dxa"/>
            <w:shd w:val="clear" w:color="auto" w:fill="F2F2F2" w:themeFill="background1" w:themeFillShade="F2"/>
            <w:tcMar>
              <w:top w:w="113" w:type="dxa"/>
              <w:left w:w="113" w:type="dxa"/>
              <w:bottom w:w="113" w:type="dxa"/>
              <w:right w:w="113" w:type="dxa"/>
            </w:tcMar>
            <w:vAlign w:val="center"/>
          </w:tcPr>
          <w:p w14:paraId="56071FC1" w14:textId="77777777" w:rsidR="00A11018" w:rsidRPr="00A11018" w:rsidRDefault="00A11018" w:rsidP="00A11018">
            <w:pPr>
              <w:pStyle w:val="CDITable-RowLeft"/>
            </w:pPr>
            <w:r w:rsidRPr="00A11018">
              <w:t>Mildura</w:t>
            </w:r>
          </w:p>
        </w:tc>
        <w:tc>
          <w:tcPr>
            <w:tcW w:w="2410" w:type="dxa"/>
            <w:shd w:val="clear" w:color="auto" w:fill="F2F2F2" w:themeFill="background1" w:themeFillShade="F2"/>
            <w:tcMar>
              <w:top w:w="113" w:type="dxa"/>
              <w:left w:w="113" w:type="dxa"/>
              <w:bottom w:w="113" w:type="dxa"/>
              <w:right w:w="113" w:type="dxa"/>
            </w:tcMar>
            <w:vAlign w:val="center"/>
          </w:tcPr>
          <w:p w14:paraId="6A5A0FFE" w14:textId="77777777" w:rsidR="00A11018" w:rsidRPr="00A11018" w:rsidRDefault="00A11018" w:rsidP="00A11018">
            <w:pPr>
              <w:pStyle w:val="CDITable-RowCentre"/>
            </w:pPr>
            <w:r w:rsidRPr="00A11018">
              <w:t>1</w:t>
            </w:r>
          </w:p>
        </w:tc>
        <w:tc>
          <w:tcPr>
            <w:tcW w:w="2409" w:type="dxa"/>
            <w:shd w:val="clear" w:color="auto" w:fill="F2F2F2" w:themeFill="background1" w:themeFillShade="F2"/>
            <w:tcMar>
              <w:top w:w="113" w:type="dxa"/>
              <w:left w:w="113" w:type="dxa"/>
              <w:bottom w:w="113" w:type="dxa"/>
              <w:right w:w="113" w:type="dxa"/>
            </w:tcMar>
            <w:vAlign w:val="center"/>
          </w:tcPr>
          <w:p w14:paraId="1C247E29" w14:textId="77777777" w:rsidR="00A11018" w:rsidRPr="00A11018" w:rsidRDefault="00A11018" w:rsidP="00A11018">
            <w:pPr>
              <w:pStyle w:val="CDITable-RowCentre"/>
            </w:pPr>
            <w:r w:rsidRPr="00A11018">
              <w:t>60</w:t>
            </w:r>
          </w:p>
        </w:tc>
        <w:tc>
          <w:tcPr>
            <w:tcW w:w="2410" w:type="dxa"/>
            <w:shd w:val="clear" w:color="auto" w:fill="F2F2F2" w:themeFill="background1" w:themeFillShade="F2"/>
            <w:tcMar>
              <w:top w:w="113" w:type="dxa"/>
              <w:left w:w="113" w:type="dxa"/>
              <w:bottom w:w="113" w:type="dxa"/>
              <w:right w:w="113" w:type="dxa"/>
            </w:tcMar>
            <w:vAlign w:val="center"/>
          </w:tcPr>
          <w:p w14:paraId="3F089A2D" w14:textId="77777777" w:rsidR="00A11018" w:rsidRPr="00A11018" w:rsidRDefault="00A11018" w:rsidP="00A11018">
            <w:pPr>
              <w:pStyle w:val="CDITable-RowCentre"/>
            </w:pPr>
            <w:r w:rsidRPr="00A11018">
              <w:t>1.7% (0.3–8.6%)</w:t>
            </w:r>
          </w:p>
        </w:tc>
      </w:tr>
      <w:tr w:rsidR="00A11018" w:rsidRPr="00A11018" w14:paraId="6328A705" w14:textId="77777777" w:rsidTr="00A11018">
        <w:trPr>
          <w:divId w:val="935526654"/>
          <w:trHeight w:val="60"/>
        </w:trPr>
        <w:tc>
          <w:tcPr>
            <w:tcW w:w="2409" w:type="dxa"/>
            <w:tcMar>
              <w:top w:w="113" w:type="dxa"/>
              <w:left w:w="113" w:type="dxa"/>
              <w:bottom w:w="113" w:type="dxa"/>
              <w:right w:w="113" w:type="dxa"/>
            </w:tcMar>
            <w:vAlign w:val="center"/>
          </w:tcPr>
          <w:p w14:paraId="14FEDE97" w14:textId="77777777" w:rsidR="00A11018" w:rsidRPr="00A11018" w:rsidRDefault="00A11018" w:rsidP="00A11018">
            <w:pPr>
              <w:pStyle w:val="CDITable-RowLeft"/>
            </w:pPr>
            <w:r w:rsidRPr="00A11018">
              <w:t>Swan Hill</w:t>
            </w:r>
          </w:p>
        </w:tc>
        <w:tc>
          <w:tcPr>
            <w:tcW w:w="2410" w:type="dxa"/>
            <w:tcMar>
              <w:top w:w="113" w:type="dxa"/>
              <w:left w:w="113" w:type="dxa"/>
              <w:bottom w:w="113" w:type="dxa"/>
              <w:right w:w="113" w:type="dxa"/>
            </w:tcMar>
            <w:vAlign w:val="center"/>
          </w:tcPr>
          <w:p w14:paraId="10AE001B" w14:textId="77777777" w:rsidR="00A11018" w:rsidRPr="00A11018" w:rsidRDefault="00A11018" w:rsidP="00A11018">
            <w:pPr>
              <w:pStyle w:val="CDITable-RowCentre"/>
            </w:pPr>
            <w:r w:rsidRPr="00A11018">
              <w:t>0</w:t>
            </w:r>
          </w:p>
        </w:tc>
        <w:tc>
          <w:tcPr>
            <w:tcW w:w="2409" w:type="dxa"/>
            <w:tcMar>
              <w:top w:w="113" w:type="dxa"/>
              <w:left w:w="113" w:type="dxa"/>
              <w:bottom w:w="113" w:type="dxa"/>
              <w:right w:w="113" w:type="dxa"/>
            </w:tcMar>
            <w:vAlign w:val="center"/>
          </w:tcPr>
          <w:p w14:paraId="7E46B697" w14:textId="77777777" w:rsidR="00A11018" w:rsidRPr="00A11018" w:rsidRDefault="00A11018" w:rsidP="00A11018">
            <w:pPr>
              <w:pStyle w:val="CDITable-RowCentre"/>
            </w:pPr>
            <w:r w:rsidRPr="00A11018">
              <w:t>19</w:t>
            </w:r>
          </w:p>
        </w:tc>
        <w:tc>
          <w:tcPr>
            <w:tcW w:w="2410" w:type="dxa"/>
            <w:tcMar>
              <w:top w:w="113" w:type="dxa"/>
              <w:left w:w="113" w:type="dxa"/>
              <w:bottom w:w="113" w:type="dxa"/>
              <w:right w:w="113" w:type="dxa"/>
            </w:tcMar>
            <w:vAlign w:val="center"/>
          </w:tcPr>
          <w:p w14:paraId="79D7B431" w14:textId="77777777" w:rsidR="00A11018" w:rsidRPr="00A11018" w:rsidRDefault="00A11018" w:rsidP="00A11018">
            <w:pPr>
              <w:pStyle w:val="CDITable-RowCentre"/>
            </w:pPr>
            <w:r w:rsidRPr="00A11018">
              <w:t>0.0% (0.0–16.8%)</w:t>
            </w:r>
          </w:p>
        </w:tc>
      </w:tr>
      <w:tr w:rsidR="00A11018" w:rsidRPr="00A11018" w14:paraId="749B4770" w14:textId="77777777" w:rsidTr="00A11018">
        <w:trPr>
          <w:divId w:val="935526654"/>
          <w:trHeight w:val="60"/>
        </w:trPr>
        <w:tc>
          <w:tcPr>
            <w:tcW w:w="2409" w:type="dxa"/>
            <w:shd w:val="clear" w:color="auto" w:fill="F2F2F2" w:themeFill="background1" w:themeFillShade="F2"/>
            <w:tcMar>
              <w:top w:w="113" w:type="dxa"/>
              <w:left w:w="113" w:type="dxa"/>
              <w:bottom w:w="113" w:type="dxa"/>
              <w:right w:w="113" w:type="dxa"/>
            </w:tcMar>
            <w:vAlign w:val="center"/>
          </w:tcPr>
          <w:p w14:paraId="299C6853" w14:textId="77777777" w:rsidR="00A11018" w:rsidRPr="00A11018" w:rsidRDefault="00A11018" w:rsidP="00A11018">
            <w:pPr>
              <w:pStyle w:val="CDITable-RowLeft"/>
            </w:pPr>
            <w:r w:rsidRPr="00A11018">
              <w:t>Campaspe</w:t>
            </w:r>
          </w:p>
        </w:tc>
        <w:tc>
          <w:tcPr>
            <w:tcW w:w="2410" w:type="dxa"/>
            <w:shd w:val="clear" w:color="auto" w:fill="F2F2F2" w:themeFill="background1" w:themeFillShade="F2"/>
            <w:tcMar>
              <w:top w:w="113" w:type="dxa"/>
              <w:left w:w="113" w:type="dxa"/>
              <w:bottom w:w="113" w:type="dxa"/>
              <w:right w:w="113" w:type="dxa"/>
            </w:tcMar>
            <w:vAlign w:val="center"/>
          </w:tcPr>
          <w:p w14:paraId="705AF524" w14:textId="77777777" w:rsidR="00A11018" w:rsidRPr="00A11018" w:rsidRDefault="00A11018" w:rsidP="00A11018">
            <w:pPr>
              <w:pStyle w:val="CDITable-RowCentre"/>
            </w:pPr>
            <w:r w:rsidRPr="00A11018">
              <w:t>3</w:t>
            </w:r>
          </w:p>
        </w:tc>
        <w:tc>
          <w:tcPr>
            <w:tcW w:w="2409" w:type="dxa"/>
            <w:shd w:val="clear" w:color="auto" w:fill="F2F2F2" w:themeFill="background1" w:themeFillShade="F2"/>
            <w:tcMar>
              <w:top w:w="113" w:type="dxa"/>
              <w:left w:w="113" w:type="dxa"/>
              <w:bottom w:w="113" w:type="dxa"/>
              <w:right w:w="113" w:type="dxa"/>
            </w:tcMar>
            <w:vAlign w:val="center"/>
          </w:tcPr>
          <w:p w14:paraId="6C7B60BC" w14:textId="77777777" w:rsidR="00A11018" w:rsidRPr="00A11018" w:rsidRDefault="00A11018" w:rsidP="00A11018">
            <w:pPr>
              <w:pStyle w:val="CDITable-RowCentre"/>
            </w:pPr>
            <w:r w:rsidRPr="00A11018">
              <w:t>49</w:t>
            </w:r>
          </w:p>
        </w:tc>
        <w:tc>
          <w:tcPr>
            <w:tcW w:w="2410" w:type="dxa"/>
            <w:shd w:val="clear" w:color="auto" w:fill="F2F2F2" w:themeFill="background1" w:themeFillShade="F2"/>
            <w:tcMar>
              <w:top w:w="113" w:type="dxa"/>
              <w:left w:w="113" w:type="dxa"/>
              <w:bottom w:w="113" w:type="dxa"/>
              <w:right w:w="113" w:type="dxa"/>
            </w:tcMar>
            <w:vAlign w:val="center"/>
          </w:tcPr>
          <w:p w14:paraId="543AF379" w14:textId="77777777" w:rsidR="00A11018" w:rsidRPr="00A11018" w:rsidRDefault="00A11018" w:rsidP="00A11018">
            <w:pPr>
              <w:pStyle w:val="CDITable-RowCentre"/>
            </w:pPr>
            <w:r w:rsidRPr="00A11018">
              <w:t>6.1% (2.1–16.5%)</w:t>
            </w:r>
          </w:p>
        </w:tc>
      </w:tr>
      <w:tr w:rsidR="00A11018" w:rsidRPr="00A11018" w14:paraId="1192D011" w14:textId="77777777" w:rsidTr="00A11018">
        <w:trPr>
          <w:divId w:val="935526654"/>
          <w:trHeight w:val="60"/>
        </w:trPr>
        <w:tc>
          <w:tcPr>
            <w:tcW w:w="2409" w:type="dxa"/>
            <w:tcMar>
              <w:top w:w="113" w:type="dxa"/>
              <w:left w:w="113" w:type="dxa"/>
              <w:bottom w:w="113" w:type="dxa"/>
              <w:right w:w="113" w:type="dxa"/>
            </w:tcMar>
            <w:vAlign w:val="center"/>
          </w:tcPr>
          <w:p w14:paraId="041095C4" w14:textId="77777777" w:rsidR="00A11018" w:rsidRPr="00A11018" w:rsidRDefault="00A11018" w:rsidP="00A11018">
            <w:pPr>
              <w:pStyle w:val="CDITable-RowLeft"/>
            </w:pPr>
            <w:r w:rsidRPr="00A11018">
              <w:t>Gannawarra</w:t>
            </w:r>
          </w:p>
        </w:tc>
        <w:tc>
          <w:tcPr>
            <w:tcW w:w="2410" w:type="dxa"/>
            <w:tcMar>
              <w:top w:w="113" w:type="dxa"/>
              <w:left w:w="113" w:type="dxa"/>
              <w:bottom w:w="113" w:type="dxa"/>
              <w:right w:w="113" w:type="dxa"/>
            </w:tcMar>
            <w:vAlign w:val="center"/>
          </w:tcPr>
          <w:p w14:paraId="0B4E4045" w14:textId="77777777" w:rsidR="00A11018" w:rsidRPr="00A11018" w:rsidRDefault="00A11018" w:rsidP="00A11018">
            <w:pPr>
              <w:pStyle w:val="CDITable-RowCentre"/>
            </w:pPr>
            <w:r w:rsidRPr="00A11018">
              <w:t>1</w:t>
            </w:r>
          </w:p>
        </w:tc>
        <w:tc>
          <w:tcPr>
            <w:tcW w:w="2409" w:type="dxa"/>
            <w:tcMar>
              <w:top w:w="113" w:type="dxa"/>
              <w:left w:w="113" w:type="dxa"/>
              <w:bottom w:w="113" w:type="dxa"/>
              <w:right w:w="113" w:type="dxa"/>
            </w:tcMar>
            <w:vAlign w:val="center"/>
          </w:tcPr>
          <w:p w14:paraId="54045628" w14:textId="77777777" w:rsidR="00A11018" w:rsidRPr="00A11018" w:rsidRDefault="00A11018" w:rsidP="00A11018">
            <w:pPr>
              <w:pStyle w:val="CDITable-RowCentre"/>
            </w:pPr>
            <w:r w:rsidRPr="00A11018">
              <w:t>12</w:t>
            </w:r>
          </w:p>
        </w:tc>
        <w:tc>
          <w:tcPr>
            <w:tcW w:w="2410" w:type="dxa"/>
            <w:tcMar>
              <w:top w:w="113" w:type="dxa"/>
              <w:left w:w="113" w:type="dxa"/>
              <w:bottom w:w="113" w:type="dxa"/>
              <w:right w:w="113" w:type="dxa"/>
            </w:tcMar>
            <w:vAlign w:val="center"/>
          </w:tcPr>
          <w:p w14:paraId="456A141F" w14:textId="77777777" w:rsidR="00A11018" w:rsidRPr="00A11018" w:rsidRDefault="00A11018" w:rsidP="00A11018">
            <w:pPr>
              <w:pStyle w:val="CDITable-RowCentre"/>
            </w:pPr>
            <w:r w:rsidRPr="00A11018">
              <w:t>8.3% (0.4–35.4%)</w:t>
            </w:r>
          </w:p>
        </w:tc>
      </w:tr>
      <w:tr w:rsidR="00A11018" w:rsidRPr="00A11018" w14:paraId="0C48E2E5" w14:textId="77777777" w:rsidTr="00A11018">
        <w:trPr>
          <w:divId w:val="935526654"/>
          <w:trHeight w:val="60"/>
        </w:trPr>
        <w:tc>
          <w:tcPr>
            <w:tcW w:w="2409" w:type="dxa"/>
            <w:shd w:val="clear" w:color="auto" w:fill="F2F2F2" w:themeFill="background1" w:themeFillShade="F2"/>
            <w:tcMar>
              <w:top w:w="113" w:type="dxa"/>
              <w:left w:w="113" w:type="dxa"/>
              <w:bottom w:w="113" w:type="dxa"/>
              <w:right w:w="113" w:type="dxa"/>
            </w:tcMar>
            <w:vAlign w:val="center"/>
          </w:tcPr>
          <w:p w14:paraId="4844D7BE" w14:textId="77777777" w:rsidR="00A11018" w:rsidRPr="00A11018" w:rsidRDefault="00A11018" w:rsidP="00A11018">
            <w:pPr>
              <w:pStyle w:val="CDITable-RowLeft"/>
            </w:pPr>
            <w:r w:rsidRPr="00A11018">
              <w:t>Greater Bendigo</w:t>
            </w:r>
          </w:p>
        </w:tc>
        <w:tc>
          <w:tcPr>
            <w:tcW w:w="2410" w:type="dxa"/>
            <w:shd w:val="clear" w:color="auto" w:fill="F2F2F2" w:themeFill="background1" w:themeFillShade="F2"/>
            <w:tcMar>
              <w:top w:w="113" w:type="dxa"/>
              <w:left w:w="113" w:type="dxa"/>
              <w:bottom w:w="113" w:type="dxa"/>
              <w:right w:w="113" w:type="dxa"/>
            </w:tcMar>
            <w:vAlign w:val="center"/>
          </w:tcPr>
          <w:p w14:paraId="14157D60" w14:textId="77777777" w:rsidR="00A11018" w:rsidRPr="00A11018" w:rsidRDefault="00A11018" w:rsidP="00A11018">
            <w:pPr>
              <w:pStyle w:val="CDITable-RowCentre"/>
            </w:pPr>
            <w:r w:rsidRPr="00A11018">
              <w:t>2</w:t>
            </w:r>
          </w:p>
        </w:tc>
        <w:tc>
          <w:tcPr>
            <w:tcW w:w="2409" w:type="dxa"/>
            <w:shd w:val="clear" w:color="auto" w:fill="F2F2F2" w:themeFill="background1" w:themeFillShade="F2"/>
            <w:tcMar>
              <w:top w:w="113" w:type="dxa"/>
              <w:left w:w="113" w:type="dxa"/>
              <w:bottom w:w="113" w:type="dxa"/>
              <w:right w:w="113" w:type="dxa"/>
            </w:tcMar>
            <w:vAlign w:val="center"/>
          </w:tcPr>
          <w:p w14:paraId="17778E30" w14:textId="77777777" w:rsidR="00A11018" w:rsidRPr="00A11018" w:rsidRDefault="00A11018" w:rsidP="00A11018">
            <w:pPr>
              <w:pStyle w:val="CDITable-RowCentre"/>
            </w:pPr>
            <w:r w:rsidRPr="00A11018">
              <w:t>123</w:t>
            </w:r>
          </w:p>
        </w:tc>
        <w:tc>
          <w:tcPr>
            <w:tcW w:w="2410" w:type="dxa"/>
            <w:shd w:val="clear" w:color="auto" w:fill="F2F2F2" w:themeFill="background1" w:themeFillShade="F2"/>
            <w:tcMar>
              <w:top w:w="113" w:type="dxa"/>
              <w:left w:w="113" w:type="dxa"/>
              <w:bottom w:w="113" w:type="dxa"/>
              <w:right w:w="113" w:type="dxa"/>
            </w:tcMar>
            <w:vAlign w:val="center"/>
          </w:tcPr>
          <w:p w14:paraId="609697C2" w14:textId="77777777" w:rsidR="00A11018" w:rsidRPr="00A11018" w:rsidRDefault="00A11018" w:rsidP="00A11018">
            <w:pPr>
              <w:pStyle w:val="CDITable-RowCentre"/>
            </w:pPr>
            <w:r w:rsidRPr="00A11018">
              <w:t>1.6% (0.4–5.7%)</w:t>
            </w:r>
          </w:p>
        </w:tc>
      </w:tr>
      <w:tr w:rsidR="00A11018" w:rsidRPr="00A11018" w14:paraId="4C2A2490" w14:textId="77777777" w:rsidTr="00A11018">
        <w:trPr>
          <w:divId w:val="935526654"/>
          <w:trHeight w:val="60"/>
        </w:trPr>
        <w:tc>
          <w:tcPr>
            <w:tcW w:w="2409" w:type="dxa"/>
            <w:tcMar>
              <w:top w:w="113" w:type="dxa"/>
              <w:left w:w="113" w:type="dxa"/>
              <w:bottom w:w="113" w:type="dxa"/>
              <w:right w:w="113" w:type="dxa"/>
            </w:tcMar>
            <w:vAlign w:val="center"/>
          </w:tcPr>
          <w:p w14:paraId="63351081" w14:textId="77777777" w:rsidR="00A11018" w:rsidRPr="00A11018" w:rsidRDefault="00A11018" w:rsidP="00A11018">
            <w:pPr>
              <w:pStyle w:val="CDITable-RowLeft"/>
            </w:pPr>
            <w:r w:rsidRPr="00A11018">
              <w:t>Loddon</w:t>
            </w:r>
          </w:p>
        </w:tc>
        <w:tc>
          <w:tcPr>
            <w:tcW w:w="2410" w:type="dxa"/>
            <w:tcMar>
              <w:top w:w="113" w:type="dxa"/>
              <w:left w:w="113" w:type="dxa"/>
              <w:bottom w:w="113" w:type="dxa"/>
              <w:right w:w="113" w:type="dxa"/>
            </w:tcMar>
            <w:vAlign w:val="center"/>
          </w:tcPr>
          <w:p w14:paraId="05C7103D" w14:textId="77777777" w:rsidR="00A11018" w:rsidRPr="00A11018" w:rsidRDefault="00A11018" w:rsidP="00A11018">
            <w:pPr>
              <w:pStyle w:val="CDITable-RowCentre"/>
            </w:pPr>
            <w:r w:rsidRPr="00A11018">
              <w:t>0</w:t>
            </w:r>
          </w:p>
        </w:tc>
        <w:tc>
          <w:tcPr>
            <w:tcW w:w="2409" w:type="dxa"/>
            <w:tcMar>
              <w:top w:w="113" w:type="dxa"/>
              <w:left w:w="113" w:type="dxa"/>
              <w:bottom w:w="113" w:type="dxa"/>
              <w:right w:w="113" w:type="dxa"/>
            </w:tcMar>
            <w:vAlign w:val="center"/>
          </w:tcPr>
          <w:p w14:paraId="40C6B2CD" w14:textId="77777777" w:rsidR="00A11018" w:rsidRPr="00A11018" w:rsidRDefault="00A11018" w:rsidP="00A11018">
            <w:pPr>
              <w:pStyle w:val="CDITable-RowCentre"/>
            </w:pPr>
            <w:r w:rsidRPr="00A11018">
              <w:t>4</w:t>
            </w:r>
          </w:p>
        </w:tc>
        <w:tc>
          <w:tcPr>
            <w:tcW w:w="2410" w:type="dxa"/>
            <w:tcMar>
              <w:top w:w="113" w:type="dxa"/>
              <w:left w:w="113" w:type="dxa"/>
              <w:bottom w:w="113" w:type="dxa"/>
              <w:right w:w="113" w:type="dxa"/>
            </w:tcMar>
            <w:vAlign w:val="center"/>
          </w:tcPr>
          <w:p w14:paraId="21C6369F" w14:textId="77777777" w:rsidR="00A11018" w:rsidRPr="00A11018" w:rsidRDefault="00A11018" w:rsidP="00A11018">
            <w:pPr>
              <w:pStyle w:val="CDITable-RowCentre"/>
            </w:pPr>
            <w:r w:rsidRPr="00A11018">
              <w:t>0.0% (0.0–49.0%)</w:t>
            </w:r>
          </w:p>
        </w:tc>
      </w:tr>
      <w:tr w:rsidR="00A11018" w:rsidRPr="00A11018" w14:paraId="1496E053" w14:textId="77777777" w:rsidTr="00A11018">
        <w:trPr>
          <w:divId w:val="935526654"/>
          <w:trHeight w:val="60"/>
        </w:trPr>
        <w:tc>
          <w:tcPr>
            <w:tcW w:w="2409" w:type="dxa"/>
            <w:shd w:val="clear" w:color="auto" w:fill="F2F2F2" w:themeFill="background1" w:themeFillShade="F2"/>
            <w:tcMar>
              <w:top w:w="113" w:type="dxa"/>
              <w:left w:w="113" w:type="dxa"/>
              <w:bottom w:w="113" w:type="dxa"/>
              <w:right w:w="113" w:type="dxa"/>
            </w:tcMar>
            <w:vAlign w:val="center"/>
          </w:tcPr>
          <w:p w14:paraId="07C98800" w14:textId="77777777" w:rsidR="00A11018" w:rsidRPr="00A11018" w:rsidRDefault="00A11018" w:rsidP="00A11018">
            <w:pPr>
              <w:pStyle w:val="CDITable-RowLeft"/>
            </w:pPr>
            <w:r w:rsidRPr="00A11018">
              <w:t>Greater Shepparton</w:t>
            </w:r>
          </w:p>
        </w:tc>
        <w:tc>
          <w:tcPr>
            <w:tcW w:w="2410" w:type="dxa"/>
            <w:shd w:val="clear" w:color="auto" w:fill="F2F2F2" w:themeFill="background1" w:themeFillShade="F2"/>
            <w:tcMar>
              <w:top w:w="113" w:type="dxa"/>
              <w:left w:w="113" w:type="dxa"/>
              <w:bottom w:w="113" w:type="dxa"/>
              <w:right w:w="113" w:type="dxa"/>
            </w:tcMar>
            <w:vAlign w:val="center"/>
          </w:tcPr>
          <w:p w14:paraId="597319C0" w14:textId="77777777" w:rsidR="00A11018" w:rsidRPr="00A11018" w:rsidRDefault="00A11018" w:rsidP="00A11018">
            <w:pPr>
              <w:pStyle w:val="CDITable-RowCentre"/>
            </w:pPr>
            <w:r w:rsidRPr="00A11018">
              <w:t>0</w:t>
            </w:r>
          </w:p>
        </w:tc>
        <w:tc>
          <w:tcPr>
            <w:tcW w:w="2409" w:type="dxa"/>
            <w:shd w:val="clear" w:color="auto" w:fill="F2F2F2" w:themeFill="background1" w:themeFillShade="F2"/>
            <w:tcMar>
              <w:top w:w="113" w:type="dxa"/>
              <w:left w:w="113" w:type="dxa"/>
              <w:bottom w:w="113" w:type="dxa"/>
              <w:right w:w="113" w:type="dxa"/>
            </w:tcMar>
            <w:vAlign w:val="center"/>
          </w:tcPr>
          <w:p w14:paraId="2FAFCBF8" w14:textId="77777777" w:rsidR="00A11018" w:rsidRPr="00A11018" w:rsidRDefault="00A11018" w:rsidP="00A11018">
            <w:pPr>
              <w:pStyle w:val="CDITable-RowCentre"/>
            </w:pPr>
            <w:r w:rsidRPr="00A11018">
              <w:t>99</w:t>
            </w:r>
          </w:p>
        </w:tc>
        <w:tc>
          <w:tcPr>
            <w:tcW w:w="2410" w:type="dxa"/>
            <w:shd w:val="clear" w:color="auto" w:fill="F2F2F2" w:themeFill="background1" w:themeFillShade="F2"/>
            <w:tcMar>
              <w:top w:w="113" w:type="dxa"/>
              <w:left w:w="113" w:type="dxa"/>
              <w:bottom w:w="113" w:type="dxa"/>
              <w:right w:w="113" w:type="dxa"/>
            </w:tcMar>
            <w:vAlign w:val="center"/>
          </w:tcPr>
          <w:p w14:paraId="0630AE2E" w14:textId="77777777" w:rsidR="00A11018" w:rsidRPr="00A11018" w:rsidRDefault="00A11018" w:rsidP="00A11018">
            <w:pPr>
              <w:pStyle w:val="CDITable-RowCentre"/>
            </w:pPr>
            <w:r w:rsidRPr="00A11018">
              <w:t>0.0% (0.0–3.7%)</w:t>
            </w:r>
          </w:p>
        </w:tc>
      </w:tr>
      <w:tr w:rsidR="00A11018" w:rsidRPr="00A11018" w14:paraId="5FF5C0B1" w14:textId="77777777" w:rsidTr="00A11018">
        <w:trPr>
          <w:divId w:val="935526654"/>
          <w:trHeight w:val="60"/>
        </w:trPr>
        <w:tc>
          <w:tcPr>
            <w:tcW w:w="2409" w:type="dxa"/>
            <w:tcMar>
              <w:top w:w="113" w:type="dxa"/>
              <w:left w:w="113" w:type="dxa"/>
              <w:bottom w:w="113" w:type="dxa"/>
              <w:right w:w="113" w:type="dxa"/>
            </w:tcMar>
            <w:vAlign w:val="center"/>
          </w:tcPr>
          <w:p w14:paraId="7B2879CF" w14:textId="77777777" w:rsidR="00A11018" w:rsidRPr="00A11018" w:rsidRDefault="00A11018" w:rsidP="00A11018">
            <w:pPr>
              <w:pStyle w:val="CDITable-RowLeft"/>
            </w:pPr>
            <w:r w:rsidRPr="00A11018">
              <w:t>Moira</w:t>
            </w:r>
          </w:p>
        </w:tc>
        <w:tc>
          <w:tcPr>
            <w:tcW w:w="2410" w:type="dxa"/>
            <w:tcMar>
              <w:top w:w="113" w:type="dxa"/>
              <w:left w:w="113" w:type="dxa"/>
              <w:bottom w:w="113" w:type="dxa"/>
              <w:right w:w="113" w:type="dxa"/>
            </w:tcMar>
            <w:vAlign w:val="center"/>
          </w:tcPr>
          <w:p w14:paraId="5AD5FA1A" w14:textId="77777777" w:rsidR="00A11018" w:rsidRPr="00A11018" w:rsidRDefault="00A11018" w:rsidP="00A11018">
            <w:pPr>
              <w:pStyle w:val="CDITable-RowCentre"/>
            </w:pPr>
            <w:r w:rsidRPr="00A11018">
              <w:t>0</w:t>
            </w:r>
          </w:p>
        </w:tc>
        <w:tc>
          <w:tcPr>
            <w:tcW w:w="2409" w:type="dxa"/>
            <w:tcMar>
              <w:top w:w="113" w:type="dxa"/>
              <w:left w:w="113" w:type="dxa"/>
              <w:bottom w:w="113" w:type="dxa"/>
              <w:right w:w="113" w:type="dxa"/>
            </w:tcMar>
            <w:vAlign w:val="center"/>
          </w:tcPr>
          <w:p w14:paraId="5DE893AE" w14:textId="77777777" w:rsidR="00A11018" w:rsidRPr="00A11018" w:rsidRDefault="00A11018" w:rsidP="00A11018">
            <w:pPr>
              <w:pStyle w:val="CDITable-RowCentre"/>
            </w:pPr>
            <w:r w:rsidRPr="00A11018">
              <w:t>19</w:t>
            </w:r>
          </w:p>
        </w:tc>
        <w:tc>
          <w:tcPr>
            <w:tcW w:w="2410" w:type="dxa"/>
            <w:tcMar>
              <w:top w:w="113" w:type="dxa"/>
              <w:left w:w="113" w:type="dxa"/>
              <w:bottom w:w="113" w:type="dxa"/>
              <w:right w:w="113" w:type="dxa"/>
            </w:tcMar>
            <w:vAlign w:val="center"/>
          </w:tcPr>
          <w:p w14:paraId="3E766B0E" w14:textId="77777777" w:rsidR="00A11018" w:rsidRPr="00A11018" w:rsidRDefault="00A11018" w:rsidP="00A11018">
            <w:pPr>
              <w:pStyle w:val="CDITable-RowCentre"/>
            </w:pPr>
            <w:r w:rsidRPr="00A11018">
              <w:t>0.0% (0.0–16.8%)</w:t>
            </w:r>
          </w:p>
        </w:tc>
      </w:tr>
      <w:tr w:rsidR="00A11018" w:rsidRPr="00A11018" w14:paraId="7895A6F9" w14:textId="77777777" w:rsidTr="00A11018">
        <w:trPr>
          <w:divId w:val="935526654"/>
          <w:trHeight w:val="60"/>
        </w:trPr>
        <w:tc>
          <w:tcPr>
            <w:tcW w:w="2409" w:type="dxa"/>
            <w:shd w:val="clear" w:color="auto" w:fill="F2F2F2" w:themeFill="background1" w:themeFillShade="F2"/>
            <w:tcMar>
              <w:top w:w="113" w:type="dxa"/>
              <w:left w:w="113" w:type="dxa"/>
              <w:bottom w:w="113" w:type="dxa"/>
              <w:right w:w="113" w:type="dxa"/>
            </w:tcMar>
            <w:vAlign w:val="center"/>
          </w:tcPr>
          <w:p w14:paraId="71EE2083" w14:textId="77777777" w:rsidR="00A11018" w:rsidRPr="00A11018" w:rsidRDefault="00A11018" w:rsidP="00A11018">
            <w:pPr>
              <w:pStyle w:val="CDITable-RowLeft"/>
            </w:pPr>
            <w:r w:rsidRPr="00A11018">
              <w:t>Wodonga</w:t>
            </w:r>
          </w:p>
        </w:tc>
        <w:tc>
          <w:tcPr>
            <w:tcW w:w="2410" w:type="dxa"/>
            <w:shd w:val="clear" w:color="auto" w:fill="F2F2F2" w:themeFill="background1" w:themeFillShade="F2"/>
            <w:tcMar>
              <w:top w:w="113" w:type="dxa"/>
              <w:left w:w="113" w:type="dxa"/>
              <w:bottom w:w="113" w:type="dxa"/>
              <w:right w:w="113" w:type="dxa"/>
            </w:tcMar>
            <w:vAlign w:val="center"/>
          </w:tcPr>
          <w:p w14:paraId="5762361A" w14:textId="77777777" w:rsidR="00A11018" w:rsidRPr="00A11018" w:rsidRDefault="00A11018" w:rsidP="00A11018">
            <w:pPr>
              <w:pStyle w:val="CDITable-RowCentre"/>
            </w:pPr>
            <w:r w:rsidRPr="00A11018">
              <w:t>1</w:t>
            </w:r>
          </w:p>
        </w:tc>
        <w:tc>
          <w:tcPr>
            <w:tcW w:w="2409" w:type="dxa"/>
            <w:shd w:val="clear" w:color="auto" w:fill="F2F2F2" w:themeFill="background1" w:themeFillShade="F2"/>
            <w:tcMar>
              <w:top w:w="113" w:type="dxa"/>
              <w:left w:w="113" w:type="dxa"/>
              <w:bottom w:w="113" w:type="dxa"/>
              <w:right w:w="113" w:type="dxa"/>
            </w:tcMar>
            <w:vAlign w:val="center"/>
          </w:tcPr>
          <w:p w14:paraId="6DC26EAA" w14:textId="77777777" w:rsidR="00A11018" w:rsidRPr="00A11018" w:rsidRDefault="00A11018" w:rsidP="00A11018">
            <w:pPr>
              <w:pStyle w:val="CDITable-RowCentre"/>
            </w:pPr>
            <w:r w:rsidRPr="00A11018">
              <w:t>58</w:t>
            </w:r>
          </w:p>
        </w:tc>
        <w:tc>
          <w:tcPr>
            <w:tcW w:w="2410" w:type="dxa"/>
            <w:shd w:val="clear" w:color="auto" w:fill="F2F2F2" w:themeFill="background1" w:themeFillShade="F2"/>
            <w:tcMar>
              <w:top w:w="113" w:type="dxa"/>
              <w:left w:w="113" w:type="dxa"/>
              <w:bottom w:w="113" w:type="dxa"/>
              <w:right w:w="113" w:type="dxa"/>
            </w:tcMar>
            <w:vAlign w:val="center"/>
          </w:tcPr>
          <w:p w14:paraId="571C6D30" w14:textId="77777777" w:rsidR="00A11018" w:rsidRPr="00A11018" w:rsidRDefault="00A11018" w:rsidP="00A11018">
            <w:pPr>
              <w:pStyle w:val="CDITable-RowCentre"/>
            </w:pPr>
            <w:r w:rsidRPr="00A11018">
              <w:t>1.7% (0.3–9.1%)</w:t>
            </w:r>
          </w:p>
        </w:tc>
      </w:tr>
      <w:tr w:rsidR="00A11018" w:rsidRPr="00A11018" w14:paraId="48CAF783" w14:textId="77777777" w:rsidTr="00A11018">
        <w:trPr>
          <w:divId w:val="935526654"/>
          <w:trHeight w:val="60"/>
        </w:trPr>
        <w:tc>
          <w:tcPr>
            <w:tcW w:w="2409" w:type="dxa"/>
            <w:tcMar>
              <w:top w:w="113" w:type="dxa"/>
              <w:left w:w="113" w:type="dxa"/>
              <w:bottom w:w="113" w:type="dxa"/>
              <w:right w:w="113" w:type="dxa"/>
            </w:tcMar>
            <w:vAlign w:val="center"/>
          </w:tcPr>
          <w:p w14:paraId="203384D0" w14:textId="77777777" w:rsidR="00A11018" w:rsidRPr="00A11018" w:rsidRDefault="00A11018" w:rsidP="00A11018">
            <w:pPr>
              <w:pStyle w:val="CDITable-RowLeft"/>
            </w:pPr>
            <w:r w:rsidRPr="00A11018">
              <w:t>Indigo</w:t>
            </w:r>
          </w:p>
        </w:tc>
        <w:tc>
          <w:tcPr>
            <w:tcW w:w="2410" w:type="dxa"/>
            <w:tcMar>
              <w:top w:w="113" w:type="dxa"/>
              <w:left w:w="113" w:type="dxa"/>
              <w:bottom w:w="113" w:type="dxa"/>
              <w:right w:w="113" w:type="dxa"/>
            </w:tcMar>
            <w:vAlign w:val="center"/>
          </w:tcPr>
          <w:p w14:paraId="737AD7D5" w14:textId="77777777" w:rsidR="00A11018" w:rsidRPr="00A11018" w:rsidRDefault="00A11018" w:rsidP="00A11018">
            <w:pPr>
              <w:pStyle w:val="CDITable-RowCentre"/>
            </w:pPr>
            <w:r w:rsidRPr="00A11018">
              <w:t>0</w:t>
            </w:r>
          </w:p>
        </w:tc>
        <w:tc>
          <w:tcPr>
            <w:tcW w:w="2409" w:type="dxa"/>
            <w:tcMar>
              <w:top w:w="113" w:type="dxa"/>
              <w:left w:w="113" w:type="dxa"/>
              <w:bottom w:w="113" w:type="dxa"/>
              <w:right w:w="113" w:type="dxa"/>
            </w:tcMar>
            <w:vAlign w:val="center"/>
          </w:tcPr>
          <w:p w14:paraId="4AB6F007" w14:textId="77777777" w:rsidR="00A11018" w:rsidRPr="00A11018" w:rsidRDefault="00A11018" w:rsidP="00A11018">
            <w:pPr>
              <w:pStyle w:val="CDITable-RowCentre"/>
            </w:pPr>
            <w:r w:rsidRPr="00A11018">
              <w:t>20</w:t>
            </w:r>
          </w:p>
        </w:tc>
        <w:tc>
          <w:tcPr>
            <w:tcW w:w="2410" w:type="dxa"/>
            <w:tcMar>
              <w:top w:w="113" w:type="dxa"/>
              <w:left w:w="113" w:type="dxa"/>
              <w:bottom w:w="113" w:type="dxa"/>
              <w:right w:w="113" w:type="dxa"/>
            </w:tcMar>
            <w:vAlign w:val="center"/>
          </w:tcPr>
          <w:p w14:paraId="67231AE0" w14:textId="77777777" w:rsidR="00A11018" w:rsidRPr="00A11018" w:rsidRDefault="00A11018" w:rsidP="00A11018">
            <w:pPr>
              <w:pStyle w:val="CDITable-RowCentre"/>
            </w:pPr>
            <w:r w:rsidRPr="00A11018">
              <w:t>0.0% (0.0–16.1%)</w:t>
            </w:r>
          </w:p>
        </w:tc>
      </w:tr>
      <w:tr w:rsidR="00A11018" w:rsidRPr="00A11018" w14:paraId="5236E115" w14:textId="77777777" w:rsidTr="00A11018">
        <w:trPr>
          <w:divId w:val="935526654"/>
          <w:trHeight w:val="60"/>
        </w:trPr>
        <w:tc>
          <w:tcPr>
            <w:tcW w:w="2409" w:type="dxa"/>
            <w:shd w:val="clear" w:color="auto" w:fill="F2F2F2" w:themeFill="background1" w:themeFillShade="F2"/>
            <w:tcMar>
              <w:top w:w="113" w:type="dxa"/>
              <w:left w:w="113" w:type="dxa"/>
              <w:bottom w:w="113" w:type="dxa"/>
              <w:right w:w="113" w:type="dxa"/>
            </w:tcMar>
            <w:vAlign w:val="center"/>
          </w:tcPr>
          <w:p w14:paraId="2D864B43" w14:textId="77777777" w:rsidR="00A11018" w:rsidRPr="00A11018" w:rsidRDefault="00A11018" w:rsidP="00A11018">
            <w:pPr>
              <w:pStyle w:val="CDITable-RowLeft"/>
            </w:pPr>
            <w:r w:rsidRPr="00A11018">
              <w:t>Wangaratta</w:t>
            </w:r>
          </w:p>
        </w:tc>
        <w:tc>
          <w:tcPr>
            <w:tcW w:w="2410" w:type="dxa"/>
            <w:shd w:val="clear" w:color="auto" w:fill="F2F2F2" w:themeFill="background1" w:themeFillShade="F2"/>
            <w:tcMar>
              <w:top w:w="113" w:type="dxa"/>
              <w:left w:w="113" w:type="dxa"/>
              <w:bottom w:w="113" w:type="dxa"/>
              <w:right w:w="113" w:type="dxa"/>
            </w:tcMar>
            <w:vAlign w:val="center"/>
          </w:tcPr>
          <w:p w14:paraId="140207AF" w14:textId="77777777" w:rsidR="00A11018" w:rsidRPr="00A11018" w:rsidRDefault="00A11018" w:rsidP="00A11018">
            <w:pPr>
              <w:pStyle w:val="CDITable-RowCentre"/>
            </w:pPr>
            <w:r w:rsidRPr="00A11018">
              <w:t>2</w:t>
            </w:r>
          </w:p>
        </w:tc>
        <w:tc>
          <w:tcPr>
            <w:tcW w:w="2409" w:type="dxa"/>
            <w:shd w:val="clear" w:color="auto" w:fill="F2F2F2" w:themeFill="background1" w:themeFillShade="F2"/>
            <w:tcMar>
              <w:top w:w="113" w:type="dxa"/>
              <w:left w:w="113" w:type="dxa"/>
              <w:bottom w:w="113" w:type="dxa"/>
              <w:right w:w="113" w:type="dxa"/>
            </w:tcMar>
            <w:vAlign w:val="center"/>
          </w:tcPr>
          <w:p w14:paraId="2CED7CD9" w14:textId="77777777" w:rsidR="00A11018" w:rsidRPr="00A11018" w:rsidRDefault="00A11018" w:rsidP="00A11018">
            <w:pPr>
              <w:pStyle w:val="CDITable-RowCentre"/>
            </w:pPr>
            <w:r w:rsidRPr="00A11018">
              <w:t>44</w:t>
            </w:r>
          </w:p>
        </w:tc>
        <w:tc>
          <w:tcPr>
            <w:tcW w:w="2410" w:type="dxa"/>
            <w:shd w:val="clear" w:color="auto" w:fill="F2F2F2" w:themeFill="background1" w:themeFillShade="F2"/>
            <w:tcMar>
              <w:top w:w="113" w:type="dxa"/>
              <w:left w:w="113" w:type="dxa"/>
              <w:bottom w:w="113" w:type="dxa"/>
              <w:right w:w="113" w:type="dxa"/>
            </w:tcMar>
            <w:vAlign w:val="center"/>
          </w:tcPr>
          <w:p w14:paraId="2DDB541E" w14:textId="77777777" w:rsidR="00A11018" w:rsidRPr="00A11018" w:rsidRDefault="00A11018" w:rsidP="00A11018">
            <w:pPr>
              <w:pStyle w:val="CDITable-RowCentre"/>
            </w:pPr>
            <w:r w:rsidRPr="00A11018">
              <w:t>4.6% (1.3–15.1%)</w:t>
            </w:r>
          </w:p>
        </w:tc>
      </w:tr>
      <w:tr w:rsidR="00A11018" w:rsidRPr="00A11018" w14:paraId="30E2448D" w14:textId="77777777" w:rsidTr="00A11018">
        <w:trPr>
          <w:divId w:val="935526654"/>
          <w:trHeight w:val="60"/>
        </w:trPr>
        <w:tc>
          <w:tcPr>
            <w:tcW w:w="2409" w:type="dxa"/>
            <w:shd w:val="clear" w:color="auto" w:fill="C5FFEF" w:themeFill="background2" w:themeFillTint="33"/>
            <w:tcMar>
              <w:top w:w="113" w:type="dxa"/>
              <w:left w:w="113" w:type="dxa"/>
              <w:bottom w:w="113" w:type="dxa"/>
              <w:right w:w="113" w:type="dxa"/>
            </w:tcMar>
            <w:vAlign w:val="center"/>
          </w:tcPr>
          <w:p w14:paraId="1E65C8D5" w14:textId="77777777" w:rsidR="00A11018" w:rsidRPr="00A11018" w:rsidRDefault="00A11018" w:rsidP="00A11018">
            <w:pPr>
              <w:pStyle w:val="CDITable-TotalRowLeft"/>
            </w:pPr>
            <w:r w:rsidRPr="00A11018">
              <w:t>Total</w:t>
            </w:r>
          </w:p>
        </w:tc>
        <w:tc>
          <w:tcPr>
            <w:tcW w:w="2410" w:type="dxa"/>
            <w:shd w:val="clear" w:color="auto" w:fill="C5FFEF" w:themeFill="background2" w:themeFillTint="33"/>
            <w:tcMar>
              <w:top w:w="113" w:type="dxa"/>
              <w:left w:w="113" w:type="dxa"/>
              <w:bottom w:w="113" w:type="dxa"/>
              <w:right w:w="113" w:type="dxa"/>
            </w:tcMar>
            <w:vAlign w:val="center"/>
          </w:tcPr>
          <w:p w14:paraId="41D663ED" w14:textId="77777777" w:rsidR="00A11018" w:rsidRPr="00A11018" w:rsidRDefault="00A11018" w:rsidP="00A11018">
            <w:pPr>
              <w:pStyle w:val="CDITable-TotalRowCentre"/>
            </w:pPr>
            <w:r w:rsidRPr="00A11018">
              <w:t>10</w:t>
            </w:r>
          </w:p>
        </w:tc>
        <w:tc>
          <w:tcPr>
            <w:tcW w:w="2409" w:type="dxa"/>
            <w:shd w:val="clear" w:color="auto" w:fill="C5FFEF" w:themeFill="background2" w:themeFillTint="33"/>
            <w:tcMar>
              <w:top w:w="113" w:type="dxa"/>
              <w:left w:w="113" w:type="dxa"/>
              <w:bottom w:w="113" w:type="dxa"/>
              <w:right w:w="113" w:type="dxa"/>
            </w:tcMar>
            <w:vAlign w:val="center"/>
          </w:tcPr>
          <w:p w14:paraId="58C45F0D" w14:textId="77777777" w:rsidR="00A11018" w:rsidRPr="00A11018" w:rsidRDefault="00A11018" w:rsidP="00A11018">
            <w:pPr>
              <w:pStyle w:val="CDITable-TotalRowCentre"/>
            </w:pPr>
            <w:r w:rsidRPr="00A11018">
              <w:t>507</w:t>
            </w:r>
          </w:p>
        </w:tc>
        <w:tc>
          <w:tcPr>
            <w:tcW w:w="2410" w:type="dxa"/>
            <w:shd w:val="clear" w:color="auto" w:fill="C5FFEF" w:themeFill="background2" w:themeFillTint="33"/>
            <w:tcMar>
              <w:top w:w="113" w:type="dxa"/>
              <w:left w:w="113" w:type="dxa"/>
              <w:bottom w:w="113" w:type="dxa"/>
              <w:right w:w="113" w:type="dxa"/>
            </w:tcMar>
            <w:vAlign w:val="center"/>
          </w:tcPr>
          <w:p w14:paraId="007F5B68" w14:textId="77777777" w:rsidR="00A11018" w:rsidRPr="00A11018" w:rsidRDefault="00A11018" w:rsidP="00A11018">
            <w:pPr>
              <w:pStyle w:val="CDITable-TotalRowCentre"/>
            </w:pPr>
            <w:r w:rsidRPr="00A11018">
              <w:t>2.0% (1.1–3.6%)</w:t>
            </w:r>
          </w:p>
        </w:tc>
      </w:tr>
    </w:tbl>
    <w:p w14:paraId="2E5D92FA" w14:textId="65CF1766" w:rsidR="00A11018" w:rsidRDefault="00A11018" w:rsidP="00A11018">
      <w:pPr>
        <w:pStyle w:val="CDITable-Firstfootnote"/>
        <w:divId w:val="935526654"/>
      </w:pPr>
      <w:r w:rsidRPr="00A11018">
        <w:t>a</w:t>
      </w:r>
      <w:r w:rsidRPr="00A11018">
        <w:tab/>
        <w:t>95% CI: 95% confidence interval.</w:t>
      </w:r>
    </w:p>
    <w:p w14:paraId="5F1E9099" w14:textId="2F4C0414" w:rsidR="00A11018" w:rsidRDefault="00A11018" w:rsidP="00A11018">
      <w:pPr>
        <w:pStyle w:val="CDITable-Title"/>
        <w:divId w:val="935526654"/>
      </w:pPr>
      <w:r w:rsidRPr="00A11018">
        <w:t>Figure 2: Flavivirus assay reactivity among Murray Valley encephalitis virus total antibody seropositive participants</w:t>
      </w:r>
    </w:p>
    <w:p w14:paraId="57B2F73B" w14:textId="77777777" w:rsidR="00A11018" w:rsidRDefault="00A11018" w:rsidP="00A11018">
      <w:pPr>
        <w:pStyle w:val="CDIFigure-Placeholder"/>
        <w:divId w:val="935526654"/>
        <w:sectPr w:rsidR="00A11018" w:rsidSect="00690957">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7" w:h="16840" w:code="9"/>
          <w:pgMar w:top="1134" w:right="1134" w:bottom="1304" w:left="1134" w:header="709" w:footer="567" w:gutter="0"/>
          <w:cols w:space="708"/>
          <w:titlePg/>
          <w:docGrid w:linePitch="360"/>
          <w15:footnoteColumns w:val="1"/>
        </w:sectPr>
      </w:pPr>
      <w:r>
        <w:rPr>
          <w:noProof/>
          <w14:ligatures w14:val="none"/>
        </w:rPr>
        <w:drawing>
          <wp:inline distT="0" distB="0" distL="0" distR="0" wp14:anchorId="75AD94DD" wp14:editId="31DD991D">
            <wp:extent cx="5761219" cy="3328704"/>
            <wp:effectExtent l="0" t="0" r="0" b="5080"/>
            <wp:docPr id="557442478" name="Picture 3" descr="Figure 2 is a grid showing flavivirus assay cross-reactivity among Murray Valley encephalitis virus total antibody seropositive participants. Six participants who were seropositive for Murray Valley encephalitis virus total antibody were also positive for Japanese encephalitis virus total antibody. One Murray Valley encephalitis virus total antibody seropositive participant was also positive for both Murray Valley encephalitis virus IgM and Japanese encephalitis virus total antibody. One Murray Valley encephalitis virus total antibody seropositive participant was also positive for Kunjin virus total anti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42478" name="Picture 3" descr="Figure 2 is a grid showing flavivirus assay cross-reactivity among Murray Valley encephalitis virus total antibody seropositive participants. Six participants who were seropositive for Murray Valley encephalitis virus total antibody were also positive for Japanese encephalitis virus total antibody. One Murray Valley encephalitis virus total antibody seropositive participant was also positive for both Murray Valley encephalitis virus IgM and Japanese encephalitis virus total antibody. One Murray Valley encephalitis virus total antibody seropositive participant was also positive for Kunjin virus total antibody."/>
                    <pic:cNvPicPr/>
                  </pic:nvPicPr>
                  <pic:blipFill>
                    <a:blip r:embed="rId17">
                      <a:extLst>
                        <a:ext uri="{28A0092B-C50C-407E-A947-70E740481C1C}">
                          <a14:useLocalDpi xmlns:a14="http://schemas.microsoft.com/office/drawing/2010/main" val="0"/>
                        </a:ext>
                      </a:extLst>
                    </a:blip>
                    <a:stretch>
                      <a:fillRect/>
                    </a:stretch>
                  </pic:blipFill>
                  <pic:spPr>
                    <a:xfrm>
                      <a:off x="0" y="0"/>
                      <a:ext cx="5761219" cy="3328704"/>
                    </a:xfrm>
                    <a:prstGeom prst="rect">
                      <a:avLst/>
                    </a:prstGeom>
                  </pic:spPr>
                </pic:pic>
              </a:graphicData>
            </a:graphic>
          </wp:inline>
        </w:drawing>
      </w:r>
    </w:p>
    <w:p w14:paraId="43AE9803" w14:textId="77777777" w:rsidR="0042641A" w:rsidRPr="0042641A" w:rsidRDefault="0042641A" w:rsidP="0042641A">
      <w:pPr>
        <w:pStyle w:val="CDITable-Title"/>
        <w:divId w:val="935526654"/>
      </w:pPr>
      <w:r w:rsidRPr="0042641A">
        <w:lastRenderedPageBreak/>
        <w:t>Table 3: Presence of risk and protective factors for Murray Valley encephalitis virus infection among Murray Valley encephalitis virus total antibody seropositive and seronegative participants</w:t>
      </w:r>
    </w:p>
    <w:tbl>
      <w:tblPr>
        <w:tblW w:w="0" w:type="auto"/>
        <w:tblLayout w:type="fixed"/>
        <w:tblCellMar>
          <w:left w:w="0" w:type="dxa"/>
          <w:right w:w="0" w:type="dxa"/>
        </w:tblCellMar>
        <w:tblLook w:val="0000" w:firstRow="0" w:lastRow="0" w:firstColumn="0" w:lastColumn="0" w:noHBand="0" w:noVBand="0"/>
        <w:tblCaption w:val="Table 3: Presence of risk and protective factors for Murray Valley encephalitis virus infection among Murray Valley encephalitis virus total antibody seropositive and seronegative participants"/>
        <w:tblDescription w:val="Table 3 shows the number and percentage of participants who were Murray Valley encephalitis virus seropositive and Murray Valley encephalitis virus seronegative across various hypothesised risk and protective factors for infection, with corresponding prevalence odds ratios and 95% confidence intervals for seropositivity."/>
      </w:tblPr>
      <w:tblGrid>
        <w:gridCol w:w="2551"/>
        <w:gridCol w:w="4536"/>
        <w:gridCol w:w="2419"/>
        <w:gridCol w:w="2418"/>
        <w:gridCol w:w="2419"/>
      </w:tblGrid>
      <w:tr w:rsidR="0042641A" w:rsidRPr="0042641A" w14:paraId="02B12C07" w14:textId="77777777" w:rsidTr="003531B9">
        <w:trPr>
          <w:divId w:val="935526654"/>
          <w:trHeight w:val="20"/>
          <w:tblHeader/>
        </w:trPr>
        <w:tc>
          <w:tcPr>
            <w:tcW w:w="2551" w:type="dxa"/>
            <w:shd w:val="clear" w:color="auto" w:fill="033636" w:themeFill="text2"/>
            <w:tcMar>
              <w:top w:w="113" w:type="dxa"/>
              <w:left w:w="113" w:type="dxa"/>
              <w:bottom w:w="113" w:type="dxa"/>
              <w:right w:w="113" w:type="dxa"/>
            </w:tcMar>
            <w:vAlign w:val="bottom"/>
          </w:tcPr>
          <w:p w14:paraId="40555A0F" w14:textId="77777777" w:rsidR="0042641A" w:rsidRPr="0042641A" w:rsidRDefault="0042641A" w:rsidP="0042641A">
            <w:pPr>
              <w:pStyle w:val="CDITable-HeaderRowLeft"/>
            </w:pPr>
            <w:proofErr w:type="spellStart"/>
            <w:r w:rsidRPr="0042641A">
              <w:t>Category</w:t>
            </w:r>
            <w:r w:rsidRPr="0042641A">
              <w:rPr>
                <w:vertAlign w:val="superscript"/>
              </w:rPr>
              <w:t>a</w:t>
            </w:r>
            <w:proofErr w:type="spellEnd"/>
          </w:p>
        </w:tc>
        <w:tc>
          <w:tcPr>
            <w:tcW w:w="4536" w:type="dxa"/>
            <w:shd w:val="clear" w:color="auto" w:fill="033636" w:themeFill="text2"/>
            <w:tcMar>
              <w:top w:w="113" w:type="dxa"/>
              <w:left w:w="113" w:type="dxa"/>
              <w:bottom w:w="113" w:type="dxa"/>
              <w:right w:w="113" w:type="dxa"/>
            </w:tcMar>
            <w:vAlign w:val="bottom"/>
          </w:tcPr>
          <w:p w14:paraId="256CBFE7" w14:textId="77777777" w:rsidR="0042641A" w:rsidRPr="0042641A" w:rsidRDefault="0042641A" w:rsidP="0042641A">
            <w:pPr>
              <w:pStyle w:val="CDITable-HeaderRowLeft"/>
            </w:pPr>
            <w:r w:rsidRPr="0042641A">
              <w:t>Exposure variable</w:t>
            </w:r>
          </w:p>
        </w:tc>
        <w:tc>
          <w:tcPr>
            <w:tcW w:w="2419" w:type="dxa"/>
            <w:shd w:val="clear" w:color="auto" w:fill="033636" w:themeFill="text2"/>
            <w:tcMar>
              <w:top w:w="113" w:type="dxa"/>
              <w:left w:w="113" w:type="dxa"/>
              <w:bottom w:w="113" w:type="dxa"/>
              <w:right w:w="113" w:type="dxa"/>
            </w:tcMar>
            <w:vAlign w:val="bottom"/>
          </w:tcPr>
          <w:p w14:paraId="580ABB36" w14:textId="77777777" w:rsidR="0042641A" w:rsidRPr="0042641A" w:rsidRDefault="0042641A" w:rsidP="0042641A">
            <w:pPr>
              <w:pStyle w:val="CDITable-HeaderRowCentre"/>
            </w:pPr>
            <w:r w:rsidRPr="0042641A">
              <w:t xml:space="preserve">MVEV seropositive, </w:t>
            </w:r>
            <w:r w:rsidRPr="0042641A">
              <w:br/>
              <w:t>n (%)</w:t>
            </w:r>
          </w:p>
        </w:tc>
        <w:tc>
          <w:tcPr>
            <w:tcW w:w="2418" w:type="dxa"/>
            <w:shd w:val="clear" w:color="auto" w:fill="033636" w:themeFill="text2"/>
            <w:tcMar>
              <w:top w:w="113" w:type="dxa"/>
              <w:left w:w="113" w:type="dxa"/>
              <w:bottom w:w="113" w:type="dxa"/>
              <w:right w:w="113" w:type="dxa"/>
            </w:tcMar>
            <w:vAlign w:val="bottom"/>
          </w:tcPr>
          <w:p w14:paraId="2EBCEC99" w14:textId="77777777" w:rsidR="0042641A" w:rsidRPr="0042641A" w:rsidRDefault="0042641A" w:rsidP="0042641A">
            <w:pPr>
              <w:pStyle w:val="CDITable-HeaderRowCentre"/>
            </w:pPr>
            <w:r w:rsidRPr="0042641A">
              <w:t>MVEV seronegative,</w:t>
            </w:r>
            <w:r w:rsidRPr="0042641A">
              <w:br/>
              <w:t>n (%)</w:t>
            </w:r>
          </w:p>
        </w:tc>
        <w:tc>
          <w:tcPr>
            <w:tcW w:w="2419" w:type="dxa"/>
            <w:shd w:val="clear" w:color="auto" w:fill="033636" w:themeFill="text2"/>
            <w:tcMar>
              <w:top w:w="113" w:type="dxa"/>
              <w:left w:w="113" w:type="dxa"/>
              <w:bottom w:w="113" w:type="dxa"/>
              <w:right w:w="113" w:type="dxa"/>
            </w:tcMar>
            <w:vAlign w:val="bottom"/>
          </w:tcPr>
          <w:p w14:paraId="20CD653A" w14:textId="3EAD7EF7" w:rsidR="0042641A" w:rsidRPr="0042641A" w:rsidRDefault="0042641A" w:rsidP="0042641A">
            <w:pPr>
              <w:pStyle w:val="CDITable-HeaderRowCentre"/>
            </w:pPr>
            <w:r w:rsidRPr="0042641A">
              <w:t>Prevalence odds ratio (95%</w:t>
            </w:r>
            <w:r>
              <w:t> </w:t>
            </w:r>
            <w:proofErr w:type="gramStart"/>
            <w:r w:rsidRPr="0042641A">
              <w:t>CI)</w:t>
            </w:r>
            <w:r w:rsidRPr="0042641A">
              <w:rPr>
                <w:vertAlign w:val="superscript"/>
              </w:rPr>
              <w:t>b</w:t>
            </w:r>
            <w:proofErr w:type="gramEnd"/>
          </w:p>
        </w:tc>
      </w:tr>
      <w:tr w:rsidR="0042641A" w:rsidRPr="0042641A" w14:paraId="4336FF52" w14:textId="77777777" w:rsidTr="003531B9">
        <w:trPr>
          <w:divId w:val="935526654"/>
          <w:trHeight w:val="20"/>
        </w:trPr>
        <w:tc>
          <w:tcPr>
            <w:tcW w:w="2551"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1F2C6BB" w14:textId="77777777" w:rsidR="0042641A" w:rsidRPr="003531B9" w:rsidRDefault="0042641A" w:rsidP="0042641A">
            <w:pPr>
              <w:pStyle w:val="CDITable-RowLeft"/>
              <w:rPr>
                <w:b/>
                <w:bCs/>
              </w:rPr>
            </w:pPr>
            <w:proofErr w:type="spellStart"/>
            <w:r w:rsidRPr="003531B9">
              <w:rPr>
                <w:b/>
                <w:bCs/>
              </w:rPr>
              <w:t>Occupation</w:t>
            </w:r>
            <w:r w:rsidRPr="003531B9">
              <w:rPr>
                <w:b/>
                <w:bCs/>
                <w:vertAlign w:val="superscript"/>
              </w:rPr>
              <w:t>c</w:t>
            </w:r>
            <w:proofErr w:type="spellEnd"/>
          </w:p>
        </w:tc>
        <w:tc>
          <w:tcPr>
            <w:tcW w:w="4536" w:type="dxa"/>
            <w:shd w:val="clear" w:color="auto" w:fill="F2F2F2" w:themeFill="background1" w:themeFillShade="F2"/>
            <w:tcMar>
              <w:top w:w="113" w:type="dxa"/>
              <w:left w:w="113" w:type="dxa"/>
              <w:bottom w:w="113" w:type="dxa"/>
              <w:right w:w="113" w:type="dxa"/>
            </w:tcMar>
            <w:vAlign w:val="center"/>
          </w:tcPr>
          <w:p w14:paraId="39BEEAFF" w14:textId="77777777" w:rsidR="0042641A" w:rsidRPr="0042641A" w:rsidRDefault="0042641A" w:rsidP="0042641A">
            <w:pPr>
              <w:pStyle w:val="CDITable-RowLeft"/>
            </w:pPr>
            <w:r w:rsidRPr="0042641A">
              <w:t>Abattoir or meat worker</w:t>
            </w:r>
          </w:p>
        </w:tc>
        <w:tc>
          <w:tcPr>
            <w:tcW w:w="2419" w:type="dxa"/>
            <w:shd w:val="clear" w:color="auto" w:fill="F2F2F2" w:themeFill="background1" w:themeFillShade="F2"/>
            <w:tcMar>
              <w:top w:w="113" w:type="dxa"/>
              <w:left w:w="113" w:type="dxa"/>
              <w:bottom w:w="113" w:type="dxa"/>
              <w:right w:w="113" w:type="dxa"/>
            </w:tcMar>
            <w:vAlign w:val="center"/>
          </w:tcPr>
          <w:p w14:paraId="6C4A1B2A" w14:textId="77777777" w:rsidR="0042641A" w:rsidRPr="0042641A" w:rsidRDefault="0042641A" w:rsidP="0042641A">
            <w:pPr>
              <w:pStyle w:val="CDITable-RowCentre"/>
            </w:pPr>
            <w:r w:rsidRPr="0042641A">
              <w:t>0 (0.0%)</w:t>
            </w:r>
          </w:p>
        </w:tc>
        <w:tc>
          <w:tcPr>
            <w:tcW w:w="2418" w:type="dxa"/>
            <w:shd w:val="clear" w:color="auto" w:fill="F2F2F2" w:themeFill="background1" w:themeFillShade="F2"/>
            <w:tcMar>
              <w:top w:w="113" w:type="dxa"/>
              <w:left w:w="113" w:type="dxa"/>
              <w:bottom w:w="113" w:type="dxa"/>
              <w:right w:w="113" w:type="dxa"/>
            </w:tcMar>
            <w:vAlign w:val="center"/>
          </w:tcPr>
          <w:p w14:paraId="720114FD" w14:textId="77777777" w:rsidR="0042641A" w:rsidRPr="0042641A" w:rsidRDefault="0042641A" w:rsidP="0042641A">
            <w:pPr>
              <w:pStyle w:val="CDITable-RowCentre"/>
            </w:pPr>
            <w:r w:rsidRPr="0042641A">
              <w:t>2 (0.4%)</w:t>
            </w:r>
          </w:p>
        </w:tc>
        <w:tc>
          <w:tcPr>
            <w:tcW w:w="2419" w:type="dxa"/>
            <w:shd w:val="clear" w:color="auto" w:fill="F2F2F2" w:themeFill="background1" w:themeFillShade="F2"/>
            <w:tcMar>
              <w:top w:w="113" w:type="dxa"/>
              <w:left w:w="113" w:type="dxa"/>
              <w:bottom w:w="113" w:type="dxa"/>
              <w:right w:w="113" w:type="dxa"/>
            </w:tcMar>
            <w:vAlign w:val="center"/>
          </w:tcPr>
          <w:p w14:paraId="2E8F1C22" w14:textId="77777777" w:rsidR="0042641A" w:rsidRPr="0042641A" w:rsidRDefault="0042641A" w:rsidP="0042641A">
            <w:pPr>
              <w:pStyle w:val="CDITable-RowCentre"/>
            </w:pPr>
            <w:r w:rsidRPr="0042641A">
              <w:t>0 (0.0–276.4)</w:t>
            </w:r>
          </w:p>
        </w:tc>
      </w:tr>
      <w:tr w:rsidR="0042641A" w:rsidRPr="0042641A" w14:paraId="2ACC8B8C"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2FEDC4C2" w14:textId="77777777" w:rsidR="0042641A" w:rsidRPr="003531B9" w:rsidRDefault="0042641A" w:rsidP="0042641A">
            <w:pPr>
              <w:pStyle w:val="CDITable-RowLeft"/>
              <w:rPr>
                <w:b/>
                <w:bCs/>
              </w:rPr>
            </w:pPr>
          </w:p>
        </w:tc>
        <w:tc>
          <w:tcPr>
            <w:tcW w:w="4536" w:type="dxa"/>
            <w:tcMar>
              <w:top w:w="113" w:type="dxa"/>
              <w:left w:w="113" w:type="dxa"/>
              <w:bottom w:w="113" w:type="dxa"/>
              <w:right w:w="113" w:type="dxa"/>
            </w:tcMar>
            <w:vAlign w:val="center"/>
          </w:tcPr>
          <w:p w14:paraId="4FA20365" w14:textId="77777777" w:rsidR="0042641A" w:rsidRPr="0042641A" w:rsidRDefault="0042641A" w:rsidP="0042641A">
            <w:pPr>
              <w:pStyle w:val="CDITable-RowLeft"/>
            </w:pPr>
            <w:r w:rsidRPr="0042641A">
              <w:t>Animal shooter or hunter</w:t>
            </w:r>
          </w:p>
        </w:tc>
        <w:tc>
          <w:tcPr>
            <w:tcW w:w="2419" w:type="dxa"/>
            <w:tcMar>
              <w:top w:w="113" w:type="dxa"/>
              <w:left w:w="113" w:type="dxa"/>
              <w:bottom w:w="113" w:type="dxa"/>
              <w:right w:w="113" w:type="dxa"/>
            </w:tcMar>
            <w:vAlign w:val="center"/>
          </w:tcPr>
          <w:p w14:paraId="15690705" w14:textId="77777777" w:rsidR="0042641A" w:rsidRPr="0042641A" w:rsidRDefault="0042641A" w:rsidP="0042641A">
            <w:pPr>
              <w:pStyle w:val="CDITable-RowCentre"/>
            </w:pPr>
            <w:r w:rsidRPr="0042641A">
              <w:t>0 (0.0%)</w:t>
            </w:r>
          </w:p>
        </w:tc>
        <w:tc>
          <w:tcPr>
            <w:tcW w:w="2418" w:type="dxa"/>
            <w:tcMar>
              <w:top w:w="113" w:type="dxa"/>
              <w:left w:w="113" w:type="dxa"/>
              <w:bottom w:w="113" w:type="dxa"/>
              <w:right w:w="113" w:type="dxa"/>
            </w:tcMar>
            <w:vAlign w:val="center"/>
          </w:tcPr>
          <w:p w14:paraId="793F0FAC" w14:textId="77777777" w:rsidR="0042641A" w:rsidRPr="0042641A" w:rsidRDefault="0042641A" w:rsidP="0042641A">
            <w:pPr>
              <w:pStyle w:val="CDITable-RowCentre"/>
            </w:pPr>
            <w:r w:rsidRPr="0042641A">
              <w:t>4 (0.8%)</w:t>
            </w:r>
          </w:p>
        </w:tc>
        <w:tc>
          <w:tcPr>
            <w:tcW w:w="2419" w:type="dxa"/>
            <w:tcMar>
              <w:top w:w="113" w:type="dxa"/>
              <w:left w:w="113" w:type="dxa"/>
              <w:bottom w:w="113" w:type="dxa"/>
              <w:right w:w="113" w:type="dxa"/>
            </w:tcMar>
            <w:vAlign w:val="center"/>
          </w:tcPr>
          <w:p w14:paraId="034936EB" w14:textId="77777777" w:rsidR="0042641A" w:rsidRPr="0042641A" w:rsidRDefault="0042641A" w:rsidP="0042641A">
            <w:pPr>
              <w:pStyle w:val="CDITable-RowCentre"/>
            </w:pPr>
            <w:r w:rsidRPr="0042641A">
              <w:t>0 (0.0–82.7)</w:t>
            </w:r>
          </w:p>
        </w:tc>
      </w:tr>
      <w:tr w:rsidR="0042641A" w:rsidRPr="0042641A" w14:paraId="4F870147"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041239DB" w14:textId="77777777" w:rsidR="0042641A" w:rsidRPr="003531B9" w:rsidRDefault="0042641A" w:rsidP="0042641A">
            <w:pPr>
              <w:pStyle w:val="CDITable-RowLeft"/>
              <w:rPr>
                <w:b/>
                <w:bCs/>
              </w:rPr>
            </w:pPr>
          </w:p>
        </w:tc>
        <w:tc>
          <w:tcPr>
            <w:tcW w:w="4536" w:type="dxa"/>
            <w:shd w:val="clear" w:color="auto" w:fill="F2F2F2" w:themeFill="background1" w:themeFillShade="F2"/>
            <w:tcMar>
              <w:top w:w="113" w:type="dxa"/>
              <w:left w:w="113" w:type="dxa"/>
              <w:bottom w:w="113" w:type="dxa"/>
              <w:right w:w="113" w:type="dxa"/>
            </w:tcMar>
            <w:vAlign w:val="center"/>
          </w:tcPr>
          <w:p w14:paraId="4A422F52" w14:textId="77777777" w:rsidR="0042641A" w:rsidRPr="0042641A" w:rsidRDefault="0042641A" w:rsidP="0042641A">
            <w:pPr>
              <w:pStyle w:val="CDITable-RowLeft"/>
            </w:pPr>
            <w:r w:rsidRPr="0042641A">
              <w:t>Council worker (e.g., environmental health officer or outdoor staff)</w:t>
            </w:r>
          </w:p>
        </w:tc>
        <w:tc>
          <w:tcPr>
            <w:tcW w:w="2419" w:type="dxa"/>
            <w:shd w:val="clear" w:color="auto" w:fill="F2F2F2" w:themeFill="background1" w:themeFillShade="F2"/>
            <w:tcMar>
              <w:top w:w="113" w:type="dxa"/>
              <w:left w:w="113" w:type="dxa"/>
              <w:bottom w:w="113" w:type="dxa"/>
              <w:right w:w="113" w:type="dxa"/>
            </w:tcMar>
            <w:vAlign w:val="center"/>
          </w:tcPr>
          <w:p w14:paraId="681E2F6F" w14:textId="77777777" w:rsidR="0042641A" w:rsidRPr="0042641A" w:rsidRDefault="0042641A" w:rsidP="0042641A">
            <w:pPr>
              <w:pStyle w:val="CDITable-RowCentre"/>
            </w:pPr>
            <w:r w:rsidRPr="0042641A">
              <w:t>0 (0.0%)</w:t>
            </w:r>
          </w:p>
        </w:tc>
        <w:tc>
          <w:tcPr>
            <w:tcW w:w="2418" w:type="dxa"/>
            <w:shd w:val="clear" w:color="auto" w:fill="F2F2F2" w:themeFill="background1" w:themeFillShade="F2"/>
            <w:tcMar>
              <w:top w:w="113" w:type="dxa"/>
              <w:left w:w="113" w:type="dxa"/>
              <w:bottom w:w="113" w:type="dxa"/>
              <w:right w:w="113" w:type="dxa"/>
            </w:tcMar>
            <w:vAlign w:val="center"/>
          </w:tcPr>
          <w:p w14:paraId="690E9C93" w14:textId="77777777" w:rsidR="0042641A" w:rsidRPr="0042641A" w:rsidRDefault="0042641A" w:rsidP="0042641A">
            <w:pPr>
              <w:pStyle w:val="CDITable-RowCentre"/>
            </w:pPr>
            <w:r w:rsidRPr="0042641A">
              <w:t>3 (0.6%)</w:t>
            </w:r>
          </w:p>
        </w:tc>
        <w:tc>
          <w:tcPr>
            <w:tcW w:w="2419" w:type="dxa"/>
            <w:shd w:val="clear" w:color="auto" w:fill="F2F2F2" w:themeFill="background1" w:themeFillShade="F2"/>
            <w:tcMar>
              <w:top w:w="113" w:type="dxa"/>
              <w:left w:w="113" w:type="dxa"/>
              <w:bottom w:w="113" w:type="dxa"/>
              <w:right w:w="113" w:type="dxa"/>
            </w:tcMar>
            <w:vAlign w:val="center"/>
          </w:tcPr>
          <w:p w14:paraId="709998C7" w14:textId="77777777" w:rsidR="0042641A" w:rsidRPr="0042641A" w:rsidRDefault="0042641A" w:rsidP="0042641A">
            <w:pPr>
              <w:pStyle w:val="CDITable-RowCentre"/>
            </w:pPr>
            <w:r w:rsidRPr="0042641A">
              <w:t>0 (0.0–129.3)</w:t>
            </w:r>
          </w:p>
        </w:tc>
      </w:tr>
      <w:tr w:rsidR="0042641A" w:rsidRPr="0042641A" w14:paraId="2D8CEBA7"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0948EBB8" w14:textId="77777777" w:rsidR="0042641A" w:rsidRPr="003531B9" w:rsidRDefault="0042641A" w:rsidP="0042641A">
            <w:pPr>
              <w:pStyle w:val="CDITable-RowLeft"/>
              <w:rPr>
                <w:b/>
                <w:bCs/>
              </w:rPr>
            </w:pPr>
          </w:p>
        </w:tc>
        <w:tc>
          <w:tcPr>
            <w:tcW w:w="4536" w:type="dxa"/>
            <w:tcMar>
              <w:top w:w="113" w:type="dxa"/>
              <w:left w:w="113" w:type="dxa"/>
              <w:bottom w:w="113" w:type="dxa"/>
              <w:right w:w="113" w:type="dxa"/>
            </w:tcMar>
            <w:vAlign w:val="center"/>
          </w:tcPr>
          <w:p w14:paraId="4D87AD09" w14:textId="77777777" w:rsidR="0042641A" w:rsidRPr="0042641A" w:rsidRDefault="0042641A" w:rsidP="0042641A">
            <w:pPr>
              <w:pStyle w:val="CDITable-RowLeft"/>
            </w:pPr>
            <w:r w:rsidRPr="0042641A">
              <w:t>Animal transport driver</w:t>
            </w:r>
          </w:p>
        </w:tc>
        <w:tc>
          <w:tcPr>
            <w:tcW w:w="2419" w:type="dxa"/>
            <w:tcMar>
              <w:top w:w="113" w:type="dxa"/>
              <w:left w:w="113" w:type="dxa"/>
              <w:bottom w:w="113" w:type="dxa"/>
              <w:right w:w="113" w:type="dxa"/>
            </w:tcMar>
            <w:vAlign w:val="center"/>
          </w:tcPr>
          <w:p w14:paraId="69061F23" w14:textId="77777777" w:rsidR="0042641A" w:rsidRPr="0042641A" w:rsidRDefault="0042641A" w:rsidP="0042641A">
            <w:pPr>
              <w:pStyle w:val="CDITable-RowCentre"/>
            </w:pPr>
            <w:r w:rsidRPr="0042641A">
              <w:t>0 (0.0%)</w:t>
            </w:r>
          </w:p>
        </w:tc>
        <w:tc>
          <w:tcPr>
            <w:tcW w:w="2418" w:type="dxa"/>
            <w:tcMar>
              <w:top w:w="113" w:type="dxa"/>
              <w:left w:w="113" w:type="dxa"/>
              <w:bottom w:w="113" w:type="dxa"/>
              <w:right w:w="113" w:type="dxa"/>
            </w:tcMar>
            <w:vAlign w:val="center"/>
          </w:tcPr>
          <w:p w14:paraId="2AE57EFF" w14:textId="77777777" w:rsidR="0042641A" w:rsidRPr="0042641A" w:rsidRDefault="0042641A" w:rsidP="0042641A">
            <w:pPr>
              <w:pStyle w:val="CDITable-RowCentre"/>
            </w:pPr>
            <w:r w:rsidRPr="0042641A">
              <w:t>4 (0.8%)</w:t>
            </w:r>
          </w:p>
        </w:tc>
        <w:tc>
          <w:tcPr>
            <w:tcW w:w="2419" w:type="dxa"/>
            <w:tcMar>
              <w:top w:w="113" w:type="dxa"/>
              <w:left w:w="113" w:type="dxa"/>
              <w:bottom w:w="113" w:type="dxa"/>
              <w:right w:w="113" w:type="dxa"/>
            </w:tcMar>
            <w:vAlign w:val="center"/>
          </w:tcPr>
          <w:p w14:paraId="4145CB16" w14:textId="77777777" w:rsidR="0042641A" w:rsidRPr="0042641A" w:rsidRDefault="0042641A" w:rsidP="0042641A">
            <w:pPr>
              <w:pStyle w:val="CDITable-RowCentre"/>
            </w:pPr>
            <w:r w:rsidRPr="0042641A">
              <w:t>0 (0.0–82.7)</w:t>
            </w:r>
          </w:p>
        </w:tc>
      </w:tr>
      <w:tr w:rsidR="0042641A" w:rsidRPr="0042641A" w14:paraId="778BBF19"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12392549" w14:textId="77777777" w:rsidR="0042641A" w:rsidRPr="003531B9" w:rsidRDefault="0042641A" w:rsidP="0042641A">
            <w:pPr>
              <w:pStyle w:val="CDITable-RowLeft"/>
              <w:rPr>
                <w:b/>
                <w:bCs/>
              </w:rPr>
            </w:pPr>
          </w:p>
        </w:tc>
        <w:tc>
          <w:tcPr>
            <w:tcW w:w="4536" w:type="dxa"/>
            <w:shd w:val="clear" w:color="auto" w:fill="F2F2F2" w:themeFill="background1" w:themeFillShade="F2"/>
            <w:tcMar>
              <w:top w:w="113" w:type="dxa"/>
              <w:left w:w="113" w:type="dxa"/>
              <w:bottom w:w="113" w:type="dxa"/>
              <w:right w:w="113" w:type="dxa"/>
            </w:tcMar>
            <w:vAlign w:val="center"/>
          </w:tcPr>
          <w:p w14:paraId="35581D2A" w14:textId="77777777" w:rsidR="0042641A" w:rsidRPr="0042641A" w:rsidRDefault="0042641A" w:rsidP="0042641A">
            <w:pPr>
              <w:pStyle w:val="CDITable-RowLeft"/>
            </w:pPr>
            <w:r w:rsidRPr="0042641A">
              <w:t>Farmer</w:t>
            </w:r>
          </w:p>
        </w:tc>
        <w:tc>
          <w:tcPr>
            <w:tcW w:w="2419" w:type="dxa"/>
            <w:shd w:val="clear" w:color="auto" w:fill="F2F2F2" w:themeFill="background1" w:themeFillShade="F2"/>
            <w:tcMar>
              <w:top w:w="113" w:type="dxa"/>
              <w:left w:w="113" w:type="dxa"/>
              <w:bottom w:w="113" w:type="dxa"/>
              <w:right w:w="113" w:type="dxa"/>
            </w:tcMar>
            <w:vAlign w:val="center"/>
          </w:tcPr>
          <w:p w14:paraId="10639E37" w14:textId="77777777" w:rsidR="0042641A" w:rsidRPr="0042641A" w:rsidRDefault="0042641A" w:rsidP="0042641A">
            <w:pPr>
              <w:pStyle w:val="CDITable-RowCentre"/>
            </w:pPr>
            <w:r w:rsidRPr="0042641A">
              <w:t>1 (10.0%)</w:t>
            </w:r>
          </w:p>
        </w:tc>
        <w:tc>
          <w:tcPr>
            <w:tcW w:w="2418" w:type="dxa"/>
            <w:shd w:val="clear" w:color="auto" w:fill="F2F2F2" w:themeFill="background1" w:themeFillShade="F2"/>
            <w:tcMar>
              <w:top w:w="113" w:type="dxa"/>
              <w:left w:w="113" w:type="dxa"/>
              <w:bottom w:w="113" w:type="dxa"/>
              <w:right w:w="113" w:type="dxa"/>
            </w:tcMar>
            <w:vAlign w:val="center"/>
          </w:tcPr>
          <w:p w14:paraId="58B9622B" w14:textId="77777777" w:rsidR="0042641A" w:rsidRPr="0042641A" w:rsidRDefault="0042641A" w:rsidP="0042641A">
            <w:pPr>
              <w:pStyle w:val="CDITable-RowCentre"/>
            </w:pPr>
            <w:r w:rsidRPr="0042641A">
              <w:t>34 (6.7%)</w:t>
            </w:r>
          </w:p>
        </w:tc>
        <w:tc>
          <w:tcPr>
            <w:tcW w:w="2419" w:type="dxa"/>
            <w:shd w:val="clear" w:color="auto" w:fill="F2F2F2" w:themeFill="background1" w:themeFillShade="F2"/>
            <w:tcMar>
              <w:top w:w="113" w:type="dxa"/>
              <w:left w:w="113" w:type="dxa"/>
              <w:bottom w:w="113" w:type="dxa"/>
              <w:right w:w="113" w:type="dxa"/>
            </w:tcMar>
            <w:vAlign w:val="center"/>
          </w:tcPr>
          <w:p w14:paraId="5AF802AE" w14:textId="77777777" w:rsidR="0042641A" w:rsidRPr="0042641A" w:rsidRDefault="0042641A" w:rsidP="0042641A">
            <w:pPr>
              <w:pStyle w:val="CDITable-RowCentre"/>
            </w:pPr>
            <w:r w:rsidRPr="0042641A">
              <w:t>1.51 (0.0–11.5)</w:t>
            </w:r>
          </w:p>
        </w:tc>
      </w:tr>
      <w:tr w:rsidR="0042641A" w:rsidRPr="0042641A" w14:paraId="2E24853F"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472F25E1" w14:textId="77777777" w:rsidR="0042641A" w:rsidRPr="003531B9" w:rsidRDefault="0042641A" w:rsidP="0042641A">
            <w:pPr>
              <w:pStyle w:val="CDITable-RowLeft"/>
              <w:rPr>
                <w:b/>
                <w:bCs/>
              </w:rPr>
            </w:pPr>
          </w:p>
        </w:tc>
        <w:tc>
          <w:tcPr>
            <w:tcW w:w="4536" w:type="dxa"/>
            <w:tcMar>
              <w:top w:w="113" w:type="dxa"/>
              <w:left w:w="113" w:type="dxa"/>
              <w:bottom w:w="113" w:type="dxa"/>
              <w:right w:w="113" w:type="dxa"/>
            </w:tcMar>
            <w:vAlign w:val="center"/>
          </w:tcPr>
          <w:p w14:paraId="76CD160E" w14:textId="77777777" w:rsidR="0042641A" w:rsidRPr="0042641A" w:rsidRDefault="0042641A" w:rsidP="0042641A">
            <w:pPr>
              <w:pStyle w:val="CDITable-RowLeft"/>
            </w:pPr>
            <w:r w:rsidRPr="0042641A">
              <w:t>Pest controller</w:t>
            </w:r>
          </w:p>
        </w:tc>
        <w:tc>
          <w:tcPr>
            <w:tcW w:w="2419" w:type="dxa"/>
            <w:tcMar>
              <w:top w:w="113" w:type="dxa"/>
              <w:left w:w="113" w:type="dxa"/>
              <w:bottom w:w="113" w:type="dxa"/>
              <w:right w:w="113" w:type="dxa"/>
            </w:tcMar>
            <w:vAlign w:val="center"/>
          </w:tcPr>
          <w:p w14:paraId="34D417D0" w14:textId="77777777" w:rsidR="0042641A" w:rsidRPr="0042641A" w:rsidRDefault="0042641A" w:rsidP="0042641A">
            <w:pPr>
              <w:pStyle w:val="CDITable-RowCentre"/>
            </w:pPr>
            <w:r w:rsidRPr="0042641A">
              <w:t>0 (0.0%)</w:t>
            </w:r>
          </w:p>
        </w:tc>
        <w:tc>
          <w:tcPr>
            <w:tcW w:w="2418" w:type="dxa"/>
            <w:tcMar>
              <w:top w:w="113" w:type="dxa"/>
              <w:left w:w="113" w:type="dxa"/>
              <w:bottom w:w="113" w:type="dxa"/>
              <w:right w:w="113" w:type="dxa"/>
            </w:tcMar>
            <w:vAlign w:val="center"/>
          </w:tcPr>
          <w:p w14:paraId="47A262CD" w14:textId="77777777" w:rsidR="0042641A" w:rsidRPr="0042641A" w:rsidRDefault="0042641A" w:rsidP="0042641A">
            <w:pPr>
              <w:pStyle w:val="CDITable-RowCentre"/>
            </w:pPr>
            <w:r w:rsidRPr="0042641A">
              <w:t>1 (0.2%)</w:t>
            </w:r>
          </w:p>
        </w:tc>
        <w:tc>
          <w:tcPr>
            <w:tcW w:w="2419" w:type="dxa"/>
            <w:tcMar>
              <w:top w:w="113" w:type="dxa"/>
              <w:left w:w="113" w:type="dxa"/>
              <w:bottom w:w="113" w:type="dxa"/>
              <w:right w:w="113" w:type="dxa"/>
            </w:tcMar>
            <w:vAlign w:val="center"/>
          </w:tcPr>
          <w:p w14:paraId="3BB51CF4" w14:textId="77777777" w:rsidR="0042641A" w:rsidRPr="0042641A" w:rsidRDefault="0042641A" w:rsidP="0042641A">
            <w:pPr>
              <w:pStyle w:val="CDITable-RowCentre"/>
            </w:pPr>
            <w:r w:rsidRPr="0042641A">
              <w:t>0 (0.0–1881.3)</w:t>
            </w:r>
          </w:p>
        </w:tc>
      </w:tr>
      <w:tr w:rsidR="0042641A" w:rsidRPr="0042641A" w14:paraId="04EC06BC"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4A189C1A" w14:textId="77777777" w:rsidR="0042641A" w:rsidRPr="003531B9" w:rsidRDefault="0042641A" w:rsidP="0042641A">
            <w:pPr>
              <w:pStyle w:val="CDITable-RowLeft"/>
              <w:rPr>
                <w:b/>
                <w:bCs/>
              </w:rPr>
            </w:pPr>
          </w:p>
        </w:tc>
        <w:tc>
          <w:tcPr>
            <w:tcW w:w="4536" w:type="dxa"/>
            <w:shd w:val="clear" w:color="auto" w:fill="F2F2F2" w:themeFill="background1" w:themeFillShade="F2"/>
            <w:tcMar>
              <w:top w:w="113" w:type="dxa"/>
              <w:left w:w="113" w:type="dxa"/>
              <w:bottom w:w="113" w:type="dxa"/>
              <w:right w:w="113" w:type="dxa"/>
            </w:tcMar>
            <w:vAlign w:val="center"/>
          </w:tcPr>
          <w:p w14:paraId="2D295F99" w14:textId="77777777" w:rsidR="0042641A" w:rsidRPr="0042641A" w:rsidRDefault="0042641A" w:rsidP="0042641A">
            <w:pPr>
              <w:pStyle w:val="CDITable-RowLeft"/>
            </w:pPr>
            <w:r w:rsidRPr="0042641A">
              <w:t>Laboratory worker</w:t>
            </w:r>
          </w:p>
        </w:tc>
        <w:tc>
          <w:tcPr>
            <w:tcW w:w="2419" w:type="dxa"/>
            <w:shd w:val="clear" w:color="auto" w:fill="F2F2F2" w:themeFill="background1" w:themeFillShade="F2"/>
            <w:tcMar>
              <w:top w:w="113" w:type="dxa"/>
              <w:left w:w="113" w:type="dxa"/>
              <w:bottom w:w="113" w:type="dxa"/>
              <w:right w:w="113" w:type="dxa"/>
            </w:tcMar>
            <w:vAlign w:val="center"/>
          </w:tcPr>
          <w:p w14:paraId="2745355E" w14:textId="77777777" w:rsidR="0042641A" w:rsidRPr="0042641A" w:rsidRDefault="0042641A" w:rsidP="0042641A">
            <w:pPr>
              <w:pStyle w:val="CDITable-RowCentre"/>
            </w:pPr>
            <w:r w:rsidRPr="0042641A">
              <w:t>0 (0.0%)</w:t>
            </w:r>
          </w:p>
        </w:tc>
        <w:tc>
          <w:tcPr>
            <w:tcW w:w="2418" w:type="dxa"/>
            <w:shd w:val="clear" w:color="auto" w:fill="F2F2F2" w:themeFill="background1" w:themeFillShade="F2"/>
            <w:tcMar>
              <w:top w:w="113" w:type="dxa"/>
              <w:left w:w="113" w:type="dxa"/>
              <w:bottom w:w="113" w:type="dxa"/>
              <w:right w:w="113" w:type="dxa"/>
            </w:tcMar>
            <w:vAlign w:val="center"/>
          </w:tcPr>
          <w:p w14:paraId="251D2740" w14:textId="77777777" w:rsidR="0042641A" w:rsidRPr="0042641A" w:rsidRDefault="0042641A" w:rsidP="0042641A">
            <w:pPr>
              <w:pStyle w:val="CDITable-RowCentre"/>
            </w:pPr>
            <w:r w:rsidRPr="0042641A">
              <w:t>4 (0.8%)</w:t>
            </w:r>
          </w:p>
        </w:tc>
        <w:tc>
          <w:tcPr>
            <w:tcW w:w="2419" w:type="dxa"/>
            <w:shd w:val="clear" w:color="auto" w:fill="F2F2F2" w:themeFill="background1" w:themeFillShade="F2"/>
            <w:tcMar>
              <w:top w:w="113" w:type="dxa"/>
              <w:left w:w="113" w:type="dxa"/>
              <w:bottom w:w="113" w:type="dxa"/>
              <w:right w:w="113" w:type="dxa"/>
            </w:tcMar>
            <w:vAlign w:val="center"/>
          </w:tcPr>
          <w:p w14:paraId="6A777C64" w14:textId="77777777" w:rsidR="0042641A" w:rsidRPr="0042641A" w:rsidRDefault="0042641A" w:rsidP="0042641A">
            <w:pPr>
              <w:pStyle w:val="CDITable-RowCentre"/>
            </w:pPr>
            <w:r w:rsidRPr="0042641A">
              <w:t>0 (0.0–82.6)</w:t>
            </w:r>
          </w:p>
        </w:tc>
      </w:tr>
      <w:tr w:rsidR="0042641A" w:rsidRPr="0042641A" w14:paraId="35D0AA06"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6DCB1E2E" w14:textId="77777777" w:rsidR="0042641A" w:rsidRPr="003531B9" w:rsidRDefault="0042641A" w:rsidP="0042641A">
            <w:pPr>
              <w:pStyle w:val="CDITable-RowLeft"/>
              <w:rPr>
                <w:b/>
                <w:bCs/>
              </w:rPr>
            </w:pPr>
          </w:p>
        </w:tc>
        <w:tc>
          <w:tcPr>
            <w:tcW w:w="4536" w:type="dxa"/>
            <w:tcMar>
              <w:top w:w="113" w:type="dxa"/>
              <w:left w:w="113" w:type="dxa"/>
              <w:bottom w:w="113" w:type="dxa"/>
              <w:right w:w="113" w:type="dxa"/>
            </w:tcMar>
            <w:vAlign w:val="center"/>
          </w:tcPr>
          <w:p w14:paraId="2451BA48" w14:textId="77777777" w:rsidR="0042641A" w:rsidRPr="0042641A" w:rsidRDefault="0042641A" w:rsidP="0042641A">
            <w:pPr>
              <w:pStyle w:val="CDITable-RowLeft"/>
            </w:pPr>
            <w:r w:rsidRPr="0042641A">
              <w:t>Veterinarian, veterinary technician or nurse</w:t>
            </w:r>
          </w:p>
        </w:tc>
        <w:tc>
          <w:tcPr>
            <w:tcW w:w="2419" w:type="dxa"/>
            <w:tcMar>
              <w:top w:w="113" w:type="dxa"/>
              <w:left w:w="113" w:type="dxa"/>
              <w:bottom w:w="113" w:type="dxa"/>
              <w:right w:w="113" w:type="dxa"/>
            </w:tcMar>
            <w:vAlign w:val="center"/>
          </w:tcPr>
          <w:p w14:paraId="6E642176" w14:textId="77777777" w:rsidR="0042641A" w:rsidRPr="0042641A" w:rsidRDefault="0042641A" w:rsidP="0042641A">
            <w:pPr>
              <w:pStyle w:val="CDITable-RowCentre"/>
            </w:pPr>
            <w:r w:rsidRPr="0042641A">
              <w:t>0 (0.0%)</w:t>
            </w:r>
          </w:p>
        </w:tc>
        <w:tc>
          <w:tcPr>
            <w:tcW w:w="2418" w:type="dxa"/>
            <w:tcMar>
              <w:top w:w="113" w:type="dxa"/>
              <w:left w:w="113" w:type="dxa"/>
              <w:bottom w:w="113" w:type="dxa"/>
              <w:right w:w="113" w:type="dxa"/>
            </w:tcMar>
            <w:vAlign w:val="center"/>
          </w:tcPr>
          <w:p w14:paraId="1264ACBF" w14:textId="77777777" w:rsidR="0042641A" w:rsidRPr="0042641A" w:rsidRDefault="0042641A" w:rsidP="0042641A">
            <w:pPr>
              <w:pStyle w:val="CDITable-RowCentre"/>
            </w:pPr>
            <w:r w:rsidRPr="0042641A">
              <w:t>1 (0.2%)</w:t>
            </w:r>
          </w:p>
        </w:tc>
        <w:tc>
          <w:tcPr>
            <w:tcW w:w="2419" w:type="dxa"/>
            <w:tcMar>
              <w:top w:w="113" w:type="dxa"/>
              <w:left w:w="113" w:type="dxa"/>
              <w:bottom w:w="113" w:type="dxa"/>
              <w:right w:w="113" w:type="dxa"/>
            </w:tcMar>
            <w:vAlign w:val="center"/>
          </w:tcPr>
          <w:p w14:paraId="3B43DF0C" w14:textId="77777777" w:rsidR="0042641A" w:rsidRPr="0042641A" w:rsidRDefault="0042641A" w:rsidP="0042641A">
            <w:pPr>
              <w:pStyle w:val="CDITable-RowCentre"/>
            </w:pPr>
            <w:r w:rsidRPr="0042641A">
              <w:t>0 (0.0–1881.3)</w:t>
            </w:r>
          </w:p>
        </w:tc>
      </w:tr>
      <w:tr w:rsidR="0042641A" w:rsidRPr="0042641A" w14:paraId="4C103FED"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211779C7" w14:textId="77777777" w:rsidR="0042641A" w:rsidRPr="003531B9" w:rsidRDefault="0042641A" w:rsidP="0042641A">
            <w:pPr>
              <w:pStyle w:val="CDITable-RowLeft"/>
              <w:rPr>
                <w:b/>
                <w:bCs/>
              </w:rPr>
            </w:pPr>
          </w:p>
        </w:tc>
        <w:tc>
          <w:tcPr>
            <w:tcW w:w="4536" w:type="dxa"/>
            <w:shd w:val="clear" w:color="auto" w:fill="F2F2F2" w:themeFill="background1" w:themeFillShade="F2"/>
            <w:tcMar>
              <w:top w:w="113" w:type="dxa"/>
              <w:left w:w="113" w:type="dxa"/>
              <w:bottom w:w="113" w:type="dxa"/>
              <w:right w:w="113" w:type="dxa"/>
            </w:tcMar>
            <w:vAlign w:val="center"/>
          </w:tcPr>
          <w:p w14:paraId="1CA799B7" w14:textId="77777777" w:rsidR="0042641A" w:rsidRPr="0042641A" w:rsidRDefault="0042641A" w:rsidP="0042641A">
            <w:pPr>
              <w:pStyle w:val="CDITable-RowLeft"/>
            </w:pPr>
            <w:r w:rsidRPr="0042641A">
              <w:t>Wildlife or zoo worker</w:t>
            </w:r>
          </w:p>
        </w:tc>
        <w:tc>
          <w:tcPr>
            <w:tcW w:w="2419" w:type="dxa"/>
            <w:shd w:val="clear" w:color="auto" w:fill="F2F2F2" w:themeFill="background1" w:themeFillShade="F2"/>
            <w:tcMar>
              <w:top w:w="113" w:type="dxa"/>
              <w:left w:w="113" w:type="dxa"/>
              <w:bottom w:w="113" w:type="dxa"/>
              <w:right w:w="113" w:type="dxa"/>
            </w:tcMar>
            <w:vAlign w:val="center"/>
          </w:tcPr>
          <w:p w14:paraId="64C0D3D3" w14:textId="77777777" w:rsidR="0042641A" w:rsidRPr="0042641A" w:rsidRDefault="0042641A" w:rsidP="0042641A">
            <w:pPr>
              <w:pStyle w:val="CDITable-RowCentre"/>
            </w:pPr>
            <w:r w:rsidRPr="0042641A">
              <w:t>0 (0.0%)</w:t>
            </w:r>
          </w:p>
        </w:tc>
        <w:tc>
          <w:tcPr>
            <w:tcW w:w="2418" w:type="dxa"/>
            <w:shd w:val="clear" w:color="auto" w:fill="F2F2F2" w:themeFill="background1" w:themeFillShade="F2"/>
            <w:tcMar>
              <w:top w:w="113" w:type="dxa"/>
              <w:left w:w="113" w:type="dxa"/>
              <w:bottom w:w="113" w:type="dxa"/>
              <w:right w:w="113" w:type="dxa"/>
            </w:tcMar>
            <w:vAlign w:val="center"/>
          </w:tcPr>
          <w:p w14:paraId="548B3764" w14:textId="77777777" w:rsidR="0042641A" w:rsidRPr="0042641A" w:rsidRDefault="0042641A" w:rsidP="0042641A">
            <w:pPr>
              <w:pStyle w:val="CDITable-RowCentre"/>
            </w:pPr>
            <w:r w:rsidRPr="0042641A">
              <w:t>1 (0.2%)</w:t>
            </w:r>
          </w:p>
        </w:tc>
        <w:tc>
          <w:tcPr>
            <w:tcW w:w="2419" w:type="dxa"/>
            <w:shd w:val="clear" w:color="auto" w:fill="F2F2F2" w:themeFill="background1" w:themeFillShade="F2"/>
            <w:tcMar>
              <w:top w:w="113" w:type="dxa"/>
              <w:left w:w="113" w:type="dxa"/>
              <w:bottom w:w="113" w:type="dxa"/>
              <w:right w:w="113" w:type="dxa"/>
            </w:tcMar>
            <w:vAlign w:val="center"/>
          </w:tcPr>
          <w:p w14:paraId="7BD8ED30" w14:textId="77777777" w:rsidR="0042641A" w:rsidRPr="0042641A" w:rsidRDefault="0042641A" w:rsidP="0042641A">
            <w:pPr>
              <w:pStyle w:val="CDITable-RowCentre"/>
            </w:pPr>
            <w:r w:rsidRPr="0042641A">
              <w:t>0 (0.0–1881.3)</w:t>
            </w:r>
          </w:p>
        </w:tc>
      </w:tr>
      <w:tr w:rsidR="0042641A" w:rsidRPr="0042641A" w14:paraId="0CAC3C2D"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267139BF" w14:textId="77777777" w:rsidR="0042641A" w:rsidRPr="003531B9" w:rsidRDefault="0042641A" w:rsidP="0042641A">
            <w:pPr>
              <w:pStyle w:val="CDITable-RowLeft"/>
              <w:rPr>
                <w:b/>
                <w:bCs/>
              </w:rPr>
            </w:pPr>
          </w:p>
        </w:tc>
        <w:tc>
          <w:tcPr>
            <w:tcW w:w="4536" w:type="dxa"/>
            <w:tcBorders>
              <w:bottom w:val="single" w:sz="6" w:space="0" w:color="033636" w:themeColor="text2"/>
            </w:tcBorders>
            <w:tcMar>
              <w:top w:w="113" w:type="dxa"/>
              <w:left w:w="113" w:type="dxa"/>
              <w:bottom w:w="113" w:type="dxa"/>
              <w:right w:w="113" w:type="dxa"/>
            </w:tcMar>
            <w:vAlign w:val="center"/>
          </w:tcPr>
          <w:p w14:paraId="60C11546" w14:textId="77777777" w:rsidR="0042641A" w:rsidRPr="0042641A" w:rsidRDefault="0042641A" w:rsidP="0042641A">
            <w:pPr>
              <w:pStyle w:val="CDITable-RowLeft"/>
            </w:pPr>
            <w:r w:rsidRPr="0042641A">
              <w:t>Other outdoor occupation</w:t>
            </w:r>
          </w:p>
        </w:tc>
        <w:tc>
          <w:tcPr>
            <w:tcW w:w="2419" w:type="dxa"/>
            <w:tcBorders>
              <w:bottom w:val="single" w:sz="6" w:space="0" w:color="033636" w:themeColor="text2"/>
            </w:tcBorders>
            <w:tcMar>
              <w:top w:w="113" w:type="dxa"/>
              <w:left w:w="113" w:type="dxa"/>
              <w:bottom w:w="113" w:type="dxa"/>
              <w:right w:w="113" w:type="dxa"/>
            </w:tcMar>
            <w:vAlign w:val="center"/>
          </w:tcPr>
          <w:p w14:paraId="6A5A03CE" w14:textId="77777777" w:rsidR="0042641A" w:rsidRPr="0042641A" w:rsidRDefault="0042641A" w:rsidP="0042641A">
            <w:pPr>
              <w:pStyle w:val="CDITable-RowCentre"/>
            </w:pPr>
            <w:r w:rsidRPr="0042641A">
              <w:t>0 (0.0%)</w:t>
            </w:r>
          </w:p>
        </w:tc>
        <w:tc>
          <w:tcPr>
            <w:tcW w:w="2418" w:type="dxa"/>
            <w:tcBorders>
              <w:bottom w:val="single" w:sz="6" w:space="0" w:color="033636" w:themeColor="text2"/>
            </w:tcBorders>
            <w:tcMar>
              <w:top w:w="113" w:type="dxa"/>
              <w:left w:w="113" w:type="dxa"/>
              <w:bottom w:w="113" w:type="dxa"/>
              <w:right w:w="113" w:type="dxa"/>
            </w:tcMar>
            <w:vAlign w:val="center"/>
          </w:tcPr>
          <w:p w14:paraId="1A50ECD3" w14:textId="77777777" w:rsidR="0042641A" w:rsidRPr="0042641A" w:rsidRDefault="0042641A" w:rsidP="0042641A">
            <w:pPr>
              <w:pStyle w:val="CDITable-RowCentre"/>
            </w:pPr>
            <w:r w:rsidRPr="0042641A">
              <w:t>30 (5.9%)</w:t>
            </w:r>
          </w:p>
        </w:tc>
        <w:tc>
          <w:tcPr>
            <w:tcW w:w="2419" w:type="dxa"/>
            <w:tcBorders>
              <w:bottom w:val="single" w:sz="6" w:space="0" w:color="033636" w:themeColor="text2"/>
            </w:tcBorders>
            <w:tcMar>
              <w:top w:w="113" w:type="dxa"/>
              <w:left w:w="113" w:type="dxa"/>
              <w:bottom w:w="113" w:type="dxa"/>
              <w:right w:w="113" w:type="dxa"/>
            </w:tcMar>
            <w:vAlign w:val="center"/>
          </w:tcPr>
          <w:p w14:paraId="2D9A1F37" w14:textId="77777777" w:rsidR="0042641A" w:rsidRPr="0042641A" w:rsidRDefault="0042641A" w:rsidP="0042641A">
            <w:pPr>
              <w:pStyle w:val="CDITable-RowCentre"/>
            </w:pPr>
            <w:r w:rsidRPr="0042641A">
              <w:t>0 (0.0–7.3)</w:t>
            </w:r>
          </w:p>
        </w:tc>
      </w:tr>
      <w:tr w:rsidR="0042641A" w:rsidRPr="0042641A" w14:paraId="55658794" w14:textId="77777777" w:rsidTr="003531B9">
        <w:trPr>
          <w:divId w:val="935526654"/>
          <w:trHeight w:val="20"/>
        </w:trPr>
        <w:tc>
          <w:tcPr>
            <w:tcW w:w="2551"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68D50DB" w14:textId="77777777" w:rsidR="0042641A" w:rsidRPr="003531B9" w:rsidRDefault="0042641A" w:rsidP="0042641A">
            <w:pPr>
              <w:pStyle w:val="CDITable-RowLeft"/>
              <w:rPr>
                <w:b/>
                <w:bCs/>
              </w:rPr>
            </w:pPr>
            <w:r w:rsidRPr="003531B9">
              <w:rPr>
                <w:b/>
                <w:bCs/>
              </w:rPr>
              <w:t>Water sources</w:t>
            </w:r>
          </w:p>
        </w:tc>
        <w:tc>
          <w:tcPr>
            <w:tcW w:w="4536"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663B87A" w14:textId="232FD1E6" w:rsidR="0042641A" w:rsidRPr="0042641A" w:rsidRDefault="0042641A" w:rsidP="0042641A">
            <w:pPr>
              <w:pStyle w:val="CDITable-RowLeft"/>
            </w:pPr>
            <w:r w:rsidRPr="0042641A">
              <w:t>Standing water sources present around the home or</w:t>
            </w:r>
            <w:r>
              <w:t> </w:t>
            </w:r>
            <w:proofErr w:type="spellStart"/>
            <w:r w:rsidRPr="0042641A">
              <w:t>garden</w:t>
            </w:r>
            <w:r w:rsidRPr="0042641A">
              <w:rPr>
                <w:vertAlign w:val="superscript"/>
              </w:rPr>
              <w:t>d</w:t>
            </w:r>
            <w:proofErr w:type="spellEnd"/>
          </w:p>
        </w:tc>
        <w:tc>
          <w:tcPr>
            <w:tcW w:w="241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AA8EEC6" w14:textId="77777777" w:rsidR="0042641A" w:rsidRPr="0042641A" w:rsidRDefault="0042641A" w:rsidP="0042641A">
            <w:pPr>
              <w:pStyle w:val="CDITable-RowCentre"/>
            </w:pPr>
            <w:r w:rsidRPr="0042641A">
              <w:t>8 (80.0%)</w:t>
            </w:r>
          </w:p>
        </w:tc>
        <w:tc>
          <w:tcPr>
            <w:tcW w:w="241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DDCDC3A" w14:textId="77777777" w:rsidR="0042641A" w:rsidRPr="0042641A" w:rsidRDefault="0042641A" w:rsidP="0042641A">
            <w:pPr>
              <w:pStyle w:val="CDITable-RowCentre"/>
            </w:pPr>
            <w:r w:rsidRPr="0042641A">
              <w:t>269 (53.0%)</w:t>
            </w:r>
          </w:p>
        </w:tc>
        <w:tc>
          <w:tcPr>
            <w:tcW w:w="241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CF95CB0" w14:textId="77777777" w:rsidR="0042641A" w:rsidRPr="0042641A" w:rsidRDefault="0042641A" w:rsidP="0042641A">
            <w:pPr>
              <w:pStyle w:val="CDITable-RowCentre"/>
            </w:pPr>
            <w:r w:rsidRPr="0042641A">
              <w:t>3.4 (0.7–33.1)</w:t>
            </w:r>
          </w:p>
        </w:tc>
      </w:tr>
      <w:tr w:rsidR="0042641A" w:rsidRPr="0042641A" w14:paraId="0C2A6A70"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330F2916" w14:textId="77777777" w:rsidR="0042641A" w:rsidRPr="003531B9" w:rsidRDefault="0042641A" w:rsidP="0042641A">
            <w:pPr>
              <w:pStyle w:val="CDITable-RowLeft"/>
              <w:rPr>
                <w:b/>
                <w:bCs/>
              </w:rPr>
            </w:pPr>
          </w:p>
        </w:tc>
        <w:tc>
          <w:tcPr>
            <w:tcW w:w="4536" w:type="dxa"/>
            <w:tcBorders>
              <w:bottom w:val="single" w:sz="6" w:space="0" w:color="033636" w:themeColor="text2"/>
            </w:tcBorders>
            <w:tcMar>
              <w:top w:w="113" w:type="dxa"/>
              <w:left w:w="113" w:type="dxa"/>
              <w:bottom w:w="113" w:type="dxa"/>
              <w:right w:w="113" w:type="dxa"/>
            </w:tcMar>
            <w:vAlign w:val="center"/>
          </w:tcPr>
          <w:p w14:paraId="67A7EF2E" w14:textId="77777777" w:rsidR="0042641A" w:rsidRPr="0042641A" w:rsidRDefault="0042641A" w:rsidP="0042641A">
            <w:pPr>
              <w:pStyle w:val="CDITable-RowLeft"/>
            </w:pPr>
            <w:r w:rsidRPr="0042641A">
              <w:t xml:space="preserve">Bodies of water within 5 km of work or </w:t>
            </w:r>
            <w:proofErr w:type="spellStart"/>
            <w:r w:rsidRPr="0042641A">
              <w:t>residence</w:t>
            </w:r>
            <w:r w:rsidRPr="0042641A">
              <w:rPr>
                <w:vertAlign w:val="superscript"/>
              </w:rPr>
              <w:t>c,e</w:t>
            </w:r>
            <w:proofErr w:type="spellEnd"/>
          </w:p>
        </w:tc>
        <w:tc>
          <w:tcPr>
            <w:tcW w:w="2419" w:type="dxa"/>
            <w:tcBorders>
              <w:bottom w:val="single" w:sz="6" w:space="0" w:color="033636" w:themeColor="text2"/>
            </w:tcBorders>
            <w:tcMar>
              <w:top w:w="113" w:type="dxa"/>
              <w:left w:w="113" w:type="dxa"/>
              <w:bottom w:w="113" w:type="dxa"/>
              <w:right w:w="113" w:type="dxa"/>
            </w:tcMar>
            <w:vAlign w:val="center"/>
          </w:tcPr>
          <w:p w14:paraId="308FAEC6" w14:textId="77777777" w:rsidR="0042641A" w:rsidRPr="0042641A" w:rsidRDefault="0042641A" w:rsidP="0042641A">
            <w:pPr>
              <w:pStyle w:val="CDITable-RowCentre"/>
            </w:pPr>
            <w:r w:rsidRPr="0042641A">
              <w:t>5 (50.0%)</w:t>
            </w:r>
          </w:p>
        </w:tc>
        <w:tc>
          <w:tcPr>
            <w:tcW w:w="2418" w:type="dxa"/>
            <w:tcBorders>
              <w:bottom w:val="single" w:sz="6" w:space="0" w:color="033636" w:themeColor="text2"/>
            </w:tcBorders>
            <w:tcMar>
              <w:top w:w="113" w:type="dxa"/>
              <w:left w:w="113" w:type="dxa"/>
              <w:bottom w:w="113" w:type="dxa"/>
              <w:right w:w="113" w:type="dxa"/>
            </w:tcMar>
            <w:vAlign w:val="center"/>
          </w:tcPr>
          <w:p w14:paraId="1330AD76" w14:textId="77777777" w:rsidR="0042641A" w:rsidRPr="0042641A" w:rsidRDefault="0042641A" w:rsidP="0042641A">
            <w:pPr>
              <w:pStyle w:val="CDITable-RowCentre"/>
            </w:pPr>
            <w:r w:rsidRPr="0042641A">
              <w:t>255 (50.3%)</w:t>
            </w:r>
          </w:p>
        </w:tc>
        <w:tc>
          <w:tcPr>
            <w:tcW w:w="2419" w:type="dxa"/>
            <w:tcBorders>
              <w:bottom w:val="single" w:sz="6" w:space="0" w:color="033636" w:themeColor="text2"/>
            </w:tcBorders>
            <w:tcMar>
              <w:top w:w="113" w:type="dxa"/>
              <w:left w:w="113" w:type="dxa"/>
              <w:bottom w:w="113" w:type="dxa"/>
              <w:right w:w="113" w:type="dxa"/>
            </w:tcMar>
            <w:vAlign w:val="center"/>
          </w:tcPr>
          <w:p w14:paraId="4D7B3EF0" w14:textId="77777777" w:rsidR="0042641A" w:rsidRPr="0042641A" w:rsidRDefault="0042641A" w:rsidP="0042641A">
            <w:pPr>
              <w:pStyle w:val="CDITable-RowCentre"/>
            </w:pPr>
            <w:r w:rsidRPr="0042641A">
              <w:t>0.9 (0.2–4.2)</w:t>
            </w:r>
          </w:p>
        </w:tc>
      </w:tr>
      <w:tr w:rsidR="0042641A" w:rsidRPr="0042641A" w14:paraId="134C9FF0" w14:textId="77777777" w:rsidTr="003531B9">
        <w:trPr>
          <w:divId w:val="935526654"/>
          <w:trHeight w:val="20"/>
        </w:trPr>
        <w:tc>
          <w:tcPr>
            <w:tcW w:w="2551"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241F7B8" w14:textId="1CA6BA07" w:rsidR="0042641A" w:rsidRPr="003531B9" w:rsidRDefault="0042641A" w:rsidP="0042641A">
            <w:pPr>
              <w:pStyle w:val="CDITable-RowLeft"/>
              <w:rPr>
                <w:b/>
                <w:bCs/>
              </w:rPr>
            </w:pPr>
            <w:r w:rsidRPr="003531B9">
              <w:rPr>
                <w:b/>
                <w:bCs/>
              </w:rPr>
              <w:t>Time spent outdoors; mosquito</w:t>
            </w:r>
            <w:r w:rsidR="003531B9" w:rsidRPr="003531B9">
              <w:rPr>
                <w:b/>
                <w:bCs/>
              </w:rPr>
              <w:t> </w:t>
            </w:r>
            <w:r w:rsidRPr="003531B9">
              <w:rPr>
                <w:b/>
                <w:bCs/>
              </w:rPr>
              <w:t>bites</w:t>
            </w:r>
          </w:p>
        </w:tc>
        <w:tc>
          <w:tcPr>
            <w:tcW w:w="4536"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7C92E0D" w14:textId="77777777" w:rsidR="0042641A" w:rsidRPr="0042641A" w:rsidRDefault="0042641A" w:rsidP="0042641A">
            <w:pPr>
              <w:pStyle w:val="CDITable-RowLeft"/>
            </w:pPr>
            <w:r w:rsidRPr="0042641A">
              <w:t>More than 3 hours spent outdoors per day</w:t>
            </w:r>
          </w:p>
        </w:tc>
        <w:tc>
          <w:tcPr>
            <w:tcW w:w="241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BF88B42" w14:textId="77777777" w:rsidR="0042641A" w:rsidRPr="0042641A" w:rsidRDefault="0042641A" w:rsidP="0042641A">
            <w:pPr>
              <w:pStyle w:val="CDITable-RowCentre"/>
            </w:pPr>
            <w:r w:rsidRPr="0042641A">
              <w:t>5 (50.0%)</w:t>
            </w:r>
          </w:p>
        </w:tc>
        <w:tc>
          <w:tcPr>
            <w:tcW w:w="241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90310FB" w14:textId="77777777" w:rsidR="0042641A" w:rsidRPr="0042641A" w:rsidRDefault="0042641A" w:rsidP="0042641A">
            <w:pPr>
              <w:pStyle w:val="CDITable-RowCentre"/>
            </w:pPr>
            <w:r w:rsidRPr="0042641A">
              <w:t>198 (39.1%)</w:t>
            </w:r>
          </w:p>
        </w:tc>
        <w:tc>
          <w:tcPr>
            <w:tcW w:w="241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5AF5B40" w14:textId="77777777" w:rsidR="0042641A" w:rsidRPr="0042641A" w:rsidRDefault="0042641A" w:rsidP="0042641A">
            <w:pPr>
              <w:pStyle w:val="CDITable-RowCentre"/>
            </w:pPr>
            <w:r w:rsidRPr="0042641A">
              <w:t>2.0 (0.4–11.9)</w:t>
            </w:r>
          </w:p>
        </w:tc>
      </w:tr>
      <w:tr w:rsidR="0042641A" w:rsidRPr="0042641A" w14:paraId="725CDC8A"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7DA06D0F" w14:textId="77777777" w:rsidR="0042641A" w:rsidRPr="0042641A" w:rsidRDefault="0042641A" w:rsidP="0042641A"/>
        </w:tc>
        <w:tc>
          <w:tcPr>
            <w:tcW w:w="4536" w:type="dxa"/>
            <w:tcMar>
              <w:top w:w="113" w:type="dxa"/>
              <w:left w:w="113" w:type="dxa"/>
              <w:bottom w:w="113" w:type="dxa"/>
              <w:right w:w="113" w:type="dxa"/>
            </w:tcMar>
            <w:vAlign w:val="center"/>
          </w:tcPr>
          <w:p w14:paraId="0E84E578" w14:textId="727BFE72" w:rsidR="0042641A" w:rsidRPr="0042641A" w:rsidRDefault="0042641A" w:rsidP="0042641A">
            <w:pPr>
              <w:pStyle w:val="CDITable-RowLeft"/>
            </w:pPr>
            <w:r w:rsidRPr="0042641A">
              <w:t>More than 4 days spent outdoors at dusk or dawn per</w:t>
            </w:r>
            <w:r w:rsidR="003531B9">
              <w:t> </w:t>
            </w:r>
            <w:r w:rsidRPr="0042641A">
              <w:t>week</w:t>
            </w:r>
          </w:p>
        </w:tc>
        <w:tc>
          <w:tcPr>
            <w:tcW w:w="2419" w:type="dxa"/>
            <w:tcMar>
              <w:top w:w="113" w:type="dxa"/>
              <w:left w:w="113" w:type="dxa"/>
              <w:bottom w:w="113" w:type="dxa"/>
              <w:right w:w="113" w:type="dxa"/>
            </w:tcMar>
            <w:vAlign w:val="center"/>
          </w:tcPr>
          <w:p w14:paraId="1B63DA61" w14:textId="77777777" w:rsidR="0042641A" w:rsidRPr="0042641A" w:rsidRDefault="0042641A" w:rsidP="0042641A">
            <w:pPr>
              <w:pStyle w:val="CDITable-RowCentre"/>
            </w:pPr>
            <w:r w:rsidRPr="0042641A">
              <w:t>6 (60.0%)</w:t>
            </w:r>
          </w:p>
        </w:tc>
        <w:tc>
          <w:tcPr>
            <w:tcW w:w="2418" w:type="dxa"/>
            <w:tcMar>
              <w:top w:w="113" w:type="dxa"/>
              <w:left w:w="113" w:type="dxa"/>
              <w:bottom w:w="113" w:type="dxa"/>
              <w:right w:w="113" w:type="dxa"/>
            </w:tcMar>
            <w:vAlign w:val="center"/>
          </w:tcPr>
          <w:p w14:paraId="60BD6E0A" w14:textId="77777777" w:rsidR="0042641A" w:rsidRPr="0042641A" w:rsidRDefault="0042641A" w:rsidP="0042641A">
            <w:pPr>
              <w:pStyle w:val="CDITable-RowCentre"/>
            </w:pPr>
            <w:r w:rsidRPr="0042641A">
              <w:t>235 (46.4%)</w:t>
            </w:r>
          </w:p>
        </w:tc>
        <w:tc>
          <w:tcPr>
            <w:tcW w:w="2419" w:type="dxa"/>
            <w:tcMar>
              <w:top w:w="113" w:type="dxa"/>
              <w:left w:w="113" w:type="dxa"/>
              <w:bottom w:w="113" w:type="dxa"/>
              <w:right w:w="113" w:type="dxa"/>
            </w:tcMar>
            <w:vAlign w:val="center"/>
          </w:tcPr>
          <w:p w14:paraId="5E335551" w14:textId="77777777" w:rsidR="0042641A" w:rsidRPr="0042641A" w:rsidRDefault="0042641A" w:rsidP="0042641A">
            <w:pPr>
              <w:pStyle w:val="CDITable-RowCentre"/>
            </w:pPr>
            <w:r w:rsidRPr="0042641A">
              <w:t>1.3 (0.3–6.4)</w:t>
            </w:r>
          </w:p>
        </w:tc>
      </w:tr>
      <w:tr w:rsidR="0042641A" w:rsidRPr="0042641A" w14:paraId="5E264AF2"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6F858B59" w14:textId="77777777" w:rsidR="0042641A" w:rsidRPr="0042641A" w:rsidRDefault="0042641A" w:rsidP="0042641A"/>
        </w:tc>
        <w:tc>
          <w:tcPr>
            <w:tcW w:w="4536"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13FC0DA" w14:textId="77777777" w:rsidR="0042641A" w:rsidRPr="0042641A" w:rsidRDefault="0042641A" w:rsidP="0042641A">
            <w:pPr>
              <w:pStyle w:val="CDITable-RowLeft"/>
            </w:pPr>
            <w:r w:rsidRPr="0042641A">
              <w:t>More than 1 day with mosquito bites per week</w:t>
            </w:r>
          </w:p>
        </w:tc>
        <w:tc>
          <w:tcPr>
            <w:tcW w:w="2419"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5D65E36" w14:textId="77777777" w:rsidR="0042641A" w:rsidRPr="0042641A" w:rsidRDefault="0042641A" w:rsidP="0042641A">
            <w:pPr>
              <w:pStyle w:val="CDITable-RowCentre"/>
            </w:pPr>
            <w:r w:rsidRPr="0042641A">
              <w:t>5 (50.0%)</w:t>
            </w:r>
          </w:p>
        </w:tc>
        <w:tc>
          <w:tcPr>
            <w:tcW w:w="241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BE9108F" w14:textId="77777777" w:rsidR="0042641A" w:rsidRPr="0042641A" w:rsidRDefault="0042641A" w:rsidP="0042641A">
            <w:pPr>
              <w:pStyle w:val="CDITable-RowCentre"/>
            </w:pPr>
            <w:r w:rsidRPr="0042641A">
              <w:t>245 (48.3%)</w:t>
            </w:r>
          </w:p>
        </w:tc>
        <w:tc>
          <w:tcPr>
            <w:tcW w:w="2419"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72D4113" w14:textId="77777777" w:rsidR="0042641A" w:rsidRPr="0042641A" w:rsidRDefault="0042641A" w:rsidP="0042641A">
            <w:pPr>
              <w:pStyle w:val="CDITable-RowCentre"/>
            </w:pPr>
            <w:r w:rsidRPr="0042641A">
              <w:t>1.2 (0.2–12.1)</w:t>
            </w:r>
          </w:p>
        </w:tc>
      </w:tr>
      <w:tr w:rsidR="0042641A" w:rsidRPr="0042641A" w14:paraId="122D781F" w14:textId="77777777" w:rsidTr="003531B9">
        <w:trPr>
          <w:divId w:val="935526654"/>
          <w:trHeight w:val="20"/>
        </w:trPr>
        <w:tc>
          <w:tcPr>
            <w:tcW w:w="2551"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E1605F8" w14:textId="77777777" w:rsidR="0042641A" w:rsidRPr="003531B9" w:rsidRDefault="0042641A" w:rsidP="003531B9">
            <w:pPr>
              <w:pStyle w:val="CDITable-RowLeft"/>
              <w:keepNext/>
              <w:rPr>
                <w:b/>
                <w:bCs/>
              </w:rPr>
            </w:pPr>
            <w:r w:rsidRPr="003531B9">
              <w:rPr>
                <w:b/>
                <w:bCs/>
              </w:rPr>
              <w:lastRenderedPageBreak/>
              <w:t xml:space="preserve">Leisure </w:t>
            </w:r>
            <w:proofErr w:type="spellStart"/>
            <w:r w:rsidRPr="003531B9">
              <w:rPr>
                <w:b/>
                <w:bCs/>
              </w:rPr>
              <w:t>activities</w:t>
            </w:r>
            <w:r w:rsidRPr="003531B9">
              <w:rPr>
                <w:b/>
                <w:bCs/>
                <w:vertAlign w:val="superscript"/>
              </w:rPr>
              <w:t>c</w:t>
            </w:r>
            <w:proofErr w:type="spellEnd"/>
          </w:p>
        </w:tc>
        <w:tc>
          <w:tcPr>
            <w:tcW w:w="4536" w:type="dxa"/>
            <w:tcBorders>
              <w:top w:val="single" w:sz="6" w:space="0" w:color="033636" w:themeColor="text2"/>
            </w:tcBorders>
            <w:tcMar>
              <w:top w:w="113" w:type="dxa"/>
              <w:left w:w="113" w:type="dxa"/>
              <w:bottom w:w="113" w:type="dxa"/>
              <w:right w:w="113" w:type="dxa"/>
            </w:tcMar>
            <w:vAlign w:val="center"/>
          </w:tcPr>
          <w:p w14:paraId="2DEFF60D" w14:textId="77777777" w:rsidR="0042641A" w:rsidRPr="0042641A" w:rsidRDefault="0042641A" w:rsidP="0042641A">
            <w:pPr>
              <w:pStyle w:val="CDITable-RowLeft"/>
            </w:pPr>
            <w:r w:rsidRPr="0042641A">
              <w:t>Land-based activities (camping, bushwalking, picnicking, hunting, gardening or birdwatching)</w:t>
            </w:r>
          </w:p>
        </w:tc>
        <w:tc>
          <w:tcPr>
            <w:tcW w:w="2419" w:type="dxa"/>
            <w:tcBorders>
              <w:top w:val="single" w:sz="6" w:space="0" w:color="033636" w:themeColor="text2"/>
            </w:tcBorders>
            <w:tcMar>
              <w:top w:w="113" w:type="dxa"/>
              <w:left w:w="113" w:type="dxa"/>
              <w:bottom w:w="113" w:type="dxa"/>
              <w:right w:w="113" w:type="dxa"/>
            </w:tcMar>
            <w:vAlign w:val="center"/>
          </w:tcPr>
          <w:p w14:paraId="69BF2D68" w14:textId="77777777" w:rsidR="0042641A" w:rsidRPr="0042641A" w:rsidRDefault="0042641A" w:rsidP="0042641A">
            <w:pPr>
              <w:pStyle w:val="CDITable-RowCentre"/>
            </w:pPr>
            <w:r w:rsidRPr="0042641A">
              <w:t>9 (90.0%)</w:t>
            </w:r>
          </w:p>
        </w:tc>
        <w:tc>
          <w:tcPr>
            <w:tcW w:w="2418" w:type="dxa"/>
            <w:tcBorders>
              <w:top w:val="single" w:sz="6" w:space="0" w:color="033636" w:themeColor="text2"/>
            </w:tcBorders>
            <w:tcMar>
              <w:top w:w="113" w:type="dxa"/>
              <w:left w:w="113" w:type="dxa"/>
              <w:bottom w:w="113" w:type="dxa"/>
              <w:right w:w="113" w:type="dxa"/>
            </w:tcMar>
            <w:vAlign w:val="center"/>
          </w:tcPr>
          <w:p w14:paraId="663DE311" w14:textId="77777777" w:rsidR="0042641A" w:rsidRPr="0042641A" w:rsidRDefault="0042641A" w:rsidP="0042641A">
            <w:pPr>
              <w:pStyle w:val="CDITable-RowCentre"/>
            </w:pPr>
            <w:r w:rsidRPr="0042641A">
              <w:t>408 (80.5%)</w:t>
            </w:r>
          </w:p>
        </w:tc>
        <w:tc>
          <w:tcPr>
            <w:tcW w:w="2419" w:type="dxa"/>
            <w:tcBorders>
              <w:top w:val="single" w:sz="6" w:space="0" w:color="033636" w:themeColor="text2"/>
            </w:tcBorders>
            <w:tcMar>
              <w:top w:w="113" w:type="dxa"/>
              <w:left w:w="113" w:type="dxa"/>
              <w:bottom w:w="113" w:type="dxa"/>
              <w:right w:w="113" w:type="dxa"/>
            </w:tcMar>
            <w:vAlign w:val="center"/>
          </w:tcPr>
          <w:p w14:paraId="6F3CFFC7" w14:textId="77777777" w:rsidR="0042641A" w:rsidRPr="0042641A" w:rsidRDefault="0042641A" w:rsidP="0042641A">
            <w:pPr>
              <w:pStyle w:val="CDITable-RowCentre"/>
            </w:pPr>
            <w:r w:rsidRPr="0042641A">
              <w:t>2.0 (0.3–87.8)</w:t>
            </w:r>
          </w:p>
        </w:tc>
      </w:tr>
      <w:tr w:rsidR="0042641A" w:rsidRPr="0042641A" w14:paraId="0BF11D47"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7565F66E" w14:textId="77777777" w:rsidR="0042641A" w:rsidRPr="003531B9" w:rsidRDefault="0042641A" w:rsidP="0042641A">
            <w:pPr>
              <w:pStyle w:val="CDITable-RowLeft"/>
              <w:rPr>
                <w:b/>
                <w:bCs/>
              </w:rPr>
            </w:pPr>
          </w:p>
        </w:tc>
        <w:tc>
          <w:tcPr>
            <w:tcW w:w="4536"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3ABCA80" w14:textId="77777777" w:rsidR="0042641A" w:rsidRPr="0042641A" w:rsidRDefault="0042641A" w:rsidP="0042641A">
            <w:pPr>
              <w:pStyle w:val="CDITable-RowLeft"/>
            </w:pPr>
            <w:r w:rsidRPr="0042641A">
              <w:t xml:space="preserve">Water-based activities (fresh-water fishing, water sports or boating) </w:t>
            </w:r>
          </w:p>
        </w:tc>
        <w:tc>
          <w:tcPr>
            <w:tcW w:w="2419"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0848A1C" w14:textId="77777777" w:rsidR="0042641A" w:rsidRPr="0042641A" w:rsidRDefault="0042641A" w:rsidP="0042641A">
            <w:pPr>
              <w:pStyle w:val="CDITable-RowCentre"/>
            </w:pPr>
            <w:r w:rsidRPr="0042641A">
              <w:t>2 (20.0%)</w:t>
            </w:r>
          </w:p>
        </w:tc>
        <w:tc>
          <w:tcPr>
            <w:tcW w:w="241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7B32672" w14:textId="77777777" w:rsidR="0042641A" w:rsidRPr="0042641A" w:rsidRDefault="0042641A" w:rsidP="0042641A">
            <w:pPr>
              <w:pStyle w:val="CDITable-RowCentre"/>
            </w:pPr>
            <w:r w:rsidRPr="0042641A">
              <w:t>82 (16.2%)</w:t>
            </w:r>
          </w:p>
        </w:tc>
        <w:tc>
          <w:tcPr>
            <w:tcW w:w="2419"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ED6A7D2" w14:textId="77777777" w:rsidR="0042641A" w:rsidRPr="0042641A" w:rsidRDefault="0042641A" w:rsidP="0042641A">
            <w:pPr>
              <w:pStyle w:val="CDITable-RowCentre"/>
            </w:pPr>
            <w:r w:rsidRPr="0042641A">
              <w:t>1.3 (0.1–6.6)</w:t>
            </w:r>
          </w:p>
        </w:tc>
      </w:tr>
      <w:tr w:rsidR="0042641A" w:rsidRPr="0042641A" w14:paraId="2237FCA0" w14:textId="77777777" w:rsidTr="003531B9">
        <w:trPr>
          <w:divId w:val="935526654"/>
          <w:trHeight w:val="20"/>
        </w:trPr>
        <w:tc>
          <w:tcPr>
            <w:tcW w:w="255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BFCD52E" w14:textId="77777777" w:rsidR="0042641A" w:rsidRPr="003531B9" w:rsidRDefault="0042641A" w:rsidP="0042641A">
            <w:pPr>
              <w:pStyle w:val="CDITable-RowLeft"/>
              <w:rPr>
                <w:b/>
                <w:bCs/>
              </w:rPr>
            </w:pPr>
            <w:r w:rsidRPr="003531B9">
              <w:rPr>
                <w:b/>
                <w:bCs/>
              </w:rPr>
              <w:t>Animal exposure</w:t>
            </w:r>
          </w:p>
        </w:tc>
        <w:tc>
          <w:tcPr>
            <w:tcW w:w="4536"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D8B1BE0" w14:textId="77777777" w:rsidR="0042641A" w:rsidRPr="0042641A" w:rsidRDefault="0042641A" w:rsidP="0042641A">
            <w:pPr>
              <w:pStyle w:val="CDITable-RowLeft"/>
            </w:pPr>
            <w:r w:rsidRPr="0042641A">
              <w:t>Exposure or close contact with waterbirds such as herons</w:t>
            </w:r>
          </w:p>
        </w:tc>
        <w:tc>
          <w:tcPr>
            <w:tcW w:w="241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CB95C3C" w14:textId="77777777" w:rsidR="0042641A" w:rsidRPr="0042641A" w:rsidRDefault="0042641A" w:rsidP="0042641A">
            <w:pPr>
              <w:pStyle w:val="CDITable-RowCentre"/>
            </w:pPr>
            <w:r w:rsidRPr="0042641A">
              <w:t>5 (50.0%)</w:t>
            </w:r>
          </w:p>
        </w:tc>
        <w:tc>
          <w:tcPr>
            <w:tcW w:w="241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E142704" w14:textId="77777777" w:rsidR="0042641A" w:rsidRPr="0042641A" w:rsidRDefault="0042641A" w:rsidP="0042641A">
            <w:pPr>
              <w:pStyle w:val="CDITable-RowCentre"/>
            </w:pPr>
            <w:r w:rsidRPr="0042641A">
              <w:t>144 (28.4%)</w:t>
            </w:r>
          </w:p>
        </w:tc>
        <w:tc>
          <w:tcPr>
            <w:tcW w:w="241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629874B" w14:textId="77777777" w:rsidR="0042641A" w:rsidRPr="0042641A" w:rsidRDefault="0042641A" w:rsidP="0042641A">
            <w:pPr>
              <w:pStyle w:val="CDITable-RowCentre"/>
            </w:pPr>
            <w:r w:rsidRPr="0042641A">
              <w:t>2.4 (0.6–10.8)</w:t>
            </w:r>
          </w:p>
        </w:tc>
      </w:tr>
      <w:tr w:rsidR="0042641A" w:rsidRPr="0042641A" w14:paraId="77E6EF2A" w14:textId="77777777" w:rsidTr="003531B9">
        <w:trPr>
          <w:divId w:val="935526654"/>
          <w:trHeight w:val="20"/>
        </w:trPr>
        <w:tc>
          <w:tcPr>
            <w:tcW w:w="2551"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8E33853" w14:textId="57D4DEFA" w:rsidR="0042641A" w:rsidRPr="003531B9" w:rsidRDefault="0042641A" w:rsidP="0042641A">
            <w:pPr>
              <w:pStyle w:val="CDITable-RowLeft"/>
              <w:rPr>
                <w:b/>
                <w:bCs/>
              </w:rPr>
            </w:pPr>
            <w:r w:rsidRPr="003531B9">
              <w:rPr>
                <w:b/>
                <w:bCs/>
              </w:rPr>
              <w:t>Protection against mosquito</w:t>
            </w:r>
            <w:r w:rsidR="003531B9" w:rsidRPr="003531B9">
              <w:rPr>
                <w:b/>
                <w:bCs/>
              </w:rPr>
              <w:t> </w:t>
            </w:r>
            <w:r w:rsidRPr="003531B9">
              <w:rPr>
                <w:b/>
                <w:bCs/>
              </w:rPr>
              <w:t>bites</w:t>
            </w:r>
          </w:p>
        </w:tc>
        <w:tc>
          <w:tcPr>
            <w:tcW w:w="4536"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FF4BCD1" w14:textId="77777777" w:rsidR="0042641A" w:rsidRPr="0042641A" w:rsidRDefault="0042641A" w:rsidP="0042641A">
            <w:pPr>
              <w:pStyle w:val="CDITable-RowLeft"/>
            </w:pPr>
            <w:r w:rsidRPr="0042641A">
              <w:t>Using mosquito repellent when outdoors during the summer (≥ 25% of the time)</w:t>
            </w:r>
          </w:p>
        </w:tc>
        <w:tc>
          <w:tcPr>
            <w:tcW w:w="241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AFC70A6" w14:textId="77777777" w:rsidR="0042641A" w:rsidRPr="0042641A" w:rsidRDefault="0042641A" w:rsidP="0042641A">
            <w:pPr>
              <w:pStyle w:val="CDITable-RowCentre"/>
            </w:pPr>
            <w:r w:rsidRPr="0042641A">
              <w:t>7 (70.0%)</w:t>
            </w:r>
          </w:p>
        </w:tc>
        <w:tc>
          <w:tcPr>
            <w:tcW w:w="241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17A582A" w14:textId="77777777" w:rsidR="0042641A" w:rsidRPr="0042641A" w:rsidRDefault="0042641A" w:rsidP="0042641A">
            <w:pPr>
              <w:pStyle w:val="CDITable-RowCentre"/>
            </w:pPr>
            <w:r w:rsidRPr="0042641A">
              <w:t>383 (75.6%)</w:t>
            </w:r>
          </w:p>
        </w:tc>
        <w:tc>
          <w:tcPr>
            <w:tcW w:w="2419"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D94FE27" w14:textId="77777777" w:rsidR="0042641A" w:rsidRPr="0042641A" w:rsidRDefault="0042641A" w:rsidP="0042641A">
            <w:pPr>
              <w:pStyle w:val="CDITable-RowCentre"/>
            </w:pPr>
            <w:r w:rsidRPr="0042641A">
              <w:t>0.7 (0.6–4.2)</w:t>
            </w:r>
          </w:p>
        </w:tc>
      </w:tr>
      <w:tr w:rsidR="0042641A" w:rsidRPr="0042641A" w14:paraId="43A89E6B"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717205A8" w14:textId="77777777" w:rsidR="0042641A" w:rsidRPr="0042641A" w:rsidRDefault="0042641A" w:rsidP="0042641A"/>
        </w:tc>
        <w:tc>
          <w:tcPr>
            <w:tcW w:w="4536" w:type="dxa"/>
            <w:tcMar>
              <w:top w:w="113" w:type="dxa"/>
              <w:left w:w="113" w:type="dxa"/>
              <w:bottom w:w="113" w:type="dxa"/>
              <w:right w:w="113" w:type="dxa"/>
            </w:tcMar>
            <w:vAlign w:val="center"/>
          </w:tcPr>
          <w:p w14:paraId="3E4FF159" w14:textId="77777777" w:rsidR="0042641A" w:rsidRPr="0042641A" w:rsidRDefault="0042641A" w:rsidP="0042641A">
            <w:pPr>
              <w:pStyle w:val="CDITable-RowLeft"/>
            </w:pPr>
            <w:r w:rsidRPr="0042641A">
              <w:t>Wearing protective clothes outside in summer (≥ 25% of the time)</w:t>
            </w:r>
          </w:p>
        </w:tc>
        <w:tc>
          <w:tcPr>
            <w:tcW w:w="2419" w:type="dxa"/>
            <w:tcMar>
              <w:top w:w="113" w:type="dxa"/>
              <w:left w:w="113" w:type="dxa"/>
              <w:bottom w:w="113" w:type="dxa"/>
              <w:right w:w="113" w:type="dxa"/>
            </w:tcMar>
            <w:vAlign w:val="center"/>
          </w:tcPr>
          <w:p w14:paraId="1BEAABCA" w14:textId="77777777" w:rsidR="0042641A" w:rsidRPr="0042641A" w:rsidRDefault="0042641A" w:rsidP="0042641A">
            <w:pPr>
              <w:pStyle w:val="CDITable-RowCentre"/>
            </w:pPr>
            <w:r w:rsidRPr="0042641A">
              <w:t>8 (80.0%)</w:t>
            </w:r>
          </w:p>
        </w:tc>
        <w:tc>
          <w:tcPr>
            <w:tcW w:w="2418" w:type="dxa"/>
            <w:tcMar>
              <w:top w:w="113" w:type="dxa"/>
              <w:left w:w="113" w:type="dxa"/>
              <w:bottom w:w="113" w:type="dxa"/>
              <w:right w:w="113" w:type="dxa"/>
            </w:tcMar>
            <w:vAlign w:val="center"/>
          </w:tcPr>
          <w:p w14:paraId="14CD30AA" w14:textId="77777777" w:rsidR="0042641A" w:rsidRPr="0042641A" w:rsidRDefault="0042641A" w:rsidP="0042641A">
            <w:pPr>
              <w:pStyle w:val="CDITable-RowCentre"/>
            </w:pPr>
            <w:r w:rsidRPr="0042641A">
              <w:t>332 (65.5%)</w:t>
            </w:r>
          </w:p>
        </w:tc>
        <w:tc>
          <w:tcPr>
            <w:tcW w:w="2419" w:type="dxa"/>
            <w:tcMar>
              <w:top w:w="113" w:type="dxa"/>
              <w:left w:w="113" w:type="dxa"/>
              <w:bottom w:w="113" w:type="dxa"/>
              <w:right w:w="113" w:type="dxa"/>
            </w:tcMar>
            <w:vAlign w:val="center"/>
          </w:tcPr>
          <w:p w14:paraId="1ED099CA" w14:textId="77777777" w:rsidR="0042641A" w:rsidRPr="0042641A" w:rsidRDefault="0042641A" w:rsidP="0042641A">
            <w:pPr>
              <w:pStyle w:val="CDITable-RowCentre"/>
            </w:pPr>
            <w:r w:rsidRPr="0042641A">
              <w:t>2.0 (0.4–19.4)</w:t>
            </w:r>
          </w:p>
        </w:tc>
      </w:tr>
      <w:tr w:rsidR="0042641A" w:rsidRPr="0042641A" w14:paraId="7EC184DD"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36D24603" w14:textId="77777777" w:rsidR="0042641A" w:rsidRPr="0042641A" w:rsidRDefault="0042641A" w:rsidP="0042641A"/>
        </w:tc>
        <w:tc>
          <w:tcPr>
            <w:tcW w:w="4536" w:type="dxa"/>
            <w:shd w:val="clear" w:color="auto" w:fill="F2F2F2" w:themeFill="background1" w:themeFillShade="F2"/>
            <w:tcMar>
              <w:top w:w="113" w:type="dxa"/>
              <w:left w:w="113" w:type="dxa"/>
              <w:bottom w:w="113" w:type="dxa"/>
              <w:right w:w="113" w:type="dxa"/>
            </w:tcMar>
            <w:vAlign w:val="center"/>
          </w:tcPr>
          <w:p w14:paraId="3BD4C472" w14:textId="77777777" w:rsidR="0042641A" w:rsidRPr="0042641A" w:rsidRDefault="0042641A" w:rsidP="0042641A">
            <w:pPr>
              <w:pStyle w:val="CDITable-RowLeft"/>
            </w:pPr>
            <w:r w:rsidRPr="0042641A">
              <w:t>Using mosquito preventing devices (≥ 25% of the time)</w:t>
            </w:r>
          </w:p>
        </w:tc>
        <w:tc>
          <w:tcPr>
            <w:tcW w:w="2419" w:type="dxa"/>
            <w:shd w:val="clear" w:color="auto" w:fill="F2F2F2" w:themeFill="background1" w:themeFillShade="F2"/>
            <w:tcMar>
              <w:top w:w="113" w:type="dxa"/>
              <w:left w:w="113" w:type="dxa"/>
              <w:bottom w:w="113" w:type="dxa"/>
              <w:right w:w="113" w:type="dxa"/>
            </w:tcMar>
            <w:vAlign w:val="center"/>
          </w:tcPr>
          <w:p w14:paraId="6C811DB5" w14:textId="77777777" w:rsidR="0042641A" w:rsidRPr="0042641A" w:rsidRDefault="0042641A" w:rsidP="0042641A">
            <w:pPr>
              <w:pStyle w:val="CDITable-RowCentre"/>
            </w:pPr>
            <w:r w:rsidRPr="0042641A">
              <w:t>7 (70.0%)</w:t>
            </w:r>
          </w:p>
        </w:tc>
        <w:tc>
          <w:tcPr>
            <w:tcW w:w="2418" w:type="dxa"/>
            <w:shd w:val="clear" w:color="auto" w:fill="F2F2F2" w:themeFill="background1" w:themeFillShade="F2"/>
            <w:tcMar>
              <w:top w:w="113" w:type="dxa"/>
              <w:left w:w="113" w:type="dxa"/>
              <w:bottom w:w="113" w:type="dxa"/>
              <w:right w:w="113" w:type="dxa"/>
            </w:tcMar>
            <w:vAlign w:val="center"/>
          </w:tcPr>
          <w:p w14:paraId="305D8FDB" w14:textId="77777777" w:rsidR="0042641A" w:rsidRPr="0042641A" w:rsidRDefault="0042641A" w:rsidP="0042641A">
            <w:pPr>
              <w:pStyle w:val="CDITable-RowCentre"/>
            </w:pPr>
            <w:r w:rsidRPr="0042641A">
              <w:t>297 (58.6%)</w:t>
            </w:r>
          </w:p>
        </w:tc>
        <w:tc>
          <w:tcPr>
            <w:tcW w:w="2419" w:type="dxa"/>
            <w:shd w:val="clear" w:color="auto" w:fill="F2F2F2" w:themeFill="background1" w:themeFillShade="F2"/>
            <w:tcMar>
              <w:top w:w="113" w:type="dxa"/>
              <w:left w:w="113" w:type="dxa"/>
              <w:bottom w:w="113" w:type="dxa"/>
              <w:right w:w="113" w:type="dxa"/>
            </w:tcMar>
            <w:vAlign w:val="center"/>
          </w:tcPr>
          <w:p w14:paraId="10649C01" w14:textId="77777777" w:rsidR="0042641A" w:rsidRPr="0042641A" w:rsidRDefault="0042641A" w:rsidP="0042641A">
            <w:pPr>
              <w:pStyle w:val="CDITable-RowCentre"/>
            </w:pPr>
            <w:r w:rsidRPr="0042641A">
              <w:t>1.6 (0.4–9.5)</w:t>
            </w:r>
          </w:p>
        </w:tc>
      </w:tr>
      <w:tr w:rsidR="0042641A" w:rsidRPr="0042641A" w14:paraId="6CBDDF9A" w14:textId="77777777" w:rsidTr="003531B9">
        <w:trPr>
          <w:divId w:val="935526654"/>
          <w:trHeight w:val="20"/>
        </w:trPr>
        <w:tc>
          <w:tcPr>
            <w:tcW w:w="2551" w:type="dxa"/>
            <w:vMerge/>
            <w:tcBorders>
              <w:bottom w:val="single" w:sz="6" w:space="0" w:color="033636" w:themeColor="text2"/>
            </w:tcBorders>
            <w:shd w:val="clear" w:color="auto" w:fill="C5FFEF" w:themeFill="background2" w:themeFillTint="33"/>
          </w:tcPr>
          <w:p w14:paraId="6112FC75" w14:textId="77777777" w:rsidR="0042641A" w:rsidRPr="0042641A" w:rsidRDefault="0042641A" w:rsidP="0042641A"/>
        </w:tc>
        <w:tc>
          <w:tcPr>
            <w:tcW w:w="4536" w:type="dxa"/>
            <w:tcBorders>
              <w:bottom w:val="single" w:sz="6" w:space="0" w:color="033636" w:themeColor="text2"/>
            </w:tcBorders>
            <w:tcMar>
              <w:top w:w="113" w:type="dxa"/>
              <w:left w:w="113" w:type="dxa"/>
              <w:bottom w:w="113" w:type="dxa"/>
              <w:right w:w="113" w:type="dxa"/>
            </w:tcMar>
            <w:vAlign w:val="center"/>
          </w:tcPr>
          <w:p w14:paraId="306BFD2E" w14:textId="77777777" w:rsidR="0042641A" w:rsidRPr="0042641A" w:rsidRDefault="0042641A" w:rsidP="0042641A">
            <w:pPr>
              <w:pStyle w:val="CDITable-RowLeft"/>
            </w:pPr>
            <w:r w:rsidRPr="0042641A">
              <w:t>Presence of insect screens on all doors and windows at home</w:t>
            </w:r>
          </w:p>
        </w:tc>
        <w:tc>
          <w:tcPr>
            <w:tcW w:w="2419" w:type="dxa"/>
            <w:tcBorders>
              <w:bottom w:val="single" w:sz="6" w:space="0" w:color="033636" w:themeColor="text2"/>
            </w:tcBorders>
            <w:tcMar>
              <w:top w:w="113" w:type="dxa"/>
              <w:left w:w="113" w:type="dxa"/>
              <w:bottom w:w="113" w:type="dxa"/>
              <w:right w:w="113" w:type="dxa"/>
            </w:tcMar>
            <w:vAlign w:val="center"/>
          </w:tcPr>
          <w:p w14:paraId="39DC9E09" w14:textId="77777777" w:rsidR="0042641A" w:rsidRPr="0042641A" w:rsidRDefault="0042641A" w:rsidP="0042641A">
            <w:pPr>
              <w:pStyle w:val="CDITable-RowCentre"/>
            </w:pPr>
            <w:r w:rsidRPr="0042641A">
              <w:t>9 (90.0%)</w:t>
            </w:r>
          </w:p>
        </w:tc>
        <w:tc>
          <w:tcPr>
            <w:tcW w:w="2418" w:type="dxa"/>
            <w:tcBorders>
              <w:bottom w:val="single" w:sz="6" w:space="0" w:color="033636" w:themeColor="text2"/>
            </w:tcBorders>
            <w:tcMar>
              <w:top w:w="113" w:type="dxa"/>
              <w:left w:w="113" w:type="dxa"/>
              <w:bottom w:w="113" w:type="dxa"/>
              <w:right w:w="113" w:type="dxa"/>
            </w:tcMar>
            <w:vAlign w:val="center"/>
          </w:tcPr>
          <w:p w14:paraId="5FA78E51" w14:textId="77777777" w:rsidR="0042641A" w:rsidRPr="0042641A" w:rsidRDefault="0042641A" w:rsidP="0042641A">
            <w:pPr>
              <w:pStyle w:val="CDITable-RowCentre"/>
            </w:pPr>
            <w:r w:rsidRPr="0042641A">
              <w:t>422 (83.2%)</w:t>
            </w:r>
          </w:p>
        </w:tc>
        <w:tc>
          <w:tcPr>
            <w:tcW w:w="2419" w:type="dxa"/>
            <w:tcBorders>
              <w:bottom w:val="single" w:sz="6" w:space="0" w:color="033636" w:themeColor="text2"/>
            </w:tcBorders>
            <w:tcMar>
              <w:top w:w="113" w:type="dxa"/>
              <w:left w:w="113" w:type="dxa"/>
              <w:bottom w:w="113" w:type="dxa"/>
              <w:right w:w="113" w:type="dxa"/>
            </w:tcMar>
            <w:vAlign w:val="center"/>
          </w:tcPr>
          <w:p w14:paraId="3A0BAB78" w14:textId="77777777" w:rsidR="0042641A" w:rsidRPr="0042641A" w:rsidRDefault="0042641A" w:rsidP="0042641A">
            <w:pPr>
              <w:pStyle w:val="CDITable-RowCentre"/>
            </w:pPr>
            <w:r w:rsidRPr="0042641A">
              <w:t>1.6 (0.2–71.0)</w:t>
            </w:r>
          </w:p>
        </w:tc>
      </w:tr>
    </w:tbl>
    <w:p w14:paraId="20A147B2" w14:textId="77777777" w:rsidR="0042641A" w:rsidRDefault="0042641A" w:rsidP="0042641A">
      <w:pPr>
        <w:pStyle w:val="CDITable-Firstfootnote"/>
        <w:divId w:val="935526654"/>
      </w:pPr>
      <w:r>
        <w:t>a</w:t>
      </w:r>
      <w:r>
        <w:tab/>
        <w:t xml:space="preserve">Participants </w:t>
      </w:r>
      <w:r w:rsidRPr="0042641A">
        <w:t>could</w:t>
      </w:r>
      <w:r>
        <w:t xml:space="preserve"> select multiple responses within each category.</w:t>
      </w:r>
    </w:p>
    <w:p w14:paraId="66483C12" w14:textId="77777777" w:rsidR="0042641A" w:rsidRDefault="0042641A" w:rsidP="0042641A">
      <w:pPr>
        <w:pStyle w:val="CDITable-Footnote"/>
        <w:divId w:val="935526654"/>
      </w:pPr>
      <w:r>
        <w:t>b</w:t>
      </w:r>
      <w:r>
        <w:tab/>
        <w:t>95% CI: 95% confidence interval.</w:t>
      </w:r>
    </w:p>
    <w:p w14:paraId="7C357885" w14:textId="77777777" w:rsidR="0042641A" w:rsidRDefault="0042641A" w:rsidP="0042641A">
      <w:pPr>
        <w:pStyle w:val="CDITable-Footnote"/>
        <w:divId w:val="935526654"/>
      </w:pPr>
      <w:r>
        <w:t>c</w:t>
      </w:r>
      <w:r>
        <w:tab/>
        <w:t>Since 1 November 2022.</w:t>
      </w:r>
    </w:p>
    <w:p w14:paraId="2A5D7B6E" w14:textId="77777777" w:rsidR="0042641A" w:rsidRDefault="0042641A" w:rsidP="0042641A">
      <w:pPr>
        <w:pStyle w:val="CDITable-Footnote"/>
        <w:divId w:val="935526654"/>
      </w:pPr>
      <w:r>
        <w:t>d</w:t>
      </w:r>
      <w:r>
        <w:tab/>
        <w:t>e.g., watering cans, flowerpots, bird baths, open water containers.</w:t>
      </w:r>
    </w:p>
    <w:p w14:paraId="6AA90339" w14:textId="1DF0FE6F" w:rsidR="0042641A" w:rsidRDefault="0042641A" w:rsidP="0042641A">
      <w:pPr>
        <w:pStyle w:val="CDITable-Footnote"/>
        <w:divId w:val="935526654"/>
      </w:pPr>
      <w:r>
        <w:t>e</w:t>
      </w:r>
      <w:r>
        <w:tab/>
        <w:t>i.e., pools, irrigation systems, wetlands, rivers or creeks.</w:t>
      </w:r>
    </w:p>
    <w:p w14:paraId="70ED95FE" w14:textId="77777777" w:rsidR="0042641A" w:rsidRDefault="0042641A" w:rsidP="008A0736">
      <w:pPr>
        <w:divId w:val="935526654"/>
        <w:sectPr w:rsidR="0042641A" w:rsidSect="0042641A">
          <w:footnotePr>
            <w:numFmt w:val="lowerRoman"/>
          </w:footnotePr>
          <w:pgSz w:w="16840" w:h="11907" w:orient="landscape" w:code="9"/>
          <w:pgMar w:top="1134" w:right="1134" w:bottom="1134" w:left="1304" w:header="709" w:footer="567" w:gutter="0"/>
          <w:cols w:space="708"/>
          <w:docGrid w:linePitch="360"/>
          <w15:footnoteColumns w:val="1"/>
        </w:sectPr>
      </w:pPr>
    </w:p>
    <w:p w14:paraId="3789AA16" w14:textId="77777777" w:rsidR="008A0736" w:rsidRDefault="008A0736" w:rsidP="003531B9">
      <w:pPr>
        <w:pStyle w:val="Heading1-nospacebefore"/>
        <w:divId w:val="935526654"/>
      </w:pPr>
      <w:r w:rsidRPr="00702D05">
        <w:lastRenderedPageBreak/>
        <w:t>Discussion</w:t>
      </w:r>
    </w:p>
    <w:p w14:paraId="1206D997" w14:textId="77777777" w:rsidR="003531B9" w:rsidRPr="003531B9" w:rsidRDefault="003531B9" w:rsidP="003531B9">
      <w:pPr>
        <w:divId w:val="935526654"/>
        <w:rPr>
          <w:lang w:val="en-GB"/>
        </w:rPr>
      </w:pPr>
      <w:r w:rsidRPr="003531B9">
        <w:rPr>
          <w:lang w:val="en-GB"/>
        </w:rPr>
        <w:t>This study is the first to quantify MVEV antibody seropositivity in Victoria in the wake of the 2023 MVEV outbreak, which resulted in six confirmed and two suspected (with clinical and epidemiological evidence but cross-reactivity on flavivirus assays) cases of encephalitis, and five deaths. The MVEV total antibody seropositivity in this study was 2.0% (95% CI: 1.1–3.6%). We did not find strong evidence of any associations between the possible risk and protective factors included in our analysis and MVEV total antibody seropositivity.</w:t>
      </w:r>
    </w:p>
    <w:p w14:paraId="2BD63625" w14:textId="77777777" w:rsidR="003531B9" w:rsidRPr="003531B9" w:rsidRDefault="003531B9" w:rsidP="003531B9">
      <w:pPr>
        <w:divId w:val="935526654"/>
        <w:rPr>
          <w:lang w:val="en-GB"/>
        </w:rPr>
      </w:pPr>
      <w:r w:rsidRPr="003531B9">
        <w:rPr>
          <w:lang w:val="en-GB"/>
        </w:rPr>
        <w:t>MVEV total antibody seroprevalence in this study is comparable to background levels of seropositivity found in northern Victoria in 2022 prior to the 2023 outbreak (3.0%; 95% CI: 1.9%– 4.5%) using the same DEB ELISA.</w:t>
      </w:r>
      <w:r w:rsidRPr="003531B9">
        <w:rPr>
          <w:vertAlign w:val="superscript"/>
          <w:lang w:val="en-GB"/>
        </w:rPr>
        <w:t>9</w:t>
      </w:r>
      <w:r w:rsidRPr="003531B9">
        <w:rPr>
          <w:lang w:val="en-GB"/>
        </w:rPr>
        <w:t xml:space="preserve"> The 2022 serosurvey was conducted with the primary aim of investigating the prevalence and distribution of JEV </w:t>
      </w:r>
      <w:proofErr w:type="gramStart"/>
      <w:r w:rsidRPr="003531B9">
        <w:rPr>
          <w:lang w:val="en-GB"/>
        </w:rPr>
        <w:t>antibody, but</w:t>
      </w:r>
      <w:proofErr w:type="gramEnd"/>
      <w:r w:rsidRPr="003531B9">
        <w:rPr>
          <w:lang w:val="en-GB"/>
        </w:rPr>
        <w:t xml:space="preserve"> also included testing for antibodies to MVEV. Recruitment locations for the 2022 serosurvey were </w:t>
      </w:r>
      <w:proofErr w:type="gramStart"/>
      <w:r w:rsidRPr="003531B9">
        <w:rPr>
          <w:lang w:val="en-GB"/>
        </w:rPr>
        <w:t>similar to</w:t>
      </w:r>
      <w:proofErr w:type="gramEnd"/>
      <w:r w:rsidRPr="003531B9">
        <w:rPr>
          <w:lang w:val="en-GB"/>
        </w:rPr>
        <w:t xml:space="preserve"> those in our study; however, almost 70% of participants in the prior study resided in the Ovens Murray region in north-eastern Victoria (which includes Wangaratta, Wodonga, and Indigo LGAs) and less than 10% resided in the Loddon Mallee region in the north-west. In contrast, we attempted to obtain a more geographically representative sample in our study, with approximately 50% of participants in our study residing in the Loddon Mallee region. It is interesting to note that in the 2022 study, JEV, MVEV and KUNV antibody seroprevalence was highest in the Loddon Mallee region. MVEV detections in trapped mosquitoes in early 2023 were consistently highest in the Loddon Mallee region,</w:t>
      </w:r>
      <w:r w:rsidRPr="003531B9">
        <w:rPr>
          <w:vertAlign w:val="superscript"/>
          <w:lang w:val="en-GB"/>
        </w:rPr>
        <w:t>2</w:t>
      </w:r>
      <w:r w:rsidRPr="003531B9">
        <w:rPr>
          <w:lang w:val="en-GB"/>
        </w:rPr>
        <w:t xml:space="preserve"> where 70% of seropositive participants in our study resided. Participant inclusion in both studies was biased towards women and older individuals. For example, more than 40% of participants in both studies were aged 60 years and older.</w:t>
      </w:r>
    </w:p>
    <w:p w14:paraId="53E7FD6F" w14:textId="6500766B" w:rsidR="003531B9" w:rsidRPr="003531B9" w:rsidRDefault="003531B9" w:rsidP="003531B9">
      <w:pPr>
        <w:divId w:val="935526654"/>
        <w:rPr>
          <w:lang w:val="en-GB"/>
        </w:rPr>
      </w:pPr>
      <w:r w:rsidRPr="003531B9">
        <w:rPr>
          <w:lang w:val="en-GB"/>
        </w:rPr>
        <w:t>A serological survey of stored serum and blood donor samples from eight LGAs in the Murray Valley region was also conducted in 2011, and found that 2.2% of the 1,115 included samples (95% CI: 1.3–3.0%) were positive for MVEV antibodies.</w:t>
      </w:r>
      <w:r w:rsidRPr="003531B9">
        <w:rPr>
          <w:vertAlign w:val="superscript"/>
          <w:lang w:val="en-GB"/>
        </w:rPr>
        <w:t>13</w:t>
      </w:r>
      <w:r w:rsidRPr="003531B9">
        <w:rPr>
          <w:lang w:val="en-GB"/>
        </w:rPr>
        <w:t xml:space="preserve"> Another survey, conducted around the same time on residual pathology samples, found seropositivity of 3.0% (95% CI: 1.3–5.8%), with seropositivity only seen among people born before 1974.</w:t>
      </w:r>
      <w:r w:rsidRPr="003531B9">
        <w:rPr>
          <w:vertAlign w:val="superscript"/>
          <w:lang w:val="en-GB"/>
        </w:rPr>
        <w:t>14</w:t>
      </w:r>
      <w:r w:rsidRPr="003531B9">
        <w:rPr>
          <w:lang w:val="en-GB"/>
        </w:rPr>
        <w:t xml:space="preserve"> It is somewhat reassuring that MVEV seropositivity does not appear to have increased dramatically since then, which would have indicated that more extensive transmission occurred in 2023 than was suggested by notified encephalitis cases and other surveillance data. However, our findings may highlight ongoing immunological vulnerability to MVEV infection in the community during future mosquito seasons. The persistence of low seroprevalence across these studies may suggest low-level human spillover between larger outbreaks. While immunological vulnerability is likely necessary to facilitate outbreaks such as seen in 2023, the complex ecological factors that precipitate such events require further study.</w:t>
      </w:r>
    </w:p>
    <w:p w14:paraId="05F27CEB" w14:textId="77777777" w:rsidR="003531B9" w:rsidRPr="003531B9" w:rsidRDefault="003531B9" w:rsidP="003531B9">
      <w:pPr>
        <w:divId w:val="935526654"/>
        <w:rPr>
          <w:lang w:val="en-GB"/>
        </w:rPr>
      </w:pPr>
      <w:r w:rsidRPr="003531B9">
        <w:rPr>
          <w:lang w:val="en-GB"/>
        </w:rPr>
        <w:t>Given that MVEV infections are relatively uncommon, and that the virus is thought to be confined to Australia and New Guinea, there are few additional studies from outside Victoria available for comparison. One notable seroprevalence study surveyed a small remote Aboriginal community in northwestern Australia, where MVEV epidemiology is characterised by frequent seasonal cases rather than intermittent outbreaks. This study found an MVEV seroprevalence of 53%, indicative of recurrent population exposure to the virus and high levels of asymptomatic infection.</w:t>
      </w:r>
      <w:r w:rsidRPr="003531B9">
        <w:rPr>
          <w:vertAlign w:val="superscript"/>
          <w:lang w:val="en-GB"/>
        </w:rPr>
        <w:t>4</w:t>
      </w:r>
    </w:p>
    <w:p w14:paraId="42AF04EF" w14:textId="77777777" w:rsidR="003531B9" w:rsidRPr="003531B9" w:rsidRDefault="003531B9" w:rsidP="003531B9">
      <w:pPr>
        <w:divId w:val="935526654"/>
        <w:rPr>
          <w:lang w:val="en-GB"/>
        </w:rPr>
      </w:pPr>
      <w:r w:rsidRPr="003531B9">
        <w:rPr>
          <w:lang w:val="en-GB"/>
        </w:rPr>
        <w:t>Seroprevalence studies of MVEV’s close serogroup relatives, namely JEV and West Nile virus (WNV), also provide further context for our findings. Following the famous index outbreak of WNV in New York in 1999, a seroprevalence of 2.6% was estimated.</w:t>
      </w:r>
      <w:r w:rsidRPr="003531B9">
        <w:rPr>
          <w:vertAlign w:val="superscript"/>
          <w:lang w:val="en-GB"/>
        </w:rPr>
        <w:t>15</w:t>
      </w:r>
      <w:r w:rsidRPr="003531B9">
        <w:rPr>
          <w:lang w:val="en-GB"/>
        </w:rPr>
        <w:t xml:space="preserve"> More recently, following three years of consecutive WNV cases in Greece, the seroprevalence was reported at 2.1%.</w:t>
      </w:r>
      <w:r w:rsidRPr="003531B9">
        <w:rPr>
          <w:vertAlign w:val="superscript"/>
          <w:lang w:val="en-GB"/>
        </w:rPr>
        <w:t>16</w:t>
      </w:r>
      <w:r w:rsidRPr="003531B9">
        <w:rPr>
          <w:lang w:val="en-GB"/>
        </w:rPr>
        <w:t xml:space="preserve"> As our findings suggest for MVEV in Victoria, these </w:t>
      </w:r>
      <w:r w:rsidRPr="003531B9">
        <w:rPr>
          <w:lang w:val="en-GB"/>
        </w:rPr>
        <w:lastRenderedPageBreak/>
        <w:t>studies concluded that the magnitude of the preceding WNV outbreaks was underestimated by notified clinical cases alone. It is notable that both jurisdictions have experienced subsequent outbreaks of WNV, consistent with ongoing population vulnerability at this level of seropositivity.</w:t>
      </w:r>
      <w:r w:rsidRPr="003531B9">
        <w:rPr>
          <w:vertAlign w:val="superscript"/>
          <w:lang w:val="en-GB"/>
        </w:rPr>
        <w:t>17,18</w:t>
      </w:r>
      <w:r w:rsidRPr="003531B9">
        <w:rPr>
          <w:lang w:val="en-GB"/>
        </w:rPr>
        <w:t xml:space="preserve"> </w:t>
      </w:r>
    </w:p>
    <w:p w14:paraId="4F5D1C31" w14:textId="5DCBCE7F" w:rsidR="003531B9" w:rsidRPr="003531B9" w:rsidRDefault="003531B9" w:rsidP="003531B9">
      <w:pPr>
        <w:divId w:val="935526654"/>
        <w:rPr>
          <w:lang w:val="en-GB"/>
        </w:rPr>
      </w:pPr>
      <w:r w:rsidRPr="003531B9">
        <w:rPr>
          <w:lang w:val="en-GB"/>
        </w:rPr>
        <w:t>Among the ten participants who tested positive for MVEV total antibody in our study, seven also tested positive for JEV total antibody. Cross-reactivity among antibodies against Japanese encephalitis serogroup viruses, including JEV, MVEV and KUNV, is common.</w:t>
      </w:r>
      <w:r w:rsidRPr="003531B9">
        <w:rPr>
          <w:vertAlign w:val="superscript"/>
          <w:lang w:val="en-GB"/>
        </w:rPr>
        <w:t>19</w:t>
      </w:r>
      <w:r w:rsidRPr="003531B9">
        <w:rPr>
          <w:lang w:val="en-GB"/>
        </w:rPr>
        <w:t xml:space="preserve"> In the absence of direct virologic confirmatory testing, immune cross-reactivity to flaviviruses means that prior exposures (and indeed acute infections) can be challenging to definitively ascribe to a specific virus.</w:t>
      </w:r>
      <w:r w:rsidRPr="003531B9">
        <w:rPr>
          <w:vertAlign w:val="superscript"/>
          <w:lang w:val="en-GB"/>
        </w:rPr>
        <w:t>20,21</w:t>
      </w:r>
      <w:r w:rsidRPr="003531B9">
        <w:rPr>
          <w:lang w:val="en-GB"/>
        </w:rPr>
        <w:t xml:space="preserve"> These findings are consistent with a clinical case series from Australia where 12 of 27 described MVEV cases demonstrated detectable JEV immunoglobulin G (IgG) or total antibody on serological testing.</w:t>
      </w:r>
      <w:r w:rsidRPr="003531B9">
        <w:rPr>
          <w:vertAlign w:val="superscript"/>
          <w:lang w:val="en-GB"/>
        </w:rPr>
        <w:t>22</w:t>
      </w:r>
    </w:p>
    <w:p w14:paraId="420F55B3" w14:textId="77777777" w:rsidR="003531B9" w:rsidRPr="003531B9" w:rsidRDefault="003531B9" w:rsidP="003531B9">
      <w:pPr>
        <w:divId w:val="935526654"/>
        <w:rPr>
          <w:lang w:val="en-GB"/>
        </w:rPr>
      </w:pPr>
      <w:r w:rsidRPr="003531B9">
        <w:rPr>
          <w:lang w:val="en-GB"/>
        </w:rPr>
        <w:t>Accordingly, in the presence of a single time point result, it is not possible to know whether individuals testing positive for antibodies to both MVEV and JEV in our study have truly been infected with both viruses in the past, or whether cross-reactivity has occurred. While DEB assays are intended to offer greater diagnostic specificity and assist in differentiating antibodies derived from distinct flavivirus infections,</w:t>
      </w:r>
      <w:r w:rsidRPr="003531B9">
        <w:rPr>
          <w:vertAlign w:val="superscript"/>
          <w:lang w:val="en-GB"/>
        </w:rPr>
        <w:t>23</w:t>
      </w:r>
      <w:r w:rsidRPr="003531B9">
        <w:rPr>
          <w:lang w:val="en-GB"/>
        </w:rPr>
        <w:t xml:space="preserve"> there is a paucity of data available to quantify the degree of cross-reactivity that occurs with these assays, particularly in the non-acute setting. Flavivirus antibody kinetics are also poorly understood. The emergence of JEV in areas of MVEV circulation in southern Australia heightens the dilemma of serological cross-reactivity and this study highlights a need for further serological assessment of interspecies cross-reactivity between locally circulating flaviviruses.</w:t>
      </w:r>
      <w:r w:rsidRPr="003531B9">
        <w:rPr>
          <w:vertAlign w:val="superscript"/>
          <w:lang w:val="en-GB"/>
        </w:rPr>
        <w:t>22</w:t>
      </w:r>
    </w:p>
    <w:p w14:paraId="61577BF5" w14:textId="77777777" w:rsidR="003531B9" w:rsidRPr="003531B9" w:rsidRDefault="003531B9" w:rsidP="003531B9">
      <w:pPr>
        <w:divId w:val="935526654"/>
        <w:rPr>
          <w:lang w:val="en-GB"/>
        </w:rPr>
      </w:pPr>
      <w:r w:rsidRPr="003531B9">
        <w:rPr>
          <w:lang w:val="en-GB"/>
        </w:rPr>
        <w:t>This study had several strengths. Recruitment location selection was informed by epidemiological intelligence data such as MVEV mosquito detections and known MVEV infections in early 2023, with more equal representation of LGAs in the northern Victorian region than in the 2022 JEV serosurvey. The study was conducted following a known outbreak, collected data on a comprehensive set of possible risk and protective factors for MVEV infection, and tested blood samples for MVEV antibodies using the current gold-standard laboratory assay.</w:t>
      </w:r>
      <w:r w:rsidRPr="003531B9">
        <w:rPr>
          <w:vertAlign w:val="superscript"/>
          <w:lang w:val="en-GB"/>
        </w:rPr>
        <w:t>22,23</w:t>
      </w:r>
      <w:r w:rsidRPr="003531B9">
        <w:rPr>
          <w:lang w:val="en-GB"/>
        </w:rPr>
        <w:t xml:space="preserve"> Furthermore, a large geographic area of almost 60,000 km</w:t>
      </w:r>
      <w:r w:rsidRPr="003531B9">
        <w:rPr>
          <w:vertAlign w:val="superscript"/>
          <w:lang w:val="en-GB"/>
        </w:rPr>
        <w:t>2</w:t>
      </w:r>
      <w:r w:rsidRPr="003531B9">
        <w:rPr>
          <w:lang w:val="en-GB"/>
        </w:rPr>
        <w:t xml:space="preserve"> was covered by this serosurvey,</w:t>
      </w:r>
      <w:r w:rsidRPr="003531B9">
        <w:rPr>
          <w:vertAlign w:val="superscript"/>
          <w:lang w:val="en-GB"/>
        </w:rPr>
        <w:t>24</w:t>
      </w:r>
      <w:r w:rsidRPr="003531B9">
        <w:rPr>
          <w:lang w:val="en-GB"/>
        </w:rPr>
        <w:t xml:space="preserve"> with recruitment targets in each LGA informed by population size in order to attempt to obtain a geographically representative sample.</w:t>
      </w:r>
    </w:p>
    <w:p w14:paraId="743B4E3A" w14:textId="6EBDBFFE" w:rsidR="003531B9" w:rsidRPr="003531B9" w:rsidRDefault="003531B9" w:rsidP="003531B9">
      <w:pPr>
        <w:divId w:val="935526654"/>
        <w:rPr>
          <w:lang w:val="en-GB"/>
        </w:rPr>
      </w:pPr>
      <w:r w:rsidRPr="003531B9">
        <w:rPr>
          <w:lang w:val="en-GB"/>
        </w:rPr>
        <w:t>However, this study was also subject to several limitations. As discussed, the known cross-reactivity of flavivirus serological assays creates uncertainty as to whether seropositivity for MVEV in our study was truly due to infection with MVEV as opposed to another flavivirus. While efforts were made to promote representative recruitment across LGAs, recruitment was non-random. Accordingly, in terms of demographic factors such as age, recruiting a truly representative sample of the underlying population in the region was difficult to achieve and some demographic groups were over-represented in our study cohort compared to the general population in the region.</w:t>
      </w:r>
      <w:r w:rsidRPr="003531B9">
        <w:rPr>
          <w:vertAlign w:val="superscript"/>
          <w:lang w:val="en-GB"/>
        </w:rPr>
        <w:t>25</w:t>
      </w:r>
      <w:r w:rsidRPr="003531B9">
        <w:rPr>
          <w:lang w:val="en-GB"/>
        </w:rPr>
        <w:t xml:space="preserve"> For example, older people are typically more likely to seek medical care than younger people.</w:t>
      </w:r>
      <w:r w:rsidRPr="003531B9">
        <w:rPr>
          <w:vertAlign w:val="superscript"/>
          <w:lang w:val="en-GB"/>
        </w:rPr>
        <w:t>26</w:t>
      </w:r>
      <w:r w:rsidRPr="003531B9">
        <w:rPr>
          <w:lang w:val="en-GB"/>
        </w:rPr>
        <w:t xml:space="preserve"> Because recruitment primarily occurred at pathology collection centres this was reflected in our sample: 43% of participants in our study were aged 60 years and older, compared to 28% in the included LGAs.</w:t>
      </w:r>
      <w:r w:rsidRPr="003531B9">
        <w:rPr>
          <w:vertAlign w:val="superscript"/>
          <w:lang w:val="en-GB"/>
        </w:rPr>
        <w:t>25</w:t>
      </w:r>
      <w:r w:rsidRPr="003531B9">
        <w:rPr>
          <w:lang w:val="en-GB"/>
        </w:rPr>
        <w:t xml:space="preserve"> Because older individuals may have been exposed to MVEV during the 1974 outbreak, over-representation of this group could result in an over-estimation of seroprevalence. Our seroprevalence estimates may also therefore have been affected by differences in the distribution of behavioural risk factors for MVEV infection across age groups. Women were also over-represented in our study compared to the general population. The Murray region is home to many Aboriginal and Torres Strait Islander communities, and future studies should seek better representation of Aboriginal and Torres Strait Islander participants. Furthermore, while the study was powered to provide an </w:t>
      </w:r>
      <w:r w:rsidRPr="003531B9">
        <w:rPr>
          <w:lang w:val="en-GB"/>
        </w:rPr>
        <w:lastRenderedPageBreak/>
        <w:t>adequate level of precision in seroprevalence estimates across the entire geographical area of interest, it was not powered to detect small associations between seropositivity and any of the included risk or protective factors. Therefore, we are unable to decisively point towards risk or protective factors for MVEV infection in this analysis.</w:t>
      </w:r>
    </w:p>
    <w:p w14:paraId="2234FA50" w14:textId="77777777" w:rsidR="003531B9" w:rsidRPr="003531B9" w:rsidRDefault="003531B9" w:rsidP="003531B9">
      <w:pPr>
        <w:divId w:val="935526654"/>
        <w:rPr>
          <w:lang w:val="en-GB"/>
        </w:rPr>
      </w:pPr>
      <w:r w:rsidRPr="003531B9">
        <w:rPr>
          <w:lang w:val="en-GB"/>
        </w:rPr>
        <w:t>In conclusion, we did not detect a discernible increase in MVEV seropositivity since the 2023 outbreak when comparing to similar studies conducted in 2022 and 2011. This supports the hypothesis that the 2023 outbreak was, in fact, relatively small, suggests ongoing immunological vulnerability to flavivirus infection in the northern Victorian community, and underscores the importance of ongoing mosquito control interventions and behavioural measures to avoid mosquito bites in the region during future mosquito seasons. This is likely to become increasingly important as flavivirus epidemiology continues to vary under the influence of climate change.</w:t>
      </w:r>
      <w:r w:rsidRPr="003531B9">
        <w:rPr>
          <w:vertAlign w:val="superscript"/>
          <w:lang w:val="en-GB"/>
        </w:rPr>
        <w:t>27</w:t>
      </w:r>
      <w:r w:rsidRPr="003531B9">
        <w:rPr>
          <w:lang w:val="en-GB"/>
        </w:rPr>
        <w:t xml:space="preserve"> Useful next steps may include longitudinal serosurveys and additional research regarding assay cross-reactivity to better interpret serological data in the context of co-circulating flaviviruses in Victoria, particularly following the emergence of JEV. However, this will be a challenge given the small number of cases likely to be definitively diagnosed using molecular methods.</w:t>
      </w:r>
    </w:p>
    <w:p w14:paraId="16803A28" w14:textId="77777777" w:rsidR="008A0736" w:rsidRPr="00702D05" w:rsidRDefault="008A0736" w:rsidP="008A0736">
      <w:pPr>
        <w:pStyle w:val="Heading1"/>
        <w:divId w:val="935526654"/>
        <w:rPr>
          <w:lang w:val="en-GB"/>
        </w:rPr>
      </w:pPr>
      <w:r>
        <w:rPr>
          <w:lang w:val="en-GB"/>
        </w:rPr>
        <w:t>Acknowledgments</w:t>
      </w:r>
    </w:p>
    <w:p w14:paraId="6DA392FD" w14:textId="2FEF7C17" w:rsidR="00034B9E" w:rsidRPr="00034B9E" w:rsidRDefault="00034B9E" w:rsidP="00034B9E">
      <w:pPr>
        <w:divId w:val="935526654"/>
        <w:rPr>
          <w:lang w:val="en-GB"/>
        </w:rPr>
      </w:pPr>
      <w:r w:rsidRPr="00034B9E">
        <w:rPr>
          <w:lang w:val="en-GB"/>
        </w:rPr>
        <w:t xml:space="preserve">We wish to thank all participants who volunteered to be part of this study, </w:t>
      </w:r>
      <w:proofErr w:type="spellStart"/>
      <w:r w:rsidRPr="00034B9E">
        <w:rPr>
          <w:lang w:val="en-GB"/>
        </w:rPr>
        <w:t>Dorevitch</w:t>
      </w:r>
      <w:proofErr w:type="spellEnd"/>
      <w:r w:rsidRPr="00034B9E">
        <w:rPr>
          <w:lang w:val="en-GB"/>
        </w:rPr>
        <w:t xml:space="preserve"> Pathology and Austin</w:t>
      </w:r>
      <w:r>
        <w:rPr>
          <w:lang w:val="en-GB"/>
        </w:rPr>
        <w:t xml:space="preserve"> </w:t>
      </w:r>
      <w:r w:rsidRPr="00034B9E">
        <w:rPr>
          <w:lang w:val="en-GB"/>
        </w:rPr>
        <w:t>Pathology for facilitating blood sample collection, and the Ovens Murray, Loddon Mallee, and Goulburn Valley Local Public Health Unit staff who assisted with participant recruitment. We thank Monash Rural Health Mildura and Monash Rural Health Bendigo for their support for the study, and specifically Mitchell</w:t>
      </w:r>
      <w:r>
        <w:rPr>
          <w:lang w:val="en-GB"/>
        </w:rPr>
        <w:t> </w:t>
      </w:r>
      <w:proofErr w:type="spellStart"/>
      <w:r w:rsidRPr="00034B9E">
        <w:rPr>
          <w:lang w:val="en-GB"/>
        </w:rPr>
        <w:t>Brusamarello</w:t>
      </w:r>
      <w:proofErr w:type="spellEnd"/>
      <w:r w:rsidRPr="00034B9E">
        <w:rPr>
          <w:lang w:val="en-GB"/>
        </w:rPr>
        <w:t xml:space="preserve">, Eric </w:t>
      </w:r>
      <w:proofErr w:type="spellStart"/>
      <w:r w:rsidRPr="00034B9E">
        <w:rPr>
          <w:lang w:val="en-GB"/>
        </w:rPr>
        <w:t>Arsanious</w:t>
      </w:r>
      <w:proofErr w:type="spellEnd"/>
      <w:r w:rsidRPr="00034B9E">
        <w:rPr>
          <w:lang w:val="en-GB"/>
        </w:rPr>
        <w:t xml:space="preserve">, and Jordan Hendy (Monash Rural Health Mildura), Georgia Sgroi, Yajat Dua, James Venturini, Brittney Andrews and Aidan Hanrahan (Monash Rural Health Bendigo), and Simone Hill-Rennie and Paris Panozzo (The University of Melbourne Rural Clinical School - Shepparton) for assisting with participant recruitment. Finally, we wish to thank staff at the Victorian Infectious Diseases Reference Laboratory for performing serological testing (particularly Di </w:t>
      </w:r>
      <w:proofErr w:type="spellStart"/>
      <w:r w:rsidRPr="00034B9E">
        <w:rPr>
          <w:lang w:val="en-GB"/>
        </w:rPr>
        <w:t>Karamalakis</w:t>
      </w:r>
      <w:proofErr w:type="spellEnd"/>
      <w:r w:rsidRPr="00034B9E">
        <w:rPr>
          <w:lang w:val="en-GB"/>
        </w:rPr>
        <w:t xml:space="preserve"> and Kim Lynn Vo) and reporting of results.</w:t>
      </w:r>
    </w:p>
    <w:p w14:paraId="5043C07C" w14:textId="55B100F1" w:rsidR="008A0736" w:rsidRDefault="00034B9E" w:rsidP="00034B9E">
      <w:pPr>
        <w:pStyle w:val="Heading2"/>
        <w:divId w:val="935526654"/>
        <w:rPr>
          <w:lang w:val="en-GB"/>
        </w:rPr>
      </w:pPr>
      <w:r>
        <w:rPr>
          <w:lang w:val="en-GB"/>
        </w:rPr>
        <w:t>Declaration of interests</w:t>
      </w:r>
    </w:p>
    <w:p w14:paraId="18B45BAF" w14:textId="430E3E0F" w:rsidR="00034B9E" w:rsidRDefault="00034B9E" w:rsidP="008A0736">
      <w:pPr>
        <w:divId w:val="935526654"/>
        <w:rPr>
          <w:lang w:val="en-GB"/>
        </w:rPr>
      </w:pPr>
      <w:r>
        <w:rPr>
          <w:lang w:val="en-GB"/>
        </w:rPr>
        <w:t>None to declare.</w:t>
      </w:r>
    </w:p>
    <w:p w14:paraId="353BE194" w14:textId="3E6FACAB" w:rsidR="00034B9E" w:rsidRDefault="00034B9E" w:rsidP="00034B9E">
      <w:pPr>
        <w:pStyle w:val="Heading2"/>
        <w:divId w:val="935526654"/>
        <w:rPr>
          <w:lang w:val="en-GB"/>
        </w:rPr>
      </w:pPr>
      <w:r>
        <w:rPr>
          <w:lang w:val="en-GB"/>
        </w:rPr>
        <w:t>Role of the funding source</w:t>
      </w:r>
    </w:p>
    <w:p w14:paraId="693FF3CF" w14:textId="77777777" w:rsidR="00034B9E" w:rsidRPr="00034B9E" w:rsidRDefault="00034B9E" w:rsidP="00034B9E">
      <w:pPr>
        <w:divId w:val="935526654"/>
        <w:rPr>
          <w:lang w:val="en-GB"/>
        </w:rPr>
      </w:pPr>
      <w:r w:rsidRPr="00034B9E">
        <w:rPr>
          <w:lang w:val="en-GB"/>
        </w:rPr>
        <w:t>This project was funded by the Victorian Department of Health. Marie Heloury is funded by the Victorian Infectious Diseases Reference Laboratory (VIDRL) and the Commonwealth Scientific and Industrial Research Organisation (CSIRO).</w:t>
      </w:r>
    </w:p>
    <w:p w14:paraId="0A9DB942" w14:textId="429C388E" w:rsidR="00034B9E" w:rsidRDefault="00034B9E" w:rsidP="00034B9E">
      <w:pPr>
        <w:pStyle w:val="Heading2"/>
        <w:divId w:val="935526654"/>
        <w:rPr>
          <w:lang w:val="en-GB"/>
        </w:rPr>
      </w:pPr>
      <w:r>
        <w:rPr>
          <w:lang w:val="en-GB"/>
        </w:rPr>
        <w:t>Data sharing statement</w:t>
      </w:r>
    </w:p>
    <w:p w14:paraId="7D64CD95" w14:textId="3695E663" w:rsidR="00034B9E" w:rsidRDefault="00034B9E" w:rsidP="00034B9E">
      <w:pPr>
        <w:rPr>
          <w:lang w:val="en-GB"/>
        </w:rPr>
      </w:pPr>
      <w:r w:rsidRPr="00034B9E">
        <w:rPr>
          <w:lang w:val="en-GB"/>
        </w:rPr>
        <w:t>The data used in this analysis are not able to be shared.</w:t>
      </w:r>
      <w:r>
        <w:rPr>
          <w:lang w:val="en-GB"/>
        </w:rPr>
        <w:br w:type="page"/>
      </w:r>
    </w:p>
    <w:p w14:paraId="523C387A" w14:textId="77777777" w:rsidR="008A0736" w:rsidRDefault="008A0736" w:rsidP="008A0736">
      <w:pPr>
        <w:pStyle w:val="Heading1"/>
        <w:divId w:val="935526654"/>
      </w:pPr>
      <w:r>
        <w:lastRenderedPageBreak/>
        <w:t>Author details</w:t>
      </w:r>
    </w:p>
    <w:p w14:paraId="24DD4C4B" w14:textId="77777777" w:rsidR="00034B9E" w:rsidRPr="00034B9E" w:rsidRDefault="00034B9E" w:rsidP="00034B9E">
      <w:pPr>
        <w:divId w:val="935526654"/>
        <w:rPr>
          <w:lang w:val="en-GB"/>
        </w:rPr>
      </w:pPr>
      <w:r w:rsidRPr="00034B9E">
        <w:rPr>
          <w:lang w:val="en-GB"/>
        </w:rPr>
        <w:t>Ms Marie Heloury,</w:t>
      </w:r>
      <w:r w:rsidRPr="00034B9E">
        <w:rPr>
          <w:vertAlign w:val="superscript"/>
          <w:lang w:val="en-GB"/>
        </w:rPr>
        <w:t>1,2,3,</w:t>
      </w:r>
      <w:r w:rsidRPr="00034B9E">
        <w:rPr>
          <w:vertAlign w:val="superscript"/>
          <w:lang w:val="en-GB"/>
        </w:rPr>
        <w:footnoteReference w:id="2"/>
      </w:r>
      <w:r w:rsidRPr="00034B9E">
        <w:rPr>
          <w:vertAlign w:val="superscript"/>
          <w:lang w:val="en-GB"/>
        </w:rPr>
        <w:t xml:space="preserve"> </w:t>
      </w:r>
    </w:p>
    <w:p w14:paraId="58C4A6B9" w14:textId="77777777" w:rsidR="00034B9E" w:rsidRPr="00034B9E" w:rsidRDefault="00034B9E" w:rsidP="00034B9E">
      <w:pPr>
        <w:pStyle w:val="Normal-nospace"/>
        <w:divId w:val="935526654"/>
      </w:pPr>
      <w:r w:rsidRPr="00034B9E">
        <w:t>Dr Joshua Szanyi,</w:t>
      </w:r>
      <w:r w:rsidRPr="00034B9E">
        <w:rPr>
          <w:vertAlign w:val="superscript"/>
        </w:rPr>
        <w:t>1,i</w:t>
      </w:r>
    </w:p>
    <w:p w14:paraId="0B3CDA02" w14:textId="77777777" w:rsidR="00034B9E" w:rsidRPr="00034B9E" w:rsidRDefault="00034B9E" w:rsidP="00034B9E">
      <w:pPr>
        <w:pStyle w:val="Normal-nospace"/>
        <w:divId w:val="935526654"/>
      </w:pPr>
      <w:r w:rsidRPr="00034B9E">
        <w:t>Dr Maxwell Braddick,</w:t>
      </w:r>
      <w:r w:rsidRPr="00034B9E">
        <w:rPr>
          <w:vertAlign w:val="superscript"/>
        </w:rPr>
        <w:t>1,4</w:t>
      </w:r>
    </w:p>
    <w:p w14:paraId="38842730" w14:textId="77777777" w:rsidR="00034B9E" w:rsidRPr="00034B9E" w:rsidRDefault="00034B9E" w:rsidP="00034B9E">
      <w:pPr>
        <w:pStyle w:val="Normal-nospace"/>
        <w:divId w:val="935526654"/>
      </w:pPr>
      <w:r w:rsidRPr="00034B9E">
        <w:t>Mr Alexander Fidao,</w:t>
      </w:r>
      <w:r w:rsidRPr="00034B9E">
        <w:rPr>
          <w:vertAlign w:val="superscript"/>
        </w:rPr>
        <w:t xml:space="preserve">1 </w:t>
      </w:r>
    </w:p>
    <w:p w14:paraId="40E03993" w14:textId="77777777" w:rsidR="00034B9E" w:rsidRPr="00034B9E" w:rsidRDefault="00034B9E" w:rsidP="00034B9E">
      <w:pPr>
        <w:pStyle w:val="Normal-nospace"/>
        <w:divId w:val="935526654"/>
      </w:pPr>
      <w:r w:rsidRPr="00034B9E">
        <w:t>Dr Madeleine J Marsland,</w:t>
      </w:r>
      <w:r w:rsidRPr="00034B9E">
        <w:rPr>
          <w:vertAlign w:val="superscript"/>
        </w:rPr>
        <w:t>1,3</w:t>
      </w:r>
    </w:p>
    <w:p w14:paraId="750D8DC6" w14:textId="77777777" w:rsidR="00034B9E" w:rsidRPr="00034B9E" w:rsidRDefault="00034B9E" w:rsidP="00034B9E">
      <w:pPr>
        <w:pStyle w:val="Normal-nospace"/>
        <w:divId w:val="935526654"/>
      </w:pPr>
      <w:r w:rsidRPr="00034B9E">
        <w:t>Ms Tilda N Thomson,</w:t>
      </w:r>
      <w:r w:rsidRPr="00034B9E">
        <w:rPr>
          <w:vertAlign w:val="superscript"/>
        </w:rPr>
        <w:t>1,3</w:t>
      </w:r>
    </w:p>
    <w:p w14:paraId="2404C8D0" w14:textId="77777777" w:rsidR="00034B9E" w:rsidRPr="00034B9E" w:rsidRDefault="00034B9E" w:rsidP="00034B9E">
      <w:pPr>
        <w:pStyle w:val="Normal-nospace"/>
        <w:divId w:val="935526654"/>
      </w:pPr>
      <w:r w:rsidRPr="00034B9E">
        <w:t>Dr Mitch Batty,</w:t>
      </w:r>
      <w:r w:rsidRPr="00034B9E">
        <w:rPr>
          <w:vertAlign w:val="superscript"/>
        </w:rPr>
        <w:t>2</w:t>
      </w:r>
    </w:p>
    <w:p w14:paraId="66988BFB" w14:textId="77777777" w:rsidR="00034B9E" w:rsidRPr="00034B9E" w:rsidRDefault="00034B9E" w:rsidP="00034B9E">
      <w:pPr>
        <w:pStyle w:val="Normal-nospace"/>
        <w:divId w:val="935526654"/>
      </w:pPr>
      <w:r w:rsidRPr="00034B9E">
        <w:t>Mrs Suellen Nicholson,</w:t>
      </w:r>
      <w:r w:rsidRPr="00034B9E">
        <w:rPr>
          <w:vertAlign w:val="superscript"/>
        </w:rPr>
        <w:t>2,4</w:t>
      </w:r>
    </w:p>
    <w:p w14:paraId="053F13C6" w14:textId="77777777" w:rsidR="00034B9E" w:rsidRPr="00034B9E" w:rsidRDefault="00034B9E" w:rsidP="00034B9E">
      <w:pPr>
        <w:pStyle w:val="Normal-nospace"/>
        <w:divId w:val="935526654"/>
      </w:pPr>
      <w:r w:rsidRPr="00034B9E">
        <w:t>Mr Theo Karapanagiotidis,</w:t>
      </w:r>
      <w:r w:rsidRPr="00034B9E">
        <w:rPr>
          <w:vertAlign w:val="superscript"/>
        </w:rPr>
        <w:t>2</w:t>
      </w:r>
    </w:p>
    <w:p w14:paraId="5FE64282" w14:textId="77777777" w:rsidR="00034B9E" w:rsidRPr="00034B9E" w:rsidRDefault="00034B9E" w:rsidP="00034B9E">
      <w:pPr>
        <w:pStyle w:val="Normal-nospace"/>
        <w:divId w:val="935526654"/>
      </w:pPr>
      <w:r w:rsidRPr="00034B9E">
        <w:t>Ms Kylie S Carville,</w:t>
      </w:r>
      <w:r w:rsidRPr="00034B9E">
        <w:rPr>
          <w:vertAlign w:val="superscript"/>
        </w:rPr>
        <w:t>2,4</w:t>
      </w:r>
    </w:p>
    <w:p w14:paraId="1F925C2E" w14:textId="77777777" w:rsidR="00034B9E" w:rsidRPr="00034B9E" w:rsidRDefault="00034B9E" w:rsidP="00034B9E">
      <w:pPr>
        <w:pStyle w:val="Normal-nospace"/>
        <w:divId w:val="935526654"/>
      </w:pPr>
      <w:r w:rsidRPr="00034B9E">
        <w:t>Ms Anna-Jane Glynn-Robinson,</w:t>
      </w:r>
      <w:r w:rsidRPr="00034B9E">
        <w:rPr>
          <w:vertAlign w:val="superscript"/>
        </w:rPr>
        <w:t>3</w:t>
      </w:r>
    </w:p>
    <w:p w14:paraId="4CE71A37" w14:textId="77777777" w:rsidR="00034B9E" w:rsidRPr="00034B9E" w:rsidRDefault="00034B9E" w:rsidP="00034B9E">
      <w:pPr>
        <w:pStyle w:val="Normal-nospace"/>
        <w:divId w:val="935526654"/>
      </w:pPr>
      <w:r w:rsidRPr="00034B9E">
        <w:t>Dr Chuan Kok Lim,</w:t>
      </w:r>
      <w:r w:rsidRPr="00034B9E">
        <w:rPr>
          <w:vertAlign w:val="superscript"/>
        </w:rPr>
        <w:t>2,4</w:t>
      </w:r>
    </w:p>
    <w:p w14:paraId="58E59116" w14:textId="77777777" w:rsidR="00034B9E" w:rsidRPr="00034B9E" w:rsidRDefault="00034B9E" w:rsidP="00034B9E">
      <w:pPr>
        <w:pStyle w:val="Normal-nospace"/>
        <w:divId w:val="935526654"/>
      </w:pPr>
      <w:r w:rsidRPr="00034B9E">
        <w:t>Dr Naveen Tenneti,</w:t>
      </w:r>
      <w:r w:rsidRPr="00034B9E">
        <w:rPr>
          <w:vertAlign w:val="superscript"/>
        </w:rPr>
        <w:t>5,6</w:t>
      </w:r>
    </w:p>
    <w:p w14:paraId="79FBE26A" w14:textId="77777777" w:rsidR="00034B9E" w:rsidRPr="00034B9E" w:rsidRDefault="00034B9E" w:rsidP="00034B9E">
      <w:pPr>
        <w:pStyle w:val="Normal-nospace"/>
        <w:divId w:val="935526654"/>
      </w:pPr>
      <w:r w:rsidRPr="00034B9E">
        <w:t>Dr Anthony Zheng,</w:t>
      </w:r>
      <w:r w:rsidRPr="00034B9E">
        <w:rPr>
          <w:vertAlign w:val="superscript"/>
        </w:rPr>
        <w:t>7,8</w:t>
      </w:r>
    </w:p>
    <w:p w14:paraId="4F29EC26" w14:textId="77777777" w:rsidR="00034B9E" w:rsidRPr="00034B9E" w:rsidRDefault="00034B9E" w:rsidP="00034B9E">
      <w:pPr>
        <w:pStyle w:val="Normal-nospace"/>
        <w:divId w:val="935526654"/>
      </w:pPr>
      <w:r w:rsidRPr="00034B9E">
        <w:t>Dr William Cross,</w:t>
      </w:r>
      <w:r w:rsidRPr="00034B9E">
        <w:rPr>
          <w:vertAlign w:val="superscript"/>
        </w:rPr>
        <w:t>9</w:t>
      </w:r>
    </w:p>
    <w:p w14:paraId="16556086" w14:textId="77777777" w:rsidR="00034B9E" w:rsidRPr="00034B9E" w:rsidRDefault="00034B9E" w:rsidP="00034B9E">
      <w:pPr>
        <w:pStyle w:val="Normal-nospace"/>
        <w:divId w:val="935526654"/>
      </w:pPr>
      <w:r w:rsidRPr="00034B9E">
        <w:t>Prof Jim Black,</w:t>
      </w:r>
      <w:r w:rsidRPr="00034B9E">
        <w:rPr>
          <w:vertAlign w:val="superscript"/>
        </w:rPr>
        <w:t>1</w:t>
      </w:r>
    </w:p>
    <w:p w14:paraId="6464ABAD" w14:textId="77777777" w:rsidR="00034B9E" w:rsidRPr="00034B9E" w:rsidRDefault="00034B9E" w:rsidP="00034B9E">
      <w:pPr>
        <w:pStyle w:val="Normal-nospace"/>
        <w:divId w:val="935526654"/>
      </w:pPr>
      <w:r w:rsidRPr="00034B9E">
        <w:t>Dr Helen O’Brien</w:t>
      </w:r>
      <w:r w:rsidRPr="00034B9E">
        <w:rPr>
          <w:vertAlign w:val="superscript"/>
        </w:rPr>
        <w:t>1</w:t>
      </w:r>
    </w:p>
    <w:p w14:paraId="28C5EE76" w14:textId="77777777" w:rsidR="00034B9E" w:rsidRDefault="00034B9E" w:rsidP="00034B9E">
      <w:pPr>
        <w:pStyle w:val="CDINumberedList1-L1"/>
        <w:divId w:val="935526654"/>
      </w:pPr>
      <w:r>
        <w:t>Communicable Diseases Section, Victorian Department of Health, Melbourne, 3000, Australia</w:t>
      </w:r>
    </w:p>
    <w:p w14:paraId="4C59FB56" w14:textId="77777777" w:rsidR="00034B9E" w:rsidRDefault="00034B9E" w:rsidP="00034B9E">
      <w:pPr>
        <w:pStyle w:val="CDINumberedList1-L1lessspace"/>
        <w:divId w:val="935526654"/>
      </w:pPr>
      <w:r>
        <w:t>Victorian Infectious Diseases Reference Laboratory, Melbourne Health, The Peter Doherty Institute for Infection and Immunity, Melbourne, 3000, Australia</w:t>
      </w:r>
    </w:p>
    <w:p w14:paraId="330BDD3F" w14:textId="77777777" w:rsidR="00034B9E" w:rsidRDefault="00034B9E" w:rsidP="00034B9E">
      <w:pPr>
        <w:pStyle w:val="CDINumberedList1-L1lessspace"/>
        <w:divId w:val="935526654"/>
      </w:pPr>
      <w:r>
        <w:t>Australian National University, Canberra, 2600, Australia</w:t>
      </w:r>
    </w:p>
    <w:p w14:paraId="69338CE8" w14:textId="43671B13" w:rsidR="00034B9E" w:rsidRDefault="00034B9E" w:rsidP="00034B9E">
      <w:pPr>
        <w:pStyle w:val="CDINumberedList1-L1lessspace"/>
        <w:divId w:val="935526654"/>
      </w:pPr>
      <w:r>
        <w:t>Department of Infectious Diseases, The Peter Doherty Institute for Infection and Immunity, The University of Melbourne, Melbourne, 3000, Australia</w:t>
      </w:r>
    </w:p>
    <w:p w14:paraId="79B18402" w14:textId="77777777" w:rsidR="00034B9E" w:rsidRDefault="00034B9E" w:rsidP="00034B9E">
      <w:pPr>
        <w:pStyle w:val="CDINumberedList1-L1lessspace"/>
        <w:divId w:val="935526654"/>
      </w:pPr>
      <w:r>
        <w:t>Loddon Mallee Public Health Unit, Bendigo Health, Bendigo, 3550, Australia</w:t>
      </w:r>
    </w:p>
    <w:p w14:paraId="2A2237DD" w14:textId="7318341C" w:rsidR="00034B9E" w:rsidRDefault="00034B9E" w:rsidP="00034B9E">
      <w:pPr>
        <w:pStyle w:val="CDINumberedList1-L1lessspace"/>
        <w:divId w:val="935526654"/>
      </w:pPr>
      <w:r>
        <w:t>Violet Vines Centre for Rural Health Research, La Trobe Rural Health School, La Trobe University, P.O. Box 199, Bendigo, VIC, 3552, Australia</w:t>
      </w:r>
    </w:p>
    <w:p w14:paraId="7DC5EBED" w14:textId="77777777" w:rsidR="00034B9E" w:rsidRDefault="00034B9E" w:rsidP="00034B9E">
      <w:pPr>
        <w:pStyle w:val="CDINumberedList1-L1lessspace"/>
        <w:divId w:val="935526654"/>
      </w:pPr>
      <w:r>
        <w:t>Ovens Murray Public Health Unit, Albury Wodonga Health, Wodonga, 3690, Australia</w:t>
      </w:r>
    </w:p>
    <w:p w14:paraId="2CF8F0B7" w14:textId="77777777" w:rsidR="00034B9E" w:rsidRDefault="00034B9E" w:rsidP="00034B9E">
      <w:pPr>
        <w:pStyle w:val="CDINumberedList1-L1lessspace"/>
        <w:divId w:val="935526654"/>
      </w:pPr>
      <w:r>
        <w:t>School of Clinical Medicine, University of New South Wales, 559 East St, East Albury NSW 2640 Australia</w:t>
      </w:r>
    </w:p>
    <w:p w14:paraId="6B4F7B95" w14:textId="65375BA5" w:rsidR="008A0736" w:rsidRDefault="00034B9E" w:rsidP="00034B9E">
      <w:pPr>
        <w:pStyle w:val="CDINumberedList1-L1lessspace"/>
        <w:divId w:val="935526654"/>
      </w:pPr>
      <w:r>
        <w:t>Goulburn Valley Public Health Unit, Goulburn Valley Health, Shepparton, 3630, Australia</w:t>
      </w:r>
    </w:p>
    <w:p w14:paraId="6344E61B" w14:textId="77777777" w:rsidR="00AC7CD7" w:rsidRDefault="00AC7CD7" w:rsidP="00AC7CD7">
      <w:pPr>
        <w:pStyle w:val="Authordetails"/>
        <w:divId w:val="935526654"/>
      </w:pPr>
      <w:r>
        <w:t>Corresponding author</w:t>
      </w:r>
    </w:p>
    <w:p w14:paraId="6A5F5072" w14:textId="77777777" w:rsidR="00034B9E" w:rsidRPr="00034B9E" w:rsidRDefault="00034B9E" w:rsidP="00034B9E">
      <w:pPr>
        <w:pStyle w:val="Normal-lessspace"/>
        <w:divId w:val="935526654"/>
      </w:pPr>
      <w:r w:rsidRPr="00034B9E">
        <w:t>Ms Marie Heloury</w:t>
      </w:r>
    </w:p>
    <w:p w14:paraId="7D3E8547" w14:textId="26F910B9" w:rsidR="00034B9E" w:rsidRPr="00034B9E" w:rsidRDefault="00034B9E" w:rsidP="00034B9E">
      <w:pPr>
        <w:pStyle w:val="Normal-lessspace"/>
        <w:divId w:val="935526654"/>
      </w:pPr>
      <w:r w:rsidRPr="00034B9E">
        <w:t>Health Protection Branch</w:t>
      </w:r>
      <w:r>
        <w:t xml:space="preserve">, </w:t>
      </w:r>
      <w:r w:rsidRPr="00034B9E">
        <w:t>Public Health Division,</w:t>
      </w:r>
    </w:p>
    <w:p w14:paraId="2BFE0682" w14:textId="64ABC6B1" w:rsidR="00034B9E" w:rsidRPr="00034B9E" w:rsidRDefault="00034B9E" w:rsidP="00034B9E">
      <w:pPr>
        <w:pStyle w:val="Normal-nospace"/>
        <w:divId w:val="935526654"/>
      </w:pPr>
      <w:r w:rsidRPr="00034B9E">
        <w:t>Department of Health,</w:t>
      </w:r>
      <w:r>
        <w:t xml:space="preserve"> </w:t>
      </w:r>
      <w:r w:rsidRPr="00034B9E">
        <w:t>20 Lonsdale Street, Melbourne, Victoria 3000 Australia</w:t>
      </w:r>
    </w:p>
    <w:p w14:paraId="60A27A1F" w14:textId="4B83A116" w:rsidR="008A0736" w:rsidRPr="007A2D74" w:rsidRDefault="00034B9E" w:rsidP="00034B9E">
      <w:pPr>
        <w:pStyle w:val="Normal-lessspace"/>
        <w:divId w:val="935526654"/>
      </w:pPr>
      <w:r w:rsidRPr="00034B9E">
        <w:t xml:space="preserve">Email: </w:t>
      </w:r>
      <w:hyperlink r:id="rId18" w:history="1">
        <w:r w:rsidRPr="00BF216D">
          <w:rPr>
            <w:rStyle w:val="Hyperlink"/>
          </w:rPr>
          <w:t>helourym@gmail.com</w:t>
        </w:r>
      </w:hyperlink>
      <w:r>
        <w:t xml:space="preserve"> </w:t>
      </w:r>
      <w:r w:rsidR="008A0736" w:rsidRPr="007A2D74">
        <w:br w:type="page"/>
      </w:r>
    </w:p>
    <w:p w14:paraId="5433EF12" w14:textId="77777777" w:rsidR="008A0736" w:rsidRDefault="008A0736" w:rsidP="00122ADA">
      <w:pPr>
        <w:pStyle w:val="Heading1"/>
        <w:divId w:val="935526654"/>
      </w:pPr>
      <w:r>
        <w:lastRenderedPageBreak/>
        <w:t>References</w:t>
      </w:r>
    </w:p>
    <w:p w14:paraId="4D11D853" w14:textId="0EE30D5C" w:rsidR="00034B9E" w:rsidRPr="00034B9E" w:rsidRDefault="00034B9E" w:rsidP="00034B9E">
      <w:pPr>
        <w:pStyle w:val="CDINumberedList1-L1"/>
        <w:numPr>
          <w:ilvl w:val="0"/>
          <w:numId w:val="34"/>
        </w:numPr>
        <w:divId w:val="935526654"/>
      </w:pPr>
      <w:r w:rsidRPr="00034B9E">
        <w:t xml:space="preserve">Burnet FM. Murray Valley encephalitis. </w:t>
      </w:r>
      <w:r w:rsidRPr="00034B9E">
        <w:rPr>
          <w:i/>
          <w:iCs/>
        </w:rPr>
        <w:t>Am J Public Health Nations Health</w:t>
      </w:r>
      <w:r w:rsidRPr="00034B9E">
        <w:t>. 1952;42(12):1519–21. doi:</w:t>
      </w:r>
      <w:r w:rsidR="005C1AD7">
        <w:t> </w:t>
      </w:r>
      <w:hyperlink r:id="rId19" w:history="1">
        <w:r w:rsidRPr="00034B9E">
          <w:rPr>
            <w:rStyle w:val="Hyperlink"/>
          </w:rPr>
          <w:t>https://doi.org/10.2105/ajph.42.12.1519</w:t>
        </w:r>
      </w:hyperlink>
      <w:r w:rsidRPr="00034B9E">
        <w:t>.</w:t>
      </w:r>
    </w:p>
    <w:p w14:paraId="40A4CF1B" w14:textId="681FB2B0" w:rsidR="00034B9E" w:rsidRPr="00034B9E" w:rsidRDefault="00034B9E" w:rsidP="00034B9E">
      <w:pPr>
        <w:pStyle w:val="CDINumberedList1-L1"/>
        <w:divId w:val="935526654"/>
      </w:pPr>
      <w:r w:rsidRPr="00034B9E">
        <w:t xml:space="preserve">Braddick M, O’Brien HM, Lim CK, Feldman R, Bunter C, Neville P et al. An integrated public health response to an outbreak of Murray Valley encephalitis virus infection during the 2022–2023 mosquito season in Victoria. </w:t>
      </w:r>
      <w:r w:rsidRPr="00034B9E">
        <w:rPr>
          <w:i/>
          <w:iCs/>
        </w:rPr>
        <w:t>Front Public Health</w:t>
      </w:r>
      <w:r w:rsidRPr="00034B9E">
        <w:t xml:space="preserve">. </w:t>
      </w:r>
      <w:proofErr w:type="gramStart"/>
      <w:r w:rsidRPr="00034B9E">
        <w:t>2023;11:1256149</w:t>
      </w:r>
      <w:proofErr w:type="gramEnd"/>
      <w:r w:rsidRPr="00034B9E">
        <w:t>. doi:</w:t>
      </w:r>
      <w:r w:rsidR="005C1AD7">
        <w:t> </w:t>
      </w:r>
      <w:hyperlink r:id="rId20" w:history="1">
        <w:r w:rsidRPr="00034B9E">
          <w:rPr>
            <w:rStyle w:val="Hyperlink"/>
          </w:rPr>
          <w:t>https://doi.org/10.3389/fpubh.2023.1256149</w:t>
        </w:r>
      </w:hyperlink>
      <w:r w:rsidRPr="00034B9E">
        <w:t>.</w:t>
      </w:r>
    </w:p>
    <w:p w14:paraId="0DAA0851" w14:textId="42B0FDFF" w:rsidR="00034B9E" w:rsidRPr="00034B9E" w:rsidRDefault="00034B9E" w:rsidP="00034B9E">
      <w:pPr>
        <w:pStyle w:val="CDINumberedList1-L1"/>
        <w:divId w:val="935526654"/>
      </w:pPr>
      <w:r w:rsidRPr="00034B9E">
        <w:t xml:space="preserve">Knox J, Cowan RU, Doyle JS, Ligtermoet MK, Archer JS, Burrow JNC et al. Murray Valley encephalitis: a review of clinical features, diagnosis and treatment. </w:t>
      </w:r>
      <w:r w:rsidRPr="00034B9E">
        <w:rPr>
          <w:i/>
          <w:iCs/>
        </w:rPr>
        <w:t>Med J Aust</w:t>
      </w:r>
      <w:r w:rsidRPr="00034B9E">
        <w:t>. 2012;196(5):322–6. doi:</w:t>
      </w:r>
      <w:r w:rsidR="005C1AD7">
        <w:t> </w:t>
      </w:r>
      <w:hyperlink r:id="rId21" w:history="1">
        <w:r w:rsidRPr="00034B9E">
          <w:rPr>
            <w:rStyle w:val="Hyperlink"/>
          </w:rPr>
          <w:t>https://doi.org/10.5694/mja11.11026</w:t>
        </w:r>
      </w:hyperlink>
      <w:r w:rsidRPr="00034B9E">
        <w:t>.</w:t>
      </w:r>
    </w:p>
    <w:p w14:paraId="4F0DC62B" w14:textId="77777777" w:rsidR="00034B9E" w:rsidRPr="00034B9E" w:rsidRDefault="00034B9E" w:rsidP="00034B9E">
      <w:pPr>
        <w:pStyle w:val="CDINumberedList1-L1"/>
        <w:divId w:val="935526654"/>
      </w:pPr>
      <w:r w:rsidRPr="00034B9E">
        <w:t xml:space="preserve">Broom AK, Lindsay MDA, Wright AE, Smith DW, Mackenzie JS. Epizootic activity of Murray Valley encephalitis and Kunjin viruses in an Aboriginal community in the southeast Kimberley region of Western Australia: results of mosquito fauna and virus isolation studies. </w:t>
      </w:r>
      <w:r w:rsidRPr="00034B9E">
        <w:rPr>
          <w:i/>
          <w:iCs/>
        </w:rPr>
        <w:t xml:space="preserve">Am J Trop Med </w:t>
      </w:r>
      <w:proofErr w:type="spellStart"/>
      <w:r w:rsidRPr="00034B9E">
        <w:rPr>
          <w:i/>
          <w:iCs/>
        </w:rPr>
        <w:t>Hyg</w:t>
      </w:r>
      <w:proofErr w:type="spellEnd"/>
      <w:r w:rsidRPr="00034B9E">
        <w:t xml:space="preserve">. 2003;69(3):277–83. doi: </w:t>
      </w:r>
      <w:hyperlink r:id="rId22" w:history="1">
        <w:r w:rsidRPr="00034B9E">
          <w:rPr>
            <w:rStyle w:val="Hyperlink"/>
          </w:rPr>
          <w:t>https://doi.org/10.4269/ajtmh.2003.69.277</w:t>
        </w:r>
      </w:hyperlink>
      <w:r w:rsidRPr="00034B9E">
        <w:t>.</w:t>
      </w:r>
    </w:p>
    <w:p w14:paraId="5E78490B" w14:textId="1B0CF6A2" w:rsidR="00034B9E" w:rsidRPr="00034B9E" w:rsidRDefault="00034B9E" w:rsidP="00034B9E">
      <w:pPr>
        <w:pStyle w:val="CDINumberedList1-L1"/>
        <w:divId w:val="935526654"/>
      </w:pPr>
      <w:r w:rsidRPr="00034B9E">
        <w:t xml:space="preserve">Hollidge BS, González-Scarano F, Soldan SS. Arboviral </w:t>
      </w:r>
      <w:proofErr w:type="spellStart"/>
      <w:r w:rsidRPr="00034B9E">
        <w:t>encephalitides</w:t>
      </w:r>
      <w:proofErr w:type="spellEnd"/>
      <w:r w:rsidRPr="00034B9E">
        <w:t xml:space="preserve">: transmission, emergence, and pathogenesis. </w:t>
      </w:r>
      <w:r w:rsidRPr="00034B9E">
        <w:rPr>
          <w:i/>
          <w:iCs/>
        </w:rPr>
        <w:t xml:space="preserve">J Neuroimmune </w:t>
      </w:r>
      <w:proofErr w:type="spellStart"/>
      <w:r w:rsidRPr="00034B9E">
        <w:rPr>
          <w:i/>
          <w:iCs/>
        </w:rPr>
        <w:t>Pharmacol</w:t>
      </w:r>
      <w:proofErr w:type="spellEnd"/>
      <w:r w:rsidRPr="00034B9E">
        <w:t xml:space="preserve">. 2010;5(3):428–42. </w:t>
      </w:r>
      <w:r w:rsidR="005C1AD7">
        <w:br/>
      </w:r>
      <w:r w:rsidRPr="00034B9E">
        <w:t xml:space="preserve">doi: </w:t>
      </w:r>
      <w:hyperlink r:id="rId23" w:history="1">
        <w:r w:rsidRPr="00034B9E">
          <w:rPr>
            <w:rStyle w:val="Hyperlink"/>
          </w:rPr>
          <w:t>https://doi.org/10.1007/s11481-010-9234-7</w:t>
        </w:r>
      </w:hyperlink>
      <w:r w:rsidRPr="00034B9E">
        <w:t>.</w:t>
      </w:r>
    </w:p>
    <w:p w14:paraId="47971AA4" w14:textId="77777777" w:rsidR="00034B9E" w:rsidRPr="00034B9E" w:rsidRDefault="00034B9E" w:rsidP="00034B9E">
      <w:pPr>
        <w:pStyle w:val="CDINumberedList1-L1"/>
        <w:divId w:val="935526654"/>
      </w:pPr>
      <w:r w:rsidRPr="00034B9E">
        <w:t xml:space="preserve">Mackenzie JS, Smith DW, Broom AK, </w:t>
      </w:r>
      <w:proofErr w:type="spellStart"/>
      <w:r w:rsidRPr="00034B9E">
        <w:t>Bucens</w:t>
      </w:r>
      <w:proofErr w:type="spellEnd"/>
      <w:r w:rsidRPr="00034B9E">
        <w:t xml:space="preserve"> MR. Australian encephalitis in Western Australia, 1978–1991. </w:t>
      </w:r>
      <w:r w:rsidRPr="00034B9E">
        <w:rPr>
          <w:i/>
          <w:iCs/>
        </w:rPr>
        <w:t>Med J Aust</w:t>
      </w:r>
      <w:r w:rsidRPr="00034B9E">
        <w:t xml:space="preserve">. 1993;158(9):591–5. doi: </w:t>
      </w:r>
      <w:hyperlink r:id="rId24" w:history="1">
        <w:r w:rsidRPr="00034B9E">
          <w:rPr>
            <w:rStyle w:val="Hyperlink"/>
          </w:rPr>
          <w:t>https://doi.org/10.5694/j.1326-5377.1993.tb137623.x</w:t>
        </w:r>
      </w:hyperlink>
      <w:r w:rsidRPr="00034B9E">
        <w:t>.</w:t>
      </w:r>
    </w:p>
    <w:p w14:paraId="0AE5D1C9" w14:textId="77777777" w:rsidR="00034B9E" w:rsidRPr="00034B9E" w:rsidRDefault="00034B9E" w:rsidP="00034B9E">
      <w:pPr>
        <w:pStyle w:val="CDINumberedList1-L1"/>
        <w:divId w:val="935526654"/>
      </w:pPr>
      <w:r w:rsidRPr="00034B9E">
        <w:t xml:space="preserve">Selvey LA, Dailey L, Lindsay M, Armstrong P, Tobin S, Koehler AP et al. The changing epidemiology of Murray Valley encephalitis in Australia: the 2011 outbreak and a review of the literature. </w:t>
      </w:r>
      <w:r w:rsidRPr="00034B9E">
        <w:rPr>
          <w:i/>
          <w:iCs/>
        </w:rPr>
        <w:t>PLoS Negl Trop Dis</w:t>
      </w:r>
      <w:r w:rsidRPr="00034B9E">
        <w:t>. 2014;8(1</w:t>
      </w:r>
      <w:proofErr w:type="gramStart"/>
      <w:r w:rsidRPr="00034B9E">
        <w:t>):e</w:t>
      </w:r>
      <w:proofErr w:type="gramEnd"/>
      <w:r w:rsidRPr="00034B9E">
        <w:t xml:space="preserve">2656. doi: </w:t>
      </w:r>
      <w:hyperlink r:id="rId25" w:history="1">
        <w:r w:rsidRPr="00034B9E">
          <w:rPr>
            <w:rStyle w:val="Hyperlink"/>
          </w:rPr>
          <w:t>https://doi.org/10.1371/journal.pntd.0002656</w:t>
        </w:r>
      </w:hyperlink>
      <w:r w:rsidRPr="00034B9E">
        <w:t>.</w:t>
      </w:r>
    </w:p>
    <w:p w14:paraId="2DADB515" w14:textId="4CC5C7D1" w:rsidR="00034B9E" w:rsidRPr="00034B9E" w:rsidRDefault="00034B9E" w:rsidP="00034B9E">
      <w:pPr>
        <w:pStyle w:val="CDINumberedList1-L1"/>
        <w:divId w:val="935526654"/>
      </w:pPr>
      <w:r w:rsidRPr="00034B9E">
        <w:t xml:space="preserve">Roche SE, Wicks R, Garner MG, East IJ, Paskin R, Moloney BJ et al. Descriptive overview of the 2011 epidemic of arboviral disease in horses in Australia. </w:t>
      </w:r>
      <w:proofErr w:type="spellStart"/>
      <w:r w:rsidRPr="00034B9E">
        <w:rPr>
          <w:i/>
          <w:iCs/>
        </w:rPr>
        <w:t>Aust</w:t>
      </w:r>
      <w:proofErr w:type="spellEnd"/>
      <w:r w:rsidRPr="00034B9E">
        <w:rPr>
          <w:i/>
          <w:iCs/>
        </w:rPr>
        <w:t xml:space="preserve"> Vet J</w:t>
      </w:r>
      <w:r w:rsidRPr="00034B9E">
        <w:t>. 2013;91(1–2):5–13. doi:</w:t>
      </w:r>
      <w:r w:rsidR="005C1AD7">
        <w:t> </w:t>
      </w:r>
      <w:hyperlink r:id="rId26" w:history="1">
        <w:r w:rsidRPr="00034B9E">
          <w:rPr>
            <w:rStyle w:val="Hyperlink"/>
          </w:rPr>
          <w:t>https://doi.org/10.1111/avj.12018</w:t>
        </w:r>
      </w:hyperlink>
      <w:r w:rsidRPr="00034B9E">
        <w:t>.</w:t>
      </w:r>
    </w:p>
    <w:p w14:paraId="7C08AEC8" w14:textId="4EAC1947" w:rsidR="00034B9E" w:rsidRPr="00034B9E" w:rsidRDefault="00034B9E" w:rsidP="00034B9E">
      <w:pPr>
        <w:pStyle w:val="CDINumberedList1-L1"/>
        <w:divId w:val="935526654"/>
      </w:pPr>
      <w:r w:rsidRPr="00034B9E">
        <w:t xml:space="preserve">Marsland MJ, Thomson TN, O’Brien HM, Peach E, Bellette J, Humphreys N et al. Serosurvey for Japanese encephalitis virus antibodies following an outbreak in an immunologically naive population, Victoria, 2022: a cross-sectional study. </w:t>
      </w:r>
      <w:r w:rsidRPr="00034B9E">
        <w:rPr>
          <w:i/>
          <w:iCs/>
        </w:rPr>
        <w:t>Med J Aust</w:t>
      </w:r>
      <w:r w:rsidRPr="00034B9E">
        <w:t>. 2024;220(11):566–72. doi:</w:t>
      </w:r>
      <w:r w:rsidR="005C1AD7">
        <w:t> </w:t>
      </w:r>
      <w:hyperlink r:id="rId27" w:history="1">
        <w:r w:rsidRPr="00034B9E">
          <w:rPr>
            <w:rStyle w:val="Hyperlink"/>
          </w:rPr>
          <w:t>https://doi.org/10.5694/mja2.52344</w:t>
        </w:r>
      </w:hyperlink>
      <w:r w:rsidRPr="00034B9E">
        <w:t>.</w:t>
      </w:r>
    </w:p>
    <w:p w14:paraId="74262BC9" w14:textId="3B529481" w:rsidR="00034B9E" w:rsidRPr="00034B9E" w:rsidRDefault="00034B9E" w:rsidP="00034B9E">
      <w:pPr>
        <w:pStyle w:val="CDINumberedList1-L1"/>
        <w:divId w:val="935526654"/>
      </w:pPr>
      <w:r w:rsidRPr="00034B9E">
        <w:t xml:space="preserve">von Elm E, Altman DG, Egger M, Pocock SJ, Gøtzsche PC, Vandenbroucke JP. The Strengthening the Reporting of Observational Studies in Epidemiology (STROBE) statement: guidelines for reporting observational studies. </w:t>
      </w:r>
      <w:r w:rsidRPr="00034B9E">
        <w:rPr>
          <w:i/>
          <w:iCs/>
        </w:rPr>
        <w:t>Lancet</w:t>
      </w:r>
      <w:r w:rsidRPr="00034B9E">
        <w:t xml:space="preserve">. 2007;370(9596):1453–7. </w:t>
      </w:r>
      <w:r w:rsidR="005C1AD7">
        <w:br/>
      </w:r>
      <w:r w:rsidRPr="00034B9E">
        <w:t xml:space="preserve">doi: </w:t>
      </w:r>
      <w:hyperlink r:id="rId28" w:history="1">
        <w:r w:rsidRPr="00034B9E">
          <w:rPr>
            <w:rStyle w:val="Hyperlink"/>
          </w:rPr>
          <w:t>https://doi.org/10.1016/S0140-6736(07)61602-X</w:t>
        </w:r>
      </w:hyperlink>
      <w:r w:rsidRPr="00034B9E">
        <w:t>.</w:t>
      </w:r>
    </w:p>
    <w:p w14:paraId="776AA50B" w14:textId="77777777" w:rsidR="00034B9E" w:rsidRPr="00034B9E" w:rsidRDefault="00034B9E" w:rsidP="00034B9E">
      <w:pPr>
        <w:pStyle w:val="CDINumberedList1-L1"/>
        <w:divId w:val="935526654"/>
      </w:pPr>
      <w:r w:rsidRPr="00034B9E">
        <w:t xml:space="preserve">R Core Team. R: A Language and Environment for Statistical Computing. [Application.] Vienna: R Foundation for Statistical Computing; 2021. Available from: </w:t>
      </w:r>
      <w:hyperlink r:id="rId29" w:history="1">
        <w:r w:rsidRPr="00034B9E">
          <w:rPr>
            <w:rStyle w:val="Hyperlink"/>
          </w:rPr>
          <w:t>https://www.R-project.org/</w:t>
        </w:r>
      </w:hyperlink>
      <w:r w:rsidRPr="00034B9E">
        <w:t>.</w:t>
      </w:r>
    </w:p>
    <w:p w14:paraId="514A8DE8" w14:textId="35A99F56" w:rsidR="00034B9E" w:rsidRPr="00034B9E" w:rsidRDefault="00034B9E" w:rsidP="00034B9E">
      <w:pPr>
        <w:pStyle w:val="CDINumberedList1-L1"/>
        <w:divId w:val="935526654"/>
      </w:pPr>
      <w:proofErr w:type="spellStart"/>
      <w:r w:rsidRPr="00034B9E">
        <w:lastRenderedPageBreak/>
        <w:t>Floridis</w:t>
      </w:r>
      <w:proofErr w:type="spellEnd"/>
      <w:r w:rsidRPr="00034B9E">
        <w:t xml:space="preserve"> J, McGuinness SL, Kurucz N, Burrow JN, Baird R, Francis JR. Murray Valley encephalitis virus: an ongoing cause of encephalitis in Australia’s north. </w:t>
      </w:r>
      <w:r w:rsidRPr="00034B9E">
        <w:rPr>
          <w:i/>
          <w:iCs/>
        </w:rPr>
        <w:t>Trop Med Infect Dis</w:t>
      </w:r>
      <w:r w:rsidRPr="00034B9E">
        <w:t>. 2018;3(2):49. doi:</w:t>
      </w:r>
      <w:r w:rsidR="005C1AD7">
        <w:t> </w:t>
      </w:r>
      <w:hyperlink r:id="rId30" w:history="1">
        <w:r w:rsidRPr="00034B9E">
          <w:rPr>
            <w:rStyle w:val="Hyperlink"/>
          </w:rPr>
          <w:t>https://doi.org/10.3390/tropicalmed3020049</w:t>
        </w:r>
      </w:hyperlink>
      <w:r w:rsidRPr="00034B9E">
        <w:t>.</w:t>
      </w:r>
    </w:p>
    <w:p w14:paraId="3432E150" w14:textId="77777777" w:rsidR="00034B9E" w:rsidRPr="00034B9E" w:rsidRDefault="00034B9E" w:rsidP="00034B9E">
      <w:pPr>
        <w:pStyle w:val="CDINumberedList1-L1"/>
        <w:divId w:val="935526654"/>
      </w:pPr>
      <w:r w:rsidRPr="00034B9E">
        <w:t xml:space="preserve">Williams SA, Richards JS, Faddy HM, Leydon J, Moran R, Nicholson S et al. Low seroprevalence of Murray Valley encephalitis and Kunjin viruses in an opportunistic serosurvey, Victoria 2011. </w:t>
      </w:r>
      <w:proofErr w:type="spellStart"/>
      <w:r w:rsidRPr="00034B9E">
        <w:rPr>
          <w:i/>
          <w:iCs/>
        </w:rPr>
        <w:t>Aust</w:t>
      </w:r>
      <w:proofErr w:type="spellEnd"/>
      <w:r w:rsidRPr="00034B9E">
        <w:rPr>
          <w:i/>
          <w:iCs/>
        </w:rPr>
        <w:t xml:space="preserve"> N Z J Public Health</w:t>
      </w:r>
      <w:r w:rsidRPr="00034B9E">
        <w:t xml:space="preserve">. 2013;37(5):427–33. doi: </w:t>
      </w:r>
      <w:hyperlink r:id="rId31" w:history="1">
        <w:r w:rsidRPr="00034B9E">
          <w:rPr>
            <w:rStyle w:val="Hyperlink"/>
          </w:rPr>
          <w:t>https://doi.org/10.1111/1753-6405.12113</w:t>
        </w:r>
      </w:hyperlink>
      <w:r w:rsidRPr="00034B9E">
        <w:t>.</w:t>
      </w:r>
    </w:p>
    <w:p w14:paraId="1EFA8059" w14:textId="42B23B2E" w:rsidR="00034B9E" w:rsidRPr="00034B9E" w:rsidRDefault="00034B9E" w:rsidP="00034B9E">
      <w:pPr>
        <w:pStyle w:val="CDINumberedList1-L1"/>
        <w:divId w:val="935526654"/>
      </w:pPr>
      <w:r w:rsidRPr="00034B9E">
        <w:t xml:space="preserve">Doyle JS, Nicholson S, Leydon JA, Moran RJ, Catton MG. Opportunistic serological surveillance for Murray Valley encephalitis virus in Victoria, February–May 2011. </w:t>
      </w:r>
      <w:r w:rsidRPr="00034B9E">
        <w:rPr>
          <w:i/>
          <w:iCs/>
        </w:rPr>
        <w:t>Med J Aust</w:t>
      </w:r>
      <w:r w:rsidRPr="00034B9E">
        <w:t>. 2012;197(3):150. doi:</w:t>
      </w:r>
      <w:r w:rsidR="005C1AD7">
        <w:t> </w:t>
      </w:r>
      <w:hyperlink r:id="rId32" w:history="1">
        <w:r w:rsidRPr="00034B9E">
          <w:rPr>
            <w:rStyle w:val="Hyperlink"/>
          </w:rPr>
          <w:t>https://doi.org/10.5694/mja12.10221</w:t>
        </w:r>
      </w:hyperlink>
      <w:r w:rsidRPr="00034B9E">
        <w:t>.</w:t>
      </w:r>
    </w:p>
    <w:p w14:paraId="0B1A9859" w14:textId="77777777" w:rsidR="00034B9E" w:rsidRPr="00034B9E" w:rsidRDefault="00034B9E" w:rsidP="00034B9E">
      <w:pPr>
        <w:pStyle w:val="CDINumberedList1-L1"/>
        <w:divId w:val="935526654"/>
      </w:pPr>
      <w:proofErr w:type="spellStart"/>
      <w:r w:rsidRPr="00034B9E">
        <w:t>Mostashari</w:t>
      </w:r>
      <w:proofErr w:type="spellEnd"/>
      <w:r w:rsidRPr="00034B9E">
        <w:t xml:space="preserve"> F, Bunning ML, </w:t>
      </w:r>
      <w:proofErr w:type="spellStart"/>
      <w:r w:rsidRPr="00034B9E">
        <w:t>Kitsutani</w:t>
      </w:r>
      <w:proofErr w:type="spellEnd"/>
      <w:r w:rsidRPr="00034B9E">
        <w:t xml:space="preserve"> PT, Singer DA, Nash D, Cooper MJ et al. Epidemic West Nile encephalitis, New York, 1999: results of a household-based </w:t>
      </w:r>
      <w:proofErr w:type="spellStart"/>
      <w:r w:rsidRPr="00034B9E">
        <w:t>seroepidemiological</w:t>
      </w:r>
      <w:proofErr w:type="spellEnd"/>
      <w:r w:rsidRPr="00034B9E">
        <w:t xml:space="preserve"> survey. </w:t>
      </w:r>
      <w:r w:rsidRPr="00034B9E">
        <w:rPr>
          <w:i/>
          <w:iCs/>
        </w:rPr>
        <w:t>Lancet</w:t>
      </w:r>
      <w:r w:rsidRPr="00034B9E">
        <w:t xml:space="preserve">. 2001;358(9278):261–4. doi: </w:t>
      </w:r>
      <w:hyperlink r:id="rId33" w:history="1">
        <w:r w:rsidRPr="00034B9E">
          <w:rPr>
            <w:rStyle w:val="Hyperlink"/>
          </w:rPr>
          <w:t>https://doi.org/10.1016/S0140-6736(01)05480-0</w:t>
        </w:r>
      </w:hyperlink>
      <w:r w:rsidRPr="00034B9E">
        <w:t>.</w:t>
      </w:r>
    </w:p>
    <w:p w14:paraId="165342C9" w14:textId="77777777" w:rsidR="00034B9E" w:rsidRPr="00034B9E" w:rsidRDefault="00034B9E" w:rsidP="00034B9E">
      <w:pPr>
        <w:pStyle w:val="CDINumberedList1-L1"/>
        <w:divId w:val="935526654"/>
      </w:pPr>
      <w:proofErr w:type="spellStart"/>
      <w:r w:rsidRPr="00034B9E">
        <w:t>Hadjichristodoulou</w:t>
      </w:r>
      <w:proofErr w:type="spellEnd"/>
      <w:r w:rsidRPr="00034B9E">
        <w:t xml:space="preserve"> C, Pournaras S, </w:t>
      </w:r>
      <w:proofErr w:type="spellStart"/>
      <w:r w:rsidRPr="00034B9E">
        <w:t>Mavrouli</w:t>
      </w:r>
      <w:proofErr w:type="spellEnd"/>
      <w:r w:rsidRPr="00034B9E">
        <w:t xml:space="preserve"> M, Marka A, </w:t>
      </w:r>
      <w:proofErr w:type="spellStart"/>
      <w:r w:rsidRPr="00034B9E">
        <w:t>Tserkezou</w:t>
      </w:r>
      <w:proofErr w:type="spellEnd"/>
      <w:r w:rsidRPr="00034B9E">
        <w:t xml:space="preserve"> P, Baka A et al. West Nile virus seroprevalence in the Greek population in 2013: a nationwide cross-sectional survey. </w:t>
      </w:r>
      <w:r w:rsidRPr="00034B9E">
        <w:rPr>
          <w:i/>
          <w:iCs/>
        </w:rPr>
        <w:t>PLoS One</w:t>
      </w:r>
      <w:r w:rsidRPr="00034B9E">
        <w:t>. 2015;10(11</w:t>
      </w:r>
      <w:proofErr w:type="gramStart"/>
      <w:r w:rsidRPr="00034B9E">
        <w:t>):e</w:t>
      </w:r>
      <w:proofErr w:type="gramEnd"/>
      <w:r w:rsidRPr="00034B9E">
        <w:t xml:space="preserve">0143803. doi: </w:t>
      </w:r>
      <w:hyperlink r:id="rId34" w:history="1">
        <w:r w:rsidRPr="00034B9E">
          <w:rPr>
            <w:rStyle w:val="Hyperlink"/>
          </w:rPr>
          <w:t>https://doi.org/10.1371/journal.pone.0143803</w:t>
        </w:r>
      </w:hyperlink>
      <w:r w:rsidRPr="00034B9E">
        <w:t>.</w:t>
      </w:r>
    </w:p>
    <w:p w14:paraId="1335D231" w14:textId="4A9535A4" w:rsidR="00034B9E" w:rsidRPr="00034B9E" w:rsidRDefault="00034B9E" w:rsidP="00034B9E">
      <w:pPr>
        <w:pStyle w:val="CDINumberedList1-L1"/>
        <w:divId w:val="935526654"/>
      </w:pPr>
      <w:proofErr w:type="spellStart"/>
      <w:r w:rsidRPr="00034B9E">
        <w:t>Pervanidou</w:t>
      </w:r>
      <w:proofErr w:type="spellEnd"/>
      <w:r w:rsidRPr="00034B9E">
        <w:t xml:space="preserve"> D, </w:t>
      </w:r>
      <w:proofErr w:type="spellStart"/>
      <w:r w:rsidRPr="00034B9E">
        <w:t>Vakali</w:t>
      </w:r>
      <w:proofErr w:type="spellEnd"/>
      <w:r w:rsidRPr="00034B9E">
        <w:t xml:space="preserve"> A, Georgakopoulou T, Panagiotopoulos T, </w:t>
      </w:r>
      <w:proofErr w:type="spellStart"/>
      <w:r w:rsidRPr="00034B9E">
        <w:t>Patsoula</w:t>
      </w:r>
      <w:proofErr w:type="spellEnd"/>
      <w:r w:rsidRPr="00034B9E">
        <w:t xml:space="preserve"> E, Koliopoulos G et al. West Nile virus in humans, Greece, 2018: the largest seasonal number of cases, 9 years after its emergence in the country. </w:t>
      </w:r>
      <w:r w:rsidRPr="00034B9E">
        <w:rPr>
          <w:i/>
          <w:iCs/>
        </w:rPr>
        <w:t xml:space="preserve">Euro </w:t>
      </w:r>
      <w:proofErr w:type="spellStart"/>
      <w:r w:rsidRPr="00034B9E">
        <w:rPr>
          <w:i/>
          <w:iCs/>
        </w:rPr>
        <w:t>Surveill</w:t>
      </w:r>
      <w:proofErr w:type="spellEnd"/>
      <w:r w:rsidRPr="00034B9E">
        <w:t xml:space="preserve">. 2020;25(32):1900543. </w:t>
      </w:r>
      <w:r w:rsidR="005C1AD7">
        <w:br/>
      </w:r>
      <w:r w:rsidRPr="00034B9E">
        <w:t xml:space="preserve">doi: </w:t>
      </w:r>
      <w:hyperlink r:id="rId35" w:history="1">
        <w:r w:rsidRPr="00034B9E">
          <w:rPr>
            <w:rStyle w:val="Hyperlink"/>
          </w:rPr>
          <w:t>https://doi.org/10.2807/1560-7917.ES.2020.25.32.1900543</w:t>
        </w:r>
      </w:hyperlink>
      <w:r w:rsidRPr="00034B9E">
        <w:t>.</w:t>
      </w:r>
    </w:p>
    <w:p w14:paraId="12CD6BFC" w14:textId="77777777" w:rsidR="00034B9E" w:rsidRPr="00034B9E" w:rsidRDefault="00034B9E" w:rsidP="00034B9E">
      <w:pPr>
        <w:pStyle w:val="CDINumberedList1-L1"/>
        <w:divId w:val="935526654"/>
      </w:pPr>
      <w:r w:rsidRPr="00034B9E">
        <w:t xml:space="preserve">United States Centers for Disease Control and Prevention (US CDC). Data and maps for West Nile. [Webpage.] Atlanta: United States Government Department of Health and Human Services, CDC; 2024. Available from: </w:t>
      </w:r>
      <w:hyperlink r:id="rId36" w:history="1">
        <w:r w:rsidRPr="00034B9E">
          <w:rPr>
            <w:rStyle w:val="Hyperlink"/>
          </w:rPr>
          <w:t>https://www.cdc.gov/west-nile-virus/data-maps/?CDC_AAref_Val=https://www.cdc.gov/westnile/statsmaps/data-and-maps.html</w:t>
        </w:r>
      </w:hyperlink>
      <w:r w:rsidRPr="00034B9E">
        <w:t>.</w:t>
      </w:r>
    </w:p>
    <w:p w14:paraId="6DB44F47" w14:textId="77777777" w:rsidR="00034B9E" w:rsidRPr="00034B9E" w:rsidRDefault="00034B9E" w:rsidP="00034B9E">
      <w:pPr>
        <w:pStyle w:val="CDINumberedList1-L1"/>
        <w:divId w:val="935526654"/>
      </w:pPr>
      <w:proofErr w:type="spellStart"/>
      <w:r w:rsidRPr="00034B9E">
        <w:t>Maeki</w:t>
      </w:r>
      <w:proofErr w:type="spellEnd"/>
      <w:r w:rsidRPr="00034B9E">
        <w:t xml:space="preserve"> T, Tajima S, Ando N, </w:t>
      </w:r>
      <w:proofErr w:type="spellStart"/>
      <w:r w:rsidRPr="00034B9E">
        <w:t>Wakimoto</w:t>
      </w:r>
      <w:proofErr w:type="spellEnd"/>
      <w:r w:rsidRPr="00034B9E">
        <w:t xml:space="preserve"> Y, Hayakawa K, Kutsuna S et al. Analysis of cross-reactivity among flaviviruses using sera of patients with dengue showed the importance of neutralization tests with paired serum samples for the correct interpretations of serological test results for dengue. </w:t>
      </w:r>
      <w:r w:rsidRPr="00034B9E">
        <w:rPr>
          <w:i/>
          <w:iCs/>
        </w:rPr>
        <w:t xml:space="preserve">J Infect </w:t>
      </w:r>
      <w:proofErr w:type="spellStart"/>
      <w:r w:rsidRPr="00034B9E">
        <w:rPr>
          <w:i/>
          <w:iCs/>
        </w:rPr>
        <w:t>Chemother</w:t>
      </w:r>
      <w:proofErr w:type="spellEnd"/>
      <w:r w:rsidRPr="00034B9E">
        <w:t xml:space="preserve">. 2023;29(5):469–74. doi: </w:t>
      </w:r>
      <w:hyperlink r:id="rId37" w:history="1">
        <w:r w:rsidRPr="00034B9E">
          <w:rPr>
            <w:rStyle w:val="Hyperlink"/>
          </w:rPr>
          <w:t>https://doi.org/10.1016/j.jiac.2023.01.015</w:t>
        </w:r>
      </w:hyperlink>
      <w:r w:rsidRPr="00034B9E">
        <w:t>.</w:t>
      </w:r>
    </w:p>
    <w:p w14:paraId="3952417E" w14:textId="4A7E15C6" w:rsidR="00034B9E" w:rsidRPr="00034B9E" w:rsidRDefault="00034B9E" w:rsidP="00034B9E">
      <w:pPr>
        <w:pStyle w:val="CDINumberedList1-L1"/>
        <w:divId w:val="935526654"/>
      </w:pPr>
      <w:r w:rsidRPr="00034B9E">
        <w:t xml:space="preserve">Rathore APS, St John AL. Cross-reactive immunity among flaviviruses. </w:t>
      </w:r>
      <w:r w:rsidRPr="00034B9E">
        <w:rPr>
          <w:i/>
          <w:iCs/>
        </w:rPr>
        <w:t>Front Immunol</w:t>
      </w:r>
      <w:r w:rsidRPr="00034B9E">
        <w:t xml:space="preserve">. </w:t>
      </w:r>
      <w:proofErr w:type="gramStart"/>
      <w:r w:rsidRPr="00034B9E">
        <w:t>2020;11:334</w:t>
      </w:r>
      <w:proofErr w:type="gramEnd"/>
      <w:r w:rsidRPr="00034B9E">
        <w:t>. doi:</w:t>
      </w:r>
      <w:r w:rsidR="005C1AD7">
        <w:t> </w:t>
      </w:r>
      <w:hyperlink r:id="rId38" w:history="1">
        <w:r w:rsidRPr="00034B9E">
          <w:rPr>
            <w:rStyle w:val="Hyperlink"/>
          </w:rPr>
          <w:t>https://doi.org/10.3389/fimmu.2020.00334</w:t>
        </w:r>
      </w:hyperlink>
      <w:r w:rsidRPr="00034B9E">
        <w:t>.</w:t>
      </w:r>
    </w:p>
    <w:p w14:paraId="23A74B6D" w14:textId="77777777" w:rsidR="00034B9E" w:rsidRPr="00034B9E" w:rsidRDefault="00034B9E" w:rsidP="00034B9E">
      <w:pPr>
        <w:pStyle w:val="CDINumberedList1-L1"/>
        <w:divId w:val="935526654"/>
      </w:pPr>
      <w:r w:rsidRPr="00034B9E">
        <w:t xml:space="preserve">Gomes da Silva P, Seixas dos Reis JA, Nogueira Rodrigues M, da Silva Ardaya Q, Mesquita JR. Serological cross-reactivity in zoonotic </w:t>
      </w:r>
      <w:proofErr w:type="spellStart"/>
      <w:r w:rsidRPr="00034B9E">
        <w:t>flaviviral</w:t>
      </w:r>
      <w:proofErr w:type="spellEnd"/>
      <w:r w:rsidRPr="00034B9E">
        <w:t xml:space="preserve"> infections of medical importance. </w:t>
      </w:r>
      <w:r w:rsidRPr="00034B9E">
        <w:rPr>
          <w:i/>
          <w:iCs/>
        </w:rPr>
        <w:t>Antibodies (Basel)</w:t>
      </w:r>
      <w:r w:rsidRPr="00034B9E">
        <w:t xml:space="preserve">. 2023;12(1):18. doi: </w:t>
      </w:r>
      <w:hyperlink r:id="rId39" w:history="1">
        <w:r w:rsidRPr="00034B9E">
          <w:rPr>
            <w:rStyle w:val="Hyperlink"/>
          </w:rPr>
          <w:t>https://doi.org/10.3390/antib12010018</w:t>
        </w:r>
      </w:hyperlink>
      <w:r w:rsidRPr="00034B9E">
        <w:t>.</w:t>
      </w:r>
    </w:p>
    <w:p w14:paraId="64056777" w14:textId="77777777" w:rsidR="00034B9E" w:rsidRPr="00034B9E" w:rsidRDefault="00034B9E" w:rsidP="00034B9E">
      <w:pPr>
        <w:pStyle w:val="CDINumberedList1-L1"/>
        <w:divId w:val="935526654"/>
      </w:pPr>
      <w:r w:rsidRPr="00034B9E">
        <w:t xml:space="preserve">Howard-Jones AR, Mahar JE, </w:t>
      </w:r>
      <w:proofErr w:type="spellStart"/>
      <w:r w:rsidRPr="00034B9E">
        <w:t>Proudmore</w:t>
      </w:r>
      <w:proofErr w:type="spellEnd"/>
      <w:r w:rsidRPr="00034B9E">
        <w:t xml:space="preserve"> K, Butel-Simoes G, Eden JS, Neave MJ et al. Diagnostic and phylogenetic perspectives of the 2023 Murray Valley encephalitis virus outbreak in Australia. [Preprint.] </w:t>
      </w:r>
      <w:r w:rsidRPr="00034B9E">
        <w:rPr>
          <w:i/>
          <w:iCs/>
        </w:rPr>
        <w:t>Lancet Microbe</w:t>
      </w:r>
      <w:r w:rsidRPr="00034B9E">
        <w:t xml:space="preserve">. Amsterdam: Elsevier, SSRN; 6 February 2024. Available from: </w:t>
      </w:r>
      <w:hyperlink r:id="rId40" w:history="1">
        <w:r w:rsidRPr="00034B9E">
          <w:rPr>
            <w:rStyle w:val="Hyperlink"/>
          </w:rPr>
          <w:t>https://doi.org/10.2139/ssrn.4714415</w:t>
        </w:r>
      </w:hyperlink>
      <w:r w:rsidRPr="00034B9E">
        <w:t xml:space="preserve">. </w:t>
      </w:r>
    </w:p>
    <w:p w14:paraId="3E5F3C63" w14:textId="62161D40" w:rsidR="00034B9E" w:rsidRPr="00034B9E" w:rsidRDefault="00034B9E" w:rsidP="00034B9E">
      <w:pPr>
        <w:pStyle w:val="CDINumberedList1-L1"/>
        <w:divId w:val="935526654"/>
      </w:pPr>
      <w:r w:rsidRPr="00034B9E">
        <w:lastRenderedPageBreak/>
        <w:t xml:space="preserve">Hall RA, Broom AK, Hartnett AC, Howard MJ, Mackenzie JS. Immunodominant epitopes on the NS1 protein of MVE and KUN viruses serve as targets for a blocking ELISA to detect virus-specific antibodies in sentinel animal serum. </w:t>
      </w:r>
      <w:r w:rsidRPr="00034B9E">
        <w:rPr>
          <w:i/>
          <w:iCs/>
        </w:rPr>
        <w:t xml:space="preserve">J </w:t>
      </w:r>
      <w:proofErr w:type="spellStart"/>
      <w:r w:rsidRPr="00034B9E">
        <w:rPr>
          <w:i/>
          <w:iCs/>
        </w:rPr>
        <w:t>Virol</w:t>
      </w:r>
      <w:proofErr w:type="spellEnd"/>
      <w:r w:rsidRPr="00034B9E">
        <w:rPr>
          <w:i/>
          <w:iCs/>
        </w:rPr>
        <w:t xml:space="preserve"> Methods</w:t>
      </w:r>
      <w:r w:rsidRPr="00034B9E">
        <w:t xml:space="preserve">. 1995;51(2–3):201–10. </w:t>
      </w:r>
      <w:r w:rsidR="005C1AD7">
        <w:br/>
      </w:r>
      <w:r w:rsidRPr="00034B9E">
        <w:t xml:space="preserve">doi: </w:t>
      </w:r>
      <w:hyperlink r:id="rId41" w:history="1">
        <w:r w:rsidRPr="00034B9E">
          <w:rPr>
            <w:rStyle w:val="Hyperlink"/>
          </w:rPr>
          <w:t>https://doi.org/10.1016/0166-0934(94)00105-p</w:t>
        </w:r>
      </w:hyperlink>
      <w:r w:rsidRPr="00034B9E">
        <w:t>.</w:t>
      </w:r>
    </w:p>
    <w:p w14:paraId="669C7AFA" w14:textId="77777777" w:rsidR="00034B9E" w:rsidRPr="00034B9E" w:rsidRDefault="00034B9E" w:rsidP="00034B9E">
      <w:pPr>
        <w:pStyle w:val="CDINumberedList1-L1"/>
        <w:divId w:val="935526654"/>
      </w:pPr>
      <w:r w:rsidRPr="00034B9E">
        <w:t xml:space="preserve">Victoria State Government. 2015 Local Government Area Profiles. [Webpage.] Melbourne: Victoria State Government; 9 March 2018. Available from: </w:t>
      </w:r>
      <w:hyperlink r:id="rId42" w:history="1">
        <w:r w:rsidRPr="00034B9E">
          <w:rPr>
            <w:rStyle w:val="Hyperlink"/>
          </w:rPr>
          <w:t>https://discover.data.vic.gov.au/dataset/2015-local-government-area-profiles</w:t>
        </w:r>
      </w:hyperlink>
      <w:r w:rsidRPr="00034B9E">
        <w:t>.</w:t>
      </w:r>
    </w:p>
    <w:p w14:paraId="1C26C0EF" w14:textId="77777777" w:rsidR="00034B9E" w:rsidRPr="00034B9E" w:rsidRDefault="00034B9E" w:rsidP="00034B9E">
      <w:pPr>
        <w:pStyle w:val="CDINumberedList1-L1"/>
        <w:divId w:val="935526654"/>
      </w:pPr>
      <w:r w:rsidRPr="00034B9E">
        <w:t xml:space="preserve">Australian Bureau of Statistics. Regional population by age and sex: reference period 2023. [Webpage.] Canberra; Australian Bureau of Statistics; 29 August 2024. Available from: </w:t>
      </w:r>
      <w:hyperlink r:id="rId43" w:history="1">
        <w:r w:rsidRPr="00034B9E">
          <w:rPr>
            <w:rStyle w:val="Hyperlink"/>
          </w:rPr>
          <w:t>https://www.abs.gov.au/statistics/people/population/regional-population-age-and-sex/2023</w:t>
        </w:r>
      </w:hyperlink>
      <w:r w:rsidRPr="00034B9E">
        <w:t>.</w:t>
      </w:r>
    </w:p>
    <w:p w14:paraId="15C44AD2" w14:textId="77777777" w:rsidR="00034B9E" w:rsidRPr="00034B9E" w:rsidRDefault="00034B9E" w:rsidP="00034B9E">
      <w:pPr>
        <w:pStyle w:val="CDINumberedList1-L1"/>
        <w:divId w:val="935526654"/>
      </w:pPr>
      <w:r w:rsidRPr="00034B9E">
        <w:t xml:space="preserve">Australian Institute of Health and Welfare (AIHW). </w:t>
      </w:r>
      <w:r w:rsidRPr="00034B9E">
        <w:rPr>
          <w:i/>
          <w:iCs/>
        </w:rPr>
        <w:t>Older Australians</w:t>
      </w:r>
      <w:r w:rsidRPr="00034B9E">
        <w:t xml:space="preserve">. Canberra: Australian Government; 2 July 2024. Available from: </w:t>
      </w:r>
      <w:hyperlink r:id="rId44" w:history="1">
        <w:r w:rsidRPr="00034B9E">
          <w:rPr>
            <w:rStyle w:val="Hyperlink"/>
          </w:rPr>
          <w:t>https://www.aihw.gov.au/reports/older-people/older-australians/contents/health/health-care-gps-specialists</w:t>
        </w:r>
      </w:hyperlink>
      <w:r w:rsidRPr="00034B9E">
        <w:t>.</w:t>
      </w:r>
    </w:p>
    <w:p w14:paraId="2E37F237" w14:textId="040508DC" w:rsidR="00620509" w:rsidRPr="005C1AD7" w:rsidRDefault="00034B9E" w:rsidP="00586480">
      <w:pPr>
        <w:pStyle w:val="CDINumberedList1-L1"/>
        <w:divId w:val="935526654"/>
      </w:pPr>
      <w:r w:rsidRPr="00034B9E">
        <w:t xml:space="preserve">Pendrey CGA, Martin GE. Japanese encephalitis clinical update: changing diseases under a changing climate. </w:t>
      </w:r>
      <w:proofErr w:type="spellStart"/>
      <w:r w:rsidRPr="005C1AD7">
        <w:rPr>
          <w:i/>
          <w:iCs/>
        </w:rPr>
        <w:t>Aust</w:t>
      </w:r>
      <w:proofErr w:type="spellEnd"/>
      <w:r w:rsidRPr="005C1AD7">
        <w:rPr>
          <w:i/>
          <w:iCs/>
        </w:rPr>
        <w:t xml:space="preserve"> J Gen </w:t>
      </w:r>
      <w:proofErr w:type="spellStart"/>
      <w:r w:rsidRPr="005C1AD7">
        <w:rPr>
          <w:i/>
          <w:iCs/>
        </w:rPr>
        <w:t>Pract</w:t>
      </w:r>
      <w:proofErr w:type="spellEnd"/>
      <w:r w:rsidRPr="00034B9E">
        <w:t xml:space="preserve">. 2023;52(5):275–80. doi: </w:t>
      </w:r>
      <w:hyperlink r:id="rId45" w:history="1">
        <w:r w:rsidRPr="005C1AD7">
          <w:rPr>
            <w:rStyle w:val="Hyperlink"/>
          </w:rPr>
          <w:t>https://doi.org/10.31128/AJGP-07-22-6484</w:t>
        </w:r>
      </w:hyperlink>
      <w:r w:rsidRPr="00034B9E">
        <w:t>.</w:t>
      </w:r>
    </w:p>
    <w:p w14:paraId="3353FE86" w14:textId="77777777" w:rsidR="001A26DD" w:rsidRDefault="001A26DD" w:rsidP="0037146D">
      <w:pPr>
        <w:divId w:val="935526654"/>
        <w:sectPr w:rsidR="001A26DD" w:rsidSect="00A11018">
          <w:footnotePr>
            <w:numFmt w:val="lowerRoman"/>
          </w:footnotePr>
          <w:pgSz w:w="11907" w:h="16840" w:code="9"/>
          <w:pgMar w:top="1134" w:right="1134" w:bottom="1304" w:left="1134" w:header="709" w:footer="567" w:gutter="0"/>
          <w:cols w:space="708"/>
          <w:docGrid w:linePitch="360"/>
          <w15:footnoteColumns w:val="1"/>
        </w:sectPr>
      </w:pPr>
    </w:p>
    <w:p w14:paraId="38582CA7"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684D27">
          <w:t>2025</w:t>
        </w:r>
      </w:fldSimple>
      <w:r w:rsidRPr="0089025E">
        <w:t xml:space="preserve"> Commonwealth of Australia as represented by the </w:t>
      </w:r>
      <w:r w:rsidR="00602AC1">
        <w:t>Department of Health and Aged Care</w:t>
      </w:r>
    </w:p>
    <w:p w14:paraId="29B5D192" w14:textId="77777777" w:rsidR="00DE4482" w:rsidRPr="0089025E" w:rsidRDefault="00DE4482" w:rsidP="00C32715">
      <w:pPr>
        <w:pStyle w:val="CDICopyrighttext-lessspace"/>
      </w:pPr>
      <w:r w:rsidRPr="0089025E">
        <w:t>ISSN: 2209-6051 Online</w:t>
      </w:r>
    </w:p>
    <w:p w14:paraId="3F358BC8" w14:textId="77777777" w:rsidR="00DE4482" w:rsidRDefault="00DE4482" w:rsidP="00C32715">
      <w:pPr>
        <w:pStyle w:val="CDICopyrighttext-lessspace"/>
      </w:pPr>
      <w:r w:rsidRPr="0089025E">
        <w:t>This journal is indexed by Index Medicus and Medline.</w:t>
      </w:r>
    </w:p>
    <w:p w14:paraId="044044E9" w14:textId="77777777" w:rsidR="006221DD" w:rsidRPr="0089025E" w:rsidRDefault="006221DD" w:rsidP="00C32715">
      <w:pPr>
        <w:pStyle w:val="CDICopyrightheading"/>
      </w:pPr>
      <w:r>
        <w:t>Creative Commons Licence</w:t>
      </w:r>
    </w:p>
    <w:p w14:paraId="30A05C89"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46"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130ACEF6" w14:textId="77777777" w:rsidR="000705FF" w:rsidRPr="00194A12" w:rsidRDefault="000705FF" w:rsidP="00194A12">
      <w:pPr>
        <w:pStyle w:val="CDICopyrightheading"/>
      </w:pPr>
      <w:r w:rsidRPr="00194A12">
        <w:t>Restrictions</w:t>
      </w:r>
    </w:p>
    <w:p w14:paraId="20B26905"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7739A63"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28F6C34C"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1DAF13DA" w14:textId="77777777" w:rsidR="000705FF" w:rsidRPr="0089025E" w:rsidRDefault="000705FF" w:rsidP="00AC0F5D">
      <w:pPr>
        <w:pStyle w:val="CDICopyrightbullets"/>
      </w:pPr>
      <w:r w:rsidRPr="0089025E">
        <w:t xml:space="preserve">any photographs and images; </w:t>
      </w:r>
    </w:p>
    <w:p w14:paraId="6099527B" w14:textId="77777777" w:rsidR="000705FF" w:rsidRPr="0089025E" w:rsidRDefault="000705FF" w:rsidP="00AC0F5D">
      <w:pPr>
        <w:pStyle w:val="CDICopyrightbullets"/>
      </w:pPr>
      <w:r w:rsidRPr="0089025E">
        <w:t>any signatures; and</w:t>
      </w:r>
    </w:p>
    <w:p w14:paraId="74FE330A" w14:textId="77777777" w:rsidR="000705FF" w:rsidRPr="0089025E" w:rsidRDefault="000705FF" w:rsidP="00AC0F5D">
      <w:pPr>
        <w:pStyle w:val="CDICopyrightbullets"/>
      </w:pPr>
      <w:r w:rsidRPr="0089025E">
        <w:t xml:space="preserve">any material belonging to third parties. </w:t>
      </w:r>
    </w:p>
    <w:p w14:paraId="56F8F839" w14:textId="77777777" w:rsidR="000F223B" w:rsidRPr="0089025E" w:rsidRDefault="000705FF" w:rsidP="00194A12">
      <w:pPr>
        <w:pStyle w:val="CDICopyrightheading"/>
      </w:pPr>
      <w:r w:rsidRPr="0089025E">
        <w:t>Disclaimer</w:t>
      </w:r>
    </w:p>
    <w:p w14:paraId="28578AA2"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416E4038" w14:textId="77777777" w:rsidR="000F223B" w:rsidRPr="0089025E" w:rsidRDefault="000705FF" w:rsidP="00194A12">
      <w:pPr>
        <w:pStyle w:val="CDICopyrightheading"/>
      </w:pPr>
      <w:r w:rsidRPr="0089025E">
        <w:t>Enquiries</w:t>
      </w:r>
    </w:p>
    <w:p w14:paraId="3DA2763E"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47" w:history="1">
        <w:r w:rsidR="00EE2F5A" w:rsidRPr="00400985">
          <w:rPr>
            <w:rStyle w:val="Hyperlink"/>
          </w:rPr>
          <w:t>cdi.editor@health.gov.au</w:t>
        </w:r>
      </w:hyperlink>
      <w:r w:rsidR="00863F8D" w:rsidRPr="00863F8D">
        <w:t>.</w:t>
      </w:r>
    </w:p>
    <w:p w14:paraId="1C9EF075" w14:textId="77777777" w:rsidR="000F223B" w:rsidRPr="0089025E" w:rsidRDefault="000705FF" w:rsidP="00194A12">
      <w:pPr>
        <w:pStyle w:val="CDICopyrightheading"/>
      </w:pPr>
      <w:r w:rsidRPr="0089025E">
        <w:t>Communicable Diseases Network Australia</w:t>
      </w:r>
    </w:p>
    <w:p w14:paraId="187B7A5E" w14:textId="77777777" w:rsidR="00DA2E9E" w:rsidRDefault="000705FF" w:rsidP="00194A12">
      <w:pPr>
        <w:pStyle w:val="CDICopyrighttext"/>
      </w:pPr>
      <w:r w:rsidRPr="0089025E">
        <w:t xml:space="preserve">Communicable Diseases Intelligence contributes to the work of the </w:t>
      </w:r>
      <w:hyperlink r:id="rId48" w:history="1">
        <w:r w:rsidRPr="00C47C8C">
          <w:rPr>
            <w:rStyle w:val="Hyperlink"/>
          </w:rPr>
          <w:t>Communicable Diseases Network Australia</w:t>
        </w:r>
      </w:hyperlink>
      <w:r w:rsidRPr="0089025E">
        <w:t>.</w:t>
      </w:r>
      <w:r w:rsidR="0089025E" w:rsidRPr="0089025E">
        <w:t xml:space="preserve"> </w:t>
      </w:r>
    </w:p>
    <w:p w14:paraId="54123506" w14:textId="77777777" w:rsidR="004B0C95" w:rsidRDefault="004B0C95" w:rsidP="004B0C95">
      <w:pPr>
        <w:pStyle w:val="Normal-nospace"/>
      </w:pPr>
    </w:p>
    <w:p w14:paraId="59890EF4"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7A0F966E"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430AFA77"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17376E7D"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44968149" w14:textId="77777777" w:rsidR="00A51E0E" w:rsidRPr="0089025E" w:rsidRDefault="00A51E0E" w:rsidP="00A51E0E">
      <w:pPr>
        <w:pStyle w:val="CDICopyrightheading"/>
      </w:pPr>
      <w:r w:rsidRPr="0089025E">
        <w:t>Submit an Article</w:t>
      </w:r>
    </w:p>
    <w:p w14:paraId="5CEA991F"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49" w:history="1">
        <w:r w:rsidRPr="004B0C95">
          <w:rPr>
            <w:rStyle w:val="Hyperlink"/>
          </w:rPr>
          <w:t>Information for authors</w:t>
        </w:r>
      </w:hyperlink>
      <w:r>
        <w:t xml:space="preserve"> and details on how to </w:t>
      </w:r>
      <w:hyperlink r:id="rId50" w:anchor="submission_package" w:history="1">
        <w:r w:rsidRPr="004B0C95">
          <w:rPr>
            <w:rStyle w:val="Hyperlink"/>
          </w:rPr>
          <w:t>submit your publication</w:t>
        </w:r>
      </w:hyperlink>
      <w:r>
        <w:t xml:space="preserve"> is available on our </w:t>
      </w:r>
      <w:r w:rsidRPr="004B0C95">
        <w:t>website</w:t>
      </w:r>
      <w:r>
        <w:t xml:space="preserve">, or by email at </w:t>
      </w:r>
      <w:hyperlink r:id="rId51" w:history="1">
        <w:r w:rsidR="00A51E0E" w:rsidRPr="000C6EB5">
          <w:rPr>
            <w:rStyle w:val="Hyperlink"/>
          </w:rPr>
          <w:t>cdi.editor@health.gov.au</w:t>
        </w:r>
      </w:hyperlink>
      <w:r w:rsidR="00863F8D">
        <w:t>.</w:t>
      </w:r>
    </w:p>
    <w:p w14:paraId="2F011EAB" w14:textId="77777777" w:rsidR="00DE4482" w:rsidRPr="0089025E" w:rsidRDefault="00A51E0E" w:rsidP="00194A12">
      <w:pPr>
        <w:pStyle w:val="CDICopyrightheading"/>
      </w:pPr>
      <w:r>
        <w:t>Contact us</w:t>
      </w:r>
    </w:p>
    <w:p w14:paraId="590248E2" w14:textId="77777777" w:rsidR="00863F8D" w:rsidRDefault="00126546" w:rsidP="00863F8D">
      <w:pPr>
        <w:pStyle w:val="CDICopyrighttext-nospace"/>
      </w:pPr>
      <w:r>
        <w:t>Communicable Diseases Intelligence (CDI)</w:t>
      </w:r>
    </w:p>
    <w:p w14:paraId="47B2D9DF" w14:textId="77777777" w:rsidR="00863F8D" w:rsidRDefault="00470C19" w:rsidP="00863F8D">
      <w:pPr>
        <w:pStyle w:val="CDICopyrighttext-nospace"/>
      </w:pPr>
      <w:r>
        <w:t>Health Security &amp; Emergency Management Division</w:t>
      </w:r>
    </w:p>
    <w:p w14:paraId="335D1CB3" w14:textId="77777777" w:rsidR="00863F8D" w:rsidRDefault="00602AC1" w:rsidP="00863F8D">
      <w:pPr>
        <w:pStyle w:val="CDICopyrighttext-nospace"/>
      </w:pPr>
      <w:r>
        <w:t>Department of Health and Aged Care</w:t>
      </w:r>
    </w:p>
    <w:p w14:paraId="1622CCF5" w14:textId="77777777" w:rsidR="000A5F42" w:rsidRPr="0089025E" w:rsidRDefault="00E54BBD" w:rsidP="00863F8D">
      <w:pPr>
        <w:pStyle w:val="CDICopyrighttext-lessspace"/>
      </w:pPr>
      <w:r w:rsidRPr="0089025E">
        <w:t>GPO Box 9848, CANBERRA ACT 2601</w:t>
      </w:r>
    </w:p>
    <w:p w14:paraId="501D82E2" w14:textId="77777777" w:rsidR="00863F8D" w:rsidRDefault="00DA2E9E" w:rsidP="00863F8D">
      <w:pPr>
        <w:pStyle w:val="CDICopyrighttext-nospace"/>
      </w:pPr>
      <w:r w:rsidRPr="0089025E">
        <w:t xml:space="preserve">Website: </w:t>
      </w:r>
      <w:hyperlink r:id="rId52" w:history="1">
        <w:r w:rsidR="00AC0F5D" w:rsidRPr="000C6EB5">
          <w:rPr>
            <w:rStyle w:val="Hyperlink"/>
          </w:rPr>
          <w:t>www.health.gov.au/cdi</w:t>
        </w:r>
      </w:hyperlink>
    </w:p>
    <w:p w14:paraId="1732F491" w14:textId="77777777" w:rsidR="000A5F42" w:rsidRPr="0089025E" w:rsidRDefault="000A5F42" w:rsidP="00863F8D">
      <w:pPr>
        <w:pStyle w:val="CDICopyrighttext-lessspace"/>
      </w:pPr>
      <w:r w:rsidRPr="0089025E">
        <w:t xml:space="preserve">Email: </w:t>
      </w:r>
      <w:hyperlink r:id="rId53" w:history="1">
        <w:r w:rsidR="00AC0F5D" w:rsidRPr="000C6EB5">
          <w:rPr>
            <w:rStyle w:val="Hyperlink"/>
          </w:rPr>
          <w:t>cdi.editor@health.gov.au</w:t>
        </w:r>
      </w:hyperlink>
    </w:p>
    <w:sectPr w:rsidR="000A5F42" w:rsidRPr="0089025E" w:rsidSect="00690957">
      <w:footerReference w:type="default" r:id="rId54"/>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8749" w14:textId="77777777" w:rsidR="00684D27" w:rsidRDefault="00684D27" w:rsidP="00E54DBA">
      <w:r>
        <w:separator/>
      </w:r>
    </w:p>
    <w:p w14:paraId="7433C6E5" w14:textId="77777777" w:rsidR="00684D27" w:rsidRDefault="00684D27"/>
    <w:p w14:paraId="0162350F" w14:textId="77777777" w:rsidR="00684D27" w:rsidRDefault="00684D27" w:rsidP="008714B0"/>
  </w:endnote>
  <w:endnote w:type="continuationSeparator" w:id="0">
    <w:p w14:paraId="482EAF23" w14:textId="77777777" w:rsidR="00684D27" w:rsidRDefault="00684D27" w:rsidP="00E54DBA">
      <w:r>
        <w:continuationSeparator/>
      </w:r>
    </w:p>
    <w:p w14:paraId="420199FC" w14:textId="77777777" w:rsidR="00684D27" w:rsidRDefault="00684D27"/>
    <w:p w14:paraId="527D269F" w14:textId="77777777" w:rsidR="00684D27" w:rsidRDefault="00684D2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F58D"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E5CD" w14:textId="4799444D"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684D27">
        <w:t>2025</w:t>
      </w:r>
    </w:fldSimple>
    <w:r w:rsidRPr="001D0612">
      <w:t xml:space="preserve"> </w:t>
    </w:r>
    <w:fldSimple w:instr=" DOCPROPERTY  Vol  \* MERGEFORMAT ">
      <w:r w:rsidR="00684D27">
        <w:t>49</w:t>
      </w:r>
    </w:fldSimple>
    <w:r w:rsidRPr="001D0612">
      <w:t xml:space="preserve">  (</w:t>
    </w:r>
    <w:fldSimple w:instr=" DOCPROPERTY  DOI  \* MERGEFORMAT ">
      <w:r w:rsidR="00684D27">
        <w:t>https://doi.org/10.33321/cdi.2025.49.020</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684D27">
        <w:t>25/03/2025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BA31" w14:textId="77777777" w:rsidR="00CF52E4" w:rsidRDefault="00CF52E4" w:rsidP="00CF52E4">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FF0B" w14:textId="79682355"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684D27">
        <w:t>2025</w:t>
      </w:r>
    </w:fldSimple>
    <w:r w:rsidRPr="001D0612">
      <w:t xml:space="preserve"> </w:t>
    </w:r>
    <w:fldSimple w:instr=" DOCPROPERTY  Vol  \* MERGEFORMAT ">
      <w:r w:rsidR="00684D27">
        <w:t>49</w:t>
      </w:r>
    </w:fldSimple>
    <w:r w:rsidRPr="001D0612">
      <w:t xml:space="preserve">  (</w:t>
    </w:r>
    <w:fldSimple w:instr=" DOCPROPERTY  DOI  \* MERGEFORMAT ">
      <w:r w:rsidR="00684D27">
        <w:t>https://doi.org/10.33321/cdi.2025.49.020</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684D27">
        <w:t>25/03/2025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EA44" w14:textId="77777777" w:rsidR="00684D27" w:rsidRPr="00B91FB5" w:rsidRDefault="00684D27" w:rsidP="00DB485B">
      <w:pPr>
        <w:spacing w:after="60" w:line="240" w:lineRule="auto"/>
        <w:rPr>
          <w:sz w:val="18"/>
          <w:szCs w:val="18"/>
        </w:rPr>
      </w:pPr>
      <w:r w:rsidRPr="00B91FB5">
        <w:rPr>
          <w:sz w:val="18"/>
          <w:szCs w:val="18"/>
        </w:rPr>
        <w:separator/>
      </w:r>
    </w:p>
  </w:footnote>
  <w:footnote w:type="continuationSeparator" w:id="0">
    <w:p w14:paraId="46E13D71" w14:textId="77777777" w:rsidR="00684D27" w:rsidRDefault="00684D27" w:rsidP="00E54DBA">
      <w:r>
        <w:continuationSeparator/>
      </w:r>
    </w:p>
  </w:footnote>
  <w:footnote w:type="continuationNotice" w:id="1">
    <w:p w14:paraId="54B22814" w14:textId="77777777" w:rsidR="00684D27" w:rsidRPr="00224EFF" w:rsidRDefault="00684D27" w:rsidP="00224EFF"/>
  </w:footnote>
  <w:footnote w:id="2">
    <w:p w14:paraId="75C78D23" w14:textId="4D37F5D4" w:rsidR="00034B9E" w:rsidRDefault="00034B9E" w:rsidP="00034B9E">
      <w:pPr>
        <w:pStyle w:val="CDIFooter"/>
      </w:pPr>
      <w:r w:rsidRPr="00034B9E">
        <w:footnoteRef/>
      </w:r>
      <w:r>
        <w:tab/>
        <w:t>Equal first authors.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42C5"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31AB"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18A2"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41EAB567" wp14:editId="643E15DE">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75235528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27"/>
    <w:rsid w:val="00000B5B"/>
    <w:rsid w:val="00001611"/>
    <w:rsid w:val="00002B8D"/>
    <w:rsid w:val="00003DE5"/>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B9E"/>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12BF6"/>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531B9"/>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2641A"/>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1302"/>
    <w:rsid w:val="005732C0"/>
    <w:rsid w:val="0057336D"/>
    <w:rsid w:val="0057489A"/>
    <w:rsid w:val="00574ACF"/>
    <w:rsid w:val="00581588"/>
    <w:rsid w:val="0058540B"/>
    <w:rsid w:val="00587C87"/>
    <w:rsid w:val="00590B80"/>
    <w:rsid w:val="00597763"/>
    <w:rsid w:val="005B3134"/>
    <w:rsid w:val="005B4E61"/>
    <w:rsid w:val="005B595A"/>
    <w:rsid w:val="005B66C2"/>
    <w:rsid w:val="005C1AA0"/>
    <w:rsid w:val="005C1AD7"/>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4D27"/>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64A23"/>
    <w:rsid w:val="008714B0"/>
    <w:rsid w:val="00872A7F"/>
    <w:rsid w:val="00876331"/>
    <w:rsid w:val="00877B90"/>
    <w:rsid w:val="00880726"/>
    <w:rsid w:val="0089025E"/>
    <w:rsid w:val="00892C85"/>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B3617"/>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1018"/>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47818"/>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160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54051"/>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52E4"/>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485B"/>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97A68"/>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2F5A"/>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4479"/>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DA2C7"/>
  <w15:docId w15:val="{22F41D48-5926-474F-B85D-C7682389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63"/>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684D27"/>
    <w:pPr>
      <w:spacing w:after="120"/>
    </w:pPr>
  </w:style>
  <w:style w:type="character" w:customStyle="1" w:styleId="BodyTextChar">
    <w:name w:val="Body Text Char"/>
    <w:basedOn w:val="DefaultParagraphFont"/>
    <w:link w:val="BodyText"/>
    <w:uiPriority w:val="99"/>
    <w:semiHidden/>
    <w:rsid w:val="00684D27"/>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lourym@gmail.com" TargetMode="External"/><Relationship Id="rId26" Type="http://schemas.openxmlformats.org/officeDocument/2006/relationships/hyperlink" Target="https://doi.org/10.1111/avj.12018" TargetMode="External"/><Relationship Id="rId39" Type="http://schemas.openxmlformats.org/officeDocument/2006/relationships/hyperlink" Target="https://doi.org/10.3390/antib12010018" TargetMode="External"/><Relationship Id="rId21" Type="http://schemas.openxmlformats.org/officeDocument/2006/relationships/hyperlink" Target="https://doi.org/10.5694/mja11.11026" TargetMode="External"/><Relationship Id="rId34" Type="http://schemas.openxmlformats.org/officeDocument/2006/relationships/hyperlink" Target="https://doi.org/10.1371/journal.pone.0143803" TargetMode="External"/><Relationship Id="rId42" Type="http://schemas.openxmlformats.org/officeDocument/2006/relationships/hyperlink" Target="https://discover.data.vic.gov.au/dataset/2015-local-government-area-profiles" TargetMode="External"/><Relationship Id="rId47" Type="http://schemas.openxmlformats.org/officeDocument/2006/relationships/hyperlink" Target="mailto:cdi.editor@health.gov.au" TargetMode="External"/><Relationship Id="rId50" Type="http://schemas.openxmlformats.org/officeDocument/2006/relationships/hyperlink" Target="https://www1.health.gov.au/internet/main/publishing.nsf/Content/cda-pubs-cdi-auth_inst.htm"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doi.org/10.1371/journal.pntd.0002656" TargetMode="External"/><Relationship Id="rId33" Type="http://schemas.openxmlformats.org/officeDocument/2006/relationships/hyperlink" Target="https://doi.org/10.1016/S0140-6736(01)05480-0" TargetMode="External"/><Relationship Id="rId38" Type="http://schemas.openxmlformats.org/officeDocument/2006/relationships/hyperlink" Target="https://doi.org/10.3389/fimmu.2020.00334" TargetMode="External"/><Relationship Id="rId46"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3389/fpubh.2023.1256149" TargetMode="External"/><Relationship Id="rId29" Type="http://schemas.openxmlformats.org/officeDocument/2006/relationships/hyperlink" Target="https://www.R-project.org/" TargetMode="External"/><Relationship Id="rId41" Type="http://schemas.openxmlformats.org/officeDocument/2006/relationships/hyperlink" Target="https://doi.org/10.1016/0166-0934(94)00105-p"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i.org/10.5694/j.1326-5377.1993.tb137623.x" TargetMode="External"/><Relationship Id="rId32" Type="http://schemas.openxmlformats.org/officeDocument/2006/relationships/hyperlink" Target="https://doi.org/10.5694/mja12.10221" TargetMode="External"/><Relationship Id="rId37" Type="http://schemas.openxmlformats.org/officeDocument/2006/relationships/hyperlink" Target="https://doi.org/10.1016/j.jiac.2023.01.015" TargetMode="External"/><Relationship Id="rId40" Type="http://schemas.openxmlformats.org/officeDocument/2006/relationships/hyperlink" Target="https://doi.org/10.2139/ssrn.4714415" TargetMode="External"/><Relationship Id="rId45" Type="http://schemas.openxmlformats.org/officeDocument/2006/relationships/hyperlink" Target="https://doi.org/10.31128/AJGP-07-22-6484" TargetMode="External"/><Relationship Id="rId53"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oi.org/10.1007/s11481-010-9234-7" TargetMode="External"/><Relationship Id="rId28" Type="http://schemas.openxmlformats.org/officeDocument/2006/relationships/hyperlink" Target="https://doi.org/10.1016/S0140-6736(07)61602-X" TargetMode="External"/><Relationship Id="rId36" Type="http://schemas.openxmlformats.org/officeDocument/2006/relationships/hyperlink" Target="https://www.cdc.gov/west-nile-virus/data-maps/?CDC_AAref_Val=https://www.cdc.gov/westnile/statsmaps/data-and-maps.html" TargetMode="External"/><Relationship Id="rId49" Type="http://schemas.openxmlformats.org/officeDocument/2006/relationships/hyperlink" Target="https://www1.health.gov.au/internet/main/publishing.nsf/Content/cda-pubs-cdi-auth_inst.htm" TargetMode="External"/><Relationship Id="rId10" Type="http://schemas.openxmlformats.org/officeDocument/2006/relationships/image" Target="media/image2.png"/><Relationship Id="rId19" Type="http://schemas.openxmlformats.org/officeDocument/2006/relationships/hyperlink" Target="https://doi.org/10.2105/ajph.42.12.1519" TargetMode="External"/><Relationship Id="rId31" Type="http://schemas.openxmlformats.org/officeDocument/2006/relationships/hyperlink" Target="https://doi.org/10.1111/1753-6405.12113" TargetMode="External"/><Relationship Id="rId44" Type="http://schemas.openxmlformats.org/officeDocument/2006/relationships/hyperlink" Target="https://www.aihw.gov.au/reports/older-people/older-australians/contents/health/health-care-gps-specialists" TargetMode="External"/><Relationship Id="rId52"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oi.org/10.4269/ajtmh.2003.69.277" TargetMode="External"/><Relationship Id="rId27" Type="http://schemas.openxmlformats.org/officeDocument/2006/relationships/hyperlink" Target="https://doi.org/10.5694/mja2.52344" TargetMode="External"/><Relationship Id="rId30" Type="http://schemas.openxmlformats.org/officeDocument/2006/relationships/hyperlink" Target="https://doi.org/10.3390/tropicalmed3020049" TargetMode="External"/><Relationship Id="rId35" Type="http://schemas.openxmlformats.org/officeDocument/2006/relationships/hyperlink" Target="https://doi.org/10.2807/1560-7917.ES.2020.25.32.1900543" TargetMode="External"/><Relationship Id="rId43" Type="http://schemas.openxmlformats.org/officeDocument/2006/relationships/hyperlink" Target="https://www.abs.gov.au/statistics/people/population/regional-population-age-and-sex/2023" TargetMode="External"/><Relationship Id="rId48" Type="http://schemas.openxmlformats.org/officeDocument/2006/relationships/hyperlink" Target="http://www.health.gov.au/cdna"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cdi.editor@health.gov.au" TargetMode="Externa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7</TotalTime>
  <Pages>17</Pages>
  <Words>5699</Words>
  <Characters>36435</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Communicable Diseases Intelligence - Prevalence of Murray Valley encephalitis virus antibodies in northern Victoria following the 2023 outbreak: a cross-sectional serological survey</vt:lpstr>
    </vt:vector>
  </TitlesOfParts>
  <Company/>
  <LinksUpToDate>false</LinksUpToDate>
  <CharactersWithSpaces>42050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Prevalence of Murray Valley encephalitis virus antibodies in northern Victoria following the 2023 outbreak: a cross-sectional serological survey</dc:title>
  <dc:subject>We tested blood collected from over 500 residents of northern Victoria between late 2023 and early 2024 for antibodies to Murray Valley encephalitis virus (MVEV) and found that seropositivity was approximately 2%. This is similar to the level of seropositivity prior to the 2023 outbreak and suggests ongoing immunological vulnerability to MVEV infection in the region, emphasising the ongoing need for vector control and behavioural measures to reduce infection risk in future mosquito seasons.</dc:subject>
  <dc:creator>Marie Heloury;Joshua Szanyi;Maxwell Braddick;Alexander Fidao;Madeleine J Marsland;Tilda N Thomson;Mitch Batty;Suellen Nicholson;Theo Karapanagiotidis;Kylie Carville;Anna-Jane Glynn-Robinson;Chuan Kok Lim;Naveen Tenneti;Anthony Zheng;William Cross;Jim Black;Helen O’Brien</dc:creator>
  <cp:keywords>Murray Valley encephalitis virus; serology; seroprevalence; flavivirus infections; vector control; mosquito vectors; epidemiology; Victoria; cross-sectional studies</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2025-03-17T05:56:00Z</dcterms:created>
  <dcterms:modified xsi:type="dcterms:W3CDTF">2025-03-17T05:56:00Z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25/03/2025</vt:lpwstr>
  </property>
  <property fmtid="{D5CDD505-2E9C-101B-9397-08002B2CF9AE}" pid="5" name="DOI">
    <vt:lpwstr>https://doi.org/10.33321/cdi.2025.49.020</vt:lpwstr>
  </property>
</Properties>
</file>