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BD26C4" w14:textId="2B5EA825" w:rsidR="00B50D8D" w:rsidRPr="00341720" w:rsidRDefault="00D67F05" w:rsidP="00341720">
      <w:pPr>
        <w:pStyle w:val="CDIDOIinformation"/>
      </w:pPr>
      <w:r>
        <w:fldChar w:fldCharType="begin"/>
      </w:r>
      <w:r>
        <w:instrText xml:space="preserve"> DOCPROPERTY  Year  \* MERGEFORMAT </w:instrText>
      </w:r>
      <w:r>
        <w:fldChar w:fldCharType="separate"/>
      </w:r>
      <w:r>
        <w:t>2025</w:t>
      </w:r>
      <w:r>
        <w:fldChar w:fldCharType="end"/>
      </w:r>
      <w:r w:rsidR="00A623E8" w:rsidRPr="00341720">
        <w:t xml:space="preserve"> • </w:t>
      </w:r>
      <w:r w:rsidR="00B50D8D" w:rsidRPr="00341720">
        <w:t xml:space="preserve">Volume </w:t>
      </w:r>
      <w:fldSimple w:instr=" DOCPROPERTY  Vol  \* MERGEFORMAT ">
        <w:r>
          <w:t>49</w:t>
        </w:r>
      </w:fldSimple>
      <w:r w:rsidR="00725C33" w:rsidRPr="00341720">
        <w:t xml:space="preserve"> </w:t>
      </w:r>
      <w:r w:rsidR="008E3F81" w:rsidRPr="00341720">
        <w:t>•</w:t>
      </w:r>
      <w:r w:rsidR="00725C33" w:rsidRPr="00341720">
        <w:t xml:space="preserve"> </w:t>
      </w:r>
      <w:fldSimple w:instr=" DOCPROPERTY  DOI  \* MERGEFORMAT ">
        <w:r w:rsidR="002A2E1C">
          <w:t>https://doi.org/10.33321/cdi.2025.49.005</w:t>
        </w:r>
      </w:fldSimple>
      <w:r w:rsidR="00725C33" w:rsidRPr="00341720">
        <w:t xml:space="preserve"> </w:t>
      </w:r>
      <w:r w:rsidR="00D20FB5" w:rsidRPr="00341720">
        <w:t>•</w:t>
      </w:r>
      <w:r w:rsidR="00D20FB5">
        <w:t xml:space="preserve"> </w:t>
      </w:r>
      <w:r w:rsidR="00D20FB5" w:rsidRPr="00341720">
        <w:t xml:space="preserve">Electronic publication date: </w:t>
      </w:r>
      <w:fldSimple w:instr=" DOCPROPERTY  ePubDate  \* MERGEFORMAT ">
        <w:r w:rsidR="002A2E1C">
          <w:t>22/01/2025</w:t>
        </w:r>
      </w:fldSimple>
    </w:p>
    <w:p w14:paraId="6E84F98D" w14:textId="4E2C4745" w:rsidR="006B16A5" w:rsidRPr="006B16A5" w:rsidRDefault="002A2E1C" w:rsidP="002A2E1C">
      <w:pPr>
        <w:pStyle w:val="Title"/>
        <w:divId w:val="935526654"/>
      </w:pPr>
      <w:r>
        <w:t>Emergence of locally acquired Japanese encephalitis virus in Australia, January 2021–June 2022: a national case series</w:t>
      </w:r>
    </w:p>
    <w:p w14:paraId="7E6699F1" w14:textId="78A2FB8A" w:rsidR="007A33B9" w:rsidRPr="0037146D" w:rsidRDefault="002A2E1C" w:rsidP="0037146D">
      <w:pPr>
        <w:pStyle w:val="Subtitle"/>
        <w:divId w:val="935526654"/>
      </w:pPr>
      <w:r w:rsidRPr="002A2E1C">
        <w:t xml:space="preserve">Amanda Reyes </w:t>
      </w:r>
      <w:proofErr w:type="spellStart"/>
      <w:r w:rsidRPr="002A2E1C">
        <w:t>Veliz</w:t>
      </w:r>
      <w:proofErr w:type="spellEnd"/>
      <w:r w:rsidRPr="002A2E1C">
        <w:t>, Stacey Kane, Anna Glynn-Robinson</w:t>
      </w:r>
    </w:p>
    <w:p w14:paraId="412CBF57" w14:textId="77777777" w:rsidR="0037146D" w:rsidRDefault="0037146D" w:rsidP="0037146D">
      <w:pPr>
        <w:pStyle w:val="Heading1"/>
        <w:divId w:val="935526654"/>
        <w:rPr>
          <w:lang w:val="en-GB"/>
        </w:rPr>
      </w:pPr>
      <w:r>
        <w:rPr>
          <w:lang w:val="en-GB"/>
        </w:rPr>
        <w:t>Abstract</w:t>
      </w:r>
    </w:p>
    <w:p w14:paraId="6CB55222" w14:textId="683C6DC1" w:rsidR="00065A6B" w:rsidRDefault="002A2E1C" w:rsidP="00065A6B">
      <w:pPr>
        <w:pStyle w:val="CDIBoxheading-Teal"/>
        <w:divId w:val="935526654"/>
        <w:rPr>
          <w:lang w:val="en-GB"/>
        </w:rPr>
      </w:pPr>
      <w:r>
        <w:rPr>
          <w:lang w:val="en-GB"/>
        </w:rPr>
        <w:t>Background and methods</w:t>
      </w:r>
    </w:p>
    <w:p w14:paraId="779708B8" w14:textId="77777777" w:rsidR="002A2E1C" w:rsidRPr="0001344C" w:rsidRDefault="002A2E1C" w:rsidP="002A2E1C">
      <w:pPr>
        <w:pStyle w:val="CDIBoxtext-Green"/>
        <w:divId w:val="935526654"/>
        <w:rPr>
          <w:lang w:val="en-GB"/>
        </w:rPr>
      </w:pPr>
      <w:r w:rsidRPr="0001344C">
        <w:rPr>
          <w:lang w:val="en-GB"/>
        </w:rPr>
        <w:t xml:space="preserve">In March 2022, an outbreak of Japanese encephalitis virus (JEV) infection was identified in temperate south-eastern Australia, with detections in humans and animals. The unexpected emergence of JEV prompted a national public health </w:t>
      </w:r>
      <w:proofErr w:type="gramStart"/>
      <w:r w:rsidRPr="0001344C">
        <w:rPr>
          <w:lang w:val="en-GB"/>
        </w:rPr>
        <w:t>response</w:t>
      </w:r>
      <w:proofErr w:type="gramEnd"/>
      <w:r w:rsidRPr="0001344C">
        <w:rPr>
          <w:lang w:val="en-GB"/>
        </w:rPr>
        <w:t xml:space="preserve"> and a Communicable Disease Incident of National Significance was declared. JEV has previously only been identified in tropical north-eastern Australia in localised outbreaks. This article provides a descriptive analysis of the human case epidemiology of the national outbreak from 1 January 2021 to 30 June 2022.</w:t>
      </w:r>
    </w:p>
    <w:p w14:paraId="031CC0EA" w14:textId="7C74ADA9" w:rsidR="00065A6B" w:rsidRDefault="002A2E1C" w:rsidP="002A2E1C">
      <w:pPr>
        <w:pStyle w:val="CDIBoxheading-Teal"/>
        <w:divId w:val="935526654"/>
        <w:rPr>
          <w:lang w:val="en-GB"/>
        </w:rPr>
      </w:pPr>
      <w:r>
        <w:rPr>
          <w:lang w:val="en-GB"/>
        </w:rPr>
        <w:t>Results</w:t>
      </w:r>
    </w:p>
    <w:p w14:paraId="32405ECC" w14:textId="77777777" w:rsidR="002A2E1C" w:rsidRDefault="002A2E1C" w:rsidP="002A2E1C">
      <w:pPr>
        <w:pStyle w:val="CDIBoxtext-Green"/>
        <w:divId w:val="935526654"/>
        <w:rPr>
          <w:lang w:val="en-GB"/>
        </w:rPr>
      </w:pPr>
      <w:r w:rsidRPr="0001344C">
        <w:rPr>
          <w:lang w:val="en-GB"/>
        </w:rPr>
        <w:t>There were 42 confirmed and probable human cases of JEV identified as acquired in Australia between 1</w:t>
      </w:r>
      <w:r>
        <w:rPr>
          <w:lang w:val="en-GB"/>
        </w:rPr>
        <w:t> </w:t>
      </w:r>
      <w:r w:rsidRPr="0001344C">
        <w:rPr>
          <w:lang w:val="en-GB"/>
        </w:rPr>
        <w:t xml:space="preserve">January 2021 and 30 June 2022. Seven deaths occurred (case fatality rate: 17%). Cases were identified in five Australian jurisdictions (New South Wales, Victoria, Queensland, South Australia and the Northern Territory). </w:t>
      </w:r>
      <w:proofErr w:type="gramStart"/>
      <w:r w:rsidRPr="0001344C">
        <w:rPr>
          <w:lang w:val="en-GB"/>
        </w:rPr>
        <w:t>The majority of</w:t>
      </w:r>
      <w:proofErr w:type="gramEnd"/>
      <w:r w:rsidRPr="0001344C">
        <w:rPr>
          <w:lang w:val="en-GB"/>
        </w:rPr>
        <w:t xml:space="preserve"> cases were aged 60 years and over (55%; 23/42), with a median age of 61.5 years (range: 0–79 years; interquartile range: 45–70 years); cases were predominantly of non-Indigenous status (90%; 38/42). Sixty-seven percent (28/42) were male. Of the cases with geographical data available (n = 41), all were likely exposed to the virus in 31 unique local government areas across regional and remote Australia.</w:t>
      </w:r>
    </w:p>
    <w:p w14:paraId="49B7C413" w14:textId="598E6129" w:rsidR="00B85721" w:rsidRPr="00B85721" w:rsidRDefault="00B85721" w:rsidP="00B85721">
      <w:r w:rsidRPr="00B85721">
        <w:br w:type="page"/>
      </w:r>
    </w:p>
    <w:p w14:paraId="0EDB2677" w14:textId="780FA829" w:rsidR="002A2E1C" w:rsidRDefault="00B85721" w:rsidP="00B85721">
      <w:pPr>
        <w:pStyle w:val="CDIBoxheading-Teal"/>
        <w:divId w:val="935526654"/>
        <w:rPr>
          <w:lang w:val="en-GB"/>
        </w:rPr>
      </w:pPr>
      <w:r>
        <w:rPr>
          <w:lang w:val="en-GB"/>
        </w:rPr>
        <w:lastRenderedPageBreak/>
        <w:t>Conclusions</w:t>
      </w:r>
    </w:p>
    <w:p w14:paraId="2EC69B60" w14:textId="77777777" w:rsidR="00B85721" w:rsidRPr="0001344C" w:rsidRDefault="00B85721" w:rsidP="00B85721">
      <w:pPr>
        <w:pStyle w:val="CDIBoxtext-Green"/>
        <w:divId w:val="935526654"/>
        <w:rPr>
          <w:lang w:val="en-GB"/>
        </w:rPr>
      </w:pPr>
      <w:r w:rsidRPr="0001344C">
        <w:rPr>
          <w:lang w:val="en-GB"/>
        </w:rPr>
        <w:t>Cases were detected across Australia in five jurisdictions, requiring a national public health response, to detect and prevent further cases. There was widespread geographical distribution over 18 months. Given the risk of further cases and possible endemicity of JEV being established in Australia, expanded environmental and human surveillance programs are required.</w:t>
      </w:r>
    </w:p>
    <w:p w14:paraId="6D7AD81C" w14:textId="37B448EA" w:rsidR="00620509" w:rsidRPr="006D508B" w:rsidRDefault="00620509" w:rsidP="00B85721">
      <w:pPr>
        <w:divId w:val="935526654"/>
        <w:rPr>
          <w:lang w:val="en-GB"/>
        </w:rPr>
      </w:pPr>
      <w:r w:rsidRPr="0037146D">
        <w:rPr>
          <w:lang w:val="en-GB"/>
        </w:rPr>
        <w:t xml:space="preserve">Keywords: </w:t>
      </w:r>
      <w:r w:rsidR="00B85721" w:rsidRPr="00B85721">
        <w:rPr>
          <w:lang w:val="en-GB"/>
        </w:rPr>
        <w:t>emerging diseases; infectious diseases; Japanese encephalitis; Japanese encephalitis virus; flaviviruses; mosquitos; Australia</w:t>
      </w:r>
    </w:p>
    <w:p w14:paraId="7CBC3E71" w14:textId="13329387" w:rsidR="008A0736" w:rsidRDefault="00B85721" w:rsidP="008A0736">
      <w:pPr>
        <w:pStyle w:val="Heading1"/>
        <w:divId w:val="935526654"/>
      </w:pPr>
      <w:r>
        <w:t>Background</w:t>
      </w:r>
    </w:p>
    <w:p w14:paraId="6F411B1B" w14:textId="77777777" w:rsidR="00B85721" w:rsidRPr="0001344C" w:rsidRDefault="00B85721" w:rsidP="00B85721">
      <w:pPr>
        <w:divId w:val="935526654"/>
        <w:rPr>
          <w:lang w:val="en-GB"/>
        </w:rPr>
      </w:pPr>
      <w:r w:rsidRPr="0001344C">
        <w:rPr>
          <w:lang w:val="en-GB"/>
        </w:rPr>
        <w:t xml:space="preserve">Japanese Encephalitis Virus (JEV) is a mosquito-borne RNA virus belonging to the genus </w:t>
      </w:r>
      <w:r w:rsidRPr="0001344C">
        <w:rPr>
          <w:i/>
          <w:iCs/>
          <w:lang w:val="en-GB"/>
        </w:rPr>
        <w:t>Flavivirus</w:t>
      </w:r>
      <w:r w:rsidRPr="0001344C">
        <w:rPr>
          <w:lang w:val="en-GB"/>
        </w:rPr>
        <w:t>, with five distinct genotypes (GI–GV). Mosquitos transmit JEV to a range of vertebrate hosts, including water birds and pigs, to maintain a natural and domestic transmission cycle.</w:t>
      </w:r>
      <w:r w:rsidRPr="0001344C">
        <w:rPr>
          <w:vertAlign w:val="superscript"/>
          <w:lang w:val="en-GB"/>
        </w:rPr>
        <w:t>1–3</w:t>
      </w:r>
      <w:r w:rsidRPr="0001344C">
        <w:rPr>
          <w:lang w:val="en-GB"/>
        </w:rPr>
        <w:t xml:space="preserve"> Whilst humans are susceptible to JEV infection, they do not transmit the virus.</w:t>
      </w:r>
      <w:r w:rsidRPr="0001344C">
        <w:rPr>
          <w:vertAlign w:val="superscript"/>
          <w:lang w:val="en-GB"/>
        </w:rPr>
        <w:t>3</w:t>
      </w:r>
      <w:r w:rsidRPr="0001344C">
        <w:rPr>
          <w:lang w:val="en-GB"/>
        </w:rPr>
        <w:t xml:space="preserve"> </w:t>
      </w:r>
    </w:p>
    <w:p w14:paraId="2FB9D1A5" w14:textId="77777777" w:rsidR="00B85721" w:rsidRPr="0001344C" w:rsidRDefault="00B85721" w:rsidP="00B85721">
      <w:pPr>
        <w:divId w:val="935526654"/>
        <w:rPr>
          <w:lang w:val="en-GB"/>
        </w:rPr>
      </w:pPr>
      <w:r w:rsidRPr="0001344C">
        <w:rPr>
          <w:lang w:val="en-GB"/>
        </w:rPr>
        <w:t>Although most cases of JEV infection are asymptomatic, some may experience a mild febrile illness and approximately 1% of infections may result in Japanese encephalitis (JE).</w:t>
      </w:r>
      <w:r w:rsidRPr="0001344C">
        <w:rPr>
          <w:vertAlign w:val="superscript"/>
          <w:lang w:val="en-GB"/>
        </w:rPr>
        <w:t>3,4</w:t>
      </w:r>
      <w:r w:rsidRPr="0001344C">
        <w:rPr>
          <w:lang w:val="en-GB"/>
        </w:rPr>
        <w:t xml:space="preserve"> The estimated annual incidence of JE is 68,000–100,000 cases worldwide.</w:t>
      </w:r>
      <w:r w:rsidRPr="0001344C">
        <w:rPr>
          <w:vertAlign w:val="superscript"/>
          <w:lang w:val="en-GB"/>
        </w:rPr>
        <w:t>5,6</w:t>
      </w:r>
      <w:r w:rsidRPr="0001344C">
        <w:rPr>
          <w:lang w:val="en-GB"/>
        </w:rPr>
        <w:t xml:space="preserve"> This is likely underestimated, given limitations of surveillance in endemic countries.</w:t>
      </w:r>
      <w:r w:rsidRPr="0001344C">
        <w:rPr>
          <w:vertAlign w:val="superscript"/>
          <w:lang w:val="en-GB"/>
        </w:rPr>
        <w:t>1</w:t>
      </w:r>
      <w:r w:rsidRPr="0001344C">
        <w:rPr>
          <w:lang w:val="en-GB"/>
        </w:rPr>
        <w:t xml:space="preserve"> The mortality rate of JE is estimated to be in the range 16–24%, with 44–49% of surviving cases experiencing ongoing neurological sequelae.</w:t>
      </w:r>
      <w:r w:rsidRPr="0001344C">
        <w:rPr>
          <w:vertAlign w:val="superscript"/>
          <w:lang w:val="en-GB"/>
        </w:rPr>
        <w:t>7</w:t>
      </w:r>
      <w:r w:rsidRPr="0001344C">
        <w:rPr>
          <w:lang w:val="en-GB"/>
        </w:rPr>
        <w:t xml:space="preserve"> </w:t>
      </w:r>
    </w:p>
    <w:p w14:paraId="06AC8415" w14:textId="77777777" w:rsidR="00B85721" w:rsidRPr="0001344C" w:rsidRDefault="00B85721" w:rsidP="00B85721">
      <w:pPr>
        <w:divId w:val="935526654"/>
        <w:rPr>
          <w:lang w:val="en-GB"/>
        </w:rPr>
      </w:pPr>
      <w:r w:rsidRPr="0001344C">
        <w:rPr>
          <w:lang w:val="en-GB"/>
        </w:rPr>
        <w:t>JEV has spread extensively over the last 50 years through South East Asia and the Western Pacific,</w:t>
      </w:r>
      <w:r w:rsidRPr="0001344C">
        <w:rPr>
          <w:vertAlign w:val="superscript"/>
          <w:lang w:val="en-GB"/>
        </w:rPr>
        <w:t>3,8</w:t>
      </w:r>
      <w:r w:rsidRPr="0001344C">
        <w:rPr>
          <w:lang w:val="en-GB"/>
        </w:rPr>
        <w:t xml:space="preserve"> and is endemic in over 24 countries across these regions.</w:t>
      </w:r>
      <w:r w:rsidRPr="0001344C">
        <w:rPr>
          <w:vertAlign w:val="superscript"/>
          <w:lang w:val="en-GB"/>
        </w:rPr>
        <w:t>9</w:t>
      </w:r>
      <w:r w:rsidRPr="0001344C">
        <w:rPr>
          <w:lang w:val="en-GB"/>
        </w:rPr>
        <w:t xml:space="preserve"> In Australia, JEV cases have been limited to small localised outbreaks, or imported following overseas acquisition during travel to JEV-endemic countries.</w:t>
      </w:r>
      <w:r w:rsidRPr="0001344C">
        <w:rPr>
          <w:vertAlign w:val="superscript"/>
          <w:lang w:val="en-GB"/>
        </w:rPr>
        <w:t>10</w:t>
      </w:r>
      <w:r w:rsidRPr="0001344C">
        <w:rPr>
          <w:lang w:val="en-GB"/>
        </w:rPr>
        <w:t xml:space="preserve"> JEV was first detected in Australia in 1995, when an outbreak of three cases was identified on Badu Island in the Torres Strait.</w:t>
      </w:r>
      <w:r w:rsidRPr="0001344C">
        <w:rPr>
          <w:vertAlign w:val="superscript"/>
          <w:lang w:val="en-GB"/>
        </w:rPr>
        <w:t>11</w:t>
      </w:r>
      <w:r w:rsidRPr="0001344C">
        <w:rPr>
          <w:lang w:val="en-GB"/>
        </w:rPr>
        <w:t xml:space="preserve"> Two cases occurred in 1998, with one case identified in the Torres Strait and the other on Cape York Peninsula, which was the first detection of JEV on mainland Australia.</w:t>
      </w:r>
      <w:r w:rsidRPr="0001344C">
        <w:rPr>
          <w:vertAlign w:val="superscript"/>
          <w:lang w:val="en-GB"/>
        </w:rPr>
        <w:t>12</w:t>
      </w:r>
      <w:r w:rsidRPr="0001344C">
        <w:rPr>
          <w:lang w:val="en-GB"/>
        </w:rPr>
        <w:t xml:space="preserve"> </w:t>
      </w:r>
    </w:p>
    <w:p w14:paraId="2353C4A4" w14:textId="77777777" w:rsidR="00B85721" w:rsidRPr="0001344C" w:rsidRDefault="00B85721" w:rsidP="00B85721">
      <w:pPr>
        <w:divId w:val="935526654"/>
        <w:rPr>
          <w:lang w:val="en-GB"/>
        </w:rPr>
      </w:pPr>
      <w:r w:rsidRPr="0001344C">
        <w:rPr>
          <w:lang w:val="en-GB"/>
        </w:rPr>
        <w:t>Environmental surveillance programs for JEV were conducted in the Torres Strait between 1995 and 2005 and in north-eastern Australia since 1998.</w:t>
      </w:r>
      <w:r w:rsidRPr="0001344C">
        <w:rPr>
          <w:vertAlign w:val="superscript"/>
          <w:lang w:val="en-GB"/>
        </w:rPr>
        <w:t>13</w:t>
      </w:r>
      <w:r w:rsidRPr="0001344C">
        <w:rPr>
          <w:lang w:val="en-GB"/>
        </w:rPr>
        <w:t xml:space="preserve"> Between 1995 and 2005, the continuous presence of JEV in mosquitos and pigs was detected in both regions.</w:t>
      </w:r>
      <w:r w:rsidRPr="0001344C">
        <w:rPr>
          <w:vertAlign w:val="superscript"/>
          <w:lang w:val="en-GB"/>
        </w:rPr>
        <w:t>13–17</w:t>
      </w:r>
      <w:r w:rsidRPr="0001344C">
        <w:rPr>
          <w:lang w:val="en-GB"/>
        </w:rPr>
        <w:t xml:space="preserve"> Following this period, there were no further cases or environmental or animal detections.</w:t>
      </w:r>
      <w:r w:rsidRPr="0001344C">
        <w:rPr>
          <w:vertAlign w:val="superscript"/>
          <w:lang w:val="en-GB"/>
        </w:rPr>
        <w:t>8,13,18</w:t>
      </w:r>
      <w:r w:rsidRPr="0001344C">
        <w:rPr>
          <w:lang w:val="en-GB"/>
        </w:rPr>
        <w:t xml:space="preserve"> The status of JEV in the Torres Strait since 2005 remains unknown.</w:t>
      </w:r>
      <w:r w:rsidRPr="0001344C">
        <w:rPr>
          <w:vertAlign w:val="superscript"/>
          <w:lang w:val="en-GB"/>
        </w:rPr>
        <w:t>13</w:t>
      </w:r>
      <w:r w:rsidRPr="0001344C">
        <w:rPr>
          <w:lang w:val="en-GB"/>
        </w:rPr>
        <w:t xml:space="preserve"> </w:t>
      </w:r>
    </w:p>
    <w:p w14:paraId="5FAB8518" w14:textId="77777777" w:rsidR="00B85721" w:rsidRPr="0001344C" w:rsidRDefault="00B85721" w:rsidP="00B85721">
      <w:pPr>
        <w:divId w:val="935526654"/>
        <w:rPr>
          <w:lang w:val="en-GB"/>
        </w:rPr>
      </w:pPr>
      <w:r w:rsidRPr="0001344C">
        <w:rPr>
          <w:lang w:val="en-GB"/>
        </w:rPr>
        <w:t>In early 2021, a single JEV case was detected in a resident of the Tiwi Islands in the Northern Territory.</w:t>
      </w:r>
      <w:r w:rsidRPr="0001344C">
        <w:rPr>
          <w:vertAlign w:val="superscript"/>
          <w:lang w:val="en-GB"/>
        </w:rPr>
        <w:t>19</w:t>
      </w:r>
      <w:r w:rsidRPr="0001344C">
        <w:rPr>
          <w:lang w:val="en-GB"/>
        </w:rPr>
        <w:t xml:space="preserve"> In</w:t>
      </w:r>
      <w:r>
        <w:rPr>
          <w:lang w:val="en-GB"/>
        </w:rPr>
        <w:t> </w:t>
      </w:r>
      <w:r w:rsidRPr="0001344C">
        <w:rPr>
          <w:lang w:val="en-GB"/>
        </w:rPr>
        <w:t>February 2022, JEV was detected and confirmed in commercial piggeries in Victoria, New South Wales, South Australia and Queensland.</w:t>
      </w:r>
      <w:r w:rsidRPr="0001344C">
        <w:rPr>
          <w:vertAlign w:val="superscript"/>
          <w:lang w:val="en-GB"/>
        </w:rPr>
        <w:t>20</w:t>
      </w:r>
      <w:r w:rsidRPr="0001344C">
        <w:rPr>
          <w:lang w:val="en-GB"/>
        </w:rPr>
        <w:t xml:space="preserve"> This was the first time that JEV had been detected in south-eastern Australia. Human cases were identified in multiple states and territories during February–June 2022.</w:t>
      </w:r>
    </w:p>
    <w:p w14:paraId="521DC86D" w14:textId="77777777" w:rsidR="00B85721" w:rsidRPr="0001344C" w:rsidRDefault="00B85721" w:rsidP="00B85721">
      <w:pPr>
        <w:divId w:val="935526654"/>
        <w:rPr>
          <w:lang w:val="en-GB"/>
        </w:rPr>
      </w:pPr>
      <w:r w:rsidRPr="0001344C">
        <w:rPr>
          <w:lang w:val="en-GB"/>
        </w:rPr>
        <w:t>The 2021 Northern Territory case and the February 2022 detections in commercial piggeries were identified as the same JEV genotype (Genotype IV),</w:t>
      </w:r>
      <w:r w:rsidRPr="0001344C">
        <w:rPr>
          <w:vertAlign w:val="superscript"/>
          <w:lang w:val="en-GB"/>
        </w:rPr>
        <w:t>21</w:t>
      </w:r>
      <w:r w:rsidRPr="0001344C">
        <w:rPr>
          <w:lang w:val="en-GB"/>
        </w:rPr>
        <w:t xml:space="preserve"> and were unrelated to previous incursions of JEV in Australia (Genotype II).</w:t>
      </w:r>
      <w:r w:rsidRPr="0001344C">
        <w:rPr>
          <w:vertAlign w:val="superscript"/>
          <w:lang w:val="en-GB"/>
        </w:rPr>
        <w:t>11,15</w:t>
      </w:r>
      <w:r w:rsidRPr="0001344C">
        <w:rPr>
          <w:lang w:val="en-GB"/>
        </w:rPr>
        <w:t xml:space="preserve"> An outbreak investigation commenced, incorporating human, animal, environmental and laboratory sectors. </w:t>
      </w:r>
    </w:p>
    <w:p w14:paraId="5B9EEE37" w14:textId="77777777" w:rsidR="00B85721" w:rsidRPr="0001344C" w:rsidRDefault="00B85721" w:rsidP="00B85721">
      <w:pPr>
        <w:divId w:val="935526654"/>
        <w:rPr>
          <w:lang w:val="en-GB"/>
        </w:rPr>
      </w:pPr>
      <w:r w:rsidRPr="0001344C">
        <w:rPr>
          <w:lang w:val="en-GB"/>
        </w:rPr>
        <w:lastRenderedPageBreak/>
        <w:t>On 4 March 2022, the JEV outbreak was declared a ‘Communicable Disease Incident of National Significance’ (CDINS) as the first human cases of JEV were confirmed.</w:t>
      </w:r>
      <w:r w:rsidRPr="0001344C">
        <w:rPr>
          <w:vertAlign w:val="superscript"/>
          <w:lang w:val="en-GB"/>
        </w:rPr>
        <w:t>22</w:t>
      </w:r>
      <w:r w:rsidRPr="0001344C">
        <w:rPr>
          <w:lang w:val="en-GB"/>
        </w:rPr>
        <w:t xml:space="preserve"> This paper describes the epidemiology of human JEV cases reported in Australia during the period between January 2021 and June 2022. </w:t>
      </w:r>
    </w:p>
    <w:p w14:paraId="13957E42" w14:textId="77777777" w:rsidR="008A0736" w:rsidRDefault="008A0736" w:rsidP="008A0736">
      <w:pPr>
        <w:pStyle w:val="Heading1"/>
        <w:divId w:val="935526654"/>
        <w:rPr>
          <w:lang w:val="en-GB"/>
        </w:rPr>
      </w:pPr>
      <w:r>
        <w:rPr>
          <w:lang w:val="en-GB"/>
        </w:rPr>
        <w:t>Methods</w:t>
      </w:r>
    </w:p>
    <w:p w14:paraId="42264DAA" w14:textId="77777777" w:rsidR="00B85721" w:rsidRDefault="00B85721" w:rsidP="00B85721">
      <w:pPr>
        <w:pStyle w:val="Heading2"/>
        <w:divId w:val="935526654"/>
        <w:rPr>
          <w:lang w:val="en-GB"/>
        </w:rPr>
      </w:pPr>
      <w:r>
        <w:rPr>
          <w:lang w:val="en-GB"/>
        </w:rPr>
        <w:t>Case definition</w:t>
      </w:r>
    </w:p>
    <w:p w14:paraId="527E40FB" w14:textId="77777777" w:rsidR="00B85721" w:rsidRDefault="00B85721" w:rsidP="00B85721">
      <w:pPr>
        <w:divId w:val="935526654"/>
        <w:rPr>
          <w:vertAlign w:val="superscript"/>
          <w:lang w:val="en-GB"/>
        </w:rPr>
      </w:pPr>
      <w:r w:rsidRPr="0001344C">
        <w:rPr>
          <w:lang w:val="en-GB"/>
        </w:rPr>
        <w:t>Human cases of confirmed and probable JEV infection (Box 1), reported in Australia between 1 January 2021 and 30 June 2022, are included. The outbreak case definition evolved over time, with the presented version endorsed in September 2022. Laboratories testing for JEV applied the Public Health Laboratory Network (PHLN) flavivirus laboratory case definition (amended in May 2022).</w:t>
      </w:r>
      <w:r w:rsidRPr="0001344C">
        <w:rPr>
          <w:vertAlign w:val="superscript"/>
          <w:lang w:val="en-GB"/>
        </w:rPr>
        <w:t>23</w:t>
      </w:r>
    </w:p>
    <w:p w14:paraId="508FCF4C" w14:textId="77777777" w:rsidR="00B85721" w:rsidRPr="0001344C" w:rsidRDefault="00B85721" w:rsidP="00B85721">
      <w:pPr>
        <w:pStyle w:val="Heading2"/>
        <w:divId w:val="935526654"/>
        <w:rPr>
          <w:lang w:val="en-GB"/>
        </w:rPr>
      </w:pPr>
      <w:r>
        <w:rPr>
          <w:lang w:val="en-GB"/>
        </w:rPr>
        <w:t>Data sources</w:t>
      </w:r>
    </w:p>
    <w:p w14:paraId="381088F3" w14:textId="7EC1DC00" w:rsidR="00B85721" w:rsidRPr="0001344C" w:rsidRDefault="00B85721" w:rsidP="00B85721">
      <w:pPr>
        <w:divId w:val="935526654"/>
        <w:rPr>
          <w:lang w:val="en-GB"/>
        </w:rPr>
      </w:pPr>
      <w:r w:rsidRPr="0001344C">
        <w:rPr>
          <w:lang w:val="en-GB"/>
        </w:rPr>
        <w:t>De-identified line-listed case data were provided by states and territories via a Resea</w:t>
      </w:r>
      <w:r>
        <w:rPr>
          <w:lang w:val="en-GB"/>
        </w:rPr>
        <w:t>r</w:t>
      </w:r>
      <w:r w:rsidRPr="0001344C">
        <w:rPr>
          <w:lang w:val="en-GB"/>
        </w:rPr>
        <w:t xml:space="preserve">ch Electronic Data Capture (REDCap) database and the National Notifiable Disease Surveillance System (NNDSS), to the Australian Government Department of Health and Aged Care under the auspices of the </w:t>
      </w:r>
      <w:r w:rsidRPr="0001344C">
        <w:rPr>
          <w:i/>
          <w:iCs/>
          <w:lang w:val="en-GB"/>
        </w:rPr>
        <w:t>National Health Security Act 2007</w:t>
      </w:r>
      <w:r w:rsidRPr="0001344C">
        <w:rPr>
          <w:lang w:val="en-GB"/>
        </w:rPr>
        <w:t>. Data were extracted from the REDCap database and the NNDSS on 17 January 2023; due to the dynamic nature of these databases, the data are subject to retrospective revision.</w:t>
      </w:r>
    </w:p>
    <w:p w14:paraId="6D62B328" w14:textId="77777777" w:rsidR="00B85721" w:rsidRPr="0001344C" w:rsidRDefault="00B85721" w:rsidP="00B85721">
      <w:pPr>
        <w:divId w:val="935526654"/>
        <w:rPr>
          <w:lang w:val="en-GB"/>
        </w:rPr>
      </w:pPr>
      <w:r w:rsidRPr="0001344C">
        <w:rPr>
          <w:lang w:val="en-GB"/>
        </w:rPr>
        <w:t>Cases, or their next of kin, were interviewed by state and territory health departments, using either a state-based questionnaire or a national questionnaire developed in March 2022. Most cases were interviewed using state-based questionnaires, which collected similar information but were tailored to each jurisdiction. Data collected included demographic, symptom, outcome, exposure information, and all locations cases had visited in the 21 days prior to symptom onset. If case interviews were not possible, states and territories reviewed clinical records.</w:t>
      </w:r>
    </w:p>
    <w:p w14:paraId="7E800069" w14:textId="77777777" w:rsidR="00B85721" w:rsidRDefault="00B85721" w:rsidP="00B85721">
      <w:pPr>
        <w:divId w:val="935526654"/>
        <w:rPr>
          <w:lang w:val="en-GB"/>
        </w:rPr>
      </w:pPr>
      <w:r w:rsidRPr="0001344C">
        <w:rPr>
          <w:lang w:val="en-GB"/>
        </w:rPr>
        <w:t xml:space="preserve">Based on exposure location information, the local government area (LGA) of likely exposure was determined by states and territories through epidemiological assessment. Where cases had spent part of their exposure period in multiple LGAs and there was plausible risk exposure within each LGA, assigning a single LGA of likely exposure was difficult; therefore, some cases were assessed to have more than one LGA of likely exposure. </w:t>
      </w:r>
      <w:r>
        <w:rPr>
          <w:lang w:val="en-GB"/>
        </w:rPr>
        <w:br w:type="page"/>
      </w:r>
    </w:p>
    <w:p w14:paraId="74AC2404" w14:textId="77777777" w:rsidR="00B85721" w:rsidRDefault="00B85721" w:rsidP="00E518FD">
      <w:pPr>
        <w:pStyle w:val="Heading3-lineabove"/>
        <w:outlineLvl w:val="2"/>
        <w:divId w:val="935526654"/>
      </w:pPr>
      <w:r>
        <w:lastRenderedPageBreak/>
        <w:t xml:space="preserve">Box 1: </w:t>
      </w:r>
      <w:r w:rsidRPr="00EA1BAD">
        <w:t>Japanese encephalitis virus outbreak case definitions, as endorsed by the Communicable Diseases Network Australia</w:t>
      </w:r>
    </w:p>
    <w:p w14:paraId="0AEEB0CE" w14:textId="77777777" w:rsidR="00B85721" w:rsidRDefault="00B85721" w:rsidP="00B85721">
      <w:pPr>
        <w:divId w:val="935526654"/>
      </w:pPr>
      <w:r w:rsidRPr="00EA1BAD">
        <w:rPr>
          <w:b/>
          <w:bCs/>
        </w:rPr>
        <w:t>Confirmed case</w:t>
      </w:r>
      <w:r>
        <w:t xml:space="preserve">: a person with Japanese encephalitis virus (JEV) infection diagnosed by a reference laboratory requiring </w:t>
      </w:r>
      <w:r w:rsidRPr="00EA1BAD">
        <w:rPr>
          <w:i/>
          <w:iCs/>
        </w:rPr>
        <w:t>laboratory definitive evidence</w:t>
      </w:r>
      <w:r>
        <w:t xml:space="preserve"> only on a specimen with collection date from 1 January 2021, where Australia is the likely place of acquisition. </w:t>
      </w:r>
    </w:p>
    <w:p w14:paraId="0201925A" w14:textId="77777777" w:rsidR="00B85721" w:rsidRDefault="00B85721" w:rsidP="00B85721">
      <w:pPr>
        <w:divId w:val="935526654"/>
      </w:pPr>
      <w:r w:rsidRPr="00EA1BAD">
        <w:rPr>
          <w:b/>
          <w:bCs/>
        </w:rPr>
        <w:t>Probable case</w:t>
      </w:r>
      <w:r>
        <w:t xml:space="preserve">: a person with JEV infection diagnosed by a reference laboratory requiring </w:t>
      </w:r>
      <w:r w:rsidRPr="00DF2E7E">
        <w:rPr>
          <w:i/>
          <w:iCs/>
        </w:rPr>
        <w:t>laboratory suggestive evidence</w:t>
      </w:r>
      <w:r>
        <w:t xml:space="preserve"> on a specimen with collection date from 1 January 2021, where Australia is the likely place of acquisition </w:t>
      </w:r>
      <w:r w:rsidRPr="00EA1BAD">
        <w:rPr>
          <w:b/>
          <w:bCs/>
        </w:rPr>
        <w:t>AND EITHER</w:t>
      </w:r>
      <w:r>
        <w:t xml:space="preserve"> </w:t>
      </w:r>
    </w:p>
    <w:p w14:paraId="11582D10" w14:textId="77777777" w:rsidR="00B85721" w:rsidRDefault="00B85721" w:rsidP="00B85721">
      <w:pPr>
        <w:pStyle w:val="CDINumberedListaL2"/>
        <w:divId w:val="935526654"/>
      </w:pPr>
      <w:r>
        <w:t xml:space="preserve">epidemiological evidence </w:t>
      </w:r>
    </w:p>
    <w:p w14:paraId="7EC57249" w14:textId="77777777" w:rsidR="00B85721" w:rsidRPr="00DF2E7E" w:rsidRDefault="00B85721" w:rsidP="00B85721">
      <w:pPr>
        <w:pStyle w:val="Indent"/>
        <w:divId w:val="935526654"/>
        <w:rPr>
          <w:rFonts w:eastAsiaTheme="minorEastAsia" w:cs="Minion3-Regular"/>
          <w:szCs w:val="23"/>
          <w:lang w:val="en-GB"/>
        </w:rPr>
      </w:pPr>
      <w:r w:rsidRPr="00DF2E7E">
        <w:rPr>
          <w:b/>
          <w:bCs/>
        </w:rPr>
        <w:t>OR</w:t>
      </w:r>
      <w:r w:rsidRPr="00DF2E7E">
        <w:rPr>
          <w:rFonts w:eastAsiaTheme="minorEastAsia" w:cs="Minion3-Regular"/>
          <w:szCs w:val="23"/>
          <w:lang w:val="en-GB"/>
        </w:rPr>
        <w:t xml:space="preserve"> </w:t>
      </w:r>
    </w:p>
    <w:p w14:paraId="77BE698E" w14:textId="77777777" w:rsidR="00B85721" w:rsidRDefault="00B85721" w:rsidP="00B85721">
      <w:pPr>
        <w:pStyle w:val="CDINumberedListaL2"/>
        <w:divId w:val="935526654"/>
      </w:pPr>
      <w:r>
        <w:t xml:space="preserve">clinical evidence with onset of clinical symptoms from 1 January 2021. </w:t>
      </w:r>
    </w:p>
    <w:p w14:paraId="5EE46359" w14:textId="77777777" w:rsidR="00B85721" w:rsidRPr="00DF2E7E" w:rsidRDefault="00B85721" w:rsidP="00B85721">
      <w:pPr>
        <w:divId w:val="935526654"/>
        <w:rPr>
          <w:b/>
          <w:bCs/>
        </w:rPr>
      </w:pPr>
      <w:r w:rsidRPr="00DF2E7E">
        <w:rPr>
          <w:b/>
          <w:bCs/>
        </w:rPr>
        <w:t>Epidemiological evidence</w:t>
      </w:r>
    </w:p>
    <w:p w14:paraId="7AC4236C" w14:textId="77777777" w:rsidR="00B85721" w:rsidRDefault="00B85721" w:rsidP="00B85721">
      <w:pPr>
        <w:divId w:val="935526654"/>
      </w:pPr>
      <w:r>
        <w:t>A person who has spent time from 1 January 2021 in a location considered high risk for JEV in Australia. High risk locations include: areas where there are confirmed detections of JEV in humans, mosquitoes, or animals; being in proximity to domestic or feral pigs in occupational, residential or recreational settings; or areas where occupational or recreational outdoor activities are undertaken near potentially productive mosquito habitat.</w:t>
      </w:r>
    </w:p>
    <w:p w14:paraId="518FDB1F" w14:textId="77777777" w:rsidR="00B85721" w:rsidRPr="00DF2E7E" w:rsidRDefault="00B85721" w:rsidP="00B85721">
      <w:pPr>
        <w:divId w:val="935526654"/>
        <w:rPr>
          <w:b/>
          <w:bCs/>
        </w:rPr>
      </w:pPr>
      <w:r w:rsidRPr="00DF2E7E">
        <w:rPr>
          <w:b/>
          <w:bCs/>
        </w:rPr>
        <w:t>Clinical evidence</w:t>
      </w:r>
    </w:p>
    <w:p w14:paraId="16D61BE4" w14:textId="77777777" w:rsidR="00B85721" w:rsidRDefault="00B85721" w:rsidP="00B85721">
      <w:pPr>
        <w:divId w:val="935526654"/>
      </w:pPr>
      <w:r>
        <w:t>A person presenting with encephalitic disease (acute meningoencephalitis) or non-encephalitic case (acute febrile illness with headache, with or without myalgia and rash with an onset of illness).</w:t>
      </w:r>
    </w:p>
    <w:p w14:paraId="2EF8B553" w14:textId="77777777" w:rsidR="00B85721" w:rsidRPr="00DF2E7E" w:rsidRDefault="00B85721" w:rsidP="00B85721">
      <w:pPr>
        <w:divId w:val="935526654"/>
        <w:rPr>
          <w:b/>
          <w:bCs/>
        </w:rPr>
      </w:pPr>
      <w:r w:rsidRPr="00DF2E7E">
        <w:rPr>
          <w:b/>
          <w:bCs/>
        </w:rPr>
        <w:t>Recommended laboratory practises for the diagnosis of JEV (as described in the Public Health Laboratory Network flavivirus laboratory case definition)</w:t>
      </w:r>
    </w:p>
    <w:p w14:paraId="1650ED2C" w14:textId="77777777" w:rsidR="00B85721" w:rsidRPr="008446AE" w:rsidRDefault="00B85721" w:rsidP="008446AE">
      <w:pPr>
        <w:pStyle w:val="CDIBullets-L1"/>
        <w:divId w:val="935526654"/>
      </w:pPr>
      <w:r w:rsidRPr="008446AE">
        <w:t>JEV specific nucleic acid amplification methods were used on cerebrospinal fluid (CSF), whole blood and urine samples targeting non-structural proteins and the E gene.</w:t>
      </w:r>
    </w:p>
    <w:p w14:paraId="39A7776B" w14:textId="77777777" w:rsidR="00B85721" w:rsidRPr="008446AE" w:rsidRDefault="00B85721" w:rsidP="008446AE">
      <w:pPr>
        <w:pStyle w:val="CDIBullets-L1"/>
        <w:divId w:val="935526654"/>
      </w:pPr>
      <w:r w:rsidRPr="008446AE">
        <w:t>JEV specific serology was performed on CSF and serum samples to detect JEV-specific immunoglobulin M (IgM) using enzyme immunoassays. Cross-reactivity of antibodies against other flaviviruses is common and serological tests for Dengue virus (DENV), Murray Valley encephalitis virus (MVEV) and Kunjin strain of West Nile Virus (WNVKUN) were also undertaken to aid interpretation of likely cause of IgM rise.</w:t>
      </w:r>
    </w:p>
    <w:p w14:paraId="689D13D1" w14:textId="77777777" w:rsidR="00B85721" w:rsidRDefault="00B85721" w:rsidP="00B85721">
      <w:pPr>
        <w:pStyle w:val="Line"/>
        <w:divId w:val="935526654"/>
      </w:pPr>
    </w:p>
    <w:p w14:paraId="60FC0AED" w14:textId="77777777" w:rsidR="00B85721" w:rsidRDefault="00B85721" w:rsidP="00B85721">
      <w:pPr>
        <w:pStyle w:val="Heading2"/>
        <w:divId w:val="935526654"/>
        <w:rPr>
          <w:lang w:val="en-GB"/>
        </w:rPr>
      </w:pPr>
      <w:r>
        <w:rPr>
          <w:lang w:val="en-GB"/>
        </w:rPr>
        <w:lastRenderedPageBreak/>
        <w:t>Data management and analysis</w:t>
      </w:r>
    </w:p>
    <w:p w14:paraId="403C0ACD" w14:textId="77777777" w:rsidR="00B85721" w:rsidRPr="0001344C" w:rsidRDefault="00B85721" w:rsidP="00B85721">
      <w:pPr>
        <w:divId w:val="935526654"/>
        <w:rPr>
          <w:lang w:val="en-GB"/>
        </w:rPr>
      </w:pPr>
      <w:r w:rsidRPr="0001344C">
        <w:rPr>
          <w:lang w:val="en-GB"/>
        </w:rPr>
        <w:t>We conducted descriptive analysis of JEV cases. Cases were stratified by sex, age, Indigenous status, jurisdiction of residence, and likely exposure location. The Australian Bureau of Statistics (ABS) national and state Estimated Resident Populations from December 2021 were used to calculate rates per 100,000 population.</w:t>
      </w:r>
      <w:r w:rsidRPr="0001344C">
        <w:rPr>
          <w:vertAlign w:val="superscript"/>
          <w:lang w:val="en-GB"/>
        </w:rPr>
        <w:t>24</w:t>
      </w:r>
      <w:r w:rsidRPr="0001344C">
        <w:rPr>
          <w:lang w:val="en-GB"/>
        </w:rPr>
        <w:t xml:space="preserve"> Analyses were conducted in R studio v4.0.0 (2020) and Microsoft Excel version 2108 (2022). Cases were analysed by date of onset or, where date of onset was not reported, by first specimen collection date. Cases reported without an </w:t>
      </w:r>
      <w:proofErr w:type="gramStart"/>
      <w:r w:rsidRPr="0001344C">
        <w:rPr>
          <w:lang w:val="en-GB"/>
        </w:rPr>
        <w:t>onset</w:t>
      </w:r>
      <w:proofErr w:type="gramEnd"/>
      <w:r w:rsidRPr="0001344C">
        <w:rPr>
          <w:lang w:val="en-GB"/>
        </w:rPr>
        <w:t xml:space="preserve"> or first specimen collection date were excluded from analysis.</w:t>
      </w:r>
    </w:p>
    <w:p w14:paraId="5A77391B" w14:textId="77777777" w:rsidR="00B85721" w:rsidRPr="0001344C" w:rsidRDefault="00B85721" w:rsidP="00B85721">
      <w:pPr>
        <w:divId w:val="935526654"/>
        <w:rPr>
          <w:lang w:val="en-GB"/>
        </w:rPr>
      </w:pPr>
      <w:r w:rsidRPr="0001344C">
        <w:rPr>
          <w:lang w:val="en-GB"/>
        </w:rPr>
        <w:t>LGAs were applied as per the Australian Statistical Geography Standard (ASGS) statistical area.</w:t>
      </w:r>
      <w:r w:rsidRPr="0001344C">
        <w:rPr>
          <w:vertAlign w:val="superscript"/>
          <w:lang w:val="en-GB"/>
        </w:rPr>
        <w:t>25</w:t>
      </w:r>
      <w:r w:rsidRPr="0001344C">
        <w:rPr>
          <w:lang w:val="en-GB"/>
        </w:rPr>
        <w:t xml:space="preserve"> To analyse cases by ASGS 2016 remoteness areas (‘major city’, ‘regional’ and ‘remote’),</w:t>
      </w:r>
      <w:r w:rsidRPr="0001344C">
        <w:rPr>
          <w:vertAlign w:val="superscript"/>
          <w:lang w:val="en-GB"/>
        </w:rPr>
        <w:t>26</w:t>
      </w:r>
      <w:r w:rsidRPr="0001344C">
        <w:rPr>
          <w:lang w:val="en-GB"/>
        </w:rPr>
        <w:t xml:space="preserve"> the ‘LGA of likely exposure’ and the ‘LGA of residence’ were categorised using Arc GIS Pro 10.3 mapping software (2022).</w:t>
      </w:r>
      <w:r>
        <w:rPr>
          <w:lang w:val="en-GB"/>
        </w:rPr>
        <w:t xml:space="preserve"> </w:t>
      </w:r>
      <w:r w:rsidRPr="0001344C">
        <w:rPr>
          <w:lang w:val="en-GB"/>
        </w:rPr>
        <w:t>If the LGA of residence overlapped the ASGS remoteness areas, data from the REDCap database were matched to NNDSS using jurisdictional IDs to identify the case postcode of residence. This postcode was used to determine the ASGS remoteness area of residence. Mapping of postcodes for ‘likely exposure’ to ASGS remoteness area was not possible, as these data were not collected nationally.</w:t>
      </w:r>
    </w:p>
    <w:p w14:paraId="2AD6AA76" w14:textId="77777777" w:rsidR="00B85721" w:rsidRPr="0001344C" w:rsidRDefault="00B85721" w:rsidP="00B85721">
      <w:pPr>
        <w:divId w:val="935526654"/>
        <w:rPr>
          <w:lang w:val="en-GB"/>
        </w:rPr>
      </w:pPr>
      <w:r w:rsidRPr="0001344C">
        <w:rPr>
          <w:lang w:val="en-GB"/>
        </w:rPr>
        <w:t xml:space="preserve">To determine the proximity of the ‘LGA of likely exposure’ to the ‘LGA of residence’, distance-driving times were analysed. If a case had multiple ‘LGAs of likely exposure’, the shortest distance to the LGA of residence was selected. Given the large geographical areas of LGAs </w:t>
      </w:r>
      <w:proofErr w:type="gramStart"/>
      <w:r w:rsidRPr="0001344C">
        <w:rPr>
          <w:lang w:val="en-GB"/>
        </w:rPr>
        <w:t>reported,</w:t>
      </w:r>
      <w:proofErr w:type="gramEnd"/>
      <w:r w:rsidRPr="0001344C">
        <w:rPr>
          <w:lang w:val="en-GB"/>
        </w:rPr>
        <w:t xml:space="preserve"> this analysis only approximates distance.</w:t>
      </w:r>
    </w:p>
    <w:p w14:paraId="085628B1" w14:textId="77777777" w:rsidR="00B85721" w:rsidRDefault="00B85721" w:rsidP="00B85721">
      <w:pPr>
        <w:pStyle w:val="Heading2"/>
        <w:divId w:val="935526654"/>
        <w:rPr>
          <w:lang w:val="en-GB"/>
        </w:rPr>
      </w:pPr>
      <w:r>
        <w:rPr>
          <w:lang w:val="en-GB"/>
        </w:rPr>
        <w:t>Ethical issues</w:t>
      </w:r>
    </w:p>
    <w:p w14:paraId="6C63CE23" w14:textId="77777777" w:rsidR="00B85721" w:rsidRPr="0001344C" w:rsidRDefault="00B85721" w:rsidP="00B85721">
      <w:pPr>
        <w:divId w:val="935526654"/>
        <w:rPr>
          <w:lang w:val="en-GB"/>
        </w:rPr>
      </w:pPr>
      <w:r w:rsidRPr="0001344C">
        <w:rPr>
          <w:lang w:val="en-GB"/>
        </w:rPr>
        <w:t>Ethics approval was provided by Australian National University Human Research Ethics Committee, protocol number 2017/909 for this paper.</w:t>
      </w:r>
    </w:p>
    <w:p w14:paraId="4BE80BA0" w14:textId="77777777" w:rsidR="00B85721" w:rsidRDefault="00B85721" w:rsidP="00B85721">
      <w:pPr>
        <w:pStyle w:val="Heading1"/>
        <w:divId w:val="935526654"/>
        <w:rPr>
          <w:lang w:val="en-GB"/>
        </w:rPr>
      </w:pPr>
      <w:r>
        <w:rPr>
          <w:lang w:val="en-GB"/>
        </w:rPr>
        <w:t>Results</w:t>
      </w:r>
    </w:p>
    <w:p w14:paraId="2012DD28" w14:textId="77777777" w:rsidR="00B85721" w:rsidRPr="00354A10" w:rsidRDefault="00B85721" w:rsidP="00B85721">
      <w:pPr>
        <w:divId w:val="935526654"/>
        <w:rPr>
          <w:lang w:val="en-GB"/>
        </w:rPr>
      </w:pPr>
      <w:r w:rsidRPr="00354A10">
        <w:rPr>
          <w:lang w:val="en-GB"/>
        </w:rPr>
        <w:t xml:space="preserve">In the period from 1 January 2021 to 30 June 2022, there were 42 cases of JEV (32 confirmed and 10 probable) reported in Australia from New South Wales, Victoria, Queensland, South Australia and the Northern Territory (Table 1). </w:t>
      </w:r>
    </w:p>
    <w:p w14:paraId="0EBB0DD1" w14:textId="77777777" w:rsidR="00B85721" w:rsidRDefault="00B85721" w:rsidP="00B85721">
      <w:pPr>
        <w:divId w:val="935526654"/>
        <w:rPr>
          <w:lang w:val="en-GB"/>
        </w:rPr>
      </w:pPr>
      <w:r w:rsidRPr="00354A10">
        <w:rPr>
          <w:lang w:val="en-GB"/>
        </w:rPr>
        <w:t>The national outbreak peaked in February 2022, with most cases (93%; 39/42) occurring over a 14-week period from December 2021 to March 2022 (Figure 1). Whilst cases in Victoria occurred consistently, with notifications on nine of the 14 weeks during this period, Queensland cases were intermittent, occurring a month apart. In New South Wales and South Australia, cases occurred over the same seven-week period from January 2022 to March 2022. The two cases identified in residents of the Northern Territory were sporadic and detected before and after the peak of cases in early 2022. The two cases that reported symptom onset in the first half of 2021 were identified as having likely exposure in the Northern Territory: one a resident of the Northern Territory and the other a Victorian resident who was likely exposed while travelling in the Northern Territory.</w:t>
      </w:r>
    </w:p>
    <w:p w14:paraId="7A962F30" w14:textId="0B64A785" w:rsidR="00B85721" w:rsidRDefault="00B85721" w:rsidP="00B85721">
      <w:pPr>
        <w:pStyle w:val="CDITable-Title"/>
        <w:divId w:val="935526654"/>
      </w:pPr>
      <w:r w:rsidRPr="00B85721">
        <w:lastRenderedPageBreak/>
        <w:t xml:space="preserve">Table 1: Demographic characteristics of Japanese encephalitis virus cases (confirmed and probable), </w:t>
      </w:r>
      <w:proofErr w:type="spellStart"/>
      <w:proofErr w:type="gramStart"/>
      <w:r w:rsidRPr="00B85721">
        <w:t>Australia,</w:t>
      </w:r>
      <w:r w:rsidRPr="00B85721">
        <w:rPr>
          <w:vertAlign w:val="superscript"/>
        </w:rPr>
        <w:t>a</w:t>
      </w:r>
      <w:proofErr w:type="spellEnd"/>
      <w:proofErr w:type="gramEnd"/>
      <w:r w:rsidRPr="00B85721">
        <w:t xml:space="preserve"> 1 January 2021 – 30 June 2022</w:t>
      </w:r>
    </w:p>
    <w:tbl>
      <w:tblPr>
        <w:tblW w:w="0" w:type="auto"/>
        <w:tblLayout w:type="fixed"/>
        <w:tblCellMar>
          <w:left w:w="0" w:type="dxa"/>
          <w:right w:w="0" w:type="dxa"/>
        </w:tblCellMar>
        <w:tblLook w:val="0000" w:firstRow="0" w:lastRow="0" w:firstColumn="0" w:lastColumn="0" w:noHBand="0" w:noVBand="0"/>
        <w:tblCaption w:val="Table 1: Demographic characteristics of Japanese encephalitis virus cases (confirmed and probable), Australia,a 1 January 2021 – 30 June 2022"/>
        <w:tblDescription w:val="Table 1 shows the demographic break down of JEV cases by jurisdiction of residence, sex, age group and indigenous status by number, proportion and rate per 100,000 population."/>
      </w:tblPr>
      <w:tblGrid>
        <w:gridCol w:w="1928"/>
        <w:gridCol w:w="1927"/>
        <w:gridCol w:w="1928"/>
        <w:gridCol w:w="1927"/>
        <w:gridCol w:w="1928"/>
      </w:tblGrid>
      <w:tr w:rsidR="00B85721" w:rsidRPr="00A40882" w14:paraId="11F04F90" w14:textId="77777777" w:rsidTr="00B85721">
        <w:trPr>
          <w:divId w:val="935526654"/>
          <w:trHeight w:val="20"/>
          <w:tblHeader/>
        </w:trPr>
        <w:tc>
          <w:tcPr>
            <w:tcW w:w="3855" w:type="dxa"/>
            <w:gridSpan w:val="2"/>
            <w:shd w:val="clear" w:color="auto" w:fill="033636" w:themeFill="text2"/>
            <w:tcMar>
              <w:top w:w="113" w:type="dxa"/>
              <w:left w:w="113" w:type="dxa"/>
              <w:bottom w:w="113" w:type="dxa"/>
              <w:right w:w="113" w:type="dxa"/>
            </w:tcMar>
            <w:vAlign w:val="bottom"/>
          </w:tcPr>
          <w:p w14:paraId="1517282E" w14:textId="77777777" w:rsidR="00B85721" w:rsidRPr="00A40882" w:rsidRDefault="00B85721" w:rsidP="00B85721">
            <w:pPr>
              <w:pStyle w:val="CDITable-HeaderRowLeft"/>
            </w:pPr>
            <w:r w:rsidRPr="00A40882">
              <w:t>Category</w:t>
            </w:r>
          </w:p>
        </w:tc>
        <w:tc>
          <w:tcPr>
            <w:tcW w:w="1928" w:type="dxa"/>
            <w:shd w:val="clear" w:color="auto" w:fill="033636" w:themeFill="text2"/>
            <w:tcMar>
              <w:top w:w="113" w:type="dxa"/>
              <w:left w:w="113" w:type="dxa"/>
              <w:bottom w:w="113" w:type="dxa"/>
              <w:right w:w="113" w:type="dxa"/>
            </w:tcMar>
            <w:vAlign w:val="bottom"/>
          </w:tcPr>
          <w:p w14:paraId="346D1B64" w14:textId="77777777" w:rsidR="00B85721" w:rsidRPr="00A40882" w:rsidRDefault="00B85721" w:rsidP="00B85721">
            <w:pPr>
              <w:pStyle w:val="CDITable-HeaderRowCentre"/>
            </w:pPr>
            <w:r w:rsidRPr="00A40882">
              <w:t>Number of cases</w:t>
            </w:r>
          </w:p>
        </w:tc>
        <w:tc>
          <w:tcPr>
            <w:tcW w:w="1927" w:type="dxa"/>
            <w:shd w:val="clear" w:color="auto" w:fill="033636" w:themeFill="text2"/>
            <w:tcMar>
              <w:top w:w="113" w:type="dxa"/>
              <w:left w:w="113" w:type="dxa"/>
              <w:bottom w:w="113" w:type="dxa"/>
              <w:right w:w="113" w:type="dxa"/>
            </w:tcMar>
            <w:vAlign w:val="bottom"/>
          </w:tcPr>
          <w:p w14:paraId="58C0AB63" w14:textId="77777777" w:rsidR="00B85721" w:rsidRPr="00A40882" w:rsidRDefault="00B85721" w:rsidP="00B85721">
            <w:pPr>
              <w:pStyle w:val="CDITable-HeaderRowCentre"/>
            </w:pPr>
            <w:r w:rsidRPr="00A40882">
              <w:t>Percentage of cases</w:t>
            </w:r>
          </w:p>
        </w:tc>
        <w:tc>
          <w:tcPr>
            <w:tcW w:w="1928" w:type="dxa"/>
            <w:shd w:val="clear" w:color="auto" w:fill="033636" w:themeFill="text2"/>
            <w:tcMar>
              <w:top w:w="113" w:type="dxa"/>
              <w:left w:w="113" w:type="dxa"/>
              <w:bottom w:w="113" w:type="dxa"/>
              <w:right w:w="113" w:type="dxa"/>
            </w:tcMar>
            <w:vAlign w:val="bottom"/>
          </w:tcPr>
          <w:p w14:paraId="727BC98E" w14:textId="77777777" w:rsidR="00B85721" w:rsidRPr="00A40882" w:rsidRDefault="00B85721" w:rsidP="00B85721">
            <w:pPr>
              <w:pStyle w:val="CDITable-HeaderRowCentre"/>
            </w:pPr>
            <w:r w:rsidRPr="00A40882">
              <w:t>Rate per 100,000 population</w:t>
            </w:r>
          </w:p>
        </w:tc>
      </w:tr>
      <w:tr w:rsidR="00B85721" w:rsidRPr="00A40882" w14:paraId="5359A9DF" w14:textId="77777777" w:rsidTr="00B85721">
        <w:trPr>
          <w:divId w:val="935526654"/>
          <w:trHeight w:val="20"/>
        </w:trPr>
        <w:tc>
          <w:tcPr>
            <w:tcW w:w="1928" w:type="dxa"/>
            <w:vMerge w:val="restart"/>
            <w:tcBorders>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4B290E45" w14:textId="77777777" w:rsidR="00B85721" w:rsidRPr="00A40882" w:rsidRDefault="00B85721" w:rsidP="00B85721">
            <w:pPr>
              <w:pStyle w:val="CDITable-RowLeft"/>
            </w:pPr>
            <w:r w:rsidRPr="00A40882">
              <w:t xml:space="preserve">Jurisdiction of </w:t>
            </w:r>
            <w:proofErr w:type="spellStart"/>
            <w:r w:rsidRPr="00A40882">
              <w:t>residence</w:t>
            </w:r>
            <w:r w:rsidRPr="00A40882">
              <w:rPr>
                <w:vertAlign w:val="superscript"/>
              </w:rPr>
              <w:t>b</w:t>
            </w:r>
            <w:proofErr w:type="spellEnd"/>
          </w:p>
        </w:tc>
        <w:tc>
          <w:tcPr>
            <w:tcW w:w="1927" w:type="dxa"/>
            <w:shd w:val="clear" w:color="auto" w:fill="F2F2F2" w:themeFill="background1" w:themeFillShade="F2"/>
            <w:tcMar>
              <w:top w:w="113" w:type="dxa"/>
              <w:left w:w="113" w:type="dxa"/>
              <w:bottom w:w="113" w:type="dxa"/>
              <w:right w:w="113" w:type="dxa"/>
            </w:tcMar>
            <w:vAlign w:val="center"/>
          </w:tcPr>
          <w:p w14:paraId="0115476F" w14:textId="77777777" w:rsidR="00B85721" w:rsidRPr="00A40882" w:rsidRDefault="00B85721" w:rsidP="00B85721">
            <w:pPr>
              <w:pStyle w:val="CDITable-RowLeft"/>
            </w:pPr>
            <w:r w:rsidRPr="00A40882">
              <w:t>NSW</w:t>
            </w:r>
          </w:p>
        </w:tc>
        <w:tc>
          <w:tcPr>
            <w:tcW w:w="1928" w:type="dxa"/>
            <w:shd w:val="clear" w:color="auto" w:fill="F2F2F2" w:themeFill="background1" w:themeFillShade="F2"/>
            <w:tcMar>
              <w:top w:w="113" w:type="dxa"/>
              <w:left w:w="113" w:type="dxa"/>
              <w:bottom w:w="113" w:type="dxa"/>
              <w:right w:w="113" w:type="dxa"/>
            </w:tcMar>
            <w:vAlign w:val="center"/>
          </w:tcPr>
          <w:p w14:paraId="2862230D" w14:textId="77777777" w:rsidR="00B85721" w:rsidRPr="00A40882" w:rsidRDefault="00B85721" w:rsidP="00B85721">
            <w:pPr>
              <w:pStyle w:val="CDITable-RowCentre"/>
            </w:pPr>
            <w:r w:rsidRPr="00A40882">
              <w:t>13</w:t>
            </w:r>
          </w:p>
        </w:tc>
        <w:tc>
          <w:tcPr>
            <w:tcW w:w="1927" w:type="dxa"/>
            <w:shd w:val="clear" w:color="auto" w:fill="F2F2F2" w:themeFill="background1" w:themeFillShade="F2"/>
            <w:tcMar>
              <w:top w:w="113" w:type="dxa"/>
              <w:left w:w="113" w:type="dxa"/>
              <w:bottom w:w="113" w:type="dxa"/>
              <w:right w:w="113" w:type="dxa"/>
            </w:tcMar>
            <w:vAlign w:val="center"/>
          </w:tcPr>
          <w:p w14:paraId="57E76644" w14:textId="77777777" w:rsidR="00B85721" w:rsidRPr="00A40882" w:rsidRDefault="00B85721" w:rsidP="00B85721">
            <w:pPr>
              <w:pStyle w:val="CDITable-RowCentre"/>
            </w:pPr>
            <w:r w:rsidRPr="00A40882">
              <w:t>31%</w:t>
            </w:r>
          </w:p>
        </w:tc>
        <w:tc>
          <w:tcPr>
            <w:tcW w:w="1928" w:type="dxa"/>
            <w:shd w:val="clear" w:color="auto" w:fill="F2F2F2" w:themeFill="background1" w:themeFillShade="F2"/>
            <w:tcMar>
              <w:top w:w="113" w:type="dxa"/>
              <w:left w:w="113" w:type="dxa"/>
              <w:bottom w:w="113" w:type="dxa"/>
              <w:right w:w="113" w:type="dxa"/>
            </w:tcMar>
            <w:vAlign w:val="center"/>
          </w:tcPr>
          <w:p w14:paraId="634B1B0D" w14:textId="77777777" w:rsidR="00B85721" w:rsidRPr="00A40882" w:rsidRDefault="00B85721" w:rsidP="00B85721">
            <w:pPr>
              <w:pStyle w:val="CDITable-RowCentre"/>
            </w:pPr>
            <w:r w:rsidRPr="00A40882">
              <w:t>0.2</w:t>
            </w:r>
          </w:p>
        </w:tc>
      </w:tr>
      <w:tr w:rsidR="00B85721" w:rsidRPr="00A40882" w14:paraId="044396D0" w14:textId="77777777" w:rsidTr="00B85721">
        <w:trPr>
          <w:divId w:val="935526654"/>
          <w:trHeight w:val="20"/>
        </w:trPr>
        <w:tc>
          <w:tcPr>
            <w:tcW w:w="1928" w:type="dxa"/>
            <w:vMerge/>
            <w:tcBorders>
              <w:bottom w:val="single" w:sz="6" w:space="0" w:color="033636" w:themeColor="text2"/>
            </w:tcBorders>
            <w:shd w:val="clear" w:color="auto" w:fill="C5FFEF" w:themeFill="background2" w:themeFillTint="33"/>
          </w:tcPr>
          <w:p w14:paraId="31D6BC49" w14:textId="77777777" w:rsidR="00B85721" w:rsidRPr="00A40882" w:rsidRDefault="00B85721" w:rsidP="00B85721">
            <w:pPr>
              <w:pStyle w:val="CDITable-RowLeft"/>
            </w:pPr>
          </w:p>
        </w:tc>
        <w:tc>
          <w:tcPr>
            <w:tcW w:w="1927" w:type="dxa"/>
            <w:tcMar>
              <w:top w:w="113" w:type="dxa"/>
              <w:left w:w="113" w:type="dxa"/>
              <w:bottom w:w="113" w:type="dxa"/>
              <w:right w:w="113" w:type="dxa"/>
            </w:tcMar>
            <w:vAlign w:val="center"/>
          </w:tcPr>
          <w:p w14:paraId="1602020E" w14:textId="77777777" w:rsidR="00B85721" w:rsidRPr="00A40882" w:rsidRDefault="00B85721" w:rsidP="00B85721">
            <w:pPr>
              <w:pStyle w:val="CDITable-RowLeft"/>
            </w:pPr>
            <w:r w:rsidRPr="00A40882">
              <w:t>NT</w:t>
            </w:r>
          </w:p>
        </w:tc>
        <w:tc>
          <w:tcPr>
            <w:tcW w:w="1928" w:type="dxa"/>
            <w:tcMar>
              <w:top w:w="113" w:type="dxa"/>
              <w:left w:w="113" w:type="dxa"/>
              <w:bottom w:w="113" w:type="dxa"/>
              <w:right w:w="113" w:type="dxa"/>
            </w:tcMar>
            <w:vAlign w:val="center"/>
          </w:tcPr>
          <w:p w14:paraId="66159C24" w14:textId="77777777" w:rsidR="00B85721" w:rsidRPr="00A40882" w:rsidRDefault="00B85721" w:rsidP="00B85721">
            <w:pPr>
              <w:pStyle w:val="CDITable-RowCentre"/>
            </w:pPr>
            <w:r w:rsidRPr="00A40882">
              <w:t>2</w:t>
            </w:r>
          </w:p>
        </w:tc>
        <w:tc>
          <w:tcPr>
            <w:tcW w:w="1927" w:type="dxa"/>
            <w:tcMar>
              <w:top w:w="113" w:type="dxa"/>
              <w:left w:w="113" w:type="dxa"/>
              <w:bottom w:w="113" w:type="dxa"/>
              <w:right w:w="113" w:type="dxa"/>
            </w:tcMar>
            <w:vAlign w:val="center"/>
          </w:tcPr>
          <w:p w14:paraId="6613EEBD" w14:textId="77777777" w:rsidR="00B85721" w:rsidRPr="00A40882" w:rsidRDefault="00B85721" w:rsidP="00B85721">
            <w:pPr>
              <w:pStyle w:val="CDITable-RowCentre"/>
            </w:pPr>
            <w:r w:rsidRPr="00A40882">
              <w:t>5%</w:t>
            </w:r>
          </w:p>
        </w:tc>
        <w:tc>
          <w:tcPr>
            <w:tcW w:w="1928" w:type="dxa"/>
            <w:tcMar>
              <w:top w:w="113" w:type="dxa"/>
              <w:left w:w="113" w:type="dxa"/>
              <w:bottom w:w="113" w:type="dxa"/>
              <w:right w:w="113" w:type="dxa"/>
            </w:tcMar>
            <w:vAlign w:val="center"/>
          </w:tcPr>
          <w:p w14:paraId="25BAA473" w14:textId="77777777" w:rsidR="00B85721" w:rsidRPr="00A40882" w:rsidRDefault="00B85721" w:rsidP="00B85721">
            <w:pPr>
              <w:pStyle w:val="CDITable-RowCentre"/>
            </w:pPr>
            <w:r w:rsidRPr="00A40882">
              <w:t>0.8</w:t>
            </w:r>
          </w:p>
        </w:tc>
      </w:tr>
      <w:tr w:rsidR="00B85721" w:rsidRPr="00A40882" w14:paraId="69FC91E8" w14:textId="77777777" w:rsidTr="00B85721">
        <w:trPr>
          <w:divId w:val="935526654"/>
          <w:trHeight w:val="20"/>
        </w:trPr>
        <w:tc>
          <w:tcPr>
            <w:tcW w:w="1928" w:type="dxa"/>
            <w:vMerge/>
            <w:tcBorders>
              <w:bottom w:val="single" w:sz="6" w:space="0" w:color="033636" w:themeColor="text2"/>
            </w:tcBorders>
            <w:shd w:val="clear" w:color="auto" w:fill="C5FFEF" w:themeFill="background2" w:themeFillTint="33"/>
          </w:tcPr>
          <w:p w14:paraId="2FFD6488" w14:textId="77777777" w:rsidR="00B85721" w:rsidRPr="00A40882" w:rsidRDefault="00B85721" w:rsidP="00B85721">
            <w:pPr>
              <w:pStyle w:val="CDITable-RowLeft"/>
            </w:pPr>
          </w:p>
        </w:tc>
        <w:tc>
          <w:tcPr>
            <w:tcW w:w="1927" w:type="dxa"/>
            <w:shd w:val="clear" w:color="auto" w:fill="F2F2F2" w:themeFill="background1" w:themeFillShade="F2"/>
            <w:tcMar>
              <w:top w:w="113" w:type="dxa"/>
              <w:left w:w="113" w:type="dxa"/>
              <w:bottom w:w="113" w:type="dxa"/>
              <w:right w:w="113" w:type="dxa"/>
            </w:tcMar>
            <w:vAlign w:val="center"/>
          </w:tcPr>
          <w:p w14:paraId="27068D60" w14:textId="77777777" w:rsidR="00B85721" w:rsidRPr="00A40882" w:rsidRDefault="00B85721" w:rsidP="00B85721">
            <w:pPr>
              <w:pStyle w:val="CDITable-RowLeft"/>
            </w:pPr>
            <w:r w:rsidRPr="00A40882">
              <w:t>Qld</w:t>
            </w:r>
          </w:p>
        </w:tc>
        <w:tc>
          <w:tcPr>
            <w:tcW w:w="1928" w:type="dxa"/>
            <w:shd w:val="clear" w:color="auto" w:fill="F2F2F2" w:themeFill="background1" w:themeFillShade="F2"/>
            <w:tcMar>
              <w:top w:w="113" w:type="dxa"/>
              <w:left w:w="113" w:type="dxa"/>
              <w:bottom w:w="113" w:type="dxa"/>
              <w:right w:w="113" w:type="dxa"/>
            </w:tcMar>
            <w:vAlign w:val="center"/>
          </w:tcPr>
          <w:p w14:paraId="416A58CB" w14:textId="77777777" w:rsidR="00B85721" w:rsidRPr="00A40882" w:rsidRDefault="00B85721" w:rsidP="00B85721">
            <w:pPr>
              <w:pStyle w:val="CDITable-RowCentre"/>
            </w:pPr>
            <w:r w:rsidRPr="00A40882">
              <w:t>5</w:t>
            </w:r>
          </w:p>
        </w:tc>
        <w:tc>
          <w:tcPr>
            <w:tcW w:w="1927" w:type="dxa"/>
            <w:shd w:val="clear" w:color="auto" w:fill="F2F2F2" w:themeFill="background1" w:themeFillShade="F2"/>
            <w:tcMar>
              <w:top w:w="113" w:type="dxa"/>
              <w:left w:w="113" w:type="dxa"/>
              <w:bottom w:w="113" w:type="dxa"/>
              <w:right w:w="113" w:type="dxa"/>
            </w:tcMar>
            <w:vAlign w:val="center"/>
          </w:tcPr>
          <w:p w14:paraId="27DD3113" w14:textId="77777777" w:rsidR="00B85721" w:rsidRPr="00A40882" w:rsidRDefault="00B85721" w:rsidP="00B85721">
            <w:pPr>
              <w:pStyle w:val="CDITable-RowCentre"/>
            </w:pPr>
            <w:r w:rsidRPr="00A40882">
              <w:t>12%</w:t>
            </w:r>
          </w:p>
        </w:tc>
        <w:tc>
          <w:tcPr>
            <w:tcW w:w="1928" w:type="dxa"/>
            <w:shd w:val="clear" w:color="auto" w:fill="F2F2F2" w:themeFill="background1" w:themeFillShade="F2"/>
            <w:tcMar>
              <w:top w:w="113" w:type="dxa"/>
              <w:left w:w="113" w:type="dxa"/>
              <w:bottom w:w="113" w:type="dxa"/>
              <w:right w:w="113" w:type="dxa"/>
            </w:tcMar>
            <w:vAlign w:val="center"/>
          </w:tcPr>
          <w:p w14:paraId="6BB06AC2" w14:textId="77777777" w:rsidR="00B85721" w:rsidRPr="00A40882" w:rsidRDefault="00B85721" w:rsidP="00B85721">
            <w:pPr>
              <w:pStyle w:val="CDITable-RowCentre"/>
            </w:pPr>
            <w:r w:rsidRPr="00A40882">
              <w:t>0.1</w:t>
            </w:r>
          </w:p>
        </w:tc>
      </w:tr>
      <w:tr w:rsidR="00B85721" w:rsidRPr="00A40882" w14:paraId="6B7DAD55" w14:textId="77777777" w:rsidTr="00B85721">
        <w:trPr>
          <w:divId w:val="935526654"/>
          <w:trHeight w:val="20"/>
        </w:trPr>
        <w:tc>
          <w:tcPr>
            <w:tcW w:w="1928" w:type="dxa"/>
            <w:vMerge/>
            <w:tcBorders>
              <w:bottom w:val="single" w:sz="6" w:space="0" w:color="033636" w:themeColor="text2"/>
            </w:tcBorders>
            <w:shd w:val="clear" w:color="auto" w:fill="C5FFEF" w:themeFill="background2" w:themeFillTint="33"/>
          </w:tcPr>
          <w:p w14:paraId="19764DD2" w14:textId="77777777" w:rsidR="00B85721" w:rsidRPr="00A40882" w:rsidRDefault="00B85721" w:rsidP="00B85721">
            <w:pPr>
              <w:pStyle w:val="CDITable-RowLeft"/>
            </w:pPr>
          </w:p>
        </w:tc>
        <w:tc>
          <w:tcPr>
            <w:tcW w:w="1927" w:type="dxa"/>
            <w:tcMar>
              <w:top w:w="113" w:type="dxa"/>
              <w:left w:w="113" w:type="dxa"/>
              <w:bottom w:w="113" w:type="dxa"/>
              <w:right w:w="113" w:type="dxa"/>
            </w:tcMar>
            <w:vAlign w:val="center"/>
          </w:tcPr>
          <w:p w14:paraId="6A943147" w14:textId="77777777" w:rsidR="00B85721" w:rsidRPr="00A40882" w:rsidRDefault="00B85721" w:rsidP="00B85721">
            <w:pPr>
              <w:pStyle w:val="CDITable-RowLeft"/>
            </w:pPr>
            <w:r w:rsidRPr="00A40882">
              <w:t>SA</w:t>
            </w:r>
          </w:p>
        </w:tc>
        <w:tc>
          <w:tcPr>
            <w:tcW w:w="1928" w:type="dxa"/>
            <w:tcMar>
              <w:top w:w="113" w:type="dxa"/>
              <w:left w:w="113" w:type="dxa"/>
              <w:bottom w:w="113" w:type="dxa"/>
              <w:right w:w="113" w:type="dxa"/>
            </w:tcMar>
            <w:vAlign w:val="center"/>
          </w:tcPr>
          <w:p w14:paraId="52334F47" w14:textId="77777777" w:rsidR="00B85721" w:rsidRPr="00A40882" w:rsidRDefault="00B85721" w:rsidP="00B85721">
            <w:pPr>
              <w:pStyle w:val="CDITable-RowCentre"/>
            </w:pPr>
            <w:r w:rsidRPr="00A40882">
              <w:t>9</w:t>
            </w:r>
          </w:p>
        </w:tc>
        <w:tc>
          <w:tcPr>
            <w:tcW w:w="1927" w:type="dxa"/>
            <w:tcMar>
              <w:top w:w="113" w:type="dxa"/>
              <w:left w:w="113" w:type="dxa"/>
              <w:bottom w:w="113" w:type="dxa"/>
              <w:right w:w="113" w:type="dxa"/>
            </w:tcMar>
            <w:vAlign w:val="center"/>
          </w:tcPr>
          <w:p w14:paraId="15753282" w14:textId="77777777" w:rsidR="00B85721" w:rsidRPr="00A40882" w:rsidRDefault="00B85721" w:rsidP="00B85721">
            <w:pPr>
              <w:pStyle w:val="CDITable-RowCentre"/>
            </w:pPr>
            <w:r w:rsidRPr="00A40882">
              <w:t>21%</w:t>
            </w:r>
          </w:p>
        </w:tc>
        <w:tc>
          <w:tcPr>
            <w:tcW w:w="1928" w:type="dxa"/>
            <w:tcMar>
              <w:top w:w="113" w:type="dxa"/>
              <w:left w:w="113" w:type="dxa"/>
              <w:bottom w:w="113" w:type="dxa"/>
              <w:right w:w="113" w:type="dxa"/>
            </w:tcMar>
            <w:vAlign w:val="center"/>
          </w:tcPr>
          <w:p w14:paraId="4C1F654A" w14:textId="77777777" w:rsidR="00B85721" w:rsidRPr="00A40882" w:rsidRDefault="00B85721" w:rsidP="00B85721">
            <w:pPr>
              <w:pStyle w:val="CDITable-RowCentre"/>
            </w:pPr>
            <w:r w:rsidRPr="00A40882">
              <w:t>0.5</w:t>
            </w:r>
          </w:p>
        </w:tc>
      </w:tr>
      <w:tr w:rsidR="00B85721" w:rsidRPr="00A40882" w14:paraId="3BCC529F" w14:textId="77777777" w:rsidTr="00B85721">
        <w:trPr>
          <w:divId w:val="935526654"/>
          <w:trHeight w:val="20"/>
        </w:trPr>
        <w:tc>
          <w:tcPr>
            <w:tcW w:w="1928" w:type="dxa"/>
            <w:vMerge/>
            <w:tcBorders>
              <w:bottom w:val="single" w:sz="6" w:space="0" w:color="033636" w:themeColor="text2"/>
            </w:tcBorders>
            <w:shd w:val="clear" w:color="auto" w:fill="C5FFEF" w:themeFill="background2" w:themeFillTint="33"/>
          </w:tcPr>
          <w:p w14:paraId="4F6F93D5" w14:textId="77777777" w:rsidR="00B85721" w:rsidRPr="00A40882" w:rsidRDefault="00B85721" w:rsidP="00B85721">
            <w:pPr>
              <w:pStyle w:val="CDITable-RowLeft"/>
            </w:pPr>
          </w:p>
        </w:tc>
        <w:tc>
          <w:tcPr>
            <w:tcW w:w="1927" w:type="dxa"/>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06873942" w14:textId="77777777" w:rsidR="00B85721" w:rsidRPr="00A40882" w:rsidRDefault="00B85721" w:rsidP="00B85721">
            <w:pPr>
              <w:pStyle w:val="CDITable-RowLeft"/>
            </w:pPr>
            <w:r w:rsidRPr="00A40882">
              <w:t>Vic.</w:t>
            </w:r>
          </w:p>
        </w:tc>
        <w:tc>
          <w:tcPr>
            <w:tcW w:w="1928" w:type="dxa"/>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0CAC5B84" w14:textId="77777777" w:rsidR="00B85721" w:rsidRPr="00A40882" w:rsidRDefault="00B85721" w:rsidP="00B85721">
            <w:pPr>
              <w:pStyle w:val="CDITable-RowCentre"/>
            </w:pPr>
            <w:r w:rsidRPr="00A40882">
              <w:t>13</w:t>
            </w:r>
          </w:p>
        </w:tc>
        <w:tc>
          <w:tcPr>
            <w:tcW w:w="1927" w:type="dxa"/>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4B3F95D1" w14:textId="77777777" w:rsidR="00B85721" w:rsidRPr="00A40882" w:rsidRDefault="00B85721" w:rsidP="00B85721">
            <w:pPr>
              <w:pStyle w:val="CDITable-RowCentre"/>
            </w:pPr>
            <w:r w:rsidRPr="00A40882">
              <w:t>31%</w:t>
            </w:r>
          </w:p>
        </w:tc>
        <w:tc>
          <w:tcPr>
            <w:tcW w:w="1928" w:type="dxa"/>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61635BF9" w14:textId="77777777" w:rsidR="00B85721" w:rsidRPr="00A40882" w:rsidRDefault="00B85721" w:rsidP="00B85721">
            <w:pPr>
              <w:pStyle w:val="CDITable-RowCentre"/>
            </w:pPr>
            <w:r w:rsidRPr="00A40882">
              <w:t>0.2</w:t>
            </w:r>
          </w:p>
        </w:tc>
      </w:tr>
      <w:tr w:rsidR="00B85721" w:rsidRPr="00A40882" w14:paraId="473414E0" w14:textId="77777777" w:rsidTr="00B85721">
        <w:trPr>
          <w:divId w:val="935526654"/>
          <w:trHeight w:val="20"/>
        </w:trPr>
        <w:tc>
          <w:tcPr>
            <w:tcW w:w="1928" w:type="dxa"/>
            <w:vMerge w:val="restart"/>
            <w:tcBorders>
              <w:top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288A7E92" w14:textId="77777777" w:rsidR="00B85721" w:rsidRPr="00A40882" w:rsidRDefault="00B85721" w:rsidP="00B85721">
            <w:pPr>
              <w:pStyle w:val="CDITable-RowLeft"/>
            </w:pPr>
            <w:r w:rsidRPr="00A40882">
              <w:t>Sex</w:t>
            </w:r>
          </w:p>
        </w:tc>
        <w:tc>
          <w:tcPr>
            <w:tcW w:w="1927" w:type="dxa"/>
            <w:tcBorders>
              <w:top w:val="single" w:sz="6" w:space="0" w:color="033636" w:themeColor="text2"/>
            </w:tcBorders>
            <w:tcMar>
              <w:top w:w="113" w:type="dxa"/>
              <w:left w:w="113" w:type="dxa"/>
              <w:bottom w:w="113" w:type="dxa"/>
              <w:right w:w="113" w:type="dxa"/>
            </w:tcMar>
            <w:vAlign w:val="center"/>
          </w:tcPr>
          <w:p w14:paraId="64267497" w14:textId="77777777" w:rsidR="00B85721" w:rsidRPr="00A40882" w:rsidRDefault="00B85721" w:rsidP="00B85721">
            <w:pPr>
              <w:pStyle w:val="CDITable-RowLeft"/>
            </w:pPr>
            <w:r w:rsidRPr="00A40882">
              <w:t>Female</w:t>
            </w:r>
          </w:p>
        </w:tc>
        <w:tc>
          <w:tcPr>
            <w:tcW w:w="1928" w:type="dxa"/>
            <w:tcBorders>
              <w:top w:val="single" w:sz="6" w:space="0" w:color="033636" w:themeColor="text2"/>
            </w:tcBorders>
            <w:tcMar>
              <w:top w:w="113" w:type="dxa"/>
              <w:left w:w="113" w:type="dxa"/>
              <w:bottom w:w="113" w:type="dxa"/>
              <w:right w:w="113" w:type="dxa"/>
            </w:tcMar>
            <w:vAlign w:val="center"/>
          </w:tcPr>
          <w:p w14:paraId="32539E9F" w14:textId="77777777" w:rsidR="00B85721" w:rsidRPr="00A40882" w:rsidRDefault="00B85721" w:rsidP="00B85721">
            <w:pPr>
              <w:pStyle w:val="CDITable-RowCentre"/>
            </w:pPr>
            <w:r w:rsidRPr="00A40882">
              <w:t>14</w:t>
            </w:r>
          </w:p>
        </w:tc>
        <w:tc>
          <w:tcPr>
            <w:tcW w:w="1927" w:type="dxa"/>
            <w:tcBorders>
              <w:top w:val="single" w:sz="6" w:space="0" w:color="033636" w:themeColor="text2"/>
            </w:tcBorders>
            <w:tcMar>
              <w:top w:w="113" w:type="dxa"/>
              <w:left w:w="113" w:type="dxa"/>
              <w:bottom w:w="113" w:type="dxa"/>
              <w:right w:w="113" w:type="dxa"/>
            </w:tcMar>
            <w:vAlign w:val="center"/>
          </w:tcPr>
          <w:p w14:paraId="4CF90477" w14:textId="77777777" w:rsidR="00B85721" w:rsidRPr="00A40882" w:rsidRDefault="00B85721" w:rsidP="00B85721">
            <w:pPr>
              <w:pStyle w:val="CDITable-RowCentre"/>
            </w:pPr>
            <w:r w:rsidRPr="00A40882">
              <w:t>33%</w:t>
            </w:r>
          </w:p>
        </w:tc>
        <w:tc>
          <w:tcPr>
            <w:tcW w:w="1928" w:type="dxa"/>
            <w:tcBorders>
              <w:top w:val="single" w:sz="6" w:space="0" w:color="033636" w:themeColor="text2"/>
            </w:tcBorders>
            <w:tcMar>
              <w:top w:w="113" w:type="dxa"/>
              <w:left w:w="113" w:type="dxa"/>
              <w:bottom w:w="113" w:type="dxa"/>
              <w:right w:w="113" w:type="dxa"/>
            </w:tcMar>
            <w:vAlign w:val="center"/>
          </w:tcPr>
          <w:p w14:paraId="082D26BF" w14:textId="77777777" w:rsidR="00B85721" w:rsidRPr="00A40882" w:rsidRDefault="00B85721" w:rsidP="00B85721">
            <w:pPr>
              <w:pStyle w:val="CDITable-RowCentre"/>
            </w:pPr>
            <w:r w:rsidRPr="00A40882">
              <w:t>0.1</w:t>
            </w:r>
          </w:p>
        </w:tc>
      </w:tr>
      <w:tr w:rsidR="00B85721" w:rsidRPr="00A40882" w14:paraId="3C76B51D" w14:textId="77777777" w:rsidTr="00B85721">
        <w:trPr>
          <w:divId w:val="935526654"/>
          <w:trHeight w:val="20"/>
        </w:trPr>
        <w:tc>
          <w:tcPr>
            <w:tcW w:w="1928" w:type="dxa"/>
            <w:vMerge/>
            <w:tcBorders>
              <w:bottom w:val="single" w:sz="6" w:space="0" w:color="033636" w:themeColor="text2"/>
            </w:tcBorders>
            <w:shd w:val="clear" w:color="auto" w:fill="C5FFEF" w:themeFill="background2" w:themeFillTint="33"/>
          </w:tcPr>
          <w:p w14:paraId="3411A4A6" w14:textId="77777777" w:rsidR="00B85721" w:rsidRPr="00A40882" w:rsidRDefault="00B85721" w:rsidP="00B85721">
            <w:pPr>
              <w:pStyle w:val="CDITable-RowLeft"/>
            </w:pPr>
          </w:p>
        </w:tc>
        <w:tc>
          <w:tcPr>
            <w:tcW w:w="1927" w:type="dxa"/>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23E654E4" w14:textId="77777777" w:rsidR="00B85721" w:rsidRPr="00A40882" w:rsidRDefault="00B85721" w:rsidP="00B85721">
            <w:pPr>
              <w:pStyle w:val="CDITable-RowLeft"/>
            </w:pPr>
            <w:r w:rsidRPr="00A40882">
              <w:t>Male</w:t>
            </w:r>
          </w:p>
        </w:tc>
        <w:tc>
          <w:tcPr>
            <w:tcW w:w="1928" w:type="dxa"/>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56536779" w14:textId="77777777" w:rsidR="00B85721" w:rsidRPr="00A40882" w:rsidRDefault="00B85721" w:rsidP="00B85721">
            <w:pPr>
              <w:pStyle w:val="CDITable-RowCentre"/>
            </w:pPr>
            <w:r w:rsidRPr="00A40882">
              <w:t>28</w:t>
            </w:r>
          </w:p>
        </w:tc>
        <w:tc>
          <w:tcPr>
            <w:tcW w:w="1927" w:type="dxa"/>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58B57315" w14:textId="77777777" w:rsidR="00B85721" w:rsidRPr="00A40882" w:rsidRDefault="00B85721" w:rsidP="00B85721">
            <w:pPr>
              <w:pStyle w:val="CDITable-RowCentre"/>
            </w:pPr>
            <w:r w:rsidRPr="00A40882">
              <w:t>67%</w:t>
            </w:r>
          </w:p>
        </w:tc>
        <w:tc>
          <w:tcPr>
            <w:tcW w:w="1928" w:type="dxa"/>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440CDC92" w14:textId="77777777" w:rsidR="00B85721" w:rsidRPr="00A40882" w:rsidRDefault="00B85721" w:rsidP="00B85721">
            <w:pPr>
              <w:pStyle w:val="CDITable-RowCentre"/>
            </w:pPr>
            <w:r w:rsidRPr="00A40882">
              <w:t>0.2</w:t>
            </w:r>
          </w:p>
        </w:tc>
      </w:tr>
      <w:tr w:rsidR="00B85721" w:rsidRPr="00A40882" w14:paraId="534BC190" w14:textId="77777777" w:rsidTr="00B85721">
        <w:trPr>
          <w:divId w:val="935526654"/>
          <w:trHeight w:val="20"/>
        </w:trPr>
        <w:tc>
          <w:tcPr>
            <w:tcW w:w="1928" w:type="dxa"/>
            <w:vMerge w:val="restart"/>
            <w:tcBorders>
              <w:top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310EFED7" w14:textId="77777777" w:rsidR="00B85721" w:rsidRPr="00A40882" w:rsidRDefault="00B85721" w:rsidP="00B85721">
            <w:pPr>
              <w:pStyle w:val="CDITable-RowLeft"/>
            </w:pPr>
            <w:r w:rsidRPr="00A40882">
              <w:t>Age group</w:t>
            </w:r>
          </w:p>
        </w:tc>
        <w:tc>
          <w:tcPr>
            <w:tcW w:w="1927" w:type="dxa"/>
            <w:tcBorders>
              <w:top w:val="single" w:sz="6" w:space="0" w:color="033636" w:themeColor="text2"/>
            </w:tcBorders>
            <w:tcMar>
              <w:top w:w="113" w:type="dxa"/>
              <w:left w:w="113" w:type="dxa"/>
              <w:bottom w:w="113" w:type="dxa"/>
              <w:right w:w="113" w:type="dxa"/>
            </w:tcMar>
            <w:vAlign w:val="center"/>
          </w:tcPr>
          <w:p w14:paraId="275347C3" w14:textId="77777777" w:rsidR="00B85721" w:rsidRPr="00A40882" w:rsidRDefault="00B85721" w:rsidP="00B85721">
            <w:pPr>
              <w:pStyle w:val="CDITable-RowLeft"/>
            </w:pPr>
            <w:r w:rsidRPr="00A40882">
              <w:t>0–9</w:t>
            </w:r>
          </w:p>
        </w:tc>
        <w:tc>
          <w:tcPr>
            <w:tcW w:w="1928" w:type="dxa"/>
            <w:tcBorders>
              <w:top w:val="single" w:sz="6" w:space="0" w:color="033636" w:themeColor="text2"/>
            </w:tcBorders>
            <w:tcMar>
              <w:top w:w="113" w:type="dxa"/>
              <w:left w:w="113" w:type="dxa"/>
              <w:bottom w:w="113" w:type="dxa"/>
              <w:right w:w="113" w:type="dxa"/>
            </w:tcMar>
            <w:vAlign w:val="center"/>
          </w:tcPr>
          <w:p w14:paraId="40F4CC85" w14:textId="77777777" w:rsidR="00B85721" w:rsidRPr="00A40882" w:rsidRDefault="00B85721" w:rsidP="00B85721">
            <w:pPr>
              <w:pStyle w:val="CDITable-RowCentre"/>
            </w:pPr>
            <w:r w:rsidRPr="00A40882">
              <w:t>2</w:t>
            </w:r>
          </w:p>
        </w:tc>
        <w:tc>
          <w:tcPr>
            <w:tcW w:w="1927" w:type="dxa"/>
            <w:tcBorders>
              <w:top w:val="single" w:sz="6" w:space="0" w:color="033636" w:themeColor="text2"/>
            </w:tcBorders>
            <w:tcMar>
              <w:top w:w="113" w:type="dxa"/>
              <w:left w:w="113" w:type="dxa"/>
              <w:bottom w:w="113" w:type="dxa"/>
              <w:right w:w="113" w:type="dxa"/>
            </w:tcMar>
            <w:vAlign w:val="center"/>
          </w:tcPr>
          <w:p w14:paraId="0A56EB81" w14:textId="77777777" w:rsidR="00B85721" w:rsidRPr="00A40882" w:rsidRDefault="00B85721" w:rsidP="00B85721">
            <w:pPr>
              <w:pStyle w:val="CDITable-RowCentre"/>
            </w:pPr>
            <w:r w:rsidRPr="00A40882">
              <w:t>5%</w:t>
            </w:r>
          </w:p>
        </w:tc>
        <w:tc>
          <w:tcPr>
            <w:tcW w:w="1928" w:type="dxa"/>
            <w:tcBorders>
              <w:top w:val="single" w:sz="6" w:space="0" w:color="033636" w:themeColor="text2"/>
            </w:tcBorders>
            <w:tcMar>
              <w:top w:w="113" w:type="dxa"/>
              <w:left w:w="113" w:type="dxa"/>
              <w:bottom w:w="113" w:type="dxa"/>
              <w:right w:w="113" w:type="dxa"/>
            </w:tcMar>
            <w:vAlign w:val="center"/>
          </w:tcPr>
          <w:p w14:paraId="43955787" w14:textId="77777777" w:rsidR="00B85721" w:rsidRPr="00A40882" w:rsidRDefault="00B85721" w:rsidP="00B85721">
            <w:pPr>
              <w:pStyle w:val="CDITable-RowCentre"/>
            </w:pPr>
            <w:r w:rsidRPr="00A40882">
              <w:t>0.1</w:t>
            </w:r>
          </w:p>
        </w:tc>
      </w:tr>
      <w:tr w:rsidR="00B85721" w:rsidRPr="00A40882" w14:paraId="3CA9F9C5" w14:textId="77777777" w:rsidTr="00B85721">
        <w:trPr>
          <w:divId w:val="935526654"/>
          <w:trHeight w:val="20"/>
        </w:trPr>
        <w:tc>
          <w:tcPr>
            <w:tcW w:w="1928" w:type="dxa"/>
            <w:vMerge/>
            <w:tcBorders>
              <w:bottom w:val="single" w:sz="6" w:space="0" w:color="033636" w:themeColor="text2"/>
            </w:tcBorders>
            <w:shd w:val="clear" w:color="auto" w:fill="C5FFEF" w:themeFill="background2" w:themeFillTint="33"/>
          </w:tcPr>
          <w:p w14:paraId="1C4DA441" w14:textId="77777777" w:rsidR="00B85721" w:rsidRPr="00A40882" w:rsidRDefault="00B85721" w:rsidP="00B85721">
            <w:pPr>
              <w:pStyle w:val="CDITable-RowLeft"/>
            </w:pPr>
          </w:p>
        </w:tc>
        <w:tc>
          <w:tcPr>
            <w:tcW w:w="1927" w:type="dxa"/>
            <w:shd w:val="clear" w:color="auto" w:fill="F2F2F2" w:themeFill="background1" w:themeFillShade="F2"/>
            <w:tcMar>
              <w:top w:w="113" w:type="dxa"/>
              <w:left w:w="113" w:type="dxa"/>
              <w:bottom w:w="113" w:type="dxa"/>
              <w:right w:w="113" w:type="dxa"/>
            </w:tcMar>
            <w:vAlign w:val="center"/>
          </w:tcPr>
          <w:p w14:paraId="69A31D83" w14:textId="77777777" w:rsidR="00B85721" w:rsidRPr="00A40882" w:rsidRDefault="00B85721" w:rsidP="00B85721">
            <w:pPr>
              <w:pStyle w:val="CDITable-RowLeft"/>
            </w:pPr>
            <w:r w:rsidRPr="00A40882">
              <w:t>10–19</w:t>
            </w:r>
          </w:p>
        </w:tc>
        <w:tc>
          <w:tcPr>
            <w:tcW w:w="1928" w:type="dxa"/>
            <w:shd w:val="clear" w:color="auto" w:fill="F2F2F2" w:themeFill="background1" w:themeFillShade="F2"/>
            <w:tcMar>
              <w:top w:w="113" w:type="dxa"/>
              <w:left w:w="113" w:type="dxa"/>
              <w:bottom w:w="113" w:type="dxa"/>
              <w:right w:w="113" w:type="dxa"/>
            </w:tcMar>
            <w:vAlign w:val="center"/>
          </w:tcPr>
          <w:p w14:paraId="31B02ADE" w14:textId="77777777" w:rsidR="00B85721" w:rsidRPr="00A40882" w:rsidRDefault="00B85721" w:rsidP="00B85721">
            <w:pPr>
              <w:pStyle w:val="CDITable-RowCentre"/>
            </w:pPr>
            <w:r w:rsidRPr="00A40882">
              <w:t>2</w:t>
            </w:r>
          </w:p>
        </w:tc>
        <w:tc>
          <w:tcPr>
            <w:tcW w:w="1927" w:type="dxa"/>
            <w:shd w:val="clear" w:color="auto" w:fill="F2F2F2" w:themeFill="background1" w:themeFillShade="F2"/>
            <w:tcMar>
              <w:top w:w="113" w:type="dxa"/>
              <w:left w:w="113" w:type="dxa"/>
              <w:bottom w:w="113" w:type="dxa"/>
              <w:right w:w="113" w:type="dxa"/>
            </w:tcMar>
            <w:vAlign w:val="center"/>
          </w:tcPr>
          <w:p w14:paraId="4E695F4A" w14:textId="77777777" w:rsidR="00B85721" w:rsidRPr="00A40882" w:rsidRDefault="00B85721" w:rsidP="00B85721">
            <w:pPr>
              <w:pStyle w:val="CDITable-RowCentre"/>
            </w:pPr>
            <w:r w:rsidRPr="00A40882">
              <w:t>5%</w:t>
            </w:r>
          </w:p>
        </w:tc>
        <w:tc>
          <w:tcPr>
            <w:tcW w:w="1928" w:type="dxa"/>
            <w:shd w:val="clear" w:color="auto" w:fill="F2F2F2" w:themeFill="background1" w:themeFillShade="F2"/>
            <w:tcMar>
              <w:top w:w="113" w:type="dxa"/>
              <w:left w:w="113" w:type="dxa"/>
              <w:bottom w:w="113" w:type="dxa"/>
              <w:right w:w="113" w:type="dxa"/>
            </w:tcMar>
            <w:vAlign w:val="center"/>
          </w:tcPr>
          <w:p w14:paraId="3B796F27" w14:textId="77777777" w:rsidR="00B85721" w:rsidRPr="00A40882" w:rsidRDefault="00B85721" w:rsidP="00B85721">
            <w:pPr>
              <w:pStyle w:val="CDITable-RowCentre"/>
            </w:pPr>
            <w:r w:rsidRPr="00A40882">
              <w:t>0.1</w:t>
            </w:r>
          </w:p>
        </w:tc>
      </w:tr>
      <w:tr w:rsidR="00B85721" w:rsidRPr="00A40882" w14:paraId="50608E46" w14:textId="77777777" w:rsidTr="00B85721">
        <w:trPr>
          <w:divId w:val="935526654"/>
          <w:trHeight w:val="20"/>
        </w:trPr>
        <w:tc>
          <w:tcPr>
            <w:tcW w:w="1928" w:type="dxa"/>
            <w:vMerge/>
            <w:tcBorders>
              <w:bottom w:val="single" w:sz="6" w:space="0" w:color="033636" w:themeColor="text2"/>
            </w:tcBorders>
            <w:shd w:val="clear" w:color="auto" w:fill="C5FFEF" w:themeFill="background2" w:themeFillTint="33"/>
          </w:tcPr>
          <w:p w14:paraId="5FDFC2CC" w14:textId="77777777" w:rsidR="00B85721" w:rsidRPr="00A40882" w:rsidRDefault="00B85721" w:rsidP="00B85721">
            <w:pPr>
              <w:pStyle w:val="CDITable-RowLeft"/>
            </w:pPr>
          </w:p>
        </w:tc>
        <w:tc>
          <w:tcPr>
            <w:tcW w:w="1927" w:type="dxa"/>
            <w:tcMar>
              <w:top w:w="113" w:type="dxa"/>
              <w:left w:w="113" w:type="dxa"/>
              <w:bottom w:w="113" w:type="dxa"/>
              <w:right w:w="113" w:type="dxa"/>
            </w:tcMar>
            <w:vAlign w:val="center"/>
          </w:tcPr>
          <w:p w14:paraId="2640E9D9" w14:textId="77777777" w:rsidR="00B85721" w:rsidRPr="00A40882" w:rsidRDefault="00B85721" w:rsidP="00B85721">
            <w:pPr>
              <w:pStyle w:val="CDITable-RowLeft"/>
            </w:pPr>
            <w:r w:rsidRPr="00A40882">
              <w:t>20–29</w:t>
            </w:r>
          </w:p>
        </w:tc>
        <w:tc>
          <w:tcPr>
            <w:tcW w:w="1928" w:type="dxa"/>
            <w:tcMar>
              <w:top w:w="113" w:type="dxa"/>
              <w:left w:w="113" w:type="dxa"/>
              <w:bottom w:w="113" w:type="dxa"/>
              <w:right w:w="113" w:type="dxa"/>
            </w:tcMar>
            <w:vAlign w:val="center"/>
          </w:tcPr>
          <w:p w14:paraId="2357E63A" w14:textId="77777777" w:rsidR="00B85721" w:rsidRPr="00A40882" w:rsidRDefault="00B85721" w:rsidP="00B85721">
            <w:pPr>
              <w:pStyle w:val="CDITable-RowCentre"/>
            </w:pPr>
            <w:r w:rsidRPr="00A40882">
              <w:t>1</w:t>
            </w:r>
          </w:p>
        </w:tc>
        <w:tc>
          <w:tcPr>
            <w:tcW w:w="1927" w:type="dxa"/>
            <w:tcMar>
              <w:top w:w="113" w:type="dxa"/>
              <w:left w:w="113" w:type="dxa"/>
              <w:bottom w:w="113" w:type="dxa"/>
              <w:right w:w="113" w:type="dxa"/>
            </w:tcMar>
            <w:vAlign w:val="center"/>
          </w:tcPr>
          <w:p w14:paraId="7E2801FA" w14:textId="77777777" w:rsidR="00B85721" w:rsidRPr="00A40882" w:rsidRDefault="00B85721" w:rsidP="00B85721">
            <w:pPr>
              <w:pStyle w:val="CDITable-RowCentre"/>
            </w:pPr>
            <w:r w:rsidRPr="00A40882">
              <w:t>2%</w:t>
            </w:r>
          </w:p>
        </w:tc>
        <w:tc>
          <w:tcPr>
            <w:tcW w:w="1928" w:type="dxa"/>
            <w:tcMar>
              <w:top w:w="113" w:type="dxa"/>
              <w:left w:w="113" w:type="dxa"/>
              <w:bottom w:w="113" w:type="dxa"/>
              <w:right w:w="113" w:type="dxa"/>
            </w:tcMar>
            <w:vAlign w:val="center"/>
          </w:tcPr>
          <w:p w14:paraId="5FE0DBE3" w14:textId="77777777" w:rsidR="00B85721" w:rsidRPr="00A40882" w:rsidRDefault="00B85721" w:rsidP="00B85721">
            <w:pPr>
              <w:pStyle w:val="CDITable-RowCentre"/>
            </w:pPr>
            <w:r w:rsidRPr="00A40882">
              <w:t>0.0</w:t>
            </w:r>
          </w:p>
        </w:tc>
      </w:tr>
      <w:tr w:rsidR="00B85721" w:rsidRPr="00A40882" w14:paraId="5B3D58D3" w14:textId="77777777" w:rsidTr="00B85721">
        <w:trPr>
          <w:divId w:val="935526654"/>
          <w:trHeight w:val="20"/>
        </w:trPr>
        <w:tc>
          <w:tcPr>
            <w:tcW w:w="1928" w:type="dxa"/>
            <w:vMerge/>
            <w:tcBorders>
              <w:bottom w:val="single" w:sz="6" w:space="0" w:color="033636" w:themeColor="text2"/>
            </w:tcBorders>
            <w:shd w:val="clear" w:color="auto" w:fill="C5FFEF" w:themeFill="background2" w:themeFillTint="33"/>
          </w:tcPr>
          <w:p w14:paraId="233EE21B" w14:textId="77777777" w:rsidR="00B85721" w:rsidRPr="00A40882" w:rsidRDefault="00B85721" w:rsidP="00B85721">
            <w:pPr>
              <w:pStyle w:val="CDITable-RowLeft"/>
            </w:pPr>
          </w:p>
        </w:tc>
        <w:tc>
          <w:tcPr>
            <w:tcW w:w="1927" w:type="dxa"/>
            <w:shd w:val="clear" w:color="auto" w:fill="F2F2F2" w:themeFill="background1" w:themeFillShade="F2"/>
            <w:tcMar>
              <w:top w:w="113" w:type="dxa"/>
              <w:left w:w="113" w:type="dxa"/>
              <w:bottom w:w="113" w:type="dxa"/>
              <w:right w:w="113" w:type="dxa"/>
            </w:tcMar>
            <w:vAlign w:val="center"/>
          </w:tcPr>
          <w:p w14:paraId="3E74F502" w14:textId="77777777" w:rsidR="00B85721" w:rsidRPr="00A40882" w:rsidRDefault="00B85721" w:rsidP="00B85721">
            <w:pPr>
              <w:pStyle w:val="CDITable-RowLeft"/>
            </w:pPr>
            <w:r w:rsidRPr="00A40882">
              <w:t>30–39</w:t>
            </w:r>
          </w:p>
        </w:tc>
        <w:tc>
          <w:tcPr>
            <w:tcW w:w="1928" w:type="dxa"/>
            <w:shd w:val="clear" w:color="auto" w:fill="F2F2F2" w:themeFill="background1" w:themeFillShade="F2"/>
            <w:tcMar>
              <w:top w:w="113" w:type="dxa"/>
              <w:left w:w="113" w:type="dxa"/>
              <w:bottom w:w="113" w:type="dxa"/>
              <w:right w:w="113" w:type="dxa"/>
            </w:tcMar>
            <w:vAlign w:val="center"/>
          </w:tcPr>
          <w:p w14:paraId="27E82758" w14:textId="77777777" w:rsidR="00B85721" w:rsidRPr="00A40882" w:rsidRDefault="00B85721" w:rsidP="00B85721">
            <w:pPr>
              <w:pStyle w:val="CDITable-RowCentre"/>
            </w:pPr>
            <w:r w:rsidRPr="00A40882">
              <w:t>4</w:t>
            </w:r>
          </w:p>
        </w:tc>
        <w:tc>
          <w:tcPr>
            <w:tcW w:w="1927" w:type="dxa"/>
            <w:shd w:val="clear" w:color="auto" w:fill="F2F2F2" w:themeFill="background1" w:themeFillShade="F2"/>
            <w:tcMar>
              <w:top w:w="113" w:type="dxa"/>
              <w:left w:w="113" w:type="dxa"/>
              <w:bottom w:w="113" w:type="dxa"/>
              <w:right w:w="113" w:type="dxa"/>
            </w:tcMar>
            <w:vAlign w:val="center"/>
          </w:tcPr>
          <w:p w14:paraId="103A17BD" w14:textId="77777777" w:rsidR="00B85721" w:rsidRPr="00A40882" w:rsidRDefault="00B85721" w:rsidP="00B85721">
            <w:pPr>
              <w:pStyle w:val="CDITable-RowCentre"/>
            </w:pPr>
            <w:r w:rsidRPr="00A40882">
              <w:t>10%</w:t>
            </w:r>
          </w:p>
        </w:tc>
        <w:tc>
          <w:tcPr>
            <w:tcW w:w="1928" w:type="dxa"/>
            <w:shd w:val="clear" w:color="auto" w:fill="F2F2F2" w:themeFill="background1" w:themeFillShade="F2"/>
            <w:tcMar>
              <w:top w:w="113" w:type="dxa"/>
              <w:left w:w="113" w:type="dxa"/>
              <w:bottom w:w="113" w:type="dxa"/>
              <w:right w:w="113" w:type="dxa"/>
            </w:tcMar>
            <w:vAlign w:val="center"/>
          </w:tcPr>
          <w:p w14:paraId="1FAD6D0D" w14:textId="77777777" w:rsidR="00B85721" w:rsidRPr="00A40882" w:rsidRDefault="00B85721" w:rsidP="00B85721">
            <w:pPr>
              <w:pStyle w:val="CDITable-RowCentre"/>
            </w:pPr>
            <w:r w:rsidRPr="00A40882">
              <w:t>0.1</w:t>
            </w:r>
          </w:p>
        </w:tc>
      </w:tr>
      <w:tr w:rsidR="00B85721" w:rsidRPr="00A40882" w14:paraId="3F5F590D" w14:textId="77777777" w:rsidTr="00B85721">
        <w:trPr>
          <w:divId w:val="935526654"/>
          <w:trHeight w:val="20"/>
        </w:trPr>
        <w:tc>
          <w:tcPr>
            <w:tcW w:w="1928" w:type="dxa"/>
            <w:vMerge/>
            <w:tcBorders>
              <w:bottom w:val="single" w:sz="6" w:space="0" w:color="033636" w:themeColor="text2"/>
            </w:tcBorders>
            <w:shd w:val="clear" w:color="auto" w:fill="C5FFEF" w:themeFill="background2" w:themeFillTint="33"/>
          </w:tcPr>
          <w:p w14:paraId="5B856CF8" w14:textId="77777777" w:rsidR="00B85721" w:rsidRPr="00A40882" w:rsidRDefault="00B85721" w:rsidP="00B85721">
            <w:pPr>
              <w:pStyle w:val="CDITable-RowLeft"/>
            </w:pPr>
          </w:p>
        </w:tc>
        <w:tc>
          <w:tcPr>
            <w:tcW w:w="1927" w:type="dxa"/>
            <w:tcMar>
              <w:top w:w="113" w:type="dxa"/>
              <w:left w:w="113" w:type="dxa"/>
              <w:bottom w:w="113" w:type="dxa"/>
              <w:right w:w="113" w:type="dxa"/>
            </w:tcMar>
            <w:vAlign w:val="center"/>
          </w:tcPr>
          <w:p w14:paraId="28B24986" w14:textId="77777777" w:rsidR="00B85721" w:rsidRPr="00A40882" w:rsidRDefault="00B85721" w:rsidP="00B85721">
            <w:pPr>
              <w:pStyle w:val="CDITable-RowLeft"/>
            </w:pPr>
            <w:r w:rsidRPr="00A40882">
              <w:t>40–49</w:t>
            </w:r>
          </w:p>
        </w:tc>
        <w:tc>
          <w:tcPr>
            <w:tcW w:w="1928" w:type="dxa"/>
            <w:tcMar>
              <w:top w:w="113" w:type="dxa"/>
              <w:left w:w="113" w:type="dxa"/>
              <w:bottom w:w="113" w:type="dxa"/>
              <w:right w:w="113" w:type="dxa"/>
            </w:tcMar>
            <w:vAlign w:val="center"/>
          </w:tcPr>
          <w:p w14:paraId="5ABB74F1" w14:textId="77777777" w:rsidR="00B85721" w:rsidRPr="00A40882" w:rsidRDefault="00B85721" w:rsidP="00B85721">
            <w:pPr>
              <w:pStyle w:val="CDITable-RowCentre"/>
            </w:pPr>
            <w:r w:rsidRPr="00A40882">
              <w:t>4</w:t>
            </w:r>
          </w:p>
        </w:tc>
        <w:tc>
          <w:tcPr>
            <w:tcW w:w="1927" w:type="dxa"/>
            <w:tcMar>
              <w:top w:w="113" w:type="dxa"/>
              <w:left w:w="113" w:type="dxa"/>
              <w:bottom w:w="113" w:type="dxa"/>
              <w:right w:w="113" w:type="dxa"/>
            </w:tcMar>
            <w:vAlign w:val="center"/>
          </w:tcPr>
          <w:p w14:paraId="64822487" w14:textId="77777777" w:rsidR="00B85721" w:rsidRPr="00A40882" w:rsidRDefault="00B85721" w:rsidP="00B85721">
            <w:pPr>
              <w:pStyle w:val="CDITable-RowCentre"/>
            </w:pPr>
            <w:r w:rsidRPr="00A40882">
              <w:t>10%</w:t>
            </w:r>
          </w:p>
        </w:tc>
        <w:tc>
          <w:tcPr>
            <w:tcW w:w="1928" w:type="dxa"/>
            <w:tcMar>
              <w:top w:w="113" w:type="dxa"/>
              <w:left w:w="113" w:type="dxa"/>
              <w:bottom w:w="113" w:type="dxa"/>
              <w:right w:w="113" w:type="dxa"/>
            </w:tcMar>
            <w:vAlign w:val="center"/>
          </w:tcPr>
          <w:p w14:paraId="6FC04D38" w14:textId="77777777" w:rsidR="00B85721" w:rsidRPr="00A40882" w:rsidRDefault="00B85721" w:rsidP="00B85721">
            <w:pPr>
              <w:pStyle w:val="CDITable-RowCentre"/>
            </w:pPr>
            <w:r w:rsidRPr="00A40882">
              <w:t>0.1</w:t>
            </w:r>
          </w:p>
        </w:tc>
      </w:tr>
      <w:tr w:rsidR="00B85721" w:rsidRPr="00A40882" w14:paraId="716A248E" w14:textId="77777777" w:rsidTr="00B85721">
        <w:trPr>
          <w:divId w:val="935526654"/>
          <w:trHeight w:val="20"/>
        </w:trPr>
        <w:tc>
          <w:tcPr>
            <w:tcW w:w="1928" w:type="dxa"/>
            <w:vMerge/>
            <w:tcBorders>
              <w:bottom w:val="single" w:sz="6" w:space="0" w:color="033636" w:themeColor="text2"/>
            </w:tcBorders>
            <w:shd w:val="clear" w:color="auto" w:fill="C5FFEF" w:themeFill="background2" w:themeFillTint="33"/>
          </w:tcPr>
          <w:p w14:paraId="47E81D5E" w14:textId="77777777" w:rsidR="00B85721" w:rsidRPr="00A40882" w:rsidRDefault="00B85721" w:rsidP="00B85721">
            <w:pPr>
              <w:pStyle w:val="CDITable-RowLeft"/>
            </w:pPr>
          </w:p>
        </w:tc>
        <w:tc>
          <w:tcPr>
            <w:tcW w:w="1927" w:type="dxa"/>
            <w:shd w:val="clear" w:color="auto" w:fill="F2F2F2" w:themeFill="background1" w:themeFillShade="F2"/>
            <w:tcMar>
              <w:top w:w="113" w:type="dxa"/>
              <w:left w:w="113" w:type="dxa"/>
              <w:bottom w:w="113" w:type="dxa"/>
              <w:right w:w="113" w:type="dxa"/>
            </w:tcMar>
            <w:vAlign w:val="center"/>
          </w:tcPr>
          <w:p w14:paraId="2EBB6A3A" w14:textId="77777777" w:rsidR="00B85721" w:rsidRPr="00A40882" w:rsidRDefault="00B85721" w:rsidP="00B85721">
            <w:pPr>
              <w:pStyle w:val="CDITable-RowLeft"/>
            </w:pPr>
            <w:r w:rsidRPr="00A40882">
              <w:t>50–59</w:t>
            </w:r>
          </w:p>
        </w:tc>
        <w:tc>
          <w:tcPr>
            <w:tcW w:w="1928" w:type="dxa"/>
            <w:shd w:val="clear" w:color="auto" w:fill="F2F2F2" w:themeFill="background1" w:themeFillShade="F2"/>
            <w:tcMar>
              <w:top w:w="113" w:type="dxa"/>
              <w:left w:w="113" w:type="dxa"/>
              <w:bottom w:w="113" w:type="dxa"/>
              <w:right w:w="113" w:type="dxa"/>
            </w:tcMar>
            <w:vAlign w:val="center"/>
          </w:tcPr>
          <w:p w14:paraId="66E70D0F" w14:textId="77777777" w:rsidR="00B85721" w:rsidRPr="00A40882" w:rsidRDefault="00B85721" w:rsidP="00B85721">
            <w:pPr>
              <w:pStyle w:val="CDITable-RowCentre"/>
            </w:pPr>
            <w:r w:rsidRPr="00A40882">
              <w:t>6</w:t>
            </w:r>
          </w:p>
        </w:tc>
        <w:tc>
          <w:tcPr>
            <w:tcW w:w="1927" w:type="dxa"/>
            <w:shd w:val="clear" w:color="auto" w:fill="F2F2F2" w:themeFill="background1" w:themeFillShade="F2"/>
            <w:tcMar>
              <w:top w:w="113" w:type="dxa"/>
              <w:left w:w="113" w:type="dxa"/>
              <w:bottom w:w="113" w:type="dxa"/>
              <w:right w:w="113" w:type="dxa"/>
            </w:tcMar>
            <w:vAlign w:val="center"/>
          </w:tcPr>
          <w:p w14:paraId="48ECD80F" w14:textId="77777777" w:rsidR="00B85721" w:rsidRPr="00A40882" w:rsidRDefault="00B85721" w:rsidP="00B85721">
            <w:pPr>
              <w:pStyle w:val="CDITable-RowCentre"/>
            </w:pPr>
            <w:r w:rsidRPr="00A40882">
              <w:t>14%</w:t>
            </w:r>
          </w:p>
        </w:tc>
        <w:tc>
          <w:tcPr>
            <w:tcW w:w="1928" w:type="dxa"/>
            <w:shd w:val="clear" w:color="auto" w:fill="F2F2F2" w:themeFill="background1" w:themeFillShade="F2"/>
            <w:tcMar>
              <w:top w:w="113" w:type="dxa"/>
              <w:left w:w="113" w:type="dxa"/>
              <w:bottom w:w="113" w:type="dxa"/>
              <w:right w:w="113" w:type="dxa"/>
            </w:tcMar>
            <w:vAlign w:val="center"/>
          </w:tcPr>
          <w:p w14:paraId="41298899" w14:textId="77777777" w:rsidR="00B85721" w:rsidRPr="00A40882" w:rsidRDefault="00B85721" w:rsidP="00B85721">
            <w:pPr>
              <w:pStyle w:val="CDITable-RowCentre"/>
            </w:pPr>
            <w:r w:rsidRPr="00A40882">
              <w:t>0.2</w:t>
            </w:r>
          </w:p>
        </w:tc>
      </w:tr>
      <w:tr w:rsidR="00B85721" w:rsidRPr="00A40882" w14:paraId="08B56AC5" w14:textId="77777777" w:rsidTr="00B85721">
        <w:trPr>
          <w:divId w:val="935526654"/>
          <w:trHeight w:val="20"/>
        </w:trPr>
        <w:tc>
          <w:tcPr>
            <w:tcW w:w="1928" w:type="dxa"/>
            <w:vMerge/>
            <w:tcBorders>
              <w:bottom w:val="single" w:sz="6" w:space="0" w:color="033636" w:themeColor="text2"/>
            </w:tcBorders>
            <w:shd w:val="clear" w:color="auto" w:fill="C5FFEF" w:themeFill="background2" w:themeFillTint="33"/>
          </w:tcPr>
          <w:p w14:paraId="100946A9" w14:textId="77777777" w:rsidR="00B85721" w:rsidRPr="00A40882" w:rsidRDefault="00B85721" w:rsidP="00B85721">
            <w:pPr>
              <w:pStyle w:val="CDITable-RowLeft"/>
            </w:pPr>
          </w:p>
        </w:tc>
        <w:tc>
          <w:tcPr>
            <w:tcW w:w="1927" w:type="dxa"/>
            <w:tcMar>
              <w:top w:w="113" w:type="dxa"/>
              <w:left w:w="113" w:type="dxa"/>
              <w:bottom w:w="113" w:type="dxa"/>
              <w:right w:w="113" w:type="dxa"/>
            </w:tcMar>
            <w:vAlign w:val="center"/>
          </w:tcPr>
          <w:p w14:paraId="4EE88A99" w14:textId="77777777" w:rsidR="00B85721" w:rsidRPr="00A40882" w:rsidRDefault="00B85721" w:rsidP="00B85721">
            <w:pPr>
              <w:pStyle w:val="CDITable-RowLeft"/>
            </w:pPr>
            <w:r w:rsidRPr="00A40882">
              <w:t>60–69</w:t>
            </w:r>
          </w:p>
        </w:tc>
        <w:tc>
          <w:tcPr>
            <w:tcW w:w="1928" w:type="dxa"/>
            <w:tcMar>
              <w:top w:w="113" w:type="dxa"/>
              <w:left w:w="113" w:type="dxa"/>
              <w:bottom w:w="113" w:type="dxa"/>
              <w:right w:w="113" w:type="dxa"/>
            </w:tcMar>
            <w:vAlign w:val="center"/>
          </w:tcPr>
          <w:p w14:paraId="4A19FB2E" w14:textId="77777777" w:rsidR="00B85721" w:rsidRPr="00A40882" w:rsidRDefault="00B85721" w:rsidP="00B85721">
            <w:pPr>
              <w:pStyle w:val="CDITable-RowCentre"/>
            </w:pPr>
            <w:r w:rsidRPr="00A40882">
              <w:t>12</w:t>
            </w:r>
          </w:p>
        </w:tc>
        <w:tc>
          <w:tcPr>
            <w:tcW w:w="1927" w:type="dxa"/>
            <w:tcMar>
              <w:top w:w="113" w:type="dxa"/>
              <w:left w:w="113" w:type="dxa"/>
              <w:bottom w:w="113" w:type="dxa"/>
              <w:right w:w="113" w:type="dxa"/>
            </w:tcMar>
            <w:vAlign w:val="center"/>
          </w:tcPr>
          <w:p w14:paraId="61C5E741" w14:textId="77777777" w:rsidR="00B85721" w:rsidRPr="00A40882" w:rsidRDefault="00B85721" w:rsidP="00B85721">
            <w:pPr>
              <w:pStyle w:val="CDITable-RowCentre"/>
            </w:pPr>
            <w:r w:rsidRPr="00A40882">
              <w:t>29%</w:t>
            </w:r>
          </w:p>
        </w:tc>
        <w:tc>
          <w:tcPr>
            <w:tcW w:w="1928" w:type="dxa"/>
            <w:tcMar>
              <w:top w:w="113" w:type="dxa"/>
              <w:left w:w="113" w:type="dxa"/>
              <w:bottom w:w="113" w:type="dxa"/>
              <w:right w:w="113" w:type="dxa"/>
            </w:tcMar>
            <w:vAlign w:val="center"/>
          </w:tcPr>
          <w:p w14:paraId="004596C3" w14:textId="77777777" w:rsidR="00B85721" w:rsidRPr="00A40882" w:rsidRDefault="00B85721" w:rsidP="00B85721">
            <w:pPr>
              <w:pStyle w:val="CDITable-RowCentre"/>
            </w:pPr>
            <w:r w:rsidRPr="00A40882">
              <w:t>0.4</w:t>
            </w:r>
          </w:p>
        </w:tc>
      </w:tr>
      <w:tr w:rsidR="00B85721" w:rsidRPr="00A40882" w14:paraId="7EB34118" w14:textId="77777777" w:rsidTr="00B85721">
        <w:trPr>
          <w:divId w:val="935526654"/>
          <w:trHeight w:val="20"/>
        </w:trPr>
        <w:tc>
          <w:tcPr>
            <w:tcW w:w="1928" w:type="dxa"/>
            <w:vMerge/>
            <w:tcBorders>
              <w:bottom w:val="single" w:sz="6" w:space="0" w:color="033636" w:themeColor="text2"/>
            </w:tcBorders>
            <w:shd w:val="clear" w:color="auto" w:fill="C5FFEF" w:themeFill="background2" w:themeFillTint="33"/>
          </w:tcPr>
          <w:p w14:paraId="32CDB653" w14:textId="77777777" w:rsidR="00B85721" w:rsidRPr="00A40882" w:rsidRDefault="00B85721" w:rsidP="00B85721">
            <w:pPr>
              <w:pStyle w:val="CDITable-RowLeft"/>
            </w:pPr>
          </w:p>
        </w:tc>
        <w:tc>
          <w:tcPr>
            <w:tcW w:w="1927" w:type="dxa"/>
            <w:shd w:val="clear" w:color="auto" w:fill="F2F2F2" w:themeFill="background1" w:themeFillShade="F2"/>
            <w:tcMar>
              <w:top w:w="113" w:type="dxa"/>
              <w:left w:w="113" w:type="dxa"/>
              <w:bottom w:w="113" w:type="dxa"/>
              <w:right w:w="113" w:type="dxa"/>
            </w:tcMar>
            <w:vAlign w:val="center"/>
          </w:tcPr>
          <w:p w14:paraId="18D85D32" w14:textId="77777777" w:rsidR="00B85721" w:rsidRPr="00A40882" w:rsidRDefault="00B85721" w:rsidP="00B85721">
            <w:pPr>
              <w:pStyle w:val="CDITable-RowLeft"/>
            </w:pPr>
            <w:r w:rsidRPr="00A40882">
              <w:t>70–79</w:t>
            </w:r>
          </w:p>
        </w:tc>
        <w:tc>
          <w:tcPr>
            <w:tcW w:w="1928" w:type="dxa"/>
            <w:shd w:val="clear" w:color="auto" w:fill="F2F2F2" w:themeFill="background1" w:themeFillShade="F2"/>
            <w:tcMar>
              <w:top w:w="113" w:type="dxa"/>
              <w:left w:w="113" w:type="dxa"/>
              <w:bottom w:w="113" w:type="dxa"/>
              <w:right w:w="113" w:type="dxa"/>
            </w:tcMar>
            <w:vAlign w:val="center"/>
          </w:tcPr>
          <w:p w14:paraId="3F7C0398" w14:textId="77777777" w:rsidR="00B85721" w:rsidRPr="00A40882" w:rsidRDefault="00B85721" w:rsidP="00B85721">
            <w:pPr>
              <w:pStyle w:val="CDITable-RowCentre"/>
            </w:pPr>
            <w:r w:rsidRPr="00A40882">
              <w:t>11</w:t>
            </w:r>
          </w:p>
        </w:tc>
        <w:tc>
          <w:tcPr>
            <w:tcW w:w="1927" w:type="dxa"/>
            <w:shd w:val="clear" w:color="auto" w:fill="F2F2F2" w:themeFill="background1" w:themeFillShade="F2"/>
            <w:tcMar>
              <w:top w:w="113" w:type="dxa"/>
              <w:left w:w="113" w:type="dxa"/>
              <w:bottom w:w="113" w:type="dxa"/>
              <w:right w:w="113" w:type="dxa"/>
            </w:tcMar>
            <w:vAlign w:val="center"/>
          </w:tcPr>
          <w:p w14:paraId="13A2B7CC" w14:textId="77777777" w:rsidR="00B85721" w:rsidRPr="00A40882" w:rsidRDefault="00B85721" w:rsidP="00B85721">
            <w:pPr>
              <w:pStyle w:val="CDITable-RowCentre"/>
            </w:pPr>
            <w:r w:rsidRPr="00A40882">
              <w:t>26%</w:t>
            </w:r>
          </w:p>
        </w:tc>
        <w:tc>
          <w:tcPr>
            <w:tcW w:w="1928" w:type="dxa"/>
            <w:shd w:val="clear" w:color="auto" w:fill="F2F2F2" w:themeFill="background1" w:themeFillShade="F2"/>
            <w:tcMar>
              <w:top w:w="113" w:type="dxa"/>
              <w:left w:w="113" w:type="dxa"/>
              <w:bottom w:w="113" w:type="dxa"/>
              <w:right w:w="113" w:type="dxa"/>
            </w:tcMar>
            <w:vAlign w:val="center"/>
          </w:tcPr>
          <w:p w14:paraId="6471D989" w14:textId="77777777" w:rsidR="00B85721" w:rsidRPr="00A40882" w:rsidRDefault="00B85721" w:rsidP="00B85721">
            <w:pPr>
              <w:pStyle w:val="CDITable-RowCentre"/>
            </w:pPr>
            <w:r w:rsidRPr="00A40882">
              <w:t>0.6</w:t>
            </w:r>
          </w:p>
        </w:tc>
      </w:tr>
      <w:tr w:rsidR="00B85721" w:rsidRPr="00A40882" w14:paraId="335BC1B7" w14:textId="77777777" w:rsidTr="00B85721">
        <w:trPr>
          <w:divId w:val="935526654"/>
          <w:trHeight w:val="20"/>
        </w:trPr>
        <w:tc>
          <w:tcPr>
            <w:tcW w:w="1928" w:type="dxa"/>
            <w:vMerge/>
            <w:tcBorders>
              <w:bottom w:val="single" w:sz="6" w:space="0" w:color="033636" w:themeColor="text2"/>
            </w:tcBorders>
            <w:shd w:val="clear" w:color="auto" w:fill="C5FFEF" w:themeFill="background2" w:themeFillTint="33"/>
          </w:tcPr>
          <w:p w14:paraId="3DD53E3D" w14:textId="77777777" w:rsidR="00B85721" w:rsidRPr="00A40882" w:rsidRDefault="00B85721" w:rsidP="00B85721">
            <w:pPr>
              <w:pStyle w:val="CDITable-RowLeft"/>
            </w:pPr>
          </w:p>
        </w:tc>
        <w:tc>
          <w:tcPr>
            <w:tcW w:w="1927" w:type="dxa"/>
            <w:tcBorders>
              <w:bottom w:val="single" w:sz="6" w:space="0" w:color="033636" w:themeColor="text2"/>
            </w:tcBorders>
            <w:tcMar>
              <w:top w:w="113" w:type="dxa"/>
              <w:left w:w="113" w:type="dxa"/>
              <w:bottom w:w="113" w:type="dxa"/>
              <w:right w:w="113" w:type="dxa"/>
            </w:tcMar>
            <w:vAlign w:val="center"/>
          </w:tcPr>
          <w:p w14:paraId="38C18234" w14:textId="77777777" w:rsidR="00B85721" w:rsidRPr="00A40882" w:rsidRDefault="00B85721" w:rsidP="00B85721">
            <w:pPr>
              <w:pStyle w:val="CDITable-RowLeft"/>
            </w:pPr>
            <w:r w:rsidRPr="00A40882">
              <w:t>80 and over</w:t>
            </w:r>
          </w:p>
        </w:tc>
        <w:tc>
          <w:tcPr>
            <w:tcW w:w="1928" w:type="dxa"/>
            <w:tcBorders>
              <w:bottom w:val="single" w:sz="6" w:space="0" w:color="033636" w:themeColor="text2"/>
            </w:tcBorders>
            <w:tcMar>
              <w:top w:w="113" w:type="dxa"/>
              <w:left w:w="113" w:type="dxa"/>
              <w:bottom w:w="113" w:type="dxa"/>
              <w:right w:w="113" w:type="dxa"/>
            </w:tcMar>
            <w:vAlign w:val="center"/>
          </w:tcPr>
          <w:p w14:paraId="72ACC8C6" w14:textId="77777777" w:rsidR="00B85721" w:rsidRPr="00A40882" w:rsidRDefault="00B85721" w:rsidP="00B85721">
            <w:pPr>
              <w:pStyle w:val="CDITable-RowCentre"/>
            </w:pPr>
            <w:r w:rsidRPr="00A40882">
              <w:t>0</w:t>
            </w:r>
          </w:p>
        </w:tc>
        <w:tc>
          <w:tcPr>
            <w:tcW w:w="1927" w:type="dxa"/>
            <w:tcBorders>
              <w:bottom w:val="single" w:sz="6" w:space="0" w:color="033636" w:themeColor="text2"/>
            </w:tcBorders>
            <w:tcMar>
              <w:top w:w="113" w:type="dxa"/>
              <w:left w:w="113" w:type="dxa"/>
              <w:bottom w:w="113" w:type="dxa"/>
              <w:right w:w="113" w:type="dxa"/>
            </w:tcMar>
            <w:vAlign w:val="center"/>
          </w:tcPr>
          <w:p w14:paraId="699F437F" w14:textId="77777777" w:rsidR="00B85721" w:rsidRPr="00A40882" w:rsidRDefault="00B85721" w:rsidP="00B85721">
            <w:pPr>
              <w:pStyle w:val="CDITable-RowCentre"/>
            </w:pPr>
            <w:r w:rsidRPr="00A40882">
              <w:t>0%</w:t>
            </w:r>
          </w:p>
        </w:tc>
        <w:tc>
          <w:tcPr>
            <w:tcW w:w="1928" w:type="dxa"/>
            <w:tcBorders>
              <w:bottom w:val="single" w:sz="6" w:space="0" w:color="033636" w:themeColor="text2"/>
            </w:tcBorders>
            <w:tcMar>
              <w:top w:w="113" w:type="dxa"/>
              <w:left w:w="113" w:type="dxa"/>
              <w:bottom w:w="113" w:type="dxa"/>
              <w:right w:w="113" w:type="dxa"/>
            </w:tcMar>
            <w:vAlign w:val="center"/>
          </w:tcPr>
          <w:p w14:paraId="1DED4AD0" w14:textId="77777777" w:rsidR="00B85721" w:rsidRPr="00A40882" w:rsidRDefault="00B85721" w:rsidP="00B85721">
            <w:pPr>
              <w:pStyle w:val="CDITable-RowCentre"/>
            </w:pPr>
            <w:r w:rsidRPr="00A40882">
              <w:t>0.0</w:t>
            </w:r>
          </w:p>
        </w:tc>
      </w:tr>
      <w:tr w:rsidR="00B85721" w:rsidRPr="00A40882" w14:paraId="40D42D81" w14:textId="77777777" w:rsidTr="00B85721">
        <w:trPr>
          <w:divId w:val="935526654"/>
          <w:trHeight w:val="20"/>
        </w:trPr>
        <w:tc>
          <w:tcPr>
            <w:tcW w:w="1928" w:type="dxa"/>
            <w:vMerge w:val="restart"/>
            <w:tcBorders>
              <w:top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62234D24" w14:textId="77777777" w:rsidR="00B85721" w:rsidRPr="00A40882" w:rsidRDefault="00B85721" w:rsidP="00B85721">
            <w:pPr>
              <w:pStyle w:val="CDITable-RowLeft"/>
            </w:pPr>
            <w:r w:rsidRPr="00A40882">
              <w:t xml:space="preserve">Indigenous </w:t>
            </w:r>
            <w:proofErr w:type="spellStart"/>
            <w:r w:rsidRPr="00A40882">
              <w:t>status</w:t>
            </w:r>
            <w:r w:rsidRPr="00A40882">
              <w:rPr>
                <w:vertAlign w:val="superscript"/>
              </w:rPr>
              <w:t>c</w:t>
            </w:r>
            <w:proofErr w:type="spellEnd"/>
          </w:p>
        </w:tc>
        <w:tc>
          <w:tcPr>
            <w:tcW w:w="1927"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7F5338BD" w14:textId="77777777" w:rsidR="00B85721" w:rsidRPr="00A40882" w:rsidRDefault="00B85721" w:rsidP="00B85721">
            <w:pPr>
              <w:pStyle w:val="CDITable-RowLeft"/>
            </w:pPr>
            <w:r w:rsidRPr="00A40882">
              <w:t>Indigenous</w:t>
            </w:r>
          </w:p>
        </w:tc>
        <w:tc>
          <w:tcPr>
            <w:tcW w:w="1928"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36B4A29F" w14:textId="77777777" w:rsidR="00B85721" w:rsidRPr="00A40882" w:rsidRDefault="00B85721" w:rsidP="00B85721">
            <w:pPr>
              <w:pStyle w:val="CDITable-RowCentre"/>
            </w:pPr>
            <w:r w:rsidRPr="00A40882">
              <w:t>4</w:t>
            </w:r>
          </w:p>
        </w:tc>
        <w:tc>
          <w:tcPr>
            <w:tcW w:w="1927"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4ACF8042" w14:textId="77777777" w:rsidR="00B85721" w:rsidRPr="00A40882" w:rsidRDefault="00B85721" w:rsidP="00B85721">
            <w:pPr>
              <w:pStyle w:val="CDITable-RowCentre"/>
            </w:pPr>
            <w:r w:rsidRPr="00A40882">
              <w:t>10%</w:t>
            </w:r>
          </w:p>
        </w:tc>
        <w:tc>
          <w:tcPr>
            <w:tcW w:w="1928"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15783D4B" w14:textId="77777777" w:rsidR="00B85721" w:rsidRPr="00A40882" w:rsidRDefault="00B85721" w:rsidP="00B85721">
            <w:pPr>
              <w:pStyle w:val="CDITable-RowCentre"/>
            </w:pPr>
            <w:r w:rsidRPr="00A40882">
              <w:t>0.5</w:t>
            </w:r>
          </w:p>
        </w:tc>
      </w:tr>
      <w:tr w:rsidR="00B85721" w:rsidRPr="00A40882" w14:paraId="0BF30418" w14:textId="77777777" w:rsidTr="00B85721">
        <w:trPr>
          <w:divId w:val="935526654"/>
          <w:trHeight w:val="20"/>
        </w:trPr>
        <w:tc>
          <w:tcPr>
            <w:tcW w:w="1928" w:type="dxa"/>
            <w:vMerge/>
            <w:tcBorders>
              <w:bottom w:val="single" w:sz="6" w:space="0" w:color="033636" w:themeColor="text2"/>
            </w:tcBorders>
            <w:shd w:val="clear" w:color="auto" w:fill="C5FFEF" w:themeFill="background2" w:themeFillTint="33"/>
          </w:tcPr>
          <w:p w14:paraId="26E27DBD" w14:textId="77777777" w:rsidR="00B85721" w:rsidRPr="00A40882" w:rsidRDefault="00B85721" w:rsidP="008C38FA"/>
        </w:tc>
        <w:tc>
          <w:tcPr>
            <w:tcW w:w="1927" w:type="dxa"/>
            <w:tcBorders>
              <w:bottom w:val="single" w:sz="6" w:space="0" w:color="033636" w:themeColor="text2"/>
            </w:tcBorders>
            <w:tcMar>
              <w:top w:w="113" w:type="dxa"/>
              <w:left w:w="113" w:type="dxa"/>
              <w:bottom w:w="113" w:type="dxa"/>
              <w:right w:w="113" w:type="dxa"/>
            </w:tcMar>
            <w:vAlign w:val="center"/>
          </w:tcPr>
          <w:p w14:paraId="59FE8743" w14:textId="77777777" w:rsidR="00B85721" w:rsidRPr="00A40882" w:rsidRDefault="00B85721" w:rsidP="00B85721">
            <w:pPr>
              <w:pStyle w:val="CDITable-RowLeft"/>
            </w:pPr>
            <w:r w:rsidRPr="00A40882">
              <w:t>Non-Indigenous</w:t>
            </w:r>
          </w:p>
        </w:tc>
        <w:tc>
          <w:tcPr>
            <w:tcW w:w="1928" w:type="dxa"/>
            <w:tcBorders>
              <w:bottom w:val="single" w:sz="6" w:space="0" w:color="033636" w:themeColor="text2"/>
            </w:tcBorders>
            <w:tcMar>
              <w:top w:w="113" w:type="dxa"/>
              <w:left w:w="113" w:type="dxa"/>
              <w:bottom w:w="113" w:type="dxa"/>
              <w:right w:w="113" w:type="dxa"/>
            </w:tcMar>
            <w:vAlign w:val="center"/>
          </w:tcPr>
          <w:p w14:paraId="1497F9BF" w14:textId="77777777" w:rsidR="00B85721" w:rsidRPr="00A40882" w:rsidRDefault="00B85721" w:rsidP="00B85721">
            <w:pPr>
              <w:pStyle w:val="CDITable-RowCentre"/>
            </w:pPr>
            <w:r w:rsidRPr="00A40882">
              <w:t>38</w:t>
            </w:r>
          </w:p>
        </w:tc>
        <w:tc>
          <w:tcPr>
            <w:tcW w:w="1927" w:type="dxa"/>
            <w:tcBorders>
              <w:bottom w:val="single" w:sz="6" w:space="0" w:color="033636" w:themeColor="text2"/>
            </w:tcBorders>
            <w:tcMar>
              <w:top w:w="113" w:type="dxa"/>
              <w:left w:w="113" w:type="dxa"/>
              <w:bottom w:w="113" w:type="dxa"/>
              <w:right w:w="113" w:type="dxa"/>
            </w:tcMar>
            <w:vAlign w:val="center"/>
          </w:tcPr>
          <w:p w14:paraId="2554D726" w14:textId="77777777" w:rsidR="00B85721" w:rsidRPr="00A40882" w:rsidRDefault="00B85721" w:rsidP="00B85721">
            <w:pPr>
              <w:pStyle w:val="CDITable-RowCentre"/>
            </w:pPr>
            <w:r w:rsidRPr="00A40882">
              <w:t>90%</w:t>
            </w:r>
          </w:p>
        </w:tc>
        <w:tc>
          <w:tcPr>
            <w:tcW w:w="1928" w:type="dxa"/>
            <w:tcBorders>
              <w:bottom w:val="single" w:sz="6" w:space="0" w:color="033636" w:themeColor="text2"/>
            </w:tcBorders>
            <w:tcMar>
              <w:top w:w="113" w:type="dxa"/>
              <w:left w:w="113" w:type="dxa"/>
              <w:bottom w:w="113" w:type="dxa"/>
              <w:right w:w="113" w:type="dxa"/>
            </w:tcMar>
            <w:vAlign w:val="center"/>
          </w:tcPr>
          <w:p w14:paraId="42CEA093" w14:textId="77777777" w:rsidR="00B85721" w:rsidRPr="00A40882" w:rsidRDefault="00B85721" w:rsidP="00B85721">
            <w:pPr>
              <w:pStyle w:val="CDITable-RowCentre"/>
            </w:pPr>
            <w:r w:rsidRPr="00A40882">
              <w:t>0.2</w:t>
            </w:r>
          </w:p>
        </w:tc>
      </w:tr>
    </w:tbl>
    <w:p w14:paraId="02D9F5A3" w14:textId="77777777" w:rsidR="00B85721" w:rsidRDefault="00B85721" w:rsidP="00B85721">
      <w:pPr>
        <w:pStyle w:val="CDITable-Firstfootnote"/>
        <w:divId w:val="935526654"/>
      </w:pPr>
      <w:r>
        <w:t>a</w:t>
      </w:r>
      <w:r>
        <w:tab/>
        <w:t>Source: Australian Government Department of Health and Aged Care Japanese Encephalitis Virus Outbreak REDCap Database.</w:t>
      </w:r>
    </w:p>
    <w:p w14:paraId="7EB121B0" w14:textId="77777777" w:rsidR="00B85721" w:rsidRDefault="00B85721" w:rsidP="00B85721">
      <w:pPr>
        <w:pStyle w:val="CDITable-Footnote"/>
        <w:divId w:val="935526654"/>
      </w:pPr>
      <w:r>
        <w:t>b</w:t>
      </w:r>
      <w:r>
        <w:tab/>
        <w:t>NSW: New South Wales; NT: Northern Territory; Qld: Queensland; SA: South Australia; Vic.: Victoria.</w:t>
      </w:r>
    </w:p>
    <w:p w14:paraId="22E63353" w14:textId="6C6654F9" w:rsidR="00B85721" w:rsidRDefault="00B85721" w:rsidP="00B85721">
      <w:pPr>
        <w:pStyle w:val="CDITable-Footnote"/>
        <w:divId w:val="935526654"/>
      </w:pPr>
      <w:r>
        <w:t>c</w:t>
      </w:r>
      <w:r>
        <w:tab/>
        <w:t>Cases with unknown Indigenous status were categorised as non-Indigenous.</w:t>
      </w:r>
    </w:p>
    <w:p w14:paraId="2255DA6B" w14:textId="77777777" w:rsidR="008446AE" w:rsidRPr="00354A10" w:rsidRDefault="008446AE" w:rsidP="008446AE">
      <w:pPr>
        <w:divId w:val="935526654"/>
        <w:rPr>
          <w:lang w:val="en-GB"/>
        </w:rPr>
      </w:pPr>
      <w:r w:rsidRPr="00354A10">
        <w:rPr>
          <w:lang w:val="en-GB"/>
        </w:rPr>
        <w:t>Most cases were male (67%; 28/42), with a rate of 0.20 per 100,000 male population, double the female rate (0.10 per 100,000 female population) (Table 1). The median age of cases was 61.5 years (range: 0–79 years; interquartile range [IQR]: 45–70 years) with more than half aged 60 years and over (55%; 22/40).</w:t>
      </w:r>
    </w:p>
    <w:p w14:paraId="52A90D84" w14:textId="77777777" w:rsidR="008446AE" w:rsidRPr="00354A10" w:rsidRDefault="008446AE" w:rsidP="008446AE">
      <w:pPr>
        <w:divId w:val="935526654"/>
        <w:rPr>
          <w:lang w:val="en-GB"/>
        </w:rPr>
      </w:pPr>
      <w:r w:rsidRPr="00354A10">
        <w:rPr>
          <w:lang w:val="en-GB"/>
        </w:rPr>
        <w:t xml:space="preserve">The overall male to female ratio was 2:1, but when analysed by age group, this ratio varied, with a male to female ratio of 1:1 in the 40–49 years and 50–59 years age groups, versus 4.5:1 in the 70–79 years age group. </w:t>
      </w:r>
    </w:p>
    <w:p w14:paraId="3A786834" w14:textId="77777777" w:rsidR="008446AE" w:rsidRDefault="008446AE" w:rsidP="008446AE">
      <w:pPr>
        <w:divId w:val="935526654"/>
        <w:rPr>
          <w:lang w:val="en-GB"/>
        </w:rPr>
      </w:pPr>
      <w:r w:rsidRPr="00354A10">
        <w:rPr>
          <w:lang w:val="en-GB"/>
        </w:rPr>
        <w:t>Four cases were reported in Aboriginal and/or Torres Strait Islander peoples (0.5 per 100,000 Aboriginal and Torres Strait Islanders population). The cases in Aboriginal and Torres Islander peoples occurred in New South Wales and the Northern Territory and were younger than the overall outbreak cohort, with a median age of 15 years (range: 7–45 years).</w:t>
      </w:r>
    </w:p>
    <w:p w14:paraId="179E1FFD" w14:textId="24F3A32E" w:rsidR="00B85721" w:rsidRDefault="008446AE" w:rsidP="008446AE">
      <w:pPr>
        <w:pStyle w:val="CDITable-Title"/>
        <w:divId w:val="935526654"/>
      </w:pPr>
      <w:r w:rsidRPr="008446AE">
        <w:lastRenderedPageBreak/>
        <w:t xml:space="preserve">Figure 1: Japanese encephalitis virus cases (confirmed and probable) in Australia by jurisdiction of residence and symptom onset </w:t>
      </w:r>
      <w:proofErr w:type="spellStart"/>
      <w:proofErr w:type="gramStart"/>
      <w:r w:rsidRPr="008446AE">
        <w:t>week,</w:t>
      </w:r>
      <w:r w:rsidRPr="008446AE">
        <w:rPr>
          <w:vertAlign w:val="superscript"/>
        </w:rPr>
        <w:t>a</w:t>
      </w:r>
      <w:proofErr w:type="gramEnd"/>
      <w:r w:rsidRPr="008446AE">
        <w:rPr>
          <w:vertAlign w:val="superscript"/>
        </w:rPr>
        <w:t>,b</w:t>
      </w:r>
      <w:proofErr w:type="spellEnd"/>
      <w:r w:rsidRPr="008446AE">
        <w:t xml:space="preserve"> 1 January 2021 – 30 June 2022</w:t>
      </w:r>
    </w:p>
    <w:p w14:paraId="6A2EF81E" w14:textId="26BDD3CC" w:rsidR="00B85721" w:rsidRDefault="008446AE" w:rsidP="008446AE">
      <w:pPr>
        <w:pStyle w:val="CDIFigure-Placeholder"/>
        <w:divId w:val="935526654"/>
      </w:pPr>
      <w:r>
        <w:rPr>
          <w:noProof/>
          <w:lang w:val="en-GB"/>
        </w:rPr>
        <w:drawing>
          <wp:inline distT="0" distB="0" distL="0" distR="0" wp14:anchorId="5B72FC78" wp14:editId="3B4D120A">
            <wp:extent cx="6120765" cy="3700145"/>
            <wp:effectExtent l="0" t="0" r="0" b="0"/>
            <wp:docPr id="1730744885" name="Picture 1" descr="Figure 1 is a bar chart that shows JEV notifications by jurisdiction of residence and the week of symptom onset from 1 January 2021 – 30 June 2022. The block colours represent confirmed cases and the dashed colours represent probable cases. The national outbreak peaked in February 2022, with most cases (93%, 39/42) occurring over a 14-week period from December 2021 to March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744885" name="Picture 1" descr="Figure 1 is a bar chart that shows JEV notifications by jurisdiction of residence and the week of symptom onset from 1 January 2021 – 30 June 2022. The block colours represent confirmed cases and the dashed colours represent probable cases. The national outbreak peaked in February 2022, with most cases (93%, 39/42) occurring over a 14-week period from December 2021 to March 2022."/>
                    <pic:cNvPicPr/>
                  </pic:nvPicPr>
                  <pic:blipFill>
                    <a:blip r:embed="rId9">
                      <a:extLst>
                        <a:ext uri="{28A0092B-C50C-407E-A947-70E740481C1C}">
                          <a14:useLocalDpi xmlns:a14="http://schemas.microsoft.com/office/drawing/2010/main" val="0"/>
                        </a:ext>
                      </a:extLst>
                    </a:blip>
                    <a:stretch>
                      <a:fillRect/>
                    </a:stretch>
                  </pic:blipFill>
                  <pic:spPr>
                    <a:xfrm>
                      <a:off x="0" y="0"/>
                      <a:ext cx="6120765" cy="3700145"/>
                    </a:xfrm>
                    <a:prstGeom prst="rect">
                      <a:avLst/>
                    </a:prstGeom>
                  </pic:spPr>
                </pic:pic>
              </a:graphicData>
            </a:graphic>
          </wp:inline>
        </w:drawing>
      </w:r>
    </w:p>
    <w:p w14:paraId="51DC6E22" w14:textId="77777777" w:rsidR="008446AE" w:rsidRDefault="008446AE" w:rsidP="008446AE">
      <w:pPr>
        <w:pStyle w:val="CDITable-Firstfootnote"/>
        <w:divId w:val="935526654"/>
      </w:pPr>
      <w:r>
        <w:t>a</w:t>
      </w:r>
      <w:r>
        <w:tab/>
        <w:t>Source: Australian Government Department of Health and Aged Care Japanese Encephalitis Virus Outbreak REDCap Database.</w:t>
      </w:r>
    </w:p>
    <w:p w14:paraId="5EC51829" w14:textId="1079E1E6" w:rsidR="008446AE" w:rsidRDefault="008446AE" w:rsidP="008446AE">
      <w:pPr>
        <w:pStyle w:val="CDITable-Footnote"/>
        <w:divId w:val="935526654"/>
      </w:pPr>
      <w:r>
        <w:t>b</w:t>
      </w:r>
      <w:r>
        <w:tab/>
        <w:t>Date of symptom onset or date of first specimen collection if date of symptom onset is missing.</w:t>
      </w:r>
    </w:p>
    <w:p w14:paraId="60D0D86F" w14:textId="77777777" w:rsidR="008446AE" w:rsidRPr="00354A10" w:rsidRDefault="008446AE" w:rsidP="008446AE">
      <w:pPr>
        <w:divId w:val="935526654"/>
        <w:rPr>
          <w:lang w:val="en-GB"/>
        </w:rPr>
      </w:pPr>
      <w:r w:rsidRPr="00354A10">
        <w:rPr>
          <w:lang w:val="en-GB"/>
        </w:rPr>
        <w:t>Eighty-three percent (35/42) of cases were hospitalised, of which 57% (20/35) were admitted to an intensive care unit (ICU; Table 2). Most cases hospitalised (65%; 23/35) and admitted to ICU (65%; 13/20) were male. Six cases (6/42) were reported with co-infections, all of whom were hospitalised. Of these, four were reported to be co-infected with coronavirus disease 2019 (COVID-19) and two with Ross River virus infection.</w:t>
      </w:r>
    </w:p>
    <w:p w14:paraId="470C0BFE" w14:textId="77777777" w:rsidR="008446AE" w:rsidRDefault="008446AE" w:rsidP="008446AE">
      <w:pPr>
        <w:divId w:val="935526654"/>
        <w:rPr>
          <w:lang w:val="en-GB"/>
        </w:rPr>
      </w:pPr>
      <w:r w:rsidRPr="00354A10">
        <w:rPr>
          <w:lang w:val="en-GB"/>
        </w:rPr>
        <w:t>Seven cases were reported to have died due to JEV infection, with an overall case fatality rate of 17% (Table</w:t>
      </w:r>
      <w:r>
        <w:rPr>
          <w:lang w:val="en-GB"/>
        </w:rPr>
        <w:t> </w:t>
      </w:r>
      <w:r w:rsidRPr="00354A10">
        <w:rPr>
          <w:lang w:val="en-GB"/>
        </w:rPr>
        <w:t xml:space="preserve">2). </w:t>
      </w:r>
      <w:proofErr w:type="gramStart"/>
      <w:r w:rsidRPr="00354A10">
        <w:rPr>
          <w:lang w:val="en-GB"/>
        </w:rPr>
        <w:t>All of</w:t>
      </w:r>
      <w:proofErr w:type="gramEnd"/>
      <w:r w:rsidRPr="00354A10">
        <w:rPr>
          <w:lang w:val="en-GB"/>
        </w:rPr>
        <w:t xml:space="preserve"> these cases were aged over 40 years; four were male (57%). </w:t>
      </w:r>
      <w:r>
        <w:rPr>
          <w:lang w:val="en-GB"/>
        </w:rPr>
        <w:br w:type="page"/>
      </w:r>
    </w:p>
    <w:p w14:paraId="194BD8AA" w14:textId="00C4DBBD" w:rsidR="008446AE" w:rsidRDefault="008446AE" w:rsidP="008446AE">
      <w:pPr>
        <w:pStyle w:val="CDITable-Title"/>
        <w:divId w:val="935526654"/>
      </w:pPr>
      <w:r w:rsidRPr="008446AE">
        <w:lastRenderedPageBreak/>
        <w:t xml:space="preserve">Table 2: Japanese encephalitis virus case (confirmed and probable) outcomes by jurisdiction of residence, </w:t>
      </w:r>
      <w:proofErr w:type="spellStart"/>
      <w:proofErr w:type="gramStart"/>
      <w:r w:rsidRPr="008446AE">
        <w:t>Australia,</w:t>
      </w:r>
      <w:r w:rsidRPr="008446AE">
        <w:rPr>
          <w:vertAlign w:val="superscript"/>
        </w:rPr>
        <w:t>a</w:t>
      </w:r>
      <w:proofErr w:type="spellEnd"/>
      <w:proofErr w:type="gramEnd"/>
      <w:r w:rsidRPr="008446AE">
        <w:t xml:space="preserve"> 1 January 2021 – 30 June 2022</w:t>
      </w:r>
    </w:p>
    <w:tbl>
      <w:tblPr>
        <w:tblW w:w="0" w:type="auto"/>
        <w:tblLayout w:type="fixed"/>
        <w:tblCellMar>
          <w:left w:w="0" w:type="dxa"/>
          <w:right w:w="0" w:type="dxa"/>
        </w:tblCellMar>
        <w:tblLook w:val="0000" w:firstRow="0" w:lastRow="0" w:firstColumn="0" w:lastColumn="0" w:noHBand="0" w:noVBand="0"/>
        <w:tblCaption w:val="Table 2: Japanese encephalitis virus case (confirmed and probable) outcomes by jurisdiction of residence, Australia,a 1 January 2021 – 30 June 2022"/>
        <w:tblDescription w:val="Table 2 shows the number and proportions of JEV cases that were hospitalised, admitted to ICU or died of JEV by jurisdiction of residence."/>
      </w:tblPr>
      <w:tblGrid>
        <w:gridCol w:w="1377"/>
        <w:gridCol w:w="1377"/>
        <w:gridCol w:w="1376"/>
        <w:gridCol w:w="1377"/>
        <w:gridCol w:w="1377"/>
        <w:gridCol w:w="1377"/>
        <w:gridCol w:w="1377"/>
      </w:tblGrid>
      <w:tr w:rsidR="008446AE" w:rsidRPr="00C35103" w14:paraId="179C9683" w14:textId="77777777" w:rsidTr="008446AE">
        <w:trPr>
          <w:divId w:val="935526654"/>
          <w:trHeight w:val="20"/>
          <w:tblHeader/>
        </w:trPr>
        <w:tc>
          <w:tcPr>
            <w:tcW w:w="1377" w:type="dxa"/>
            <w:vMerge w:val="restart"/>
            <w:shd w:val="clear" w:color="auto" w:fill="033636" w:themeFill="text2"/>
            <w:tcMar>
              <w:top w:w="113" w:type="dxa"/>
              <w:left w:w="113" w:type="dxa"/>
              <w:bottom w:w="113" w:type="dxa"/>
              <w:right w:w="113" w:type="dxa"/>
            </w:tcMar>
            <w:vAlign w:val="bottom"/>
          </w:tcPr>
          <w:p w14:paraId="0A2BDCD9" w14:textId="77777777" w:rsidR="008446AE" w:rsidRPr="00C35103" w:rsidRDefault="008446AE" w:rsidP="008446AE">
            <w:pPr>
              <w:pStyle w:val="CDITable-HeaderRowLeft"/>
            </w:pPr>
            <w:r w:rsidRPr="00C35103">
              <w:t>Jurisdiction of</w:t>
            </w:r>
            <w:r>
              <w:t> </w:t>
            </w:r>
            <w:proofErr w:type="spellStart"/>
            <w:r w:rsidRPr="00C35103">
              <w:t>residence</w:t>
            </w:r>
            <w:r w:rsidRPr="00C35103">
              <w:rPr>
                <w:vertAlign w:val="superscript"/>
              </w:rPr>
              <w:t>b</w:t>
            </w:r>
            <w:proofErr w:type="spellEnd"/>
          </w:p>
        </w:tc>
        <w:tc>
          <w:tcPr>
            <w:tcW w:w="2753" w:type="dxa"/>
            <w:gridSpan w:val="2"/>
            <w:tcBorders>
              <w:bottom w:val="single" w:sz="6" w:space="0" w:color="FFFFFF" w:themeColor="background1"/>
            </w:tcBorders>
            <w:shd w:val="clear" w:color="auto" w:fill="033636" w:themeFill="text2"/>
            <w:tcMar>
              <w:top w:w="113" w:type="dxa"/>
              <w:left w:w="113" w:type="dxa"/>
              <w:bottom w:w="113" w:type="dxa"/>
              <w:right w:w="113" w:type="dxa"/>
            </w:tcMar>
            <w:vAlign w:val="bottom"/>
          </w:tcPr>
          <w:p w14:paraId="4FC42355" w14:textId="77777777" w:rsidR="008446AE" w:rsidRPr="00C35103" w:rsidRDefault="008446AE" w:rsidP="008446AE">
            <w:pPr>
              <w:pStyle w:val="CDITable-HeaderRowCentre"/>
            </w:pPr>
            <w:r w:rsidRPr="00C35103">
              <w:t>Hospitalisations</w:t>
            </w:r>
          </w:p>
        </w:tc>
        <w:tc>
          <w:tcPr>
            <w:tcW w:w="2754" w:type="dxa"/>
            <w:gridSpan w:val="2"/>
            <w:tcBorders>
              <w:bottom w:val="single" w:sz="6" w:space="0" w:color="FFFFFF" w:themeColor="background1"/>
            </w:tcBorders>
            <w:shd w:val="clear" w:color="auto" w:fill="033636" w:themeFill="text2"/>
            <w:tcMar>
              <w:top w:w="113" w:type="dxa"/>
              <w:left w:w="113" w:type="dxa"/>
              <w:bottom w:w="113" w:type="dxa"/>
              <w:right w:w="113" w:type="dxa"/>
            </w:tcMar>
            <w:vAlign w:val="bottom"/>
          </w:tcPr>
          <w:p w14:paraId="328C5E0E" w14:textId="77777777" w:rsidR="008446AE" w:rsidRPr="00C35103" w:rsidRDefault="008446AE" w:rsidP="008446AE">
            <w:pPr>
              <w:pStyle w:val="CDITable-HeaderRowCentre"/>
            </w:pPr>
            <w:r w:rsidRPr="00C35103">
              <w:t>Admission to ICU</w:t>
            </w:r>
          </w:p>
        </w:tc>
        <w:tc>
          <w:tcPr>
            <w:tcW w:w="2754" w:type="dxa"/>
            <w:gridSpan w:val="2"/>
            <w:tcBorders>
              <w:bottom w:val="single" w:sz="6" w:space="0" w:color="FFFFFF" w:themeColor="background1"/>
            </w:tcBorders>
            <w:shd w:val="clear" w:color="auto" w:fill="033636" w:themeFill="text2"/>
            <w:tcMar>
              <w:top w:w="113" w:type="dxa"/>
              <w:left w:w="113" w:type="dxa"/>
              <w:bottom w:w="113" w:type="dxa"/>
              <w:right w:w="113" w:type="dxa"/>
            </w:tcMar>
            <w:vAlign w:val="bottom"/>
          </w:tcPr>
          <w:p w14:paraId="4E010152" w14:textId="77777777" w:rsidR="008446AE" w:rsidRPr="00C35103" w:rsidRDefault="008446AE" w:rsidP="008446AE">
            <w:pPr>
              <w:pStyle w:val="CDITable-HeaderRowCentre"/>
            </w:pPr>
            <w:r w:rsidRPr="00C35103">
              <w:t>Deaths</w:t>
            </w:r>
          </w:p>
        </w:tc>
      </w:tr>
      <w:tr w:rsidR="008446AE" w:rsidRPr="00C35103" w14:paraId="0B9E2B51" w14:textId="77777777" w:rsidTr="008446AE">
        <w:trPr>
          <w:divId w:val="935526654"/>
          <w:trHeight w:val="20"/>
          <w:tblHeader/>
        </w:trPr>
        <w:tc>
          <w:tcPr>
            <w:tcW w:w="1377" w:type="dxa"/>
            <w:vMerge/>
            <w:shd w:val="clear" w:color="auto" w:fill="033636" w:themeFill="text2"/>
          </w:tcPr>
          <w:p w14:paraId="6D46CC65" w14:textId="77777777" w:rsidR="008446AE" w:rsidRPr="00C35103" w:rsidRDefault="008446AE" w:rsidP="008C38FA"/>
        </w:tc>
        <w:tc>
          <w:tcPr>
            <w:tcW w:w="1377" w:type="dxa"/>
            <w:tcBorders>
              <w:top w:val="single" w:sz="6" w:space="0" w:color="FFFFFF" w:themeColor="background1"/>
            </w:tcBorders>
            <w:shd w:val="clear" w:color="auto" w:fill="033636" w:themeFill="text2"/>
            <w:tcMar>
              <w:top w:w="113" w:type="dxa"/>
              <w:left w:w="113" w:type="dxa"/>
              <w:bottom w:w="113" w:type="dxa"/>
              <w:right w:w="113" w:type="dxa"/>
            </w:tcMar>
            <w:vAlign w:val="bottom"/>
          </w:tcPr>
          <w:p w14:paraId="501C305B" w14:textId="77777777" w:rsidR="008446AE" w:rsidRPr="00C35103" w:rsidRDefault="008446AE" w:rsidP="008446AE">
            <w:pPr>
              <w:pStyle w:val="CDITable-HeaderRowCentre"/>
            </w:pPr>
            <w:r w:rsidRPr="00C35103">
              <w:t>Number</w:t>
            </w:r>
          </w:p>
        </w:tc>
        <w:tc>
          <w:tcPr>
            <w:tcW w:w="1376" w:type="dxa"/>
            <w:tcBorders>
              <w:top w:val="single" w:sz="6" w:space="0" w:color="FFFFFF" w:themeColor="background1"/>
            </w:tcBorders>
            <w:shd w:val="clear" w:color="auto" w:fill="033636" w:themeFill="text2"/>
            <w:tcMar>
              <w:top w:w="113" w:type="dxa"/>
              <w:left w:w="113" w:type="dxa"/>
              <w:bottom w:w="113" w:type="dxa"/>
              <w:right w:w="113" w:type="dxa"/>
            </w:tcMar>
            <w:vAlign w:val="bottom"/>
          </w:tcPr>
          <w:p w14:paraId="64780207" w14:textId="77777777" w:rsidR="008446AE" w:rsidRPr="00C35103" w:rsidRDefault="008446AE" w:rsidP="008446AE">
            <w:pPr>
              <w:pStyle w:val="CDITable-HeaderRowCentre"/>
            </w:pPr>
            <w:r w:rsidRPr="00C35103">
              <w:t>Proportion</w:t>
            </w:r>
          </w:p>
        </w:tc>
        <w:tc>
          <w:tcPr>
            <w:tcW w:w="1377" w:type="dxa"/>
            <w:tcBorders>
              <w:top w:val="single" w:sz="6" w:space="0" w:color="FFFFFF" w:themeColor="background1"/>
            </w:tcBorders>
            <w:shd w:val="clear" w:color="auto" w:fill="033636" w:themeFill="text2"/>
            <w:tcMar>
              <w:top w:w="113" w:type="dxa"/>
              <w:left w:w="113" w:type="dxa"/>
              <w:bottom w:w="113" w:type="dxa"/>
              <w:right w:w="113" w:type="dxa"/>
            </w:tcMar>
            <w:vAlign w:val="bottom"/>
          </w:tcPr>
          <w:p w14:paraId="6AF2A0C1" w14:textId="77777777" w:rsidR="008446AE" w:rsidRPr="00C35103" w:rsidRDefault="008446AE" w:rsidP="008446AE">
            <w:pPr>
              <w:pStyle w:val="CDITable-HeaderRowCentre"/>
            </w:pPr>
            <w:r w:rsidRPr="00C35103">
              <w:t>Number</w:t>
            </w:r>
          </w:p>
        </w:tc>
        <w:tc>
          <w:tcPr>
            <w:tcW w:w="1377" w:type="dxa"/>
            <w:tcBorders>
              <w:top w:val="single" w:sz="6" w:space="0" w:color="FFFFFF" w:themeColor="background1"/>
            </w:tcBorders>
            <w:shd w:val="clear" w:color="auto" w:fill="033636" w:themeFill="text2"/>
            <w:tcMar>
              <w:top w:w="113" w:type="dxa"/>
              <w:left w:w="113" w:type="dxa"/>
              <w:bottom w:w="113" w:type="dxa"/>
              <w:right w:w="113" w:type="dxa"/>
            </w:tcMar>
            <w:vAlign w:val="bottom"/>
          </w:tcPr>
          <w:p w14:paraId="790E00A0" w14:textId="77777777" w:rsidR="008446AE" w:rsidRPr="00C35103" w:rsidRDefault="008446AE" w:rsidP="008446AE">
            <w:pPr>
              <w:pStyle w:val="CDITable-HeaderRowCentre"/>
            </w:pPr>
            <w:r w:rsidRPr="00C35103">
              <w:t>Proportion</w:t>
            </w:r>
          </w:p>
        </w:tc>
        <w:tc>
          <w:tcPr>
            <w:tcW w:w="1377" w:type="dxa"/>
            <w:tcBorders>
              <w:top w:val="single" w:sz="6" w:space="0" w:color="FFFFFF" w:themeColor="background1"/>
            </w:tcBorders>
            <w:shd w:val="clear" w:color="auto" w:fill="033636" w:themeFill="text2"/>
            <w:tcMar>
              <w:top w:w="113" w:type="dxa"/>
              <w:left w:w="113" w:type="dxa"/>
              <w:bottom w:w="113" w:type="dxa"/>
              <w:right w:w="113" w:type="dxa"/>
            </w:tcMar>
            <w:vAlign w:val="bottom"/>
          </w:tcPr>
          <w:p w14:paraId="293AE559" w14:textId="77777777" w:rsidR="008446AE" w:rsidRPr="00C35103" w:rsidRDefault="008446AE" w:rsidP="008446AE">
            <w:pPr>
              <w:pStyle w:val="CDITable-HeaderRowCentre"/>
            </w:pPr>
            <w:r w:rsidRPr="00C35103">
              <w:t>Number</w:t>
            </w:r>
          </w:p>
        </w:tc>
        <w:tc>
          <w:tcPr>
            <w:tcW w:w="1377" w:type="dxa"/>
            <w:tcBorders>
              <w:top w:val="single" w:sz="6" w:space="0" w:color="FFFFFF" w:themeColor="background1"/>
            </w:tcBorders>
            <w:shd w:val="clear" w:color="auto" w:fill="033636" w:themeFill="text2"/>
            <w:tcMar>
              <w:top w:w="113" w:type="dxa"/>
              <w:left w:w="113" w:type="dxa"/>
              <w:bottom w:w="113" w:type="dxa"/>
              <w:right w:w="113" w:type="dxa"/>
            </w:tcMar>
            <w:vAlign w:val="bottom"/>
          </w:tcPr>
          <w:p w14:paraId="537D5E79" w14:textId="77777777" w:rsidR="008446AE" w:rsidRPr="00C35103" w:rsidRDefault="008446AE" w:rsidP="008446AE">
            <w:pPr>
              <w:pStyle w:val="CDITable-HeaderRowCentre"/>
            </w:pPr>
            <w:r w:rsidRPr="00C35103">
              <w:t>Proportion</w:t>
            </w:r>
          </w:p>
        </w:tc>
      </w:tr>
      <w:tr w:rsidR="008446AE" w:rsidRPr="00C35103" w14:paraId="3304261F" w14:textId="77777777" w:rsidTr="008446AE">
        <w:trPr>
          <w:divId w:val="935526654"/>
          <w:trHeight w:val="20"/>
        </w:trPr>
        <w:tc>
          <w:tcPr>
            <w:tcW w:w="1377" w:type="dxa"/>
            <w:shd w:val="clear" w:color="auto" w:fill="F2F2F2" w:themeFill="background1" w:themeFillShade="F2"/>
            <w:tcMar>
              <w:top w:w="113" w:type="dxa"/>
              <w:left w:w="113" w:type="dxa"/>
              <w:bottom w:w="113" w:type="dxa"/>
              <w:right w:w="113" w:type="dxa"/>
            </w:tcMar>
            <w:vAlign w:val="center"/>
          </w:tcPr>
          <w:p w14:paraId="4DF0705B" w14:textId="77777777" w:rsidR="008446AE" w:rsidRPr="00C35103" w:rsidRDefault="008446AE" w:rsidP="008446AE">
            <w:pPr>
              <w:pStyle w:val="CDITable-RowLeft"/>
            </w:pPr>
            <w:r w:rsidRPr="00C35103">
              <w:t>NSW</w:t>
            </w:r>
          </w:p>
        </w:tc>
        <w:tc>
          <w:tcPr>
            <w:tcW w:w="1377" w:type="dxa"/>
            <w:shd w:val="clear" w:color="auto" w:fill="F2F2F2" w:themeFill="background1" w:themeFillShade="F2"/>
            <w:tcMar>
              <w:top w:w="113" w:type="dxa"/>
              <w:left w:w="113" w:type="dxa"/>
              <w:bottom w:w="113" w:type="dxa"/>
              <w:right w:w="113" w:type="dxa"/>
            </w:tcMar>
            <w:vAlign w:val="center"/>
          </w:tcPr>
          <w:p w14:paraId="1C133A2A" w14:textId="77777777" w:rsidR="008446AE" w:rsidRPr="00C35103" w:rsidRDefault="008446AE" w:rsidP="008446AE">
            <w:pPr>
              <w:pStyle w:val="CDITable-RowCentre"/>
            </w:pPr>
            <w:r w:rsidRPr="00C35103">
              <w:t>11</w:t>
            </w:r>
          </w:p>
        </w:tc>
        <w:tc>
          <w:tcPr>
            <w:tcW w:w="1376" w:type="dxa"/>
            <w:shd w:val="clear" w:color="auto" w:fill="F2F2F2" w:themeFill="background1" w:themeFillShade="F2"/>
            <w:tcMar>
              <w:top w:w="113" w:type="dxa"/>
              <w:left w:w="113" w:type="dxa"/>
              <w:bottom w:w="113" w:type="dxa"/>
              <w:right w:w="113" w:type="dxa"/>
            </w:tcMar>
            <w:vAlign w:val="center"/>
          </w:tcPr>
          <w:p w14:paraId="28AB0E56" w14:textId="77777777" w:rsidR="008446AE" w:rsidRPr="00C35103" w:rsidRDefault="008446AE" w:rsidP="008446AE">
            <w:pPr>
              <w:pStyle w:val="CDITable-RowCentre"/>
            </w:pPr>
            <w:r w:rsidRPr="00C35103">
              <w:t>31%</w:t>
            </w:r>
          </w:p>
        </w:tc>
        <w:tc>
          <w:tcPr>
            <w:tcW w:w="1377" w:type="dxa"/>
            <w:shd w:val="clear" w:color="auto" w:fill="F2F2F2" w:themeFill="background1" w:themeFillShade="F2"/>
            <w:tcMar>
              <w:top w:w="113" w:type="dxa"/>
              <w:left w:w="113" w:type="dxa"/>
              <w:bottom w:w="113" w:type="dxa"/>
              <w:right w:w="113" w:type="dxa"/>
            </w:tcMar>
            <w:vAlign w:val="center"/>
          </w:tcPr>
          <w:p w14:paraId="4551D21B" w14:textId="77777777" w:rsidR="008446AE" w:rsidRPr="00C35103" w:rsidRDefault="008446AE" w:rsidP="008446AE">
            <w:pPr>
              <w:pStyle w:val="CDITable-RowCentre"/>
            </w:pPr>
            <w:r w:rsidRPr="00C35103">
              <w:t>7</w:t>
            </w:r>
          </w:p>
        </w:tc>
        <w:tc>
          <w:tcPr>
            <w:tcW w:w="1377" w:type="dxa"/>
            <w:shd w:val="clear" w:color="auto" w:fill="F2F2F2" w:themeFill="background1" w:themeFillShade="F2"/>
            <w:tcMar>
              <w:top w:w="113" w:type="dxa"/>
              <w:left w:w="113" w:type="dxa"/>
              <w:bottom w:w="113" w:type="dxa"/>
              <w:right w:w="113" w:type="dxa"/>
            </w:tcMar>
            <w:vAlign w:val="center"/>
          </w:tcPr>
          <w:p w14:paraId="6EF63FFB" w14:textId="77777777" w:rsidR="008446AE" w:rsidRPr="00C35103" w:rsidRDefault="008446AE" w:rsidP="008446AE">
            <w:pPr>
              <w:pStyle w:val="CDITable-RowCentre"/>
            </w:pPr>
            <w:r w:rsidRPr="00C35103">
              <w:t>35%</w:t>
            </w:r>
          </w:p>
        </w:tc>
        <w:tc>
          <w:tcPr>
            <w:tcW w:w="1377" w:type="dxa"/>
            <w:shd w:val="clear" w:color="auto" w:fill="F2F2F2" w:themeFill="background1" w:themeFillShade="F2"/>
            <w:tcMar>
              <w:top w:w="113" w:type="dxa"/>
              <w:left w:w="113" w:type="dxa"/>
              <w:bottom w:w="113" w:type="dxa"/>
              <w:right w:w="113" w:type="dxa"/>
            </w:tcMar>
            <w:vAlign w:val="center"/>
          </w:tcPr>
          <w:p w14:paraId="780168C8" w14:textId="77777777" w:rsidR="008446AE" w:rsidRPr="00C35103" w:rsidRDefault="008446AE" w:rsidP="008446AE">
            <w:pPr>
              <w:pStyle w:val="CDITable-RowCentre"/>
            </w:pPr>
            <w:r w:rsidRPr="00C35103">
              <w:t>2</w:t>
            </w:r>
          </w:p>
        </w:tc>
        <w:tc>
          <w:tcPr>
            <w:tcW w:w="1377" w:type="dxa"/>
            <w:shd w:val="clear" w:color="auto" w:fill="F2F2F2" w:themeFill="background1" w:themeFillShade="F2"/>
            <w:tcMar>
              <w:top w:w="113" w:type="dxa"/>
              <w:left w:w="113" w:type="dxa"/>
              <w:bottom w:w="113" w:type="dxa"/>
              <w:right w:w="113" w:type="dxa"/>
            </w:tcMar>
            <w:vAlign w:val="center"/>
          </w:tcPr>
          <w:p w14:paraId="691DB05F" w14:textId="77777777" w:rsidR="008446AE" w:rsidRPr="00C35103" w:rsidRDefault="008446AE" w:rsidP="008446AE">
            <w:pPr>
              <w:pStyle w:val="CDITable-RowCentre"/>
            </w:pPr>
            <w:r w:rsidRPr="00C35103">
              <w:t>29%</w:t>
            </w:r>
          </w:p>
        </w:tc>
      </w:tr>
      <w:tr w:rsidR="008446AE" w:rsidRPr="00C35103" w14:paraId="56B13C54" w14:textId="77777777" w:rsidTr="008446AE">
        <w:trPr>
          <w:divId w:val="935526654"/>
          <w:trHeight w:val="20"/>
        </w:trPr>
        <w:tc>
          <w:tcPr>
            <w:tcW w:w="1377" w:type="dxa"/>
            <w:tcMar>
              <w:top w:w="113" w:type="dxa"/>
              <w:left w:w="113" w:type="dxa"/>
              <w:bottom w:w="113" w:type="dxa"/>
              <w:right w:w="113" w:type="dxa"/>
            </w:tcMar>
            <w:vAlign w:val="center"/>
          </w:tcPr>
          <w:p w14:paraId="41374589" w14:textId="77777777" w:rsidR="008446AE" w:rsidRPr="00C35103" w:rsidRDefault="008446AE" w:rsidP="008446AE">
            <w:pPr>
              <w:pStyle w:val="CDITable-RowLeft"/>
            </w:pPr>
            <w:r w:rsidRPr="00C35103">
              <w:t>NT</w:t>
            </w:r>
          </w:p>
        </w:tc>
        <w:tc>
          <w:tcPr>
            <w:tcW w:w="1377" w:type="dxa"/>
            <w:tcMar>
              <w:top w:w="113" w:type="dxa"/>
              <w:left w:w="113" w:type="dxa"/>
              <w:bottom w:w="113" w:type="dxa"/>
              <w:right w:w="113" w:type="dxa"/>
            </w:tcMar>
            <w:vAlign w:val="center"/>
          </w:tcPr>
          <w:p w14:paraId="00735D2F" w14:textId="77777777" w:rsidR="008446AE" w:rsidRPr="00C35103" w:rsidRDefault="008446AE" w:rsidP="008446AE">
            <w:pPr>
              <w:pStyle w:val="CDITable-RowCentre"/>
            </w:pPr>
            <w:r w:rsidRPr="00C35103">
              <w:t>2</w:t>
            </w:r>
          </w:p>
        </w:tc>
        <w:tc>
          <w:tcPr>
            <w:tcW w:w="1376" w:type="dxa"/>
            <w:tcMar>
              <w:top w:w="113" w:type="dxa"/>
              <w:left w:w="113" w:type="dxa"/>
              <w:bottom w:w="113" w:type="dxa"/>
              <w:right w:w="113" w:type="dxa"/>
            </w:tcMar>
            <w:vAlign w:val="center"/>
          </w:tcPr>
          <w:p w14:paraId="64CA8154" w14:textId="77777777" w:rsidR="008446AE" w:rsidRPr="00C35103" w:rsidRDefault="008446AE" w:rsidP="008446AE">
            <w:pPr>
              <w:pStyle w:val="CDITable-RowCentre"/>
            </w:pPr>
            <w:r w:rsidRPr="00C35103">
              <w:t>6%</w:t>
            </w:r>
          </w:p>
        </w:tc>
        <w:tc>
          <w:tcPr>
            <w:tcW w:w="1377" w:type="dxa"/>
            <w:tcMar>
              <w:top w:w="113" w:type="dxa"/>
              <w:left w:w="113" w:type="dxa"/>
              <w:bottom w:w="113" w:type="dxa"/>
              <w:right w:w="113" w:type="dxa"/>
            </w:tcMar>
            <w:vAlign w:val="center"/>
          </w:tcPr>
          <w:p w14:paraId="47D068A1" w14:textId="77777777" w:rsidR="008446AE" w:rsidRPr="00C35103" w:rsidRDefault="008446AE" w:rsidP="008446AE">
            <w:pPr>
              <w:pStyle w:val="CDITable-RowCentre"/>
            </w:pPr>
            <w:r w:rsidRPr="00C35103">
              <w:t>1</w:t>
            </w:r>
          </w:p>
        </w:tc>
        <w:tc>
          <w:tcPr>
            <w:tcW w:w="1377" w:type="dxa"/>
            <w:tcMar>
              <w:top w:w="113" w:type="dxa"/>
              <w:left w:w="113" w:type="dxa"/>
              <w:bottom w:w="113" w:type="dxa"/>
              <w:right w:w="113" w:type="dxa"/>
            </w:tcMar>
            <w:vAlign w:val="center"/>
          </w:tcPr>
          <w:p w14:paraId="214ACA1F" w14:textId="77777777" w:rsidR="008446AE" w:rsidRPr="00C35103" w:rsidRDefault="008446AE" w:rsidP="008446AE">
            <w:pPr>
              <w:pStyle w:val="CDITable-RowCentre"/>
            </w:pPr>
            <w:r w:rsidRPr="00C35103">
              <w:t>5%</w:t>
            </w:r>
          </w:p>
        </w:tc>
        <w:tc>
          <w:tcPr>
            <w:tcW w:w="1377" w:type="dxa"/>
            <w:tcMar>
              <w:top w:w="113" w:type="dxa"/>
              <w:left w:w="113" w:type="dxa"/>
              <w:bottom w:w="113" w:type="dxa"/>
              <w:right w:w="113" w:type="dxa"/>
            </w:tcMar>
            <w:vAlign w:val="center"/>
          </w:tcPr>
          <w:p w14:paraId="4D38D4BD" w14:textId="77777777" w:rsidR="008446AE" w:rsidRPr="00C35103" w:rsidRDefault="008446AE" w:rsidP="008446AE">
            <w:pPr>
              <w:pStyle w:val="CDITable-RowCentre"/>
            </w:pPr>
            <w:r w:rsidRPr="00C35103">
              <w:t>1</w:t>
            </w:r>
          </w:p>
        </w:tc>
        <w:tc>
          <w:tcPr>
            <w:tcW w:w="1377" w:type="dxa"/>
            <w:tcMar>
              <w:top w:w="113" w:type="dxa"/>
              <w:left w:w="113" w:type="dxa"/>
              <w:bottom w:w="113" w:type="dxa"/>
              <w:right w:w="113" w:type="dxa"/>
            </w:tcMar>
            <w:vAlign w:val="center"/>
          </w:tcPr>
          <w:p w14:paraId="18462975" w14:textId="77777777" w:rsidR="008446AE" w:rsidRPr="00C35103" w:rsidRDefault="008446AE" w:rsidP="008446AE">
            <w:pPr>
              <w:pStyle w:val="CDITable-RowCentre"/>
            </w:pPr>
            <w:r w:rsidRPr="00C35103">
              <w:t>14%</w:t>
            </w:r>
          </w:p>
        </w:tc>
      </w:tr>
      <w:tr w:rsidR="008446AE" w:rsidRPr="00C35103" w14:paraId="7FFAEE7C" w14:textId="77777777" w:rsidTr="008446AE">
        <w:trPr>
          <w:divId w:val="935526654"/>
          <w:trHeight w:val="20"/>
        </w:trPr>
        <w:tc>
          <w:tcPr>
            <w:tcW w:w="1377" w:type="dxa"/>
            <w:shd w:val="clear" w:color="auto" w:fill="F2F2F2" w:themeFill="background1" w:themeFillShade="F2"/>
            <w:tcMar>
              <w:top w:w="113" w:type="dxa"/>
              <w:left w:w="113" w:type="dxa"/>
              <w:bottom w:w="113" w:type="dxa"/>
              <w:right w:w="113" w:type="dxa"/>
            </w:tcMar>
            <w:vAlign w:val="center"/>
          </w:tcPr>
          <w:p w14:paraId="68643FA6" w14:textId="77777777" w:rsidR="008446AE" w:rsidRPr="00C35103" w:rsidRDefault="008446AE" w:rsidP="008446AE">
            <w:pPr>
              <w:pStyle w:val="CDITable-RowLeft"/>
            </w:pPr>
            <w:r w:rsidRPr="00C35103">
              <w:t>Qld</w:t>
            </w:r>
          </w:p>
        </w:tc>
        <w:tc>
          <w:tcPr>
            <w:tcW w:w="1377" w:type="dxa"/>
            <w:shd w:val="clear" w:color="auto" w:fill="F2F2F2" w:themeFill="background1" w:themeFillShade="F2"/>
            <w:tcMar>
              <w:top w:w="113" w:type="dxa"/>
              <w:left w:w="113" w:type="dxa"/>
              <w:bottom w:w="113" w:type="dxa"/>
              <w:right w:w="113" w:type="dxa"/>
            </w:tcMar>
            <w:vAlign w:val="center"/>
          </w:tcPr>
          <w:p w14:paraId="68EABB0A" w14:textId="77777777" w:rsidR="008446AE" w:rsidRPr="00C35103" w:rsidRDefault="008446AE" w:rsidP="008446AE">
            <w:pPr>
              <w:pStyle w:val="CDITable-RowCentre"/>
            </w:pPr>
            <w:r w:rsidRPr="00C35103">
              <w:t>3</w:t>
            </w:r>
          </w:p>
        </w:tc>
        <w:tc>
          <w:tcPr>
            <w:tcW w:w="1376" w:type="dxa"/>
            <w:shd w:val="clear" w:color="auto" w:fill="F2F2F2" w:themeFill="background1" w:themeFillShade="F2"/>
            <w:tcMar>
              <w:top w:w="113" w:type="dxa"/>
              <w:left w:w="113" w:type="dxa"/>
              <w:bottom w:w="113" w:type="dxa"/>
              <w:right w:w="113" w:type="dxa"/>
            </w:tcMar>
            <w:vAlign w:val="center"/>
          </w:tcPr>
          <w:p w14:paraId="10165284" w14:textId="77777777" w:rsidR="008446AE" w:rsidRPr="00C35103" w:rsidRDefault="008446AE" w:rsidP="008446AE">
            <w:pPr>
              <w:pStyle w:val="CDITable-RowCentre"/>
            </w:pPr>
            <w:r w:rsidRPr="00C35103">
              <w:t>9%</w:t>
            </w:r>
          </w:p>
        </w:tc>
        <w:tc>
          <w:tcPr>
            <w:tcW w:w="1377" w:type="dxa"/>
            <w:shd w:val="clear" w:color="auto" w:fill="F2F2F2" w:themeFill="background1" w:themeFillShade="F2"/>
            <w:tcMar>
              <w:top w:w="113" w:type="dxa"/>
              <w:left w:w="113" w:type="dxa"/>
              <w:bottom w:w="113" w:type="dxa"/>
              <w:right w:w="113" w:type="dxa"/>
            </w:tcMar>
            <w:vAlign w:val="center"/>
          </w:tcPr>
          <w:p w14:paraId="43684A4D" w14:textId="77777777" w:rsidR="008446AE" w:rsidRPr="00C35103" w:rsidRDefault="008446AE" w:rsidP="008446AE">
            <w:pPr>
              <w:pStyle w:val="CDITable-RowCentre"/>
            </w:pPr>
            <w:r w:rsidRPr="00C35103">
              <w:t>2</w:t>
            </w:r>
          </w:p>
        </w:tc>
        <w:tc>
          <w:tcPr>
            <w:tcW w:w="1377" w:type="dxa"/>
            <w:shd w:val="clear" w:color="auto" w:fill="F2F2F2" w:themeFill="background1" w:themeFillShade="F2"/>
            <w:tcMar>
              <w:top w:w="113" w:type="dxa"/>
              <w:left w:w="113" w:type="dxa"/>
              <w:bottom w:w="113" w:type="dxa"/>
              <w:right w:w="113" w:type="dxa"/>
            </w:tcMar>
            <w:vAlign w:val="center"/>
          </w:tcPr>
          <w:p w14:paraId="12F7363B" w14:textId="77777777" w:rsidR="008446AE" w:rsidRPr="00C35103" w:rsidRDefault="008446AE" w:rsidP="008446AE">
            <w:pPr>
              <w:pStyle w:val="CDITable-RowCentre"/>
            </w:pPr>
            <w:r w:rsidRPr="00C35103">
              <w:t>10%</w:t>
            </w:r>
          </w:p>
        </w:tc>
        <w:tc>
          <w:tcPr>
            <w:tcW w:w="1377" w:type="dxa"/>
            <w:shd w:val="clear" w:color="auto" w:fill="F2F2F2" w:themeFill="background1" w:themeFillShade="F2"/>
            <w:tcMar>
              <w:top w:w="113" w:type="dxa"/>
              <w:left w:w="113" w:type="dxa"/>
              <w:bottom w:w="113" w:type="dxa"/>
              <w:right w:w="113" w:type="dxa"/>
            </w:tcMar>
            <w:vAlign w:val="center"/>
          </w:tcPr>
          <w:p w14:paraId="30E82923" w14:textId="77777777" w:rsidR="008446AE" w:rsidRPr="00C35103" w:rsidRDefault="008446AE" w:rsidP="008446AE">
            <w:pPr>
              <w:pStyle w:val="CDITable-RowCentre"/>
            </w:pPr>
            <w:r w:rsidRPr="00C35103">
              <w:t>1</w:t>
            </w:r>
          </w:p>
        </w:tc>
        <w:tc>
          <w:tcPr>
            <w:tcW w:w="1377" w:type="dxa"/>
            <w:shd w:val="clear" w:color="auto" w:fill="F2F2F2" w:themeFill="background1" w:themeFillShade="F2"/>
            <w:tcMar>
              <w:top w:w="113" w:type="dxa"/>
              <w:left w:w="113" w:type="dxa"/>
              <w:bottom w:w="113" w:type="dxa"/>
              <w:right w:w="113" w:type="dxa"/>
            </w:tcMar>
            <w:vAlign w:val="center"/>
          </w:tcPr>
          <w:p w14:paraId="557EE3ED" w14:textId="77777777" w:rsidR="008446AE" w:rsidRPr="00C35103" w:rsidRDefault="008446AE" w:rsidP="008446AE">
            <w:pPr>
              <w:pStyle w:val="CDITable-RowCentre"/>
            </w:pPr>
            <w:r w:rsidRPr="00C35103">
              <w:t>14%</w:t>
            </w:r>
          </w:p>
        </w:tc>
      </w:tr>
      <w:tr w:rsidR="008446AE" w:rsidRPr="00C35103" w14:paraId="25460785" w14:textId="77777777" w:rsidTr="008446AE">
        <w:trPr>
          <w:divId w:val="935526654"/>
          <w:trHeight w:val="20"/>
        </w:trPr>
        <w:tc>
          <w:tcPr>
            <w:tcW w:w="1377" w:type="dxa"/>
            <w:tcMar>
              <w:top w:w="113" w:type="dxa"/>
              <w:left w:w="113" w:type="dxa"/>
              <w:bottom w:w="113" w:type="dxa"/>
              <w:right w:w="113" w:type="dxa"/>
            </w:tcMar>
            <w:vAlign w:val="center"/>
          </w:tcPr>
          <w:p w14:paraId="589C00C2" w14:textId="77777777" w:rsidR="008446AE" w:rsidRPr="00C35103" w:rsidRDefault="008446AE" w:rsidP="008446AE">
            <w:pPr>
              <w:pStyle w:val="CDITable-RowLeft"/>
            </w:pPr>
            <w:r w:rsidRPr="00C35103">
              <w:t>SA</w:t>
            </w:r>
          </w:p>
        </w:tc>
        <w:tc>
          <w:tcPr>
            <w:tcW w:w="1377" w:type="dxa"/>
            <w:tcMar>
              <w:top w:w="113" w:type="dxa"/>
              <w:left w:w="113" w:type="dxa"/>
              <w:bottom w:w="113" w:type="dxa"/>
              <w:right w:w="113" w:type="dxa"/>
            </w:tcMar>
            <w:vAlign w:val="center"/>
          </w:tcPr>
          <w:p w14:paraId="73D5FA19" w14:textId="77777777" w:rsidR="008446AE" w:rsidRPr="00C35103" w:rsidRDefault="008446AE" w:rsidP="008446AE">
            <w:pPr>
              <w:pStyle w:val="CDITable-RowCentre"/>
            </w:pPr>
            <w:r w:rsidRPr="00C35103">
              <w:t>9</w:t>
            </w:r>
          </w:p>
        </w:tc>
        <w:tc>
          <w:tcPr>
            <w:tcW w:w="1376" w:type="dxa"/>
            <w:tcMar>
              <w:top w:w="113" w:type="dxa"/>
              <w:left w:w="113" w:type="dxa"/>
              <w:bottom w:w="113" w:type="dxa"/>
              <w:right w:w="113" w:type="dxa"/>
            </w:tcMar>
            <w:vAlign w:val="center"/>
          </w:tcPr>
          <w:p w14:paraId="72E8994D" w14:textId="77777777" w:rsidR="008446AE" w:rsidRPr="00C35103" w:rsidRDefault="008446AE" w:rsidP="008446AE">
            <w:pPr>
              <w:pStyle w:val="CDITable-RowCentre"/>
            </w:pPr>
            <w:r w:rsidRPr="00C35103">
              <w:t>26%</w:t>
            </w:r>
          </w:p>
        </w:tc>
        <w:tc>
          <w:tcPr>
            <w:tcW w:w="1377" w:type="dxa"/>
            <w:tcMar>
              <w:top w:w="113" w:type="dxa"/>
              <w:left w:w="113" w:type="dxa"/>
              <w:bottom w:w="113" w:type="dxa"/>
              <w:right w:w="113" w:type="dxa"/>
            </w:tcMar>
            <w:vAlign w:val="center"/>
          </w:tcPr>
          <w:p w14:paraId="604E0180" w14:textId="77777777" w:rsidR="008446AE" w:rsidRPr="00C35103" w:rsidRDefault="008446AE" w:rsidP="008446AE">
            <w:pPr>
              <w:pStyle w:val="CDITable-RowCentre"/>
            </w:pPr>
            <w:r w:rsidRPr="00C35103">
              <w:t>5</w:t>
            </w:r>
          </w:p>
        </w:tc>
        <w:tc>
          <w:tcPr>
            <w:tcW w:w="1377" w:type="dxa"/>
            <w:tcMar>
              <w:top w:w="113" w:type="dxa"/>
              <w:left w:w="113" w:type="dxa"/>
              <w:bottom w:w="113" w:type="dxa"/>
              <w:right w:w="113" w:type="dxa"/>
            </w:tcMar>
            <w:vAlign w:val="center"/>
          </w:tcPr>
          <w:p w14:paraId="2B9C864F" w14:textId="77777777" w:rsidR="008446AE" w:rsidRPr="00C35103" w:rsidRDefault="008446AE" w:rsidP="008446AE">
            <w:pPr>
              <w:pStyle w:val="CDITable-RowCentre"/>
            </w:pPr>
            <w:r w:rsidRPr="00C35103">
              <w:t>25%</w:t>
            </w:r>
          </w:p>
        </w:tc>
        <w:tc>
          <w:tcPr>
            <w:tcW w:w="1377" w:type="dxa"/>
            <w:tcMar>
              <w:top w:w="113" w:type="dxa"/>
              <w:left w:w="113" w:type="dxa"/>
              <w:bottom w:w="113" w:type="dxa"/>
              <w:right w:w="113" w:type="dxa"/>
            </w:tcMar>
            <w:vAlign w:val="center"/>
          </w:tcPr>
          <w:p w14:paraId="2ED95360" w14:textId="77777777" w:rsidR="008446AE" w:rsidRPr="00C35103" w:rsidRDefault="008446AE" w:rsidP="008446AE">
            <w:pPr>
              <w:pStyle w:val="CDITable-RowCentre"/>
            </w:pPr>
            <w:r w:rsidRPr="00C35103">
              <w:t>2</w:t>
            </w:r>
          </w:p>
        </w:tc>
        <w:tc>
          <w:tcPr>
            <w:tcW w:w="1377" w:type="dxa"/>
            <w:tcMar>
              <w:top w:w="113" w:type="dxa"/>
              <w:left w:w="113" w:type="dxa"/>
              <w:bottom w:w="113" w:type="dxa"/>
              <w:right w:w="113" w:type="dxa"/>
            </w:tcMar>
            <w:vAlign w:val="center"/>
          </w:tcPr>
          <w:p w14:paraId="62605913" w14:textId="77777777" w:rsidR="008446AE" w:rsidRPr="00C35103" w:rsidRDefault="008446AE" w:rsidP="008446AE">
            <w:pPr>
              <w:pStyle w:val="CDITable-RowCentre"/>
            </w:pPr>
            <w:r w:rsidRPr="00C35103">
              <w:t>29%</w:t>
            </w:r>
          </w:p>
        </w:tc>
      </w:tr>
      <w:tr w:rsidR="008446AE" w:rsidRPr="00C35103" w14:paraId="6638F8C3" w14:textId="77777777" w:rsidTr="008446AE">
        <w:trPr>
          <w:divId w:val="935526654"/>
          <w:trHeight w:val="20"/>
        </w:trPr>
        <w:tc>
          <w:tcPr>
            <w:tcW w:w="1377" w:type="dxa"/>
            <w:shd w:val="clear" w:color="auto" w:fill="F2F2F2" w:themeFill="background1" w:themeFillShade="F2"/>
            <w:tcMar>
              <w:top w:w="113" w:type="dxa"/>
              <w:left w:w="113" w:type="dxa"/>
              <w:bottom w:w="113" w:type="dxa"/>
              <w:right w:w="113" w:type="dxa"/>
            </w:tcMar>
            <w:vAlign w:val="center"/>
          </w:tcPr>
          <w:p w14:paraId="0A9B3616" w14:textId="77777777" w:rsidR="008446AE" w:rsidRPr="00C35103" w:rsidRDefault="008446AE" w:rsidP="008446AE">
            <w:pPr>
              <w:pStyle w:val="CDITable-RowLeft"/>
            </w:pPr>
            <w:r w:rsidRPr="00C35103">
              <w:t>Vic.</w:t>
            </w:r>
          </w:p>
        </w:tc>
        <w:tc>
          <w:tcPr>
            <w:tcW w:w="1377" w:type="dxa"/>
            <w:shd w:val="clear" w:color="auto" w:fill="F2F2F2" w:themeFill="background1" w:themeFillShade="F2"/>
            <w:tcMar>
              <w:top w:w="113" w:type="dxa"/>
              <w:left w:w="113" w:type="dxa"/>
              <w:bottom w:w="113" w:type="dxa"/>
              <w:right w:w="113" w:type="dxa"/>
            </w:tcMar>
            <w:vAlign w:val="center"/>
          </w:tcPr>
          <w:p w14:paraId="7F76A961" w14:textId="77777777" w:rsidR="008446AE" w:rsidRPr="00C35103" w:rsidRDefault="008446AE" w:rsidP="008446AE">
            <w:pPr>
              <w:pStyle w:val="CDITable-RowCentre"/>
            </w:pPr>
            <w:r w:rsidRPr="00C35103">
              <w:t>10</w:t>
            </w:r>
          </w:p>
        </w:tc>
        <w:tc>
          <w:tcPr>
            <w:tcW w:w="1376" w:type="dxa"/>
            <w:shd w:val="clear" w:color="auto" w:fill="F2F2F2" w:themeFill="background1" w:themeFillShade="F2"/>
            <w:tcMar>
              <w:top w:w="113" w:type="dxa"/>
              <w:left w:w="113" w:type="dxa"/>
              <w:bottom w:w="113" w:type="dxa"/>
              <w:right w:w="113" w:type="dxa"/>
            </w:tcMar>
            <w:vAlign w:val="center"/>
          </w:tcPr>
          <w:p w14:paraId="064CE1B5" w14:textId="77777777" w:rsidR="008446AE" w:rsidRPr="00C35103" w:rsidRDefault="008446AE" w:rsidP="008446AE">
            <w:pPr>
              <w:pStyle w:val="CDITable-RowCentre"/>
            </w:pPr>
            <w:r w:rsidRPr="00C35103">
              <w:t>29%</w:t>
            </w:r>
          </w:p>
        </w:tc>
        <w:tc>
          <w:tcPr>
            <w:tcW w:w="1377" w:type="dxa"/>
            <w:shd w:val="clear" w:color="auto" w:fill="F2F2F2" w:themeFill="background1" w:themeFillShade="F2"/>
            <w:tcMar>
              <w:top w:w="113" w:type="dxa"/>
              <w:left w:w="113" w:type="dxa"/>
              <w:bottom w:w="113" w:type="dxa"/>
              <w:right w:w="113" w:type="dxa"/>
            </w:tcMar>
            <w:vAlign w:val="center"/>
          </w:tcPr>
          <w:p w14:paraId="4E7B8CC8" w14:textId="77777777" w:rsidR="008446AE" w:rsidRPr="00C35103" w:rsidRDefault="008446AE" w:rsidP="008446AE">
            <w:pPr>
              <w:pStyle w:val="CDITable-RowCentre"/>
            </w:pPr>
            <w:r w:rsidRPr="00C35103">
              <w:t>5</w:t>
            </w:r>
          </w:p>
        </w:tc>
        <w:tc>
          <w:tcPr>
            <w:tcW w:w="1377" w:type="dxa"/>
            <w:shd w:val="clear" w:color="auto" w:fill="F2F2F2" w:themeFill="background1" w:themeFillShade="F2"/>
            <w:tcMar>
              <w:top w:w="113" w:type="dxa"/>
              <w:left w:w="113" w:type="dxa"/>
              <w:bottom w:w="113" w:type="dxa"/>
              <w:right w:w="113" w:type="dxa"/>
            </w:tcMar>
            <w:vAlign w:val="center"/>
          </w:tcPr>
          <w:p w14:paraId="74D4BF0D" w14:textId="77777777" w:rsidR="008446AE" w:rsidRPr="00C35103" w:rsidRDefault="008446AE" w:rsidP="008446AE">
            <w:pPr>
              <w:pStyle w:val="CDITable-RowCentre"/>
            </w:pPr>
            <w:r w:rsidRPr="00C35103">
              <w:t>25%</w:t>
            </w:r>
          </w:p>
        </w:tc>
        <w:tc>
          <w:tcPr>
            <w:tcW w:w="1377" w:type="dxa"/>
            <w:shd w:val="clear" w:color="auto" w:fill="F2F2F2" w:themeFill="background1" w:themeFillShade="F2"/>
            <w:tcMar>
              <w:top w:w="113" w:type="dxa"/>
              <w:left w:w="113" w:type="dxa"/>
              <w:bottom w:w="113" w:type="dxa"/>
              <w:right w:w="113" w:type="dxa"/>
            </w:tcMar>
            <w:vAlign w:val="center"/>
          </w:tcPr>
          <w:p w14:paraId="20B2533B" w14:textId="77777777" w:rsidR="008446AE" w:rsidRPr="00C35103" w:rsidRDefault="008446AE" w:rsidP="008446AE">
            <w:pPr>
              <w:pStyle w:val="CDITable-RowCentre"/>
            </w:pPr>
            <w:r w:rsidRPr="00C35103">
              <w:t>1</w:t>
            </w:r>
          </w:p>
        </w:tc>
        <w:tc>
          <w:tcPr>
            <w:tcW w:w="1377" w:type="dxa"/>
            <w:shd w:val="clear" w:color="auto" w:fill="F2F2F2" w:themeFill="background1" w:themeFillShade="F2"/>
            <w:tcMar>
              <w:top w:w="113" w:type="dxa"/>
              <w:left w:w="113" w:type="dxa"/>
              <w:bottom w:w="113" w:type="dxa"/>
              <w:right w:w="113" w:type="dxa"/>
            </w:tcMar>
            <w:vAlign w:val="center"/>
          </w:tcPr>
          <w:p w14:paraId="742FBB7F" w14:textId="77777777" w:rsidR="008446AE" w:rsidRPr="00C35103" w:rsidRDefault="008446AE" w:rsidP="008446AE">
            <w:pPr>
              <w:pStyle w:val="CDITable-RowCentre"/>
            </w:pPr>
            <w:r w:rsidRPr="00C35103">
              <w:t>14%</w:t>
            </w:r>
          </w:p>
        </w:tc>
      </w:tr>
      <w:tr w:rsidR="008446AE" w:rsidRPr="00C35103" w14:paraId="33D8E1F6" w14:textId="77777777" w:rsidTr="008446AE">
        <w:trPr>
          <w:divId w:val="935526654"/>
          <w:trHeight w:val="20"/>
        </w:trPr>
        <w:tc>
          <w:tcPr>
            <w:tcW w:w="1377" w:type="dxa"/>
            <w:shd w:val="clear" w:color="auto" w:fill="C5FFEF" w:themeFill="background2" w:themeFillTint="33"/>
            <w:tcMar>
              <w:top w:w="113" w:type="dxa"/>
              <w:left w:w="113" w:type="dxa"/>
              <w:bottom w:w="113" w:type="dxa"/>
              <w:right w:w="113" w:type="dxa"/>
            </w:tcMar>
            <w:vAlign w:val="center"/>
          </w:tcPr>
          <w:p w14:paraId="32AC33F9" w14:textId="77777777" w:rsidR="008446AE" w:rsidRPr="00C35103" w:rsidRDefault="008446AE" w:rsidP="008446AE">
            <w:pPr>
              <w:pStyle w:val="CDITable-TotalRowLeft"/>
            </w:pPr>
            <w:r w:rsidRPr="00C35103">
              <w:t xml:space="preserve">Total </w:t>
            </w:r>
          </w:p>
        </w:tc>
        <w:tc>
          <w:tcPr>
            <w:tcW w:w="1377" w:type="dxa"/>
            <w:shd w:val="clear" w:color="auto" w:fill="C5FFEF" w:themeFill="background2" w:themeFillTint="33"/>
            <w:tcMar>
              <w:top w:w="113" w:type="dxa"/>
              <w:left w:w="113" w:type="dxa"/>
              <w:bottom w:w="113" w:type="dxa"/>
              <w:right w:w="113" w:type="dxa"/>
            </w:tcMar>
            <w:vAlign w:val="center"/>
          </w:tcPr>
          <w:p w14:paraId="135296D9" w14:textId="77777777" w:rsidR="008446AE" w:rsidRPr="00C35103" w:rsidRDefault="008446AE" w:rsidP="008446AE">
            <w:pPr>
              <w:pStyle w:val="CDITable-TotalRowCentre"/>
            </w:pPr>
            <w:r w:rsidRPr="00C35103">
              <w:t>35</w:t>
            </w:r>
          </w:p>
        </w:tc>
        <w:tc>
          <w:tcPr>
            <w:tcW w:w="1376" w:type="dxa"/>
            <w:shd w:val="clear" w:color="auto" w:fill="C5FFEF" w:themeFill="background2" w:themeFillTint="33"/>
            <w:tcMar>
              <w:top w:w="113" w:type="dxa"/>
              <w:left w:w="113" w:type="dxa"/>
              <w:bottom w:w="113" w:type="dxa"/>
              <w:right w:w="113" w:type="dxa"/>
            </w:tcMar>
            <w:vAlign w:val="center"/>
          </w:tcPr>
          <w:p w14:paraId="6271CFEE" w14:textId="77777777" w:rsidR="008446AE" w:rsidRPr="00C35103" w:rsidRDefault="008446AE" w:rsidP="008446AE">
            <w:pPr>
              <w:pStyle w:val="CDITable-TotalRowCentre"/>
            </w:pPr>
            <w:r w:rsidRPr="00C35103">
              <w:t>100%</w:t>
            </w:r>
          </w:p>
        </w:tc>
        <w:tc>
          <w:tcPr>
            <w:tcW w:w="1377" w:type="dxa"/>
            <w:shd w:val="clear" w:color="auto" w:fill="C5FFEF" w:themeFill="background2" w:themeFillTint="33"/>
            <w:tcMar>
              <w:top w:w="113" w:type="dxa"/>
              <w:left w:w="113" w:type="dxa"/>
              <w:bottom w:w="113" w:type="dxa"/>
              <w:right w:w="113" w:type="dxa"/>
            </w:tcMar>
            <w:vAlign w:val="center"/>
          </w:tcPr>
          <w:p w14:paraId="4342DA24" w14:textId="77777777" w:rsidR="008446AE" w:rsidRPr="00C35103" w:rsidRDefault="008446AE" w:rsidP="008446AE">
            <w:pPr>
              <w:pStyle w:val="CDITable-TotalRowCentre"/>
            </w:pPr>
            <w:r w:rsidRPr="00C35103">
              <w:t>20</w:t>
            </w:r>
          </w:p>
        </w:tc>
        <w:tc>
          <w:tcPr>
            <w:tcW w:w="1377" w:type="dxa"/>
            <w:shd w:val="clear" w:color="auto" w:fill="C5FFEF" w:themeFill="background2" w:themeFillTint="33"/>
            <w:tcMar>
              <w:top w:w="113" w:type="dxa"/>
              <w:left w:w="113" w:type="dxa"/>
              <w:bottom w:w="113" w:type="dxa"/>
              <w:right w:w="113" w:type="dxa"/>
            </w:tcMar>
            <w:vAlign w:val="center"/>
          </w:tcPr>
          <w:p w14:paraId="76B77A81" w14:textId="77777777" w:rsidR="008446AE" w:rsidRPr="00C35103" w:rsidRDefault="008446AE" w:rsidP="008446AE">
            <w:pPr>
              <w:pStyle w:val="CDITable-TotalRowCentre"/>
            </w:pPr>
            <w:r w:rsidRPr="00C35103">
              <w:t>100%</w:t>
            </w:r>
          </w:p>
        </w:tc>
        <w:tc>
          <w:tcPr>
            <w:tcW w:w="1377" w:type="dxa"/>
            <w:shd w:val="clear" w:color="auto" w:fill="C5FFEF" w:themeFill="background2" w:themeFillTint="33"/>
            <w:tcMar>
              <w:top w:w="113" w:type="dxa"/>
              <w:left w:w="113" w:type="dxa"/>
              <w:bottom w:w="113" w:type="dxa"/>
              <w:right w:w="113" w:type="dxa"/>
            </w:tcMar>
            <w:vAlign w:val="center"/>
          </w:tcPr>
          <w:p w14:paraId="77E3A87C" w14:textId="77777777" w:rsidR="008446AE" w:rsidRPr="00C35103" w:rsidRDefault="008446AE" w:rsidP="008446AE">
            <w:pPr>
              <w:pStyle w:val="CDITable-TotalRowCentre"/>
            </w:pPr>
            <w:r w:rsidRPr="00C35103">
              <w:t>7</w:t>
            </w:r>
          </w:p>
        </w:tc>
        <w:tc>
          <w:tcPr>
            <w:tcW w:w="1377" w:type="dxa"/>
            <w:shd w:val="clear" w:color="auto" w:fill="C5FFEF" w:themeFill="background2" w:themeFillTint="33"/>
            <w:tcMar>
              <w:top w:w="113" w:type="dxa"/>
              <w:left w:w="113" w:type="dxa"/>
              <w:bottom w:w="113" w:type="dxa"/>
              <w:right w:w="113" w:type="dxa"/>
            </w:tcMar>
            <w:vAlign w:val="center"/>
          </w:tcPr>
          <w:p w14:paraId="73C3A68A" w14:textId="77777777" w:rsidR="008446AE" w:rsidRPr="00C35103" w:rsidRDefault="008446AE" w:rsidP="008446AE">
            <w:pPr>
              <w:pStyle w:val="CDITable-TotalRowCentre"/>
            </w:pPr>
            <w:r w:rsidRPr="00C35103">
              <w:t>100%</w:t>
            </w:r>
          </w:p>
        </w:tc>
      </w:tr>
    </w:tbl>
    <w:p w14:paraId="35FEF828" w14:textId="77777777" w:rsidR="008446AE" w:rsidRDefault="008446AE" w:rsidP="008446AE">
      <w:pPr>
        <w:pStyle w:val="CDITable-Firstfootnote"/>
        <w:divId w:val="935526654"/>
      </w:pPr>
      <w:r>
        <w:t>a</w:t>
      </w:r>
      <w:r>
        <w:tab/>
        <w:t>Source: Australian Government Department of Health and Aged Care Japanese Encephalitis Virus Outbreak REDCap Database.</w:t>
      </w:r>
    </w:p>
    <w:p w14:paraId="297534A1" w14:textId="1182D925" w:rsidR="008446AE" w:rsidRDefault="008446AE" w:rsidP="008446AE">
      <w:pPr>
        <w:pStyle w:val="CDITable-Footnote"/>
        <w:divId w:val="935526654"/>
      </w:pPr>
      <w:r>
        <w:t>b</w:t>
      </w:r>
      <w:r>
        <w:tab/>
        <w:t>NSW: New South Wales; NT: Northern Territory; Qld: Queensland; SA: South Australia; Vic.: Victoria.</w:t>
      </w:r>
    </w:p>
    <w:p w14:paraId="1CAF9336" w14:textId="77777777" w:rsidR="008446AE" w:rsidRDefault="008446AE" w:rsidP="008446AE">
      <w:pPr>
        <w:pStyle w:val="Heading2"/>
        <w:divId w:val="935526654"/>
        <w:rPr>
          <w:lang w:val="en-GB"/>
        </w:rPr>
      </w:pPr>
      <w:r w:rsidRPr="000C0851">
        <w:rPr>
          <w:lang w:val="en-GB"/>
        </w:rPr>
        <w:t>Geographical distribution</w:t>
      </w:r>
    </w:p>
    <w:p w14:paraId="16AF407B" w14:textId="77777777" w:rsidR="008446AE" w:rsidRPr="000C0851" w:rsidRDefault="008446AE" w:rsidP="008446AE">
      <w:pPr>
        <w:divId w:val="935526654"/>
        <w:rPr>
          <w:lang w:val="en-GB"/>
        </w:rPr>
      </w:pPr>
      <w:r w:rsidRPr="000C0851">
        <w:rPr>
          <w:lang w:val="en-GB"/>
        </w:rPr>
        <w:t xml:space="preserve">There were 41 cases (98%; 41/42) with exposure location data available. Of these, 93% (38/41) reported one ‘likely LGA of exposure’, and 7% (3/41) reported more than one ‘likely LGA of exposure’. There were 31 unique LGAs identified across five jurisdictions as exposure locations (New South Wales (10); Northern Territory (3); Queensland (7); South Australia (5); Victoria (6)). All LGAs </w:t>
      </w:r>
      <w:proofErr w:type="gramStart"/>
      <w:r w:rsidRPr="000C0851">
        <w:rPr>
          <w:lang w:val="en-GB"/>
        </w:rPr>
        <w:t>were located in</w:t>
      </w:r>
      <w:proofErr w:type="gramEnd"/>
      <w:r w:rsidRPr="000C0851">
        <w:rPr>
          <w:lang w:val="en-GB"/>
        </w:rPr>
        <w:t xml:space="preserve"> either regional or remote Australia. </w:t>
      </w:r>
    </w:p>
    <w:p w14:paraId="5C497B8F" w14:textId="77777777" w:rsidR="008446AE" w:rsidRPr="000C0851" w:rsidRDefault="008446AE" w:rsidP="008446AE">
      <w:pPr>
        <w:divId w:val="935526654"/>
        <w:rPr>
          <w:lang w:val="en-GB"/>
        </w:rPr>
      </w:pPr>
      <w:r w:rsidRPr="000C0851">
        <w:rPr>
          <w:lang w:val="en-GB"/>
        </w:rPr>
        <w:t>The LGAs where exposures occurred varied by different periods of the outbreak. For cases with symptom onset between 1 January 2021 and 31 December 2021, there were seven LGAs identified as exposure locations. Two were identified in the Northern Territory, in March 2021 and May 2021; four were identified in Queensland, and one in Victoria, in December 2021 (Figure 2a). When cases increased in January 2022 (Figure 2b), 13 cases reported exposures in 13 LGAs across Queensland (n = 3), New South Wales (n = 3), Victoria (n = 3), and South Australia (n = 4).</w:t>
      </w:r>
      <w:r>
        <w:rPr>
          <w:lang w:val="en-GB"/>
        </w:rPr>
        <w:t xml:space="preserve"> </w:t>
      </w:r>
      <w:r w:rsidRPr="000C0851">
        <w:rPr>
          <w:lang w:val="en-GB"/>
        </w:rPr>
        <w:t>In the peak of the outbreak in February 2022 (Figure 2c), 21 cases reported exposures in 13 LGAs, with the highest density localised to south-eastern Australia in New South Wales (n = 6), Victoria (n = 3) and South Australia (n = 2), and two LGAs in south-west Queensland. From 1 March 2022 to 30 June 2022 (Figure 2d), exposures were reported across four LGAs in Victoria (n</w:t>
      </w:r>
      <w:r>
        <w:rPr>
          <w:lang w:val="en-GB"/>
        </w:rPr>
        <w:t> </w:t>
      </w:r>
      <w:r w:rsidRPr="000C0851">
        <w:rPr>
          <w:lang w:val="en-GB"/>
        </w:rPr>
        <w:t>=</w:t>
      </w:r>
      <w:r>
        <w:rPr>
          <w:lang w:val="en-GB"/>
        </w:rPr>
        <w:t> </w:t>
      </w:r>
      <w:r w:rsidRPr="000C0851">
        <w:rPr>
          <w:lang w:val="en-GB"/>
        </w:rPr>
        <w:t>1), Queensland (n = 1), New South Wales (n = 1) and the Northern Territory (n = 1). There were only four LGAs where exposures occurred in more than one of these time periods.</w:t>
      </w:r>
    </w:p>
    <w:p w14:paraId="671EBA3D" w14:textId="06349C08" w:rsidR="008446AE" w:rsidRDefault="008446AE" w:rsidP="008446AE">
      <w:pPr>
        <w:pStyle w:val="CDITable-Title"/>
        <w:divId w:val="935526654"/>
      </w:pPr>
      <w:r w:rsidRPr="008446AE">
        <w:lastRenderedPageBreak/>
        <w:t xml:space="preserve">Figure 2: Time series maps of human Japanese encephalitis virus cases (confirmed and probable) by likely local government areas (LGA) of exposure (n = </w:t>
      </w:r>
      <w:proofErr w:type="gramStart"/>
      <w:r w:rsidRPr="008446AE">
        <w:t>41)</w:t>
      </w:r>
      <w:proofErr w:type="spellStart"/>
      <w:r w:rsidRPr="008446AE">
        <w:rPr>
          <w:vertAlign w:val="superscript"/>
        </w:rPr>
        <w:t>a</w:t>
      </w:r>
      <w:proofErr w:type="gramEnd"/>
      <w:r w:rsidRPr="008446AE">
        <w:rPr>
          <w:vertAlign w:val="superscript"/>
        </w:rPr>
        <w:t>,b</w:t>
      </w:r>
      <w:proofErr w:type="spellEnd"/>
      <w:r w:rsidRPr="008446AE">
        <w:t xml:space="preserve"> and symptom </w:t>
      </w:r>
      <w:proofErr w:type="spellStart"/>
      <w:r w:rsidRPr="008446AE">
        <w:t>onset,</w:t>
      </w:r>
      <w:r w:rsidRPr="008446AE">
        <w:rPr>
          <w:vertAlign w:val="superscript"/>
        </w:rPr>
        <w:t>c</w:t>
      </w:r>
      <w:proofErr w:type="spellEnd"/>
      <w:r w:rsidRPr="008446AE">
        <w:t xml:space="preserve"> 1 January 2021 – 30</w:t>
      </w:r>
      <w:r>
        <w:t> </w:t>
      </w:r>
      <w:r w:rsidRPr="008446AE">
        <w:t>June</w:t>
      </w:r>
      <w:r>
        <w:t> </w:t>
      </w:r>
      <w:r w:rsidRPr="008446AE">
        <w:t>2022,</w:t>
      </w:r>
      <w:r w:rsidRPr="008446AE">
        <w:rPr>
          <w:vertAlign w:val="superscript"/>
        </w:rPr>
        <w:t>d</w:t>
      </w:r>
      <w:r w:rsidRPr="008446AE">
        <w:t xml:space="preserve"> Australia</w:t>
      </w:r>
    </w:p>
    <w:p w14:paraId="2287CDB1" w14:textId="6BFBD77F" w:rsidR="008446AE" w:rsidRDefault="00DF3D35" w:rsidP="00DF3D35">
      <w:pPr>
        <w:pStyle w:val="CDIFigure-Placeholder"/>
        <w:divId w:val="935526654"/>
      </w:pPr>
      <w:r>
        <w:rPr>
          <w:noProof/>
          <w:lang w:val="en-GB"/>
          <w14:ligatures w14:val="none"/>
        </w:rPr>
        <w:drawing>
          <wp:inline distT="0" distB="0" distL="0" distR="0" wp14:anchorId="378719E6" wp14:editId="3A03C449">
            <wp:extent cx="6120765" cy="5749925"/>
            <wp:effectExtent l="0" t="0" r="0" b="3175"/>
            <wp:docPr id="1099591747" name="Picture 2" descr="Figures 2a – 2d are maps of Australia by local government areas over periods of time where a case was likely exposed to JEV. As cases may have spent time prior to their incubation period in many LGAs, cases may have more than one LGA of likely exposure reported. For cases with symptom onset between 1 January 2021 and 31 December 2021, there were seven LGAs identified as exposure locations. Two were identified in the Northern Territory, in March 2021 and May 2021 and four were identified in Queensland and one in Victoria in December 2021 (Figure 2a). When cases increased in January 2022 (Figure 2b) 13 cases reported exposures in 13 LGAs across Queensland (n=3), New South Wales (n=3), Victoria (n=3), and South Australia (n=4). In the peak of the outbreak in February 2022 (Figure 2c), 21 cases reported exposures in 13 LGAs with the highest density localised to south-eastern Australia in New South Wales (n=6), Victoria (n=3) and South Australia (n=2), and 2 LGAs in south-west Queensland. From 1 March 2022 and 30 June 2022 (Figure 2d), exposures were reported across four LGAs in Victoria (n=1), Queensland (n=1), New South Wales (n=1) and the Northern Territory (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591747" name="Picture 2" descr="Figures 2a – 2d are maps of Australia by local government areas over periods of time where a case was likely exposed to JEV. As cases may have spent time prior to their incubation period in many LGAs, cases may have more than one LGA of likely exposure reported. For cases with symptom onset between 1 January 2021 and 31 December 2021, there were seven LGAs identified as exposure locations. Two were identified in the Northern Territory, in March 2021 and May 2021 and four were identified in Queensland and one in Victoria in December 2021 (Figure 2a). When cases increased in January 2022 (Figure 2b) 13 cases reported exposures in 13 LGAs across Queensland (n=3), New South Wales (n=3), Victoria (n=3), and South Australia (n=4). In the peak of the outbreak in February 2022 (Figure 2c), 21 cases reported exposures in 13 LGAs with the highest density localised to south-eastern Australia in New South Wales (n=6), Victoria (n=3) and South Australia (n=2), and 2 LGAs in south-west Queensland. From 1 March 2022 and 30 June 2022 (Figure 2d), exposures were reported across four LGAs in Victoria (n=1), Queensland (n=1), New South Wales (n=1) and the Northern Territory (n=1)."/>
                    <pic:cNvPicPr/>
                  </pic:nvPicPr>
                  <pic:blipFill>
                    <a:blip r:embed="rId10">
                      <a:extLst>
                        <a:ext uri="{28A0092B-C50C-407E-A947-70E740481C1C}">
                          <a14:useLocalDpi xmlns:a14="http://schemas.microsoft.com/office/drawing/2010/main" val="0"/>
                        </a:ext>
                      </a:extLst>
                    </a:blip>
                    <a:stretch>
                      <a:fillRect/>
                    </a:stretch>
                  </pic:blipFill>
                  <pic:spPr>
                    <a:xfrm>
                      <a:off x="0" y="0"/>
                      <a:ext cx="6120765" cy="5749925"/>
                    </a:xfrm>
                    <a:prstGeom prst="rect">
                      <a:avLst/>
                    </a:prstGeom>
                  </pic:spPr>
                </pic:pic>
              </a:graphicData>
            </a:graphic>
          </wp:inline>
        </w:drawing>
      </w:r>
    </w:p>
    <w:p w14:paraId="168B7942" w14:textId="77777777" w:rsidR="00DF3D35" w:rsidRDefault="00DF3D35" w:rsidP="00DF3D35">
      <w:pPr>
        <w:pStyle w:val="CDITable-Firstfootnote"/>
        <w:divId w:val="935526654"/>
      </w:pPr>
      <w:r>
        <w:t>a</w:t>
      </w:r>
      <w:r>
        <w:tab/>
        <w:t>Cases with unknown ‘likely LGA of exposure’ are excluded from time series maps.</w:t>
      </w:r>
    </w:p>
    <w:p w14:paraId="7FB78A5A" w14:textId="77777777" w:rsidR="00DF3D35" w:rsidRDefault="00DF3D35" w:rsidP="00DF3D35">
      <w:pPr>
        <w:pStyle w:val="CDITable-Footnote"/>
        <w:divId w:val="935526654"/>
      </w:pPr>
      <w:r>
        <w:t>b</w:t>
      </w:r>
      <w:r>
        <w:tab/>
        <w:t>Cases may have more than one LGA listed as the ‘likely LGA of exposure’, therefore the number of LGAs reported will not be equal to the number of cases reported.</w:t>
      </w:r>
    </w:p>
    <w:p w14:paraId="3F43936F" w14:textId="77777777" w:rsidR="00DF3D35" w:rsidRDefault="00DF3D35" w:rsidP="00DF3D35">
      <w:pPr>
        <w:pStyle w:val="CDITable-Footnote"/>
        <w:divId w:val="935526654"/>
      </w:pPr>
      <w:r>
        <w:t>c</w:t>
      </w:r>
      <w:r>
        <w:tab/>
        <w:t>Date of symptom onset or date of first specimen collection if date of symptom onset is missing.</w:t>
      </w:r>
    </w:p>
    <w:p w14:paraId="77C98207" w14:textId="31C84ED8" w:rsidR="00DF3D35" w:rsidRDefault="00DF3D35" w:rsidP="00DF3D35">
      <w:pPr>
        <w:pStyle w:val="CDITable-Footnote"/>
      </w:pPr>
      <w:r>
        <w:t>d</w:t>
      </w:r>
      <w:r>
        <w:tab/>
        <w:t>Source: Australian Government Department of Health and Aged Care Japanese Encephalitis Virus Outbreak REDCap Database.</w:t>
      </w:r>
      <w:r>
        <w:br w:type="page"/>
      </w:r>
    </w:p>
    <w:p w14:paraId="30923351" w14:textId="77777777" w:rsidR="00DF3D35" w:rsidRDefault="00DF3D35" w:rsidP="00DF3D35">
      <w:pPr>
        <w:pStyle w:val="Heading2"/>
        <w:divId w:val="935526654"/>
        <w:rPr>
          <w:lang w:val="en-GB"/>
        </w:rPr>
      </w:pPr>
      <w:r>
        <w:rPr>
          <w:lang w:val="en-GB"/>
        </w:rPr>
        <w:lastRenderedPageBreak/>
        <w:t>Environmental exposures of cases</w:t>
      </w:r>
    </w:p>
    <w:p w14:paraId="73C77115" w14:textId="77777777" w:rsidR="00DF3D35" w:rsidRPr="00902B80" w:rsidRDefault="00DF3D35" w:rsidP="00DF3D35">
      <w:pPr>
        <w:divId w:val="935526654"/>
        <w:rPr>
          <w:lang w:val="en-GB"/>
        </w:rPr>
      </w:pPr>
      <w:r w:rsidRPr="00902B80">
        <w:rPr>
          <w:lang w:val="en-GB"/>
        </w:rPr>
        <w:t xml:space="preserve">Eighty-three percent (35/42) of cases reported at least one occupational, environmental, or recreational exposure, of whom 80% (28/35) reported more than one. The </w:t>
      </w:r>
      <w:proofErr w:type="gramStart"/>
      <w:r w:rsidRPr="00902B80">
        <w:rPr>
          <w:lang w:val="en-GB"/>
        </w:rPr>
        <w:t>most commonly reported</w:t>
      </w:r>
      <w:proofErr w:type="gramEnd"/>
      <w:r w:rsidRPr="00902B80">
        <w:rPr>
          <w:lang w:val="en-GB"/>
        </w:rPr>
        <w:t xml:space="preserve"> exposures were ‘living on or visiting a rural property or area’ (57%; 20/35), ‘water sports/fishing/boating’ (40%; 14/35) and ‘camping’ (40%; 14/35) (Table 3).</w:t>
      </w:r>
    </w:p>
    <w:p w14:paraId="454A177B" w14:textId="77777777" w:rsidR="00DF3D35" w:rsidRPr="00902B80" w:rsidRDefault="00DF3D35" w:rsidP="00DF3D35">
      <w:pPr>
        <w:divId w:val="935526654"/>
        <w:rPr>
          <w:lang w:val="en-GB"/>
        </w:rPr>
      </w:pPr>
      <w:r w:rsidRPr="00902B80">
        <w:rPr>
          <w:lang w:val="en-GB"/>
        </w:rPr>
        <w:t xml:space="preserve">For cases aged 60 years and over, the most common exposure reported was ‘camping’ (55%; 11/20), whilst for those under 60 years, most reported ‘living on or visiting rural property or area’ (78%; 14/18). Reported exposures differed between males and females, with males reporting ‘water sports/fishing/boating’ (56%; 14/25) whilst females reported ‘Living on or visiting a rural property or area’ (62%; 8/13). </w:t>
      </w:r>
    </w:p>
    <w:p w14:paraId="4673B668" w14:textId="77777777" w:rsidR="00DF3D35" w:rsidRPr="00902B80" w:rsidRDefault="00DF3D35" w:rsidP="00DF3D35">
      <w:pPr>
        <w:divId w:val="935526654"/>
        <w:rPr>
          <w:lang w:val="en-GB"/>
        </w:rPr>
      </w:pPr>
      <w:r w:rsidRPr="00902B80">
        <w:rPr>
          <w:lang w:val="en-GB"/>
        </w:rPr>
        <w:t xml:space="preserve">Data collected, regarding exposure to any animal or vectors associated with the JEV transmission cycle, indicated that 71% of cases (30/42) reported at least one animal or vector exposure. Mosquito exposure (90%; 27/30) was the most common (Table 4). </w:t>
      </w:r>
    </w:p>
    <w:p w14:paraId="336C300E" w14:textId="19B77516" w:rsidR="00DF3D35" w:rsidRDefault="00DF3D35" w:rsidP="00DF3D35">
      <w:pPr>
        <w:pStyle w:val="CDITable-Title"/>
        <w:divId w:val="935526654"/>
      </w:pPr>
      <w:r w:rsidRPr="00DF3D35">
        <w:t xml:space="preserve">Table 3: Japanese encephalitis virus cases (confirmed and probable) by occupational, environmental and recreational exposures, </w:t>
      </w:r>
      <w:proofErr w:type="spellStart"/>
      <w:proofErr w:type="gramStart"/>
      <w:r w:rsidRPr="00DF3D35">
        <w:t>Australia,</w:t>
      </w:r>
      <w:r w:rsidRPr="00DF3D35">
        <w:rPr>
          <w:vertAlign w:val="superscript"/>
        </w:rPr>
        <w:t>a</w:t>
      </w:r>
      <w:proofErr w:type="spellEnd"/>
      <w:proofErr w:type="gramEnd"/>
      <w:r w:rsidRPr="00DF3D35">
        <w:t xml:space="preserve"> 1 January 2021 – 30 June 2022 (n = 35)</w:t>
      </w:r>
    </w:p>
    <w:tbl>
      <w:tblPr>
        <w:tblW w:w="0" w:type="auto"/>
        <w:tblLayout w:type="fixed"/>
        <w:tblCellMar>
          <w:left w:w="0" w:type="dxa"/>
          <w:right w:w="0" w:type="dxa"/>
        </w:tblCellMar>
        <w:tblLook w:val="0000" w:firstRow="0" w:lastRow="0" w:firstColumn="0" w:lastColumn="0" w:noHBand="0" w:noVBand="0"/>
        <w:tblCaption w:val="Table 3: Japanese encephalitis virus cases (confirmed and probable) by occupational, environmental and recreational exposures, Australia,a 1 January 2021 – 30 June 2022 (n = 35)"/>
        <w:tblDescription w:val="Table 3 shows the number and proportion of cases that reported an occupational, environmental and recreational exposures. These exposures present some risk for JEV infection and include living on/or visiting a rural area, camping, water sports/fishing/boating, farming and working outside. "/>
      </w:tblPr>
      <w:tblGrid>
        <w:gridCol w:w="5613"/>
        <w:gridCol w:w="2012"/>
        <w:gridCol w:w="2013"/>
      </w:tblGrid>
      <w:tr w:rsidR="00DF3D35" w:rsidRPr="00902B80" w14:paraId="7914FA06" w14:textId="77777777" w:rsidTr="00DF3D35">
        <w:trPr>
          <w:divId w:val="935526654"/>
          <w:trHeight w:val="20"/>
          <w:tblHeader/>
        </w:trPr>
        <w:tc>
          <w:tcPr>
            <w:tcW w:w="5613" w:type="dxa"/>
            <w:shd w:val="solid" w:color="033636" w:fill="auto"/>
            <w:tcMar>
              <w:top w:w="113" w:type="dxa"/>
              <w:left w:w="113" w:type="dxa"/>
              <w:bottom w:w="113" w:type="dxa"/>
              <w:right w:w="113" w:type="dxa"/>
            </w:tcMar>
            <w:vAlign w:val="bottom"/>
          </w:tcPr>
          <w:p w14:paraId="21A86ADC" w14:textId="77777777" w:rsidR="00DF3D35" w:rsidRPr="00902B80" w:rsidRDefault="00DF3D35" w:rsidP="00DF3D35">
            <w:pPr>
              <w:pStyle w:val="CDITable-HeaderRowLeft"/>
            </w:pPr>
            <w:r w:rsidRPr="00902B80">
              <w:t>Occupational, environmental or recreational exposures</w:t>
            </w:r>
          </w:p>
        </w:tc>
        <w:tc>
          <w:tcPr>
            <w:tcW w:w="2012" w:type="dxa"/>
            <w:shd w:val="solid" w:color="033636" w:fill="auto"/>
            <w:tcMar>
              <w:top w:w="113" w:type="dxa"/>
              <w:left w:w="113" w:type="dxa"/>
              <w:bottom w:w="113" w:type="dxa"/>
              <w:right w:w="113" w:type="dxa"/>
            </w:tcMar>
            <w:vAlign w:val="bottom"/>
          </w:tcPr>
          <w:p w14:paraId="551850FD" w14:textId="77777777" w:rsidR="00DF3D35" w:rsidRPr="00902B80" w:rsidRDefault="00DF3D35" w:rsidP="00DF3D35">
            <w:pPr>
              <w:pStyle w:val="CDITable-HeaderRowCentre"/>
            </w:pPr>
            <w:r w:rsidRPr="00902B80">
              <w:t xml:space="preserve">Number of </w:t>
            </w:r>
            <w:proofErr w:type="spellStart"/>
            <w:r w:rsidRPr="00902B80">
              <w:t>cases</w:t>
            </w:r>
            <w:r w:rsidRPr="00902B80">
              <w:rPr>
                <w:vertAlign w:val="superscript"/>
              </w:rPr>
              <w:t>b</w:t>
            </w:r>
            <w:proofErr w:type="spellEnd"/>
          </w:p>
        </w:tc>
        <w:tc>
          <w:tcPr>
            <w:tcW w:w="2013" w:type="dxa"/>
            <w:shd w:val="solid" w:color="033636" w:fill="auto"/>
            <w:tcMar>
              <w:top w:w="113" w:type="dxa"/>
              <w:left w:w="113" w:type="dxa"/>
              <w:bottom w:w="113" w:type="dxa"/>
              <w:right w:w="113" w:type="dxa"/>
            </w:tcMar>
            <w:vAlign w:val="bottom"/>
          </w:tcPr>
          <w:p w14:paraId="20E7D64D" w14:textId="77777777" w:rsidR="00DF3D35" w:rsidRPr="00902B80" w:rsidRDefault="00DF3D35" w:rsidP="00DF3D35">
            <w:pPr>
              <w:pStyle w:val="CDITable-HeaderRowCentre"/>
            </w:pPr>
            <w:proofErr w:type="spellStart"/>
            <w:r w:rsidRPr="00902B80">
              <w:t>Percentage</w:t>
            </w:r>
            <w:r w:rsidRPr="00902B80">
              <w:rPr>
                <w:vertAlign w:val="superscript"/>
              </w:rPr>
              <w:t>c</w:t>
            </w:r>
            <w:proofErr w:type="spellEnd"/>
          </w:p>
        </w:tc>
      </w:tr>
      <w:tr w:rsidR="00DF3D35" w:rsidRPr="00902B80" w14:paraId="4BD74A77" w14:textId="77777777" w:rsidTr="00DF3D35">
        <w:trPr>
          <w:divId w:val="935526654"/>
          <w:trHeight w:val="20"/>
        </w:trPr>
        <w:tc>
          <w:tcPr>
            <w:tcW w:w="5613" w:type="dxa"/>
            <w:shd w:val="clear" w:color="auto" w:fill="F2F2F2" w:themeFill="background1" w:themeFillShade="F2"/>
            <w:tcMar>
              <w:top w:w="113" w:type="dxa"/>
              <w:left w:w="113" w:type="dxa"/>
              <w:bottom w:w="113" w:type="dxa"/>
              <w:right w:w="113" w:type="dxa"/>
            </w:tcMar>
            <w:vAlign w:val="center"/>
          </w:tcPr>
          <w:p w14:paraId="34C89EE8" w14:textId="77777777" w:rsidR="00DF3D35" w:rsidRPr="00902B80" w:rsidRDefault="00DF3D35" w:rsidP="00DF3D35">
            <w:pPr>
              <w:pStyle w:val="CDITable-RowLeft"/>
            </w:pPr>
            <w:r w:rsidRPr="00902B80">
              <w:t>Live on or visit a rural property/rural area</w:t>
            </w:r>
          </w:p>
        </w:tc>
        <w:tc>
          <w:tcPr>
            <w:tcW w:w="2012" w:type="dxa"/>
            <w:shd w:val="clear" w:color="auto" w:fill="F2F2F2" w:themeFill="background1" w:themeFillShade="F2"/>
            <w:tcMar>
              <w:top w:w="113" w:type="dxa"/>
              <w:left w:w="113" w:type="dxa"/>
              <w:bottom w:w="113" w:type="dxa"/>
              <w:right w:w="113" w:type="dxa"/>
            </w:tcMar>
            <w:vAlign w:val="center"/>
          </w:tcPr>
          <w:p w14:paraId="0F850553" w14:textId="77777777" w:rsidR="00DF3D35" w:rsidRPr="00902B80" w:rsidRDefault="00DF3D35" w:rsidP="00DF3D35">
            <w:pPr>
              <w:pStyle w:val="CDITable-RowCentre"/>
            </w:pPr>
            <w:r w:rsidRPr="00902B80">
              <w:t>20</w:t>
            </w:r>
          </w:p>
        </w:tc>
        <w:tc>
          <w:tcPr>
            <w:tcW w:w="2013" w:type="dxa"/>
            <w:shd w:val="clear" w:color="auto" w:fill="F2F2F2" w:themeFill="background1" w:themeFillShade="F2"/>
            <w:tcMar>
              <w:top w:w="113" w:type="dxa"/>
              <w:left w:w="113" w:type="dxa"/>
              <w:bottom w:w="113" w:type="dxa"/>
              <w:right w:w="113" w:type="dxa"/>
            </w:tcMar>
            <w:vAlign w:val="center"/>
          </w:tcPr>
          <w:p w14:paraId="7D29E8DC" w14:textId="77777777" w:rsidR="00DF3D35" w:rsidRPr="00902B80" w:rsidRDefault="00DF3D35" w:rsidP="00DF3D35">
            <w:pPr>
              <w:pStyle w:val="CDITable-RowCentre"/>
            </w:pPr>
            <w:r w:rsidRPr="00902B80">
              <w:t>57</w:t>
            </w:r>
          </w:p>
        </w:tc>
      </w:tr>
      <w:tr w:rsidR="00DF3D35" w:rsidRPr="00902B80" w14:paraId="4FDCF1F2" w14:textId="77777777" w:rsidTr="00DF3D35">
        <w:trPr>
          <w:divId w:val="935526654"/>
          <w:trHeight w:val="20"/>
        </w:trPr>
        <w:tc>
          <w:tcPr>
            <w:tcW w:w="5613" w:type="dxa"/>
            <w:tcMar>
              <w:top w:w="113" w:type="dxa"/>
              <w:left w:w="113" w:type="dxa"/>
              <w:bottom w:w="113" w:type="dxa"/>
              <w:right w:w="113" w:type="dxa"/>
            </w:tcMar>
            <w:vAlign w:val="center"/>
          </w:tcPr>
          <w:p w14:paraId="1D508B87" w14:textId="77777777" w:rsidR="00DF3D35" w:rsidRPr="00902B80" w:rsidRDefault="00DF3D35" w:rsidP="00DF3D35">
            <w:pPr>
              <w:pStyle w:val="CDITable-RowLeft"/>
            </w:pPr>
            <w:r w:rsidRPr="00902B80">
              <w:t>Camping</w:t>
            </w:r>
          </w:p>
        </w:tc>
        <w:tc>
          <w:tcPr>
            <w:tcW w:w="2012" w:type="dxa"/>
            <w:tcMar>
              <w:top w:w="113" w:type="dxa"/>
              <w:left w:w="113" w:type="dxa"/>
              <w:bottom w:w="113" w:type="dxa"/>
              <w:right w:w="113" w:type="dxa"/>
            </w:tcMar>
            <w:vAlign w:val="center"/>
          </w:tcPr>
          <w:p w14:paraId="36057AC8" w14:textId="77777777" w:rsidR="00DF3D35" w:rsidRPr="00902B80" w:rsidRDefault="00DF3D35" w:rsidP="00DF3D35">
            <w:pPr>
              <w:pStyle w:val="CDITable-RowCentre"/>
            </w:pPr>
            <w:r w:rsidRPr="00902B80">
              <w:t>14</w:t>
            </w:r>
          </w:p>
        </w:tc>
        <w:tc>
          <w:tcPr>
            <w:tcW w:w="2013" w:type="dxa"/>
            <w:tcMar>
              <w:top w:w="113" w:type="dxa"/>
              <w:left w:w="113" w:type="dxa"/>
              <w:bottom w:w="113" w:type="dxa"/>
              <w:right w:w="113" w:type="dxa"/>
            </w:tcMar>
            <w:vAlign w:val="center"/>
          </w:tcPr>
          <w:p w14:paraId="0B44221A" w14:textId="77777777" w:rsidR="00DF3D35" w:rsidRPr="00902B80" w:rsidRDefault="00DF3D35" w:rsidP="00DF3D35">
            <w:pPr>
              <w:pStyle w:val="CDITable-RowCentre"/>
            </w:pPr>
            <w:r w:rsidRPr="00902B80">
              <w:t>40</w:t>
            </w:r>
          </w:p>
        </w:tc>
      </w:tr>
      <w:tr w:rsidR="00DF3D35" w:rsidRPr="00902B80" w14:paraId="56C8A592" w14:textId="77777777" w:rsidTr="00DF3D35">
        <w:trPr>
          <w:divId w:val="935526654"/>
          <w:trHeight w:val="20"/>
        </w:trPr>
        <w:tc>
          <w:tcPr>
            <w:tcW w:w="5613" w:type="dxa"/>
            <w:shd w:val="clear" w:color="auto" w:fill="F2F2F2" w:themeFill="background1" w:themeFillShade="F2"/>
            <w:tcMar>
              <w:top w:w="113" w:type="dxa"/>
              <w:left w:w="113" w:type="dxa"/>
              <w:bottom w:w="113" w:type="dxa"/>
              <w:right w:w="113" w:type="dxa"/>
            </w:tcMar>
            <w:vAlign w:val="center"/>
          </w:tcPr>
          <w:p w14:paraId="6A3ABB16" w14:textId="77777777" w:rsidR="00DF3D35" w:rsidRPr="00902B80" w:rsidRDefault="00DF3D35" w:rsidP="00DF3D35">
            <w:pPr>
              <w:pStyle w:val="CDITable-RowLeft"/>
            </w:pPr>
            <w:r w:rsidRPr="00902B80">
              <w:t xml:space="preserve">Water sports/fishing/boating </w:t>
            </w:r>
          </w:p>
        </w:tc>
        <w:tc>
          <w:tcPr>
            <w:tcW w:w="2012" w:type="dxa"/>
            <w:shd w:val="clear" w:color="auto" w:fill="F2F2F2" w:themeFill="background1" w:themeFillShade="F2"/>
            <w:tcMar>
              <w:top w:w="113" w:type="dxa"/>
              <w:left w:w="113" w:type="dxa"/>
              <w:bottom w:w="113" w:type="dxa"/>
              <w:right w:w="113" w:type="dxa"/>
            </w:tcMar>
            <w:vAlign w:val="center"/>
          </w:tcPr>
          <w:p w14:paraId="6A282397" w14:textId="77777777" w:rsidR="00DF3D35" w:rsidRPr="00902B80" w:rsidRDefault="00DF3D35" w:rsidP="00DF3D35">
            <w:pPr>
              <w:pStyle w:val="CDITable-RowCentre"/>
            </w:pPr>
            <w:r w:rsidRPr="00902B80">
              <w:t>14</w:t>
            </w:r>
          </w:p>
        </w:tc>
        <w:tc>
          <w:tcPr>
            <w:tcW w:w="2013" w:type="dxa"/>
            <w:shd w:val="clear" w:color="auto" w:fill="F2F2F2" w:themeFill="background1" w:themeFillShade="F2"/>
            <w:tcMar>
              <w:top w:w="113" w:type="dxa"/>
              <w:left w:w="113" w:type="dxa"/>
              <w:bottom w:w="113" w:type="dxa"/>
              <w:right w:w="113" w:type="dxa"/>
            </w:tcMar>
            <w:vAlign w:val="center"/>
          </w:tcPr>
          <w:p w14:paraId="20EA4793" w14:textId="77777777" w:rsidR="00DF3D35" w:rsidRPr="00902B80" w:rsidRDefault="00DF3D35" w:rsidP="00DF3D35">
            <w:pPr>
              <w:pStyle w:val="CDITable-RowCentre"/>
            </w:pPr>
            <w:r w:rsidRPr="00902B80">
              <w:t>40</w:t>
            </w:r>
          </w:p>
        </w:tc>
      </w:tr>
      <w:tr w:rsidR="00DF3D35" w:rsidRPr="00902B80" w14:paraId="604AFF7A" w14:textId="77777777" w:rsidTr="00DF3D35">
        <w:trPr>
          <w:divId w:val="935526654"/>
          <w:trHeight w:val="20"/>
        </w:trPr>
        <w:tc>
          <w:tcPr>
            <w:tcW w:w="5613" w:type="dxa"/>
            <w:tcMar>
              <w:top w:w="113" w:type="dxa"/>
              <w:left w:w="113" w:type="dxa"/>
              <w:bottom w:w="113" w:type="dxa"/>
              <w:right w:w="113" w:type="dxa"/>
            </w:tcMar>
            <w:vAlign w:val="center"/>
          </w:tcPr>
          <w:p w14:paraId="6A84C3B4" w14:textId="77777777" w:rsidR="00DF3D35" w:rsidRPr="00902B80" w:rsidRDefault="00DF3D35" w:rsidP="00DF3D35">
            <w:pPr>
              <w:pStyle w:val="CDITable-RowLeft"/>
            </w:pPr>
            <w:r w:rsidRPr="00902B80">
              <w:t>Farmer/farm worker</w:t>
            </w:r>
          </w:p>
        </w:tc>
        <w:tc>
          <w:tcPr>
            <w:tcW w:w="2012" w:type="dxa"/>
            <w:tcMar>
              <w:top w:w="113" w:type="dxa"/>
              <w:left w:w="113" w:type="dxa"/>
              <w:bottom w:w="113" w:type="dxa"/>
              <w:right w:w="113" w:type="dxa"/>
            </w:tcMar>
            <w:vAlign w:val="center"/>
          </w:tcPr>
          <w:p w14:paraId="0254BF4A" w14:textId="77777777" w:rsidR="00DF3D35" w:rsidRPr="00902B80" w:rsidRDefault="00DF3D35" w:rsidP="00DF3D35">
            <w:pPr>
              <w:pStyle w:val="CDITable-RowCentre"/>
            </w:pPr>
            <w:r w:rsidRPr="00902B80">
              <w:t>9</w:t>
            </w:r>
          </w:p>
        </w:tc>
        <w:tc>
          <w:tcPr>
            <w:tcW w:w="2013" w:type="dxa"/>
            <w:tcMar>
              <w:top w:w="113" w:type="dxa"/>
              <w:left w:w="113" w:type="dxa"/>
              <w:bottom w:w="113" w:type="dxa"/>
              <w:right w:w="113" w:type="dxa"/>
            </w:tcMar>
            <w:vAlign w:val="center"/>
          </w:tcPr>
          <w:p w14:paraId="083B26C5" w14:textId="77777777" w:rsidR="00DF3D35" w:rsidRPr="00902B80" w:rsidRDefault="00DF3D35" w:rsidP="00DF3D35">
            <w:pPr>
              <w:pStyle w:val="CDITable-RowCentre"/>
            </w:pPr>
            <w:r w:rsidRPr="00902B80">
              <w:t>26</w:t>
            </w:r>
          </w:p>
        </w:tc>
      </w:tr>
      <w:tr w:rsidR="00DF3D35" w:rsidRPr="00902B80" w14:paraId="3995BFED" w14:textId="77777777" w:rsidTr="00DF3D35">
        <w:trPr>
          <w:divId w:val="935526654"/>
          <w:trHeight w:val="20"/>
        </w:trPr>
        <w:tc>
          <w:tcPr>
            <w:tcW w:w="5613" w:type="dxa"/>
            <w:shd w:val="clear" w:color="auto" w:fill="F2F2F2" w:themeFill="background1" w:themeFillShade="F2"/>
            <w:tcMar>
              <w:top w:w="113" w:type="dxa"/>
              <w:left w:w="113" w:type="dxa"/>
              <w:bottom w:w="113" w:type="dxa"/>
              <w:right w:w="113" w:type="dxa"/>
            </w:tcMar>
            <w:vAlign w:val="center"/>
          </w:tcPr>
          <w:p w14:paraId="3837C6B9" w14:textId="77777777" w:rsidR="00DF3D35" w:rsidRPr="00902B80" w:rsidRDefault="00DF3D35" w:rsidP="00DF3D35">
            <w:pPr>
              <w:pStyle w:val="CDITable-RowLeft"/>
            </w:pPr>
            <w:r w:rsidRPr="00902B80">
              <w:t>Works outside</w:t>
            </w:r>
          </w:p>
        </w:tc>
        <w:tc>
          <w:tcPr>
            <w:tcW w:w="2012" w:type="dxa"/>
            <w:shd w:val="clear" w:color="auto" w:fill="F2F2F2" w:themeFill="background1" w:themeFillShade="F2"/>
            <w:tcMar>
              <w:top w:w="113" w:type="dxa"/>
              <w:left w:w="113" w:type="dxa"/>
              <w:bottom w:w="113" w:type="dxa"/>
              <w:right w:w="113" w:type="dxa"/>
            </w:tcMar>
            <w:vAlign w:val="center"/>
          </w:tcPr>
          <w:p w14:paraId="4ECF88D7" w14:textId="77777777" w:rsidR="00DF3D35" w:rsidRPr="00902B80" w:rsidRDefault="00DF3D35" w:rsidP="00DF3D35">
            <w:pPr>
              <w:pStyle w:val="CDITable-RowCentre"/>
            </w:pPr>
            <w:r w:rsidRPr="00902B80">
              <w:t>8</w:t>
            </w:r>
          </w:p>
        </w:tc>
        <w:tc>
          <w:tcPr>
            <w:tcW w:w="2013" w:type="dxa"/>
            <w:shd w:val="clear" w:color="auto" w:fill="F2F2F2" w:themeFill="background1" w:themeFillShade="F2"/>
            <w:tcMar>
              <w:top w:w="113" w:type="dxa"/>
              <w:left w:w="113" w:type="dxa"/>
              <w:bottom w:w="113" w:type="dxa"/>
              <w:right w:w="113" w:type="dxa"/>
            </w:tcMar>
            <w:vAlign w:val="center"/>
          </w:tcPr>
          <w:p w14:paraId="0AC16D96" w14:textId="77777777" w:rsidR="00DF3D35" w:rsidRPr="00902B80" w:rsidRDefault="00DF3D35" w:rsidP="00DF3D35">
            <w:pPr>
              <w:pStyle w:val="CDITable-RowCentre"/>
            </w:pPr>
            <w:r w:rsidRPr="00902B80">
              <w:t>23</w:t>
            </w:r>
          </w:p>
        </w:tc>
      </w:tr>
      <w:tr w:rsidR="00DF3D35" w:rsidRPr="00902B80" w14:paraId="129A72A2" w14:textId="77777777" w:rsidTr="00DF3D35">
        <w:trPr>
          <w:divId w:val="935526654"/>
          <w:trHeight w:val="20"/>
        </w:trPr>
        <w:tc>
          <w:tcPr>
            <w:tcW w:w="5613" w:type="dxa"/>
            <w:tcMar>
              <w:top w:w="113" w:type="dxa"/>
              <w:left w:w="113" w:type="dxa"/>
              <w:bottom w:w="113" w:type="dxa"/>
              <w:right w:w="113" w:type="dxa"/>
            </w:tcMar>
            <w:vAlign w:val="center"/>
          </w:tcPr>
          <w:p w14:paraId="40F0B5EC" w14:textId="77777777" w:rsidR="00DF3D35" w:rsidRPr="00902B80" w:rsidRDefault="00DF3D35" w:rsidP="00DF3D35">
            <w:pPr>
              <w:pStyle w:val="CDITable-RowLeft"/>
            </w:pPr>
            <w:r w:rsidRPr="00902B80">
              <w:t>Gardening</w:t>
            </w:r>
          </w:p>
        </w:tc>
        <w:tc>
          <w:tcPr>
            <w:tcW w:w="2012" w:type="dxa"/>
            <w:tcMar>
              <w:top w:w="113" w:type="dxa"/>
              <w:left w:w="113" w:type="dxa"/>
              <w:bottom w:w="113" w:type="dxa"/>
              <w:right w:w="113" w:type="dxa"/>
            </w:tcMar>
            <w:vAlign w:val="center"/>
          </w:tcPr>
          <w:p w14:paraId="6D7FFBDE" w14:textId="77777777" w:rsidR="00DF3D35" w:rsidRPr="00902B80" w:rsidRDefault="00DF3D35" w:rsidP="00DF3D35">
            <w:pPr>
              <w:pStyle w:val="CDITable-RowCentre"/>
            </w:pPr>
            <w:r w:rsidRPr="00902B80">
              <w:t>4</w:t>
            </w:r>
          </w:p>
        </w:tc>
        <w:tc>
          <w:tcPr>
            <w:tcW w:w="2013" w:type="dxa"/>
            <w:tcMar>
              <w:top w:w="113" w:type="dxa"/>
              <w:left w:w="113" w:type="dxa"/>
              <w:bottom w:w="113" w:type="dxa"/>
              <w:right w:w="113" w:type="dxa"/>
            </w:tcMar>
            <w:vAlign w:val="center"/>
          </w:tcPr>
          <w:p w14:paraId="61EE6B62" w14:textId="77777777" w:rsidR="00DF3D35" w:rsidRPr="00902B80" w:rsidRDefault="00DF3D35" w:rsidP="00DF3D35">
            <w:pPr>
              <w:pStyle w:val="CDITable-RowCentre"/>
            </w:pPr>
            <w:r w:rsidRPr="00902B80">
              <w:t>11</w:t>
            </w:r>
          </w:p>
        </w:tc>
      </w:tr>
      <w:tr w:rsidR="00DF3D35" w:rsidRPr="00902B80" w14:paraId="547B7422" w14:textId="77777777" w:rsidTr="00DF3D35">
        <w:trPr>
          <w:divId w:val="935526654"/>
          <w:trHeight w:val="20"/>
        </w:trPr>
        <w:tc>
          <w:tcPr>
            <w:tcW w:w="5613" w:type="dxa"/>
            <w:shd w:val="clear" w:color="auto" w:fill="F2F2F2" w:themeFill="background1" w:themeFillShade="F2"/>
            <w:tcMar>
              <w:top w:w="113" w:type="dxa"/>
              <w:left w:w="113" w:type="dxa"/>
              <w:bottom w:w="113" w:type="dxa"/>
              <w:right w:w="113" w:type="dxa"/>
            </w:tcMar>
            <w:vAlign w:val="center"/>
          </w:tcPr>
          <w:p w14:paraId="4A2C7722" w14:textId="77777777" w:rsidR="00DF3D35" w:rsidRPr="00902B80" w:rsidRDefault="00DF3D35" w:rsidP="00DF3D35">
            <w:pPr>
              <w:pStyle w:val="CDITable-RowLeft"/>
            </w:pPr>
            <w:r w:rsidRPr="00902B80">
              <w:t>Spent time in parklands (e.g. State or National Parks; botanical gardens; golf courses etc.)</w:t>
            </w:r>
          </w:p>
        </w:tc>
        <w:tc>
          <w:tcPr>
            <w:tcW w:w="2012" w:type="dxa"/>
            <w:shd w:val="clear" w:color="auto" w:fill="F2F2F2" w:themeFill="background1" w:themeFillShade="F2"/>
            <w:tcMar>
              <w:top w:w="113" w:type="dxa"/>
              <w:left w:w="113" w:type="dxa"/>
              <w:bottom w:w="113" w:type="dxa"/>
              <w:right w:w="113" w:type="dxa"/>
            </w:tcMar>
            <w:vAlign w:val="center"/>
          </w:tcPr>
          <w:p w14:paraId="26E33BBB" w14:textId="77777777" w:rsidR="00DF3D35" w:rsidRPr="00902B80" w:rsidRDefault="00DF3D35" w:rsidP="00DF3D35">
            <w:pPr>
              <w:pStyle w:val="CDITable-RowCentre"/>
            </w:pPr>
            <w:r w:rsidRPr="00902B80">
              <w:t>2</w:t>
            </w:r>
          </w:p>
        </w:tc>
        <w:tc>
          <w:tcPr>
            <w:tcW w:w="2013" w:type="dxa"/>
            <w:shd w:val="clear" w:color="auto" w:fill="F2F2F2" w:themeFill="background1" w:themeFillShade="F2"/>
            <w:tcMar>
              <w:top w:w="113" w:type="dxa"/>
              <w:left w:w="113" w:type="dxa"/>
              <w:bottom w:w="113" w:type="dxa"/>
              <w:right w:w="113" w:type="dxa"/>
            </w:tcMar>
            <w:vAlign w:val="center"/>
          </w:tcPr>
          <w:p w14:paraId="76772961" w14:textId="77777777" w:rsidR="00DF3D35" w:rsidRPr="00902B80" w:rsidRDefault="00DF3D35" w:rsidP="00DF3D35">
            <w:pPr>
              <w:pStyle w:val="CDITable-RowCentre"/>
            </w:pPr>
            <w:r w:rsidRPr="00902B80">
              <w:t>6</w:t>
            </w:r>
          </w:p>
        </w:tc>
      </w:tr>
      <w:tr w:rsidR="00DF3D35" w:rsidRPr="00902B80" w14:paraId="5C353032" w14:textId="77777777" w:rsidTr="00DF3D35">
        <w:trPr>
          <w:divId w:val="935526654"/>
          <w:trHeight w:val="20"/>
        </w:trPr>
        <w:tc>
          <w:tcPr>
            <w:tcW w:w="5613" w:type="dxa"/>
            <w:tcMar>
              <w:top w:w="113" w:type="dxa"/>
              <w:left w:w="113" w:type="dxa"/>
              <w:bottom w:w="113" w:type="dxa"/>
              <w:right w:w="113" w:type="dxa"/>
            </w:tcMar>
            <w:vAlign w:val="center"/>
          </w:tcPr>
          <w:p w14:paraId="1F232CF9" w14:textId="77777777" w:rsidR="00DF3D35" w:rsidRPr="00902B80" w:rsidRDefault="00DF3D35" w:rsidP="00DF3D35">
            <w:pPr>
              <w:pStyle w:val="CDITable-RowLeft"/>
            </w:pPr>
            <w:r w:rsidRPr="00902B80">
              <w:t>Piggery (including pig abattoir, pork rendering plant, animal/feed transport related to pigs)</w:t>
            </w:r>
          </w:p>
        </w:tc>
        <w:tc>
          <w:tcPr>
            <w:tcW w:w="2012" w:type="dxa"/>
            <w:tcMar>
              <w:top w:w="113" w:type="dxa"/>
              <w:left w:w="113" w:type="dxa"/>
              <w:bottom w:w="113" w:type="dxa"/>
              <w:right w:w="113" w:type="dxa"/>
            </w:tcMar>
            <w:vAlign w:val="center"/>
          </w:tcPr>
          <w:p w14:paraId="23810029" w14:textId="77777777" w:rsidR="00DF3D35" w:rsidRPr="00902B80" w:rsidRDefault="00DF3D35" w:rsidP="00DF3D35">
            <w:pPr>
              <w:pStyle w:val="CDITable-RowCentre"/>
            </w:pPr>
            <w:r w:rsidRPr="00902B80">
              <w:t>1</w:t>
            </w:r>
          </w:p>
        </w:tc>
        <w:tc>
          <w:tcPr>
            <w:tcW w:w="2013" w:type="dxa"/>
            <w:tcMar>
              <w:top w:w="113" w:type="dxa"/>
              <w:left w:w="113" w:type="dxa"/>
              <w:bottom w:w="113" w:type="dxa"/>
              <w:right w:w="113" w:type="dxa"/>
            </w:tcMar>
            <w:vAlign w:val="center"/>
          </w:tcPr>
          <w:p w14:paraId="26EFE51C" w14:textId="77777777" w:rsidR="00DF3D35" w:rsidRPr="00902B80" w:rsidRDefault="00DF3D35" w:rsidP="00DF3D35">
            <w:pPr>
              <w:pStyle w:val="CDITable-RowCentre"/>
            </w:pPr>
            <w:r w:rsidRPr="00902B80">
              <w:t>3</w:t>
            </w:r>
          </w:p>
        </w:tc>
      </w:tr>
      <w:tr w:rsidR="00DF3D35" w:rsidRPr="00902B80" w14:paraId="4FCD36DD" w14:textId="77777777" w:rsidTr="00DF3D35">
        <w:trPr>
          <w:divId w:val="935526654"/>
          <w:trHeight w:val="20"/>
        </w:trPr>
        <w:tc>
          <w:tcPr>
            <w:tcW w:w="5613" w:type="dxa"/>
            <w:shd w:val="clear" w:color="auto" w:fill="F2F2F2" w:themeFill="background1" w:themeFillShade="F2"/>
            <w:tcMar>
              <w:top w:w="113" w:type="dxa"/>
              <w:left w:w="113" w:type="dxa"/>
              <w:bottom w:w="113" w:type="dxa"/>
              <w:right w:w="113" w:type="dxa"/>
            </w:tcMar>
            <w:vAlign w:val="center"/>
          </w:tcPr>
          <w:p w14:paraId="7F86E3DF" w14:textId="77777777" w:rsidR="00DF3D35" w:rsidRPr="00902B80" w:rsidRDefault="00DF3D35" w:rsidP="00DF3D35">
            <w:pPr>
              <w:pStyle w:val="CDITable-RowLeft"/>
            </w:pPr>
            <w:r w:rsidRPr="00902B80">
              <w:t>Hunting (e.g. pig hunting)</w:t>
            </w:r>
          </w:p>
        </w:tc>
        <w:tc>
          <w:tcPr>
            <w:tcW w:w="2012" w:type="dxa"/>
            <w:shd w:val="clear" w:color="auto" w:fill="F2F2F2" w:themeFill="background1" w:themeFillShade="F2"/>
            <w:tcMar>
              <w:top w:w="113" w:type="dxa"/>
              <w:left w:w="113" w:type="dxa"/>
              <w:bottom w:w="113" w:type="dxa"/>
              <w:right w:w="113" w:type="dxa"/>
            </w:tcMar>
            <w:vAlign w:val="center"/>
          </w:tcPr>
          <w:p w14:paraId="74E0EFEC" w14:textId="77777777" w:rsidR="00DF3D35" w:rsidRPr="00902B80" w:rsidRDefault="00DF3D35" w:rsidP="00DF3D35">
            <w:pPr>
              <w:pStyle w:val="CDITable-RowCentre"/>
            </w:pPr>
            <w:r w:rsidRPr="00902B80">
              <w:t>1</w:t>
            </w:r>
          </w:p>
        </w:tc>
        <w:tc>
          <w:tcPr>
            <w:tcW w:w="2013" w:type="dxa"/>
            <w:shd w:val="clear" w:color="auto" w:fill="F2F2F2" w:themeFill="background1" w:themeFillShade="F2"/>
            <w:tcMar>
              <w:top w:w="113" w:type="dxa"/>
              <w:left w:w="113" w:type="dxa"/>
              <w:bottom w:w="113" w:type="dxa"/>
              <w:right w:w="113" w:type="dxa"/>
            </w:tcMar>
            <w:vAlign w:val="center"/>
          </w:tcPr>
          <w:p w14:paraId="74613222" w14:textId="77777777" w:rsidR="00DF3D35" w:rsidRPr="00902B80" w:rsidRDefault="00DF3D35" w:rsidP="00DF3D35">
            <w:pPr>
              <w:pStyle w:val="CDITable-RowCentre"/>
            </w:pPr>
            <w:r w:rsidRPr="00902B80">
              <w:t>3</w:t>
            </w:r>
          </w:p>
        </w:tc>
      </w:tr>
      <w:tr w:rsidR="00DF3D35" w:rsidRPr="00902B80" w14:paraId="3EB7D944" w14:textId="77777777" w:rsidTr="00DF3D35">
        <w:trPr>
          <w:divId w:val="935526654"/>
          <w:trHeight w:val="20"/>
        </w:trPr>
        <w:tc>
          <w:tcPr>
            <w:tcW w:w="5613" w:type="dxa"/>
            <w:tcMar>
              <w:top w:w="113" w:type="dxa"/>
              <w:left w:w="113" w:type="dxa"/>
              <w:bottom w:w="113" w:type="dxa"/>
              <w:right w:w="113" w:type="dxa"/>
            </w:tcMar>
            <w:vAlign w:val="center"/>
          </w:tcPr>
          <w:p w14:paraId="0EBEA783" w14:textId="77777777" w:rsidR="00DF3D35" w:rsidRPr="00902B80" w:rsidRDefault="00DF3D35" w:rsidP="00DF3D35">
            <w:pPr>
              <w:pStyle w:val="CDITable-RowLeft"/>
            </w:pPr>
            <w:r w:rsidRPr="00902B80">
              <w:t>Agricultural show</w:t>
            </w:r>
          </w:p>
        </w:tc>
        <w:tc>
          <w:tcPr>
            <w:tcW w:w="2012" w:type="dxa"/>
            <w:tcMar>
              <w:top w:w="113" w:type="dxa"/>
              <w:left w:w="113" w:type="dxa"/>
              <w:bottom w:w="113" w:type="dxa"/>
              <w:right w:w="113" w:type="dxa"/>
            </w:tcMar>
            <w:vAlign w:val="center"/>
          </w:tcPr>
          <w:p w14:paraId="432CFD4B" w14:textId="77777777" w:rsidR="00DF3D35" w:rsidRPr="00902B80" w:rsidRDefault="00DF3D35" w:rsidP="00DF3D35">
            <w:pPr>
              <w:pStyle w:val="CDITable-RowCentre"/>
            </w:pPr>
            <w:r w:rsidRPr="00902B80">
              <w:t>0</w:t>
            </w:r>
          </w:p>
        </w:tc>
        <w:tc>
          <w:tcPr>
            <w:tcW w:w="2013" w:type="dxa"/>
            <w:tcMar>
              <w:top w:w="113" w:type="dxa"/>
              <w:left w:w="113" w:type="dxa"/>
              <w:bottom w:w="113" w:type="dxa"/>
              <w:right w:w="113" w:type="dxa"/>
            </w:tcMar>
            <w:vAlign w:val="center"/>
          </w:tcPr>
          <w:p w14:paraId="2FFE02A2" w14:textId="77777777" w:rsidR="00DF3D35" w:rsidRPr="00902B80" w:rsidRDefault="00DF3D35" w:rsidP="00DF3D35">
            <w:pPr>
              <w:pStyle w:val="CDITable-RowCentre"/>
            </w:pPr>
            <w:r w:rsidRPr="00902B80">
              <w:t>0</w:t>
            </w:r>
          </w:p>
        </w:tc>
      </w:tr>
      <w:tr w:rsidR="00DF3D35" w:rsidRPr="00902B80" w14:paraId="161B1432" w14:textId="77777777" w:rsidTr="00DF3D35">
        <w:trPr>
          <w:divId w:val="935526654"/>
          <w:trHeight w:val="20"/>
        </w:trPr>
        <w:tc>
          <w:tcPr>
            <w:tcW w:w="5613" w:type="dxa"/>
            <w:shd w:val="clear" w:color="auto" w:fill="F2F2F2" w:themeFill="background1" w:themeFillShade="F2"/>
            <w:tcMar>
              <w:top w:w="113" w:type="dxa"/>
              <w:left w:w="113" w:type="dxa"/>
              <w:bottom w:w="113" w:type="dxa"/>
              <w:right w:w="113" w:type="dxa"/>
            </w:tcMar>
            <w:vAlign w:val="center"/>
          </w:tcPr>
          <w:p w14:paraId="2E16EC6E" w14:textId="77777777" w:rsidR="00DF3D35" w:rsidRPr="00902B80" w:rsidRDefault="00DF3D35" w:rsidP="00DF3D35">
            <w:pPr>
              <w:pStyle w:val="CDITable-RowLeft"/>
            </w:pPr>
            <w:r w:rsidRPr="00902B80">
              <w:t>Environmental health (incl. state, council etc.)</w:t>
            </w:r>
          </w:p>
        </w:tc>
        <w:tc>
          <w:tcPr>
            <w:tcW w:w="2012" w:type="dxa"/>
            <w:shd w:val="clear" w:color="auto" w:fill="F2F2F2" w:themeFill="background1" w:themeFillShade="F2"/>
            <w:tcMar>
              <w:top w:w="113" w:type="dxa"/>
              <w:left w:w="113" w:type="dxa"/>
              <w:bottom w:w="113" w:type="dxa"/>
              <w:right w:w="113" w:type="dxa"/>
            </w:tcMar>
            <w:vAlign w:val="center"/>
          </w:tcPr>
          <w:p w14:paraId="407912ED" w14:textId="77777777" w:rsidR="00DF3D35" w:rsidRPr="00902B80" w:rsidRDefault="00DF3D35" w:rsidP="00DF3D35">
            <w:pPr>
              <w:pStyle w:val="CDITable-RowCentre"/>
            </w:pPr>
            <w:r w:rsidRPr="00902B80">
              <w:t>0</w:t>
            </w:r>
          </w:p>
        </w:tc>
        <w:tc>
          <w:tcPr>
            <w:tcW w:w="2013" w:type="dxa"/>
            <w:shd w:val="clear" w:color="auto" w:fill="F2F2F2" w:themeFill="background1" w:themeFillShade="F2"/>
            <w:tcMar>
              <w:top w:w="113" w:type="dxa"/>
              <w:left w:w="113" w:type="dxa"/>
              <w:bottom w:w="113" w:type="dxa"/>
              <w:right w:w="113" w:type="dxa"/>
            </w:tcMar>
            <w:vAlign w:val="center"/>
          </w:tcPr>
          <w:p w14:paraId="7FD7D533" w14:textId="77777777" w:rsidR="00DF3D35" w:rsidRPr="00902B80" w:rsidRDefault="00DF3D35" w:rsidP="00DF3D35">
            <w:pPr>
              <w:pStyle w:val="CDITable-RowCentre"/>
            </w:pPr>
            <w:r w:rsidRPr="00902B80">
              <w:t>0</w:t>
            </w:r>
          </w:p>
        </w:tc>
      </w:tr>
      <w:tr w:rsidR="00DF3D35" w:rsidRPr="00902B80" w14:paraId="27D49795" w14:textId="77777777" w:rsidTr="00DF3D35">
        <w:trPr>
          <w:divId w:val="935526654"/>
          <w:trHeight w:val="20"/>
        </w:trPr>
        <w:tc>
          <w:tcPr>
            <w:tcW w:w="5613" w:type="dxa"/>
            <w:tcMar>
              <w:top w:w="113" w:type="dxa"/>
              <w:left w:w="113" w:type="dxa"/>
              <w:bottom w:w="113" w:type="dxa"/>
              <w:right w:w="113" w:type="dxa"/>
            </w:tcMar>
            <w:vAlign w:val="center"/>
          </w:tcPr>
          <w:p w14:paraId="27E26FA6" w14:textId="77777777" w:rsidR="00DF3D35" w:rsidRPr="00902B80" w:rsidRDefault="00DF3D35" w:rsidP="00DF3D35">
            <w:pPr>
              <w:pStyle w:val="CDITable-RowLeft"/>
            </w:pPr>
            <w:r w:rsidRPr="00902B80">
              <w:t xml:space="preserve">Veterinary practice </w:t>
            </w:r>
          </w:p>
        </w:tc>
        <w:tc>
          <w:tcPr>
            <w:tcW w:w="2012" w:type="dxa"/>
            <w:tcMar>
              <w:top w:w="113" w:type="dxa"/>
              <w:left w:w="113" w:type="dxa"/>
              <w:bottom w:w="113" w:type="dxa"/>
              <w:right w:w="113" w:type="dxa"/>
            </w:tcMar>
            <w:vAlign w:val="center"/>
          </w:tcPr>
          <w:p w14:paraId="34E1F099" w14:textId="77777777" w:rsidR="00DF3D35" w:rsidRPr="00902B80" w:rsidRDefault="00DF3D35" w:rsidP="00DF3D35">
            <w:pPr>
              <w:pStyle w:val="CDITable-RowCentre"/>
            </w:pPr>
            <w:r w:rsidRPr="00902B80">
              <w:t>0</w:t>
            </w:r>
          </w:p>
        </w:tc>
        <w:tc>
          <w:tcPr>
            <w:tcW w:w="2013" w:type="dxa"/>
            <w:tcMar>
              <w:top w:w="113" w:type="dxa"/>
              <w:left w:w="113" w:type="dxa"/>
              <w:bottom w:w="113" w:type="dxa"/>
              <w:right w:w="113" w:type="dxa"/>
            </w:tcMar>
            <w:vAlign w:val="center"/>
          </w:tcPr>
          <w:p w14:paraId="5AD7E763" w14:textId="77777777" w:rsidR="00DF3D35" w:rsidRPr="00902B80" w:rsidRDefault="00DF3D35" w:rsidP="00DF3D35">
            <w:pPr>
              <w:pStyle w:val="CDITable-RowCentre"/>
            </w:pPr>
            <w:r w:rsidRPr="00902B80">
              <w:t>0</w:t>
            </w:r>
          </w:p>
        </w:tc>
      </w:tr>
      <w:tr w:rsidR="00DF3D35" w:rsidRPr="00902B80" w14:paraId="22EB6603" w14:textId="77777777" w:rsidTr="00DF3D35">
        <w:trPr>
          <w:divId w:val="935526654"/>
          <w:trHeight w:val="20"/>
        </w:trPr>
        <w:tc>
          <w:tcPr>
            <w:tcW w:w="5613" w:type="dxa"/>
            <w:shd w:val="clear" w:color="auto" w:fill="F2F2F2" w:themeFill="background1" w:themeFillShade="F2"/>
            <w:tcMar>
              <w:top w:w="113" w:type="dxa"/>
              <w:left w:w="113" w:type="dxa"/>
              <w:bottom w:w="113" w:type="dxa"/>
              <w:right w:w="113" w:type="dxa"/>
            </w:tcMar>
            <w:vAlign w:val="center"/>
          </w:tcPr>
          <w:p w14:paraId="21C80812" w14:textId="77777777" w:rsidR="00DF3D35" w:rsidRPr="00902B80" w:rsidRDefault="00DF3D35" w:rsidP="00DF3D35">
            <w:pPr>
              <w:pStyle w:val="CDITable-RowLeft"/>
            </w:pPr>
            <w:r w:rsidRPr="00902B80">
              <w:t>Laboratory</w:t>
            </w:r>
          </w:p>
        </w:tc>
        <w:tc>
          <w:tcPr>
            <w:tcW w:w="2012" w:type="dxa"/>
            <w:shd w:val="clear" w:color="auto" w:fill="F2F2F2" w:themeFill="background1" w:themeFillShade="F2"/>
            <w:tcMar>
              <w:top w:w="113" w:type="dxa"/>
              <w:left w:w="113" w:type="dxa"/>
              <w:bottom w:w="113" w:type="dxa"/>
              <w:right w:w="113" w:type="dxa"/>
            </w:tcMar>
            <w:vAlign w:val="center"/>
          </w:tcPr>
          <w:p w14:paraId="11EA6552" w14:textId="77777777" w:rsidR="00DF3D35" w:rsidRPr="00902B80" w:rsidRDefault="00DF3D35" w:rsidP="00DF3D35">
            <w:pPr>
              <w:pStyle w:val="CDITable-RowCentre"/>
            </w:pPr>
            <w:r w:rsidRPr="00902B80">
              <w:t>0</w:t>
            </w:r>
          </w:p>
        </w:tc>
        <w:tc>
          <w:tcPr>
            <w:tcW w:w="2013" w:type="dxa"/>
            <w:shd w:val="clear" w:color="auto" w:fill="F2F2F2" w:themeFill="background1" w:themeFillShade="F2"/>
            <w:tcMar>
              <w:top w:w="113" w:type="dxa"/>
              <w:left w:w="113" w:type="dxa"/>
              <w:bottom w:w="113" w:type="dxa"/>
              <w:right w:w="113" w:type="dxa"/>
            </w:tcMar>
            <w:vAlign w:val="center"/>
          </w:tcPr>
          <w:p w14:paraId="683DB8E7" w14:textId="77777777" w:rsidR="00DF3D35" w:rsidRPr="00902B80" w:rsidRDefault="00DF3D35" w:rsidP="00DF3D35">
            <w:pPr>
              <w:pStyle w:val="CDITable-RowCentre"/>
            </w:pPr>
            <w:r w:rsidRPr="00902B80">
              <w:t>0</w:t>
            </w:r>
          </w:p>
        </w:tc>
      </w:tr>
      <w:tr w:rsidR="00DF3D35" w:rsidRPr="00902B80" w14:paraId="096156AD" w14:textId="77777777" w:rsidTr="00DF3D35">
        <w:trPr>
          <w:divId w:val="935526654"/>
          <w:trHeight w:val="20"/>
        </w:trPr>
        <w:tc>
          <w:tcPr>
            <w:tcW w:w="5613" w:type="dxa"/>
            <w:tcBorders>
              <w:bottom w:val="single" w:sz="6" w:space="0" w:color="033636" w:themeColor="text2"/>
            </w:tcBorders>
            <w:tcMar>
              <w:top w:w="113" w:type="dxa"/>
              <w:left w:w="113" w:type="dxa"/>
              <w:bottom w:w="113" w:type="dxa"/>
              <w:right w:w="113" w:type="dxa"/>
            </w:tcMar>
            <w:vAlign w:val="center"/>
          </w:tcPr>
          <w:p w14:paraId="3BB550BD" w14:textId="77777777" w:rsidR="00DF3D35" w:rsidRPr="00902B80" w:rsidRDefault="00DF3D35" w:rsidP="00DF3D35">
            <w:pPr>
              <w:pStyle w:val="CDITable-RowLeft"/>
            </w:pPr>
            <w:r w:rsidRPr="00902B80">
              <w:t xml:space="preserve">Other </w:t>
            </w:r>
            <w:proofErr w:type="spellStart"/>
            <w:r w:rsidRPr="00902B80">
              <w:t>exposure</w:t>
            </w:r>
            <w:r w:rsidRPr="00902B80">
              <w:rPr>
                <w:vertAlign w:val="superscript"/>
              </w:rPr>
              <w:t>d</w:t>
            </w:r>
            <w:proofErr w:type="spellEnd"/>
          </w:p>
        </w:tc>
        <w:tc>
          <w:tcPr>
            <w:tcW w:w="2012" w:type="dxa"/>
            <w:tcBorders>
              <w:bottom w:val="single" w:sz="6" w:space="0" w:color="033636" w:themeColor="text2"/>
            </w:tcBorders>
            <w:tcMar>
              <w:top w:w="113" w:type="dxa"/>
              <w:left w:w="113" w:type="dxa"/>
              <w:bottom w:w="113" w:type="dxa"/>
              <w:right w:w="113" w:type="dxa"/>
            </w:tcMar>
            <w:vAlign w:val="center"/>
          </w:tcPr>
          <w:p w14:paraId="35E73FB9" w14:textId="77777777" w:rsidR="00DF3D35" w:rsidRPr="00902B80" w:rsidRDefault="00DF3D35" w:rsidP="00DF3D35">
            <w:pPr>
              <w:pStyle w:val="CDITable-RowCentre"/>
            </w:pPr>
            <w:r w:rsidRPr="00902B80">
              <w:t>5</w:t>
            </w:r>
          </w:p>
        </w:tc>
        <w:tc>
          <w:tcPr>
            <w:tcW w:w="2013" w:type="dxa"/>
            <w:tcBorders>
              <w:bottom w:val="single" w:sz="6" w:space="0" w:color="033636" w:themeColor="text2"/>
            </w:tcBorders>
            <w:tcMar>
              <w:top w:w="113" w:type="dxa"/>
              <w:left w:w="113" w:type="dxa"/>
              <w:bottom w:w="113" w:type="dxa"/>
              <w:right w:w="113" w:type="dxa"/>
            </w:tcMar>
            <w:vAlign w:val="center"/>
          </w:tcPr>
          <w:p w14:paraId="0384669D" w14:textId="77777777" w:rsidR="00DF3D35" w:rsidRPr="00902B80" w:rsidRDefault="00DF3D35" w:rsidP="00DF3D35">
            <w:pPr>
              <w:pStyle w:val="CDITable-RowCentre"/>
            </w:pPr>
            <w:r w:rsidRPr="00902B80">
              <w:t>13</w:t>
            </w:r>
          </w:p>
        </w:tc>
      </w:tr>
    </w:tbl>
    <w:p w14:paraId="64F3BF55" w14:textId="77777777" w:rsidR="00DF3D35" w:rsidRDefault="00DF3D35" w:rsidP="00DF3D35">
      <w:pPr>
        <w:pStyle w:val="CDITable-Firstfootnote"/>
        <w:divId w:val="935526654"/>
      </w:pPr>
      <w:r>
        <w:t>a</w:t>
      </w:r>
      <w:r>
        <w:tab/>
        <w:t>Source: Australian Government Department of Health and Aged Care Japanese Encephalitis Virus Outbreak REDCap Database.</w:t>
      </w:r>
    </w:p>
    <w:p w14:paraId="76000122" w14:textId="77777777" w:rsidR="00DF3D35" w:rsidRDefault="00DF3D35" w:rsidP="00DF3D35">
      <w:pPr>
        <w:pStyle w:val="CDITable-Footnote"/>
        <w:divId w:val="935526654"/>
      </w:pPr>
      <w:r>
        <w:t>b</w:t>
      </w:r>
      <w:r>
        <w:tab/>
        <w:t xml:space="preserve">Cases may have reported more than one exposure and therefore total number of exposures will not be equal to the total number of cases. </w:t>
      </w:r>
    </w:p>
    <w:p w14:paraId="79386CB6" w14:textId="77777777" w:rsidR="00DF3D35" w:rsidRDefault="00DF3D35" w:rsidP="00DF3D35">
      <w:pPr>
        <w:pStyle w:val="CDITable-Footnote"/>
        <w:divId w:val="935526654"/>
      </w:pPr>
      <w:r>
        <w:t>c</w:t>
      </w:r>
      <w:r>
        <w:tab/>
      </w:r>
      <w:proofErr w:type="gramStart"/>
      <w:r>
        <w:t>The</w:t>
      </w:r>
      <w:proofErr w:type="gramEnd"/>
      <w:r>
        <w:t xml:space="preserve"> denominator is total number of cases who reported occupational/environmental data (n = 35).</w:t>
      </w:r>
    </w:p>
    <w:p w14:paraId="1817A74B" w14:textId="04AF6999" w:rsidR="00DF3D35" w:rsidRDefault="00DF3D35" w:rsidP="00DF3D35">
      <w:pPr>
        <w:pStyle w:val="CDITable-Footnote"/>
        <w:divId w:val="935526654"/>
      </w:pPr>
      <w:r>
        <w:t>d</w:t>
      </w:r>
      <w:r>
        <w:tab/>
        <w:t>‘Other exposures’ include travel for work, outdoor recreational activities such as swimming.</w:t>
      </w:r>
    </w:p>
    <w:p w14:paraId="7B438F45" w14:textId="6499E796" w:rsidR="00DF3D35" w:rsidRDefault="00DF3D35" w:rsidP="00DF3D35">
      <w:pPr>
        <w:pStyle w:val="CDITable-Title"/>
        <w:divId w:val="935526654"/>
      </w:pPr>
      <w:r w:rsidRPr="00DF3D35">
        <w:lastRenderedPageBreak/>
        <w:t xml:space="preserve">Table 4: Japanese encephalitis virus cases (confirmed and probable) by animal exposures, </w:t>
      </w:r>
      <w:proofErr w:type="spellStart"/>
      <w:proofErr w:type="gramStart"/>
      <w:r w:rsidRPr="00DF3D35">
        <w:t>Australia,</w:t>
      </w:r>
      <w:r w:rsidRPr="00DF3D35">
        <w:rPr>
          <w:vertAlign w:val="superscript"/>
        </w:rPr>
        <w:t>a</w:t>
      </w:r>
      <w:proofErr w:type="spellEnd"/>
      <w:proofErr w:type="gramEnd"/>
      <w:r w:rsidRPr="00DF3D35">
        <w:t xml:space="preserve"> 1</w:t>
      </w:r>
      <w:r>
        <w:t> </w:t>
      </w:r>
      <w:r w:rsidRPr="00DF3D35">
        <w:t>January 2021 – 30 June 2022 (n = 30)</w:t>
      </w:r>
    </w:p>
    <w:tbl>
      <w:tblPr>
        <w:tblW w:w="0" w:type="auto"/>
        <w:tblLayout w:type="fixed"/>
        <w:tblCellMar>
          <w:left w:w="0" w:type="dxa"/>
          <w:right w:w="0" w:type="dxa"/>
        </w:tblCellMar>
        <w:tblLook w:val="0000" w:firstRow="0" w:lastRow="0" w:firstColumn="0" w:lastColumn="0" w:noHBand="0" w:noVBand="0"/>
        <w:tblCaption w:val="Table 4: Japanese encephalitis virus cases (confirmed and probable) by animal exposures, Australia,a 1 January 2021 – 30 June 2022 (n = 30)"/>
        <w:tblDescription w:val="Table 4 shows the number and proportion of cases that reported any animal or vector exposures. These exposures include mosquitos, horses, pigs and bats."/>
      </w:tblPr>
      <w:tblGrid>
        <w:gridCol w:w="3213"/>
        <w:gridCol w:w="3212"/>
        <w:gridCol w:w="3213"/>
      </w:tblGrid>
      <w:tr w:rsidR="007F66A6" w:rsidRPr="00B0344B" w14:paraId="00A37091" w14:textId="77777777" w:rsidTr="007F66A6">
        <w:trPr>
          <w:divId w:val="935526654"/>
          <w:trHeight w:val="20"/>
          <w:tblHeader/>
        </w:trPr>
        <w:tc>
          <w:tcPr>
            <w:tcW w:w="3213" w:type="dxa"/>
            <w:shd w:val="clear" w:color="auto" w:fill="033636" w:themeFill="text2"/>
            <w:tcMar>
              <w:top w:w="113" w:type="dxa"/>
              <w:left w:w="113" w:type="dxa"/>
              <w:bottom w:w="113" w:type="dxa"/>
              <w:right w:w="113" w:type="dxa"/>
            </w:tcMar>
            <w:vAlign w:val="bottom"/>
          </w:tcPr>
          <w:p w14:paraId="6FB565CF" w14:textId="77777777" w:rsidR="007F66A6" w:rsidRPr="00B0344B" w:rsidRDefault="007F66A6" w:rsidP="007F66A6">
            <w:pPr>
              <w:pStyle w:val="CDITable-HeaderRowLeft"/>
            </w:pPr>
            <w:r w:rsidRPr="00B0344B">
              <w:t>Animal or vector exposures</w:t>
            </w:r>
          </w:p>
        </w:tc>
        <w:tc>
          <w:tcPr>
            <w:tcW w:w="3212" w:type="dxa"/>
            <w:shd w:val="clear" w:color="auto" w:fill="033636" w:themeFill="text2"/>
            <w:tcMar>
              <w:top w:w="113" w:type="dxa"/>
              <w:left w:w="113" w:type="dxa"/>
              <w:bottom w:w="113" w:type="dxa"/>
              <w:right w:w="113" w:type="dxa"/>
            </w:tcMar>
            <w:vAlign w:val="bottom"/>
          </w:tcPr>
          <w:p w14:paraId="1D0FA09A" w14:textId="77777777" w:rsidR="007F66A6" w:rsidRPr="00B0344B" w:rsidRDefault="007F66A6" w:rsidP="007F66A6">
            <w:pPr>
              <w:pStyle w:val="CDITable-HeaderRowCentre"/>
            </w:pPr>
            <w:r w:rsidRPr="00B0344B">
              <w:t xml:space="preserve">Number of </w:t>
            </w:r>
            <w:proofErr w:type="spellStart"/>
            <w:r w:rsidRPr="00B0344B">
              <w:t>cases</w:t>
            </w:r>
            <w:r w:rsidRPr="00B0344B">
              <w:rPr>
                <w:vertAlign w:val="superscript"/>
              </w:rPr>
              <w:t>b</w:t>
            </w:r>
            <w:proofErr w:type="spellEnd"/>
          </w:p>
        </w:tc>
        <w:tc>
          <w:tcPr>
            <w:tcW w:w="3213" w:type="dxa"/>
            <w:shd w:val="clear" w:color="auto" w:fill="033636" w:themeFill="text2"/>
            <w:tcMar>
              <w:top w:w="113" w:type="dxa"/>
              <w:left w:w="113" w:type="dxa"/>
              <w:bottom w:w="113" w:type="dxa"/>
              <w:right w:w="113" w:type="dxa"/>
            </w:tcMar>
            <w:vAlign w:val="bottom"/>
          </w:tcPr>
          <w:p w14:paraId="7B90E4B8" w14:textId="77777777" w:rsidR="007F66A6" w:rsidRPr="00B0344B" w:rsidRDefault="007F66A6" w:rsidP="007F66A6">
            <w:pPr>
              <w:pStyle w:val="CDITable-HeaderRowCentre"/>
            </w:pPr>
            <w:proofErr w:type="spellStart"/>
            <w:r w:rsidRPr="00B0344B">
              <w:t>Percentage</w:t>
            </w:r>
            <w:r w:rsidRPr="00B0344B">
              <w:rPr>
                <w:vertAlign w:val="superscript"/>
              </w:rPr>
              <w:t>c</w:t>
            </w:r>
            <w:proofErr w:type="spellEnd"/>
          </w:p>
        </w:tc>
      </w:tr>
      <w:tr w:rsidR="007F66A6" w:rsidRPr="00B0344B" w14:paraId="3DCDF7F3" w14:textId="77777777" w:rsidTr="007F66A6">
        <w:trPr>
          <w:divId w:val="935526654"/>
          <w:trHeight w:val="20"/>
        </w:trPr>
        <w:tc>
          <w:tcPr>
            <w:tcW w:w="3213" w:type="dxa"/>
            <w:shd w:val="clear" w:color="auto" w:fill="F2F2F2" w:themeFill="background1" w:themeFillShade="F2"/>
            <w:tcMar>
              <w:top w:w="113" w:type="dxa"/>
              <w:left w:w="113" w:type="dxa"/>
              <w:bottom w:w="113" w:type="dxa"/>
              <w:right w:w="113" w:type="dxa"/>
            </w:tcMar>
            <w:vAlign w:val="center"/>
          </w:tcPr>
          <w:p w14:paraId="192218C2" w14:textId="77777777" w:rsidR="007F66A6" w:rsidRPr="00B0344B" w:rsidRDefault="007F66A6" w:rsidP="007F66A6">
            <w:pPr>
              <w:pStyle w:val="CDITable-RowLeft"/>
            </w:pPr>
            <w:r w:rsidRPr="00B0344B">
              <w:t>Mosquitoes</w:t>
            </w:r>
          </w:p>
        </w:tc>
        <w:tc>
          <w:tcPr>
            <w:tcW w:w="3212" w:type="dxa"/>
            <w:shd w:val="clear" w:color="auto" w:fill="F2F2F2" w:themeFill="background1" w:themeFillShade="F2"/>
            <w:tcMar>
              <w:top w:w="113" w:type="dxa"/>
              <w:left w:w="113" w:type="dxa"/>
              <w:bottom w:w="113" w:type="dxa"/>
              <w:right w:w="113" w:type="dxa"/>
            </w:tcMar>
            <w:vAlign w:val="center"/>
          </w:tcPr>
          <w:p w14:paraId="4C1C9927" w14:textId="77777777" w:rsidR="007F66A6" w:rsidRPr="00B0344B" w:rsidRDefault="007F66A6" w:rsidP="007F66A6">
            <w:pPr>
              <w:pStyle w:val="CDITable-RowCentre"/>
            </w:pPr>
            <w:r w:rsidRPr="00B0344B">
              <w:t>27</w:t>
            </w:r>
          </w:p>
        </w:tc>
        <w:tc>
          <w:tcPr>
            <w:tcW w:w="3213" w:type="dxa"/>
            <w:shd w:val="clear" w:color="auto" w:fill="F2F2F2" w:themeFill="background1" w:themeFillShade="F2"/>
            <w:tcMar>
              <w:top w:w="113" w:type="dxa"/>
              <w:left w:w="113" w:type="dxa"/>
              <w:bottom w:w="113" w:type="dxa"/>
              <w:right w:w="113" w:type="dxa"/>
            </w:tcMar>
            <w:vAlign w:val="center"/>
          </w:tcPr>
          <w:p w14:paraId="002C47DF" w14:textId="77777777" w:rsidR="007F66A6" w:rsidRPr="00B0344B" w:rsidRDefault="007F66A6" w:rsidP="007F66A6">
            <w:pPr>
              <w:pStyle w:val="CDITable-RowCentre"/>
            </w:pPr>
            <w:r w:rsidRPr="00B0344B">
              <w:t>90</w:t>
            </w:r>
          </w:p>
        </w:tc>
      </w:tr>
      <w:tr w:rsidR="007F66A6" w:rsidRPr="00B0344B" w14:paraId="489301F9" w14:textId="77777777" w:rsidTr="007F66A6">
        <w:trPr>
          <w:divId w:val="935526654"/>
          <w:trHeight w:val="20"/>
        </w:trPr>
        <w:tc>
          <w:tcPr>
            <w:tcW w:w="3213" w:type="dxa"/>
            <w:tcMar>
              <w:top w:w="113" w:type="dxa"/>
              <w:left w:w="113" w:type="dxa"/>
              <w:bottom w:w="113" w:type="dxa"/>
              <w:right w:w="113" w:type="dxa"/>
            </w:tcMar>
            <w:vAlign w:val="center"/>
          </w:tcPr>
          <w:p w14:paraId="21ADF920" w14:textId="77777777" w:rsidR="007F66A6" w:rsidRPr="00B0344B" w:rsidRDefault="007F66A6" w:rsidP="007F66A6">
            <w:pPr>
              <w:pStyle w:val="CDITable-RowLeft"/>
            </w:pPr>
            <w:r w:rsidRPr="00B0344B">
              <w:t>Birds</w:t>
            </w:r>
          </w:p>
        </w:tc>
        <w:tc>
          <w:tcPr>
            <w:tcW w:w="3212" w:type="dxa"/>
            <w:tcMar>
              <w:top w:w="113" w:type="dxa"/>
              <w:left w:w="113" w:type="dxa"/>
              <w:bottom w:w="113" w:type="dxa"/>
              <w:right w:w="113" w:type="dxa"/>
            </w:tcMar>
            <w:vAlign w:val="center"/>
          </w:tcPr>
          <w:p w14:paraId="2A3B0C4E" w14:textId="77777777" w:rsidR="007F66A6" w:rsidRPr="00B0344B" w:rsidRDefault="007F66A6" w:rsidP="007F66A6">
            <w:pPr>
              <w:pStyle w:val="CDITable-RowCentre"/>
            </w:pPr>
            <w:r w:rsidRPr="00B0344B">
              <w:t>4</w:t>
            </w:r>
          </w:p>
        </w:tc>
        <w:tc>
          <w:tcPr>
            <w:tcW w:w="3213" w:type="dxa"/>
            <w:tcMar>
              <w:top w:w="113" w:type="dxa"/>
              <w:left w:w="113" w:type="dxa"/>
              <w:bottom w:w="113" w:type="dxa"/>
              <w:right w:w="113" w:type="dxa"/>
            </w:tcMar>
            <w:vAlign w:val="center"/>
          </w:tcPr>
          <w:p w14:paraId="3653D159" w14:textId="77777777" w:rsidR="007F66A6" w:rsidRPr="00B0344B" w:rsidRDefault="007F66A6" w:rsidP="007F66A6">
            <w:pPr>
              <w:pStyle w:val="CDITable-RowCentre"/>
            </w:pPr>
            <w:r w:rsidRPr="00B0344B">
              <w:t>13</w:t>
            </w:r>
          </w:p>
        </w:tc>
      </w:tr>
      <w:tr w:rsidR="007F66A6" w:rsidRPr="00B0344B" w14:paraId="069A70AE" w14:textId="77777777" w:rsidTr="007F66A6">
        <w:trPr>
          <w:divId w:val="935526654"/>
          <w:trHeight w:val="20"/>
        </w:trPr>
        <w:tc>
          <w:tcPr>
            <w:tcW w:w="3213" w:type="dxa"/>
            <w:shd w:val="clear" w:color="auto" w:fill="F2F2F2" w:themeFill="background1" w:themeFillShade="F2"/>
            <w:tcMar>
              <w:top w:w="113" w:type="dxa"/>
              <w:left w:w="113" w:type="dxa"/>
              <w:bottom w:w="113" w:type="dxa"/>
              <w:right w:w="113" w:type="dxa"/>
            </w:tcMar>
            <w:vAlign w:val="center"/>
          </w:tcPr>
          <w:p w14:paraId="4ABF819A" w14:textId="77777777" w:rsidR="007F66A6" w:rsidRPr="00B0344B" w:rsidRDefault="007F66A6" w:rsidP="007F66A6">
            <w:pPr>
              <w:pStyle w:val="CDITable-RowLeft"/>
            </w:pPr>
            <w:r w:rsidRPr="00B0344B">
              <w:t>Horses</w:t>
            </w:r>
          </w:p>
        </w:tc>
        <w:tc>
          <w:tcPr>
            <w:tcW w:w="3212" w:type="dxa"/>
            <w:shd w:val="clear" w:color="auto" w:fill="F2F2F2" w:themeFill="background1" w:themeFillShade="F2"/>
            <w:tcMar>
              <w:top w:w="113" w:type="dxa"/>
              <w:left w:w="113" w:type="dxa"/>
              <w:bottom w:w="113" w:type="dxa"/>
              <w:right w:w="113" w:type="dxa"/>
            </w:tcMar>
            <w:vAlign w:val="center"/>
          </w:tcPr>
          <w:p w14:paraId="2FDBCA1C" w14:textId="77777777" w:rsidR="007F66A6" w:rsidRPr="00B0344B" w:rsidRDefault="007F66A6" w:rsidP="007F66A6">
            <w:pPr>
              <w:pStyle w:val="CDITable-RowCentre"/>
            </w:pPr>
            <w:r w:rsidRPr="00B0344B">
              <w:t>3</w:t>
            </w:r>
          </w:p>
        </w:tc>
        <w:tc>
          <w:tcPr>
            <w:tcW w:w="3213" w:type="dxa"/>
            <w:shd w:val="clear" w:color="auto" w:fill="F2F2F2" w:themeFill="background1" w:themeFillShade="F2"/>
            <w:tcMar>
              <w:top w:w="113" w:type="dxa"/>
              <w:left w:w="113" w:type="dxa"/>
              <w:bottom w:w="113" w:type="dxa"/>
              <w:right w:w="113" w:type="dxa"/>
            </w:tcMar>
            <w:vAlign w:val="center"/>
          </w:tcPr>
          <w:p w14:paraId="1DE573DC" w14:textId="77777777" w:rsidR="007F66A6" w:rsidRPr="00B0344B" w:rsidRDefault="007F66A6" w:rsidP="007F66A6">
            <w:pPr>
              <w:pStyle w:val="CDITable-RowCentre"/>
            </w:pPr>
            <w:r w:rsidRPr="00B0344B">
              <w:t>18</w:t>
            </w:r>
          </w:p>
        </w:tc>
      </w:tr>
      <w:tr w:rsidR="007F66A6" w:rsidRPr="00B0344B" w14:paraId="1FC5244E" w14:textId="77777777" w:rsidTr="007F66A6">
        <w:trPr>
          <w:divId w:val="935526654"/>
          <w:trHeight w:val="20"/>
        </w:trPr>
        <w:tc>
          <w:tcPr>
            <w:tcW w:w="3213" w:type="dxa"/>
            <w:tcMar>
              <w:top w:w="113" w:type="dxa"/>
              <w:left w:w="113" w:type="dxa"/>
              <w:bottom w:w="113" w:type="dxa"/>
              <w:right w:w="113" w:type="dxa"/>
            </w:tcMar>
            <w:vAlign w:val="center"/>
          </w:tcPr>
          <w:p w14:paraId="6DE167B3" w14:textId="77777777" w:rsidR="007F66A6" w:rsidRPr="00B0344B" w:rsidRDefault="007F66A6" w:rsidP="007F66A6">
            <w:pPr>
              <w:pStyle w:val="CDITable-RowLeft"/>
            </w:pPr>
            <w:r w:rsidRPr="00B0344B">
              <w:t>Pigs</w:t>
            </w:r>
          </w:p>
        </w:tc>
        <w:tc>
          <w:tcPr>
            <w:tcW w:w="3212" w:type="dxa"/>
            <w:tcMar>
              <w:top w:w="113" w:type="dxa"/>
              <w:left w:w="113" w:type="dxa"/>
              <w:bottom w:w="113" w:type="dxa"/>
              <w:right w:w="113" w:type="dxa"/>
            </w:tcMar>
            <w:vAlign w:val="center"/>
          </w:tcPr>
          <w:p w14:paraId="7B542979" w14:textId="77777777" w:rsidR="007F66A6" w:rsidRPr="00B0344B" w:rsidRDefault="007F66A6" w:rsidP="007F66A6">
            <w:pPr>
              <w:pStyle w:val="CDITable-RowCentre"/>
            </w:pPr>
            <w:r w:rsidRPr="00B0344B">
              <w:t>2</w:t>
            </w:r>
          </w:p>
        </w:tc>
        <w:tc>
          <w:tcPr>
            <w:tcW w:w="3213" w:type="dxa"/>
            <w:tcMar>
              <w:top w:w="113" w:type="dxa"/>
              <w:left w:w="113" w:type="dxa"/>
              <w:bottom w:w="113" w:type="dxa"/>
              <w:right w:w="113" w:type="dxa"/>
            </w:tcMar>
            <w:vAlign w:val="center"/>
          </w:tcPr>
          <w:p w14:paraId="66C7F314" w14:textId="77777777" w:rsidR="007F66A6" w:rsidRPr="00B0344B" w:rsidRDefault="007F66A6" w:rsidP="007F66A6">
            <w:pPr>
              <w:pStyle w:val="CDITable-RowCentre"/>
            </w:pPr>
            <w:r w:rsidRPr="00B0344B">
              <w:t>7</w:t>
            </w:r>
          </w:p>
        </w:tc>
      </w:tr>
      <w:tr w:rsidR="007F66A6" w:rsidRPr="00B0344B" w14:paraId="6C3D7E67" w14:textId="77777777" w:rsidTr="007F66A6">
        <w:trPr>
          <w:divId w:val="935526654"/>
          <w:trHeight w:val="20"/>
        </w:trPr>
        <w:tc>
          <w:tcPr>
            <w:tcW w:w="3213" w:type="dxa"/>
            <w:shd w:val="clear" w:color="auto" w:fill="F2F2F2" w:themeFill="background1" w:themeFillShade="F2"/>
            <w:tcMar>
              <w:top w:w="113" w:type="dxa"/>
              <w:left w:w="113" w:type="dxa"/>
              <w:bottom w:w="113" w:type="dxa"/>
              <w:right w:w="113" w:type="dxa"/>
            </w:tcMar>
            <w:vAlign w:val="center"/>
          </w:tcPr>
          <w:p w14:paraId="690E763C" w14:textId="77777777" w:rsidR="007F66A6" w:rsidRPr="00B0344B" w:rsidRDefault="007F66A6" w:rsidP="007F66A6">
            <w:pPr>
              <w:pStyle w:val="CDITable-RowLeft"/>
            </w:pPr>
            <w:r w:rsidRPr="00B0344B">
              <w:t>Bats</w:t>
            </w:r>
          </w:p>
        </w:tc>
        <w:tc>
          <w:tcPr>
            <w:tcW w:w="3212" w:type="dxa"/>
            <w:shd w:val="clear" w:color="auto" w:fill="F2F2F2" w:themeFill="background1" w:themeFillShade="F2"/>
            <w:tcMar>
              <w:top w:w="113" w:type="dxa"/>
              <w:left w:w="113" w:type="dxa"/>
              <w:bottom w:w="113" w:type="dxa"/>
              <w:right w:w="113" w:type="dxa"/>
            </w:tcMar>
            <w:vAlign w:val="center"/>
          </w:tcPr>
          <w:p w14:paraId="6ADADAF3" w14:textId="77777777" w:rsidR="007F66A6" w:rsidRPr="00B0344B" w:rsidRDefault="007F66A6" w:rsidP="007F66A6">
            <w:pPr>
              <w:pStyle w:val="CDITable-RowCentre"/>
            </w:pPr>
            <w:r w:rsidRPr="00B0344B">
              <w:t>0</w:t>
            </w:r>
          </w:p>
        </w:tc>
        <w:tc>
          <w:tcPr>
            <w:tcW w:w="3213" w:type="dxa"/>
            <w:shd w:val="clear" w:color="auto" w:fill="F2F2F2" w:themeFill="background1" w:themeFillShade="F2"/>
            <w:tcMar>
              <w:top w:w="113" w:type="dxa"/>
              <w:left w:w="113" w:type="dxa"/>
              <w:bottom w:w="113" w:type="dxa"/>
              <w:right w:w="113" w:type="dxa"/>
            </w:tcMar>
            <w:vAlign w:val="center"/>
          </w:tcPr>
          <w:p w14:paraId="690E7F7B" w14:textId="77777777" w:rsidR="007F66A6" w:rsidRPr="00B0344B" w:rsidRDefault="007F66A6" w:rsidP="007F66A6">
            <w:pPr>
              <w:pStyle w:val="CDITable-RowCentre"/>
            </w:pPr>
            <w:r w:rsidRPr="00B0344B">
              <w:t>0</w:t>
            </w:r>
          </w:p>
        </w:tc>
      </w:tr>
      <w:tr w:rsidR="007F66A6" w:rsidRPr="00B0344B" w14:paraId="5B5CD5DD" w14:textId="77777777" w:rsidTr="007F66A6">
        <w:trPr>
          <w:divId w:val="935526654"/>
          <w:trHeight w:val="20"/>
        </w:trPr>
        <w:tc>
          <w:tcPr>
            <w:tcW w:w="3213" w:type="dxa"/>
            <w:tcBorders>
              <w:bottom w:val="single" w:sz="6" w:space="0" w:color="033636" w:themeColor="text2"/>
            </w:tcBorders>
            <w:tcMar>
              <w:top w:w="113" w:type="dxa"/>
              <w:left w:w="113" w:type="dxa"/>
              <w:bottom w:w="113" w:type="dxa"/>
              <w:right w:w="113" w:type="dxa"/>
            </w:tcMar>
            <w:vAlign w:val="center"/>
          </w:tcPr>
          <w:p w14:paraId="0E2724C4" w14:textId="77777777" w:rsidR="007F66A6" w:rsidRPr="00B0344B" w:rsidRDefault="007F66A6" w:rsidP="007F66A6">
            <w:pPr>
              <w:pStyle w:val="CDITable-RowLeft"/>
            </w:pPr>
            <w:r w:rsidRPr="00B0344B">
              <w:t xml:space="preserve">Other </w:t>
            </w:r>
            <w:proofErr w:type="spellStart"/>
            <w:r w:rsidRPr="00B0344B">
              <w:t>animals</w:t>
            </w:r>
            <w:r w:rsidRPr="00B0344B">
              <w:rPr>
                <w:vertAlign w:val="superscript"/>
              </w:rPr>
              <w:t>d</w:t>
            </w:r>
            <w:proofErr w:type="spellEnd"/>
          </w:p>
        </w:tc>
        <w:tc>
          <w:tcPr>
            <w:tcW w:w="3212" w:type="dxa"/>
            <w:tcBorders>
              <w:bottom w:val="single" w:sz="6" w:space="0" w:color="033636" w:themeColor="text2"/>
            </w:tcBorders>
            <w:tcMar>
              <w:top w:w="113" w:type="dxa"/>
              <w:left w:w="113" w:type="dxa"/>
              <w:bottom w:w="113" w:type="dxa"/>
              <w:right w:w="113" w:type="dxa"/>
            </w:tcMar>
            <w:vAlign w:val="center"/>
          </w:tcPr>
          <w:p w14:paraId="0EBA23AF" w14:textId="77777777" w:rsidR="007F66A6" w:rsidRPr="00B0344B" w:rsidRDefault="007F66A6" w:rsidP="007F66A6">
            <w:pPr>
              <w:pStyle w:val="CDITable-RowCentre"/>
            </w:pPr>
            <w:r w:rsidRPr="00B0344B">
              <w:t>6</w:t>
            </w:r>
          </w:p>
        </w:tc>
        <w:tc>
          <w:tcPr>
            <w:tcW w:w="3213" w:type="dxa"/>
            <w:tcBorders>
              <w:bottom w:val="single" w:sz="6" w:space="0" w:color="033636" w:themeColor="text2"/>
            </w:tcBorders>
            <w:tcMar>
              <w:top w:w="113" w:type="dxa"/>
              <w:left w:w="113" w:type="dxa"/>
              <w:bottom w:w="113" w:type="dxa"/>
              <w:right w:w="113" w:type="dxa"/>
            </w:tcMar>
            <w:vAlign w:val="center"/>
          </w:tcPr>
          <w:p w14:paraId="15F7B80F" w14:textId="77777777" w:rsidR="007F66A6" w:rsidRPr="00B0344B" w:rsidRDefault="007F66A6" w:rsidP="007F66A6">
            <w:pPr>
              <w:pStyle w:val="CDITable-RowCentre"/>
            </w:pPr>
            <w:r w:rsidRPr="00B0344B">
              <w:t>20</w:t>
            </w:r>
          </w:p>
        </w:tc>
      </w:tr>
    </w:tbl>
    <w:p w14:paraId="685E5FDE" w14:textId="77777777" w:rsidR="007F66A6" w:rsidRDefault="007F66A6" w:rsidP="007F66A6">
      <w:pPr>
        <w:pStyle w:val="CDITable-Firstfootnote"/>
        <w:divId w:val="935526654"/>
      </w:pPr>
      <w:r>
        <w:t>a</w:t>
      </w:r>
      <w:r>
        <w:tab/>
        <w:t>Source: Australian Government Department of Health and Aged Care Japanese Encephalitis Virus Outbreak REDCap Database.</w:t>
      </w:r>
    </w:p>
    <w:p w14:paraId="0790B589" w14:textId="77777777" w:rsidR="007F66A6" w:rsidRDefault="007F66A6" w:rsidP="007F66A6">
      <w:pPr>
        <w:pStyle w:val="CDITable-Footnote"/>
        <w:divId w:val="935526654"/>
      </w:pPr>
      <w:r>
        <w:t>b</w:t>
      </w:r>
      <w:r>
        <w:tab/>
        <w:t xml:space="preserve">Cases may have reported more than one exposure and therefore total number of exposures will not be equal to the total number of cases. </w:t>
      </w:r>
    </w:p>
    <w:p w14:paraId="5590F786" w14:textId="77777777" w:rsidR="007F66A6" w:rsidRDefault="007F66A6" w:rsidP="007F66A6">
      <w:pPr>
        <w:pStyle w:val="CDITable-Footnote"/>
        <w:divId w:val="935526654"/>
      </w:pPr>
      <w:r>
        <w:t>c</w:t>
      </w:r>
      <w:r>
        <w:tab/>
      </w:r>
      <w:proofErr w:type="gramStart"/>
      <w:r>
        <w:t>The</w:t>
      </w:r>
      <w:proofErr w:type="gramEnd"/>
      <w:r>
        <w:t xml:space="preserve"> denominator is total number of cases who reported animal or </w:t>
      </w:r>
      <w:proofErr w:type="spellStart"/>
      <w:r>
        <w:t>vecor</w:t>
      </w:r>
      <w:proofErr w:type="spellEnd"/>
      <w:r>
        <w:t xml:space="preserve"> exposure data (n = 30).</w:t>
      </w:r>
    </w:p>
    <w:p w14:paraId="02CFE0E4" w14:textId="3574B6B5" w:rsidR="00DF3D35" w:rsidRDefault="007F66A6" w:rsidP="007F66A6">
      <w:pPr>
        <w:pStyle w:val="CDITable-Footnote"/>
        <w:divId w:val="935526654"/>
      </w:pPr>
      <w:r>
        <w:t>d</w:t>
      </w:r>
      <w:r>
        <w:tab/>
        <w:t>‘Other animals’ include sheep, cattle, dogs, cats and rabbits.</w:t>
      </w:r>
    </w:p>
    <w:p w14:paraId="153750F4" w14:textId="77777777" w:rsidR="007F66A6" w:rsidRDefault="007F66A6" w:rsidP="007F66A6">
      <w:pPr>
        <w:pStyle w:val="Heading2"/>
        <w:divId w:val="935526654"/>
        <w:rPr>
          <w:lang w:val="en-GB"/>
        </w:rPr>
      </w:pPr>
      <w:r>
        <w:rPr>
          <w:lang w:val="en-GB"/>
        </w:rPr>
        <w:t>Location of infection</w:t>
      </w:r>
    </w:p>
    <w:p w14:paraId="062966A1" w14:textId="77777777" w:rsidR="007F66A6" w:rsidRPr="00B0344B" w:rsidRDefault="007F66A6" w:rsidP="007F66A6">
      <w:pPr>
        <w:divId w:val="935526654"/>
        <w:rPr>
          <w:lang w:val="en-GB"/>
        </w:rPr>
      </w:pPr>
      <w:r w:rsidRPr="00B0344B">
        <w:rPr>
          <w:lang w:val="en-GB"/>
        </w:rPr>
        <w:t xml:space="preserve">Of the 41 cases with exposure data available, the ‘likely LGA of exposure’ for 16 cases (39%) did not match their LGA of residence. For these cases, the ‘likely LGA of exposure’ was more than an hour’s drive from their LGA of residence, with 56% (9/16) reporting residing in a ‘major city’. The most common exposures reported by these cases included ‘camping’ (75%; 12/16) and ‘water sports/fishing/boating’ (38%; 6/16). </w:t>
      </w:r>
    </w:p>
    <w:p w14:paraId="7D52D4A0" w14:textId="77777777" w:rsidR="007F66A6" w:rsidRPr="00B0344B" w:rsidRDefault="007F66A6" w:rsidP="007F66A6">
      <w:pPr>
        <w:divId w:val="935526654"/>
        <w:rPr>
          <w:lang w:val="en-GB"/>
        </w:rPr>
      </w:pPr>
      <w:r w:rsidRPr="00B0344B">
        <w:rPr>
          <w:lang w:val="en-GB"/>
        </w:rPr>
        <w:t xml:space="preserve">There were 25 cases (61%, 25/41) where the likely LGA of exposure matched their LGA of residence. The most common exposures reported by these cases included ‘living on or visiting a rural property or area’ (60%; 15/25) and ‘water sports/fishing/boating’ (28%; 7/25). Only 4% of these cases (1/25) reported ‘camping’ as a potential exposure. </w:t>
      </w:r>
    </w:p>
    <w:p w14:paraId="0843AC74" w14:textId="77777777" w:rsidR="008A0736" w:rsidRDefault="008A0736" w:rsidP="00BA2598">
      <w:pPr>
        <w:pStyle w:val="Heading1"/>
        <w:divId w:val="935526654"/>
      </w:pPr>
      <w:r w:rsidRPr="00702D05">
        <w:t>Discussion</w:t>
      </w:r>
    </w:p>
    <w:p w14:paraId="22FD9A5B" w14:textId="77777777" w:rsidR="007F66A6" w:rsidRPr="00B0344B" w:rsidRDefault="007F66A6" w:rsidP="007F66A6">
      <w:pPr>
        <w:divId w:val="935526654"/>
        <w:rPr>
          <w:lang w:val="en-GB"/>
        </w:rPr>
      </w:pPr>
      <w:r w:rsidRPr="00B0344B">
        <w:rPr>
          <w:lang w:val="en-GB"/>
        </w:rPr>
        <w:t>This article describes the epidemiology of an outbreak of JEV that occurred in Australia between 1 January 2021 and 30 June 2022. There were 42 confirmed and probable cases of JEV reported across five jurisdictions during this period, with 83% hospitalised (n = 35) and a CFR of 17% (n = 7). Compared with previously detected locally acquired cases of JEV in Australia,</w:t>
      </w:r>
      <w:r w:rsidRPr="00B0344B">
        <w:rPr>
          <w:vertAlign w:val="superscript"/>
          <w:lang w:val="en-GB"/>
        </w:rPr>
        <w:t>11,12</w:t>
      </w:r>
      <w:r w:rsidRPr="00B0344B">
        <w:rPr>
          <w:lang w:val="en-GB"/>
        </w:rPr>
        <w:t xml:space="preserve"> this outbreak had more cases; had a longer period of transmission; and occurred over a larger geographical area. </w:t>
      </w:r>
    </w:p>
    <w:p w14:paraId="76175532" w14:textId="77777777" w:rsidR="007F66A6" w:rsidRPr="00B0344B" w:rsidRDefault="007F66A6" w:rsidP="007F66A6">
      <w:pPr>
        <w:divId w:val="935526654"/>
        <w:rPr>
          <w:lang w:val="en-GB"/>
        </w:rPr>
      </w:pPr>
      <w:r w:rsidRPr="00B0344B">
        <w:rPr>
          <w:lang w:val="en-GB"/>
        </w:rPr>
        <w:t>Before this outbreak, JEV was rarely locally acquired in Australia, and vaccines were only recommended for travellers to endemic countries and for residents of the Torres Strait.</w:t>
      </w:r>
      <w:r w:rsidRPr="00B0344B">
        <w:rPr>
          <w:vertAlign w:val="superscript"/>
          <w:lang w:val="en-GB"/>
        </w:rPr>
        <w:t>27,28</w:t>
      </w:r>
      <w:r w:rsidRPr="00B0344B">
        <w:rPr>
          <w:lang w:val="en-GB"/>
        </w:rPr>
        <w:t xml:space="preserve"> Most of the Australian population is unvaccinated against JEV and susceptible to infection. Where JEV is endemic internationally, disease predominantly impacts children; however, when JEV is introduced into a population, cases are mostly observed in adults.</w:t>
      </w:r>
      <w:r w:rsidRPr="00B0344B">
        <w:rPr>
          <w:vertAlign w:val="superscript"/>
          <w:lang w:val="en-GB"/>
        </w:rPr>
        <w:t>4,29</w:t>
      </w:r>
      <w:r w:rsidRPr="00B0344B">
        <w:rPr>
          <w:lang w:val="en-GB"/>
        </w:rPr>
        <w:t xml:space="preserve"> Our analysis reflects this, with most cases occurring in adults aged over 18 years (93%; n = 39). </w:t>
      </w:r>
    </w:p>
    <w:p w14:paraId="782C4B95" w14:textId="77777777" w:rsidR="007F66A6" w:rsidRPr="00B0344B" w:rsidRDefault="007F66A6" w:rsidP="007F66A6">
      <w:pPr>
        <w:divId w:val="935526654"/>
        <w:rPr>
          <w:lang w:val="en-GB"/>
        </w:rPr>
      </w:pPr>
      <w:r w:rsidRPr="00B0344B">
        <w:rPr>
          <w:lang w:val="en-GB"/>
        </w:rPr>
        <w:lastRenderedPageBreak/>
        <w:t xml:space="preserve">In previous Australian outbreaks, human cases and environmental detections remained localised to the Torres Strait and Cape York Peninsula. Our paper shows that JEV had spread to new geographical areas in Australia during the outbreak, with cases likely acquiring their infection across 31 LGAs in New South Wales, Victoria, South Australia, Queensland, and the Northern Territory. The first cases detected in 2021 were localised to two LGAs in the Northern Territory, but by early 2022, cases had been identified in an additional 29 LGAs across four other jurisdictions. </w:t>
      </w:r>
    </w:p>
    <w:p w14:paraId="565C8D09" w14:textId="77777777" w:rsidR="007F66A6" w:rsidRPr="00B0344B" w:rsidRDefault="007F66A6" w:rsidP="007F66A6">
      <w:pPr>
        <w:divId w:val="935526654"/>
        <w:rPr>
          <w:lang w:val="en-GB"/>
        </w:rPr>
      </w:pPr>
      <w:r w:rsidRPr="00B0344B">
        <w:rPr>
          <w:lang w:val="en-GB"/>
        </w:rPr>
        <w:t>From February 2022 to May 2022, there were reports of environmental and animal JEV detections.</w:t>
      </w:r>
      <w:r w:rsidRPr="00B0344B">
        <w:rPr>
          <w:vertAlign w:val="superscript"/>
          <w:lang w:val="en-GB"/>
        </w:rPr>
        <w:t>20</w:t>
      </w:r>
      <w:r w:rsidRPr="00B0344B">
        <w:rPr>
          <w:lang w:val="en-GB"/>
        </w:rPr>
        <w:t xml:space="preserve"> This includes detections in over 70 commercial piggeries across New South Wales, Queensland, Victoria and South Australia,</w:t>
      </w:r>
      <w:r w:rsidRPr="00B0344B">
        <w:rPr>
          <w:vertAlign w:val="superscript"/>
          <w:lang w:val="en-GB"/>
        </w:rPr>
        <w:t>20</w:t>
      </w:r>
      <w:r w:rsidRPr="00B0344B">
        <w:rPr>
          <w:lang w:val="en-GB"/>
        </w:rPr>
        <w:t xml:space="preserve"> and detections of JEV in feral pigs in the Northern Territory,</w:t>
      </w:r>
      <w:r w:rsidRPr="00B0344B">
        <w:rPr>
          <w:vertAlign w:val="superscript"/>
          <w:lang w:val="en-GB"/>
        </w:rPr>
        <w:t>29</w:t>
      </w:r>
      <w:r w:rsidRPr="00B0344B">
        <w:rPr>
          <w:lang w:val="en-GB"/>
        </w:rPr>
        <w:t xml:space="preserve"> as well as inconclusive results in horses in New South Wales.</w:t>
      </w:r>
      <w:r w:rsidRPr="00B0344B">
        <w:rPr>
          <w:vertAlign w:val="superscript"/>
          <w:lang w:val="en-GB"/>
        </w:rPr>
        <w:t>30</w:t>
      </w:r>
      <w:r w:rsidRPr="00B0344B">
        <w:rPr>
          <w:lang w:val="en-GB"/>
        </w:rPr>
        <w:t xml:space="preserve"> There were also detections from mosquitoes and seroconversion in sentinel chickens.</w:t>
      </w:r>
      <w:r w:rsidRPr="00B0344B">
        <w:rPr>
          <w:vertAlign w:val="superscript"/>
          <w:lang w:val="en-GB"/>
        </w:rPr>
        <w:t>31,32</w:t>
      </w:r>
      <w:r w:rsidRPr="00B0344B">
        <w:rPr>
          <w:lang w:val="en-GB"/>
        </w:rPr>
        <w:t xml:space="preserve"> Human cases in this outbreak reflect the wide geographical distribution of environmental and animal detections of JEV in Australia. There were reported environmental and animal detections in LGAs where human JEV cases have not yet been detected.</w:t>
      </w:r>
      <w:r w:rsidRPr="00B0344B">
        <w:rPr>
          <w:vertAlign w:val="superscript"/>
          <w:lang w:val="en-GB"/>
        </w:rPr>
        <w:t>29,32–35</w:t>
      </w:r>
      <w:r w:rsidRPr="00B0344B">
        <w:rPr>
          <w:lang w:val="en-GB"/>
        </w:rPr>
        <w:t xml:space="preserve"> Considering the geographical spread already seen in this outbreak, it is possible that human cases of JEV could be detected in these areas in the future.</w:t>
      </w:r>
    </w:p>
    <w:p w14:paraId="379B807D" w14:textId="77777777" w:rsidR="007F66A6" w:rsidRPr="00B0344B" w:rsidRDefault="007F66A6" w:rsidP="007F66A6">
      <w:pPr>
        <w:divId w:val="935526654"/>
        <w:rPr>
          <w:lang w:val="en-GB"/>
        </w:rPr>
      </w:pPr>
      <w:r w:rsidRPr="00B0344B">
        <w:rPr>
          <w:lang w:val="en-GB"/>
        </w:rPr>
        <w:t>The surge of JEV cases in Australia is likely to have been accelerated by favourable weather conditions, such as the record-breaking rain and flood events across Australia preceding and during the outbreak period.</w:t>
      </w:r>
      <w:r w:rsidRPr="00B0344B">
        <w:rPr>
          <w:vertAlign w:val="superscript"/>
          <w:lang w:val="en-GB"/>
        </w:rPr>
        <w:t>36,37</w:t>
      </w:r>
      <w:r w:rsidRPr="00B0344B">
        <w:rPr>
          <w:lang w:val="en-GB"/>
        </w:rPr>
        <w:t xml:space="preserve"> These weather events likely provided habitats for the proliferation and expansion of mosquito and waterbird populations across large parts of Australia.</w:t>
      </w:r>
      <w:r w:rsidRPr="00B0344B">
        <w:rPr>
          <w:vertAlign w:val="superscript"/>
          <w:lang w:val="en-GB"/>
        </w:rPr>
        <w:t>16,38</w:t>
      </w:r>
      <w:r w:rsidRPr="00B0344B">
        <w:rPr>
          <w:lang w:val="en-GB"/>
        </w:rPr>
        <w:t xml:space="preserve"> Water birds are natural reservoirs of JEV, and have been implicated in introducing JEV into new geographic areas that follow their migratory patterns.</w:t>
      </w:r>
      <w:r w:rsidRPr="00B0344B">
        <w:rPr>
          <w:vertAlign w:val="superscript"/>
          <w:lang w:val="en-GB"/>
        </w:rPr>
        <w:t>39</w:t>
      </w:r>
      <w:r w:rsidRPr="00B0344B">
        <w:rPr>
          <w:lang w:val="en-GB"/>
        </w:rPr>
        <w:t xml:space="preserve"> </w:t>
      </w:r>
    </w:p>
    <w:p w14:paraId="639D1CAA" w14:textId="77777777" w:rsidR="007F66A6" w:rsidRPr="00B0344B" w:rsidRDefault="007F66A6" w:rsidP="007F66A6">
      <w:pPr>
        <w:divId w:val="935526654"/>
        <w:rPr>
          <w:lang w:val="en-GB"/>
        </w:rPr>
      </w:pPr>
      <w:r w:rsidRPr="00B0344B">
        <w:rPr>
          <w:lang w:val="en-GB"/>
        </w:rPr>
        <w:t>JEV is closely related to other mosquito-borne viruses that are endemic to Australia, including Murray Valley Encephalitis Virus (MVEV) and West Nile Virus Kunjin subtype (WNV</w:t>
      </w:r>
      <w:r w:rsidRPr="00B0344B">
        <w:rPr>
          <w:vertAlign w:val="subscript"/>
          <w:lang w:val="en-GB"/>
        </w:rPr>
        <w:t>KUN</w:t>
      </w:r>
      <w:r w:rsidRPr="00B0344B">
        <w:rPr>
          <w:lang w:val="en-GB"/>
        </w:rPr>
        <w:t>).</w:t>
      </w:r>
      <w:r w:rsidRPr="00B0344B">
        <w:rPr>
          <w:vertAlign w:val="superscript"/>
          <w:lang w:val="en-GB"/>
        </w:rPr>
        <w:t>40</w:t>
      </w:r>
      <w:r w:rsidRPr="00B0344B">
        <w:rPr>
          <w:lang w:val="en-GB"/>
        </w:rPr>
        <w:t xml:space="preserve"> Virus isolation and vector competence studies have identified the </w:t>
      </w:r>
      <w:r w:rsidRPr="00B0344B">
        <w:rPr>
          <w:i/>
          <w:iCs/>
          <w:lang w:val="en-GB"/>
        </w:rPr>
        <w:t xml:space="preserve">Culex </w:t>
      </w:r>
      <w:proofErr w:type="spellStart"/>
      <w:r w:rsidRPr="00B0344B">
        <w:rPr>
          <w:i/>
          <w:iCs/>
          <w:lang w:val="en-GB"/>
        </w:rPr>
        <w:t>sitiens</w:t>
      </w:r>
      <w:proofErr w:type="spellEnd"/>
      <w:r w:rsidRPr="00B0344B">
        <w:rPr>
          <w:lang w:val="en-GB"/>
        </w:rPr>
        <w:t xml:space="preserve"> subgroup of mosquitos, including </w:t>
      </w:r>
      <w:r w:rsidRPr="00B0344B">
        <w:rPr>
          <w:i/>
          <w:iCs/>
          <w:lang w:val="en-GB"/>
        </w:rPr>
        <w:t>Culex annulirostris</w:t>
      </w:r>
      <w:r w:rsidRPr="00B0344B">
        <w:rPr>
          <w:lang w:val="en-GB"/>
        </w:rPr>
        <w:t>, to be the likely principal vectors of JEV in Australia.</w:t>
      </w:r>
      <w:r w:rsidRPr="00B0344B">
        <w:rPr>
          <w:vertAlign w:val="superscript"/>
          <w:lang w:val="en-GB"/>
        </w:rPr>
        <w:t>16,41</w:t>
      </w:r>
      <w:r w:rsidRPr="00B0344B">
        <w:rPr>
          <w:lang w:val="en-GB"/>
        </w:rPr>
        <w:t xml:space="preserve"> </w:t>
      </w:r>
      <w:r w:rsidRPr="00B0344B">
        <w:rPr>
          <w:i/>
          <w:iCs/>
          <w:lang w:val="en-GB"/>
        </w:rPr>
        <w:t>Culex annulirostris</w:t>
      </w:r>
      <w:r w:rsidRPr="00B0344B">
        <w:rPr>
          <w:lang w:val="en-GB"/>
        </w:rPr>
        <w:t xml:space="preserve"> is also the principal vector of MVEV and WNV</w:t>
      </w:r>
      <w:r w:rsidRPr="00B0344B">
        <w:rPr>
          <w:vertAlign w:val="subscript"/>
          <w:lang w:val="en-GB"/>
        </w:rPr>
        <w:t>KUN</w:t>
      </w:r>
      <w:r w:rsidRPr="00B0344B">
        <w:rPr>
          <w:lang w:val="en-GB"/>
        </w:rPr>
        <w:t>.</w:t>
      </w:r>
      <w:r w:rsidRPr="00B0344B">
        <w:rPr>
          <w:vertAlign w:val="superscript"/>
          <w:lang w:val="en-GB"/>
        </w:rPr>
        <w:t>18,42</w:t>
      </w:r>
      <w:r w:rsidRPr="00B0344B">
        <w:rPr>
          <w:lang w:val="en-GB"/>
        </w:rPr>
        <w:t xml:space="preserve"> Previous outbreaks of MVEV were associated with heavy rainfall and flooding events.</w:t>
      </w:r>
      <w:r w:rsidRPr="00B0344B">
        <w:rPr>
          <w:vertAlign w:val="superscript"/>
          <w:lang w:val="en-GB"/>
        </w:rPr>
        <w:t>43</w:t>
      </w:r>
      <w:r w:rsidRPr="00B0344B">
        <w:rPr>
          <w:lang w:val="en-GB"/>
        </w:rPr>
        <w:t xml:space="preserve"> Given the similarities between JEV and other mosquito-borne viruses, it is possible that JEV will follow similar geographical distribution and seasonal patterns in the future. </w:t>
      </w:r>
    </w:p>
    <w:p w14:paraId="1D619D1F" w14:textId="77777777" w:rsidR="007F66A6" w:rsidRPr="00B0344B" w:rsidRDefault="007F66A6" w:rsidP="007F66A6">
      <w:pPr>
        <w:divId w:val="935526654"/>
        <w:rPr>
          <w:lang w:val="en-GB"/>
        </w:rPr>
      </w:pPr>
      <w:r w:rsidRPr="00B0344B">
        <w:rPr>
          <w:lang w:val="en-GB"/>
        </w:rPr>
        <w:t>All cases in this outbreak likely acquired their JEV infection in regional and remote areas of Australia. This replicates epidemiological patterns found in JEV-endemic countries.</w:t>
      </w:r>
      <w:r w:rsidRPr="00B0344B">
        <w:rPr>
          <w:vertAlign w:val="superscript"/>
          <w:lang w:val="en-GB"/>
        </w:rPr>
        <w:t>4</w:t>
      </w:r>
      <w:r w:rsidRPr="00B0344B">
        <w:rPr>
          <w:lang w:val="en-GB"/>
        </w:rPr>
        <w:t xml:space="preserve"> Some cases in this outbreak did not live where they were likely exposed and had driven at least one hour to their potential exposure location and reported outdoor activities including camping and water sports, fishing and boating. This indicates that travellers, as well as residents of high-risk areas in Australia, in regional and remote areas, need to be targeted in public health campaigns about their risk of exposure to JEV. </w:t>
      </w:r>
    </w:p>
    <w:p w14:paraId="44D56F4D" w14:textId="77777777" w:rsidR="007F66A6" w:rsidRPr="00B0344B" w:rsidRDefault="007F66A6" w:rsidP="007F66A6">
      <w:pPr>
        <w:divId w:val="935526654"/>
        <w:rPr>
          <w:lang w:val="en-GB"/>
        </w:rPr>
      </w:pPr>
      <w:r w:rsidRPr="00B0344B">
        <w:rPr>
          <w:lang w:val="en-GB"/>
        </w:rPr>
        <w:t>Public health actions in response to the outbreak included offering JEV vaccination to high-risk populations,</w:t>
      </w:r>
      <w:r w:rsidRPr="00B0344B">
        <w:rPr>
          <w:vertAlign w:val="superscript"/>
          <w:lang w:val="en-GB"/>
        </w:rPr>
        <w:t>44</w:t>
      </w:r>
      <w:r w:rsidRPr="00B0344B">
        <w:rPr>
          <w:lang w:val="en-GB"/>
        </w:rPr>
        <w:t xml:space="preserve"> and communication campaigns regarding mosquito awareness. Our analysis has shown sustained transmission of JEV in some parts of Australia, with the latest cases in this outbreak occurring more than a year after JEV was first detected in the Northern Territory. As there have also been extensive environmental and animal detections, it is possible that JEV may become endemic across mainland Australia. Vaccination and mosquito control methods have proven to be effective at reducing the burden of JEV.</w:t>
      </w:r>
      <w:r w:rsidRPr="00B0344B">
        <w:rPr>
          <w:vertAlign w:val="superscript"/>
          <w:lang w:val="en-GB"/>
        </w:rPr>
        <w:t>1</w:t>
      </w:r>
      <w:r w:rsidRPr="00B0344B">
        <w:rPr>
          <w:lang w:val="en-GB"/>
        </w:rPr>
        <w:t xml:space="preserve"> Further research and surveillance are required to understand the extent of JEV spread across Australia, and implications for the public health response.</w:t>
      </w:r>
    </w:p>
    <w:p w14:paraId="4B1BA9EC" w14:textId="77777777" w:rsidR="007F66A6" w:rsidRDefault="007F66A6" w:rsidP="007F66A6">
      <w:pPr>
        <w:pStyle w:val="Heading2"/>
        <w:divId w:val="935526654"/>
        <w:rPr>
          <w:lang w:val="en-GB"/>
        </w:rPr>
      </w:pPr>
      <w:r>
        <w:rPr>
          <w:lang w:val="en-GB"/>
        </w:rPr>
        <w:lastRenderedPageBreak/>
        <w:t>Limitations</w:t>
      </w:r>
    </w:p>
    <w:p w14:paraId="7F52B17A" w14:textId="77777777" w:rsidR="007F66A6" w:rsidRPr="00B0344B" w:rsidRDefault="007F66A6" w:rsidP="007F66A6">
      <w:pPr>
        <w:divId w:val="935526654"/>
        <w:rPr>
          <w:lang w:val="en-GB"/>
        </w:rPr>
      </w:pPr>
      <w:r w:rsidRPr="00B0344B">
        <w:rPr>
          <w:lang w:val="en-GB"/>
        </w:rPr>
        <w:t xml:space="preserve">There are several limitations associated with our analysis. There </w:t>
      </w:r>
      <w:proofErr w:type="gramStart"/>
      <w:r w:rsidRPr="00B0344B">
        <w:rPr>
          <w:lang w:val="en-GB"/>
        </w:rPr>
        <w:t>were</w:t>
      </w:r>
      <w:proofErr w:type="gramEnd"/>
      <w:r w:rsidRPr="00B0344B">
        <w:rPr>
          <w:lang w:val="en-GB"/>
        </w:rPr>
        <w:t xml:space="preserve"> different case questionnaires used over time in this outbreak, and data may not have been collected consistently across cases. Determining likely exposure location by states and territories was subjective, dependent on case interview data, and may not truly reflect where a case was exposed to JEV, particularly if the case spent their exposure period in multiple LGAs. Future investigation and mapping of environmental and animal detections may assist in further targeting future public health activities. We have not included analysis about environmental and animal detections as it is out of scope of this paper. </w:t>
      </w:r>
    </w:p>
    <w:p w14:paraId="226F80FF" w14:textId="77777777" w:rsidR="007F66A6" w:rsidRPr="00B0344B" w:rsidRDefault="007F66A6" w:rsidP="007F66A6">
      <w:pPr>
        <w:divId w:val="935526654"/>
        <w:rPr>
          <w:lang w:val="en-GB"/>
        </w:rPr>
      </w:pPr>
      <w:r w:rsidRPr="00B0344B">
        <w:rPr>
          <w:lang w:val="en-GB"/>
        </w:rPr>
        <w:t>As approximately 1% of JEV infections result in clinical disease,</w:t>
      </w:r>
      <w:r w:rsidRPr="00B0344B">
        <w:rPr>
          <w:vertAlign w:val="superscript"/>
          <w:lang w:val="en-GB"/>
        </w:rPr>
        <w:t>4</w:t>
      </w:r>
      <w:r w:rsidRPr="00B0344B">
        <w:rPr>
          <w:lang w:val="en-GB"/>
        </w:rPr>
        <w:t xml:space="preserve"> the cases described in this article likely under-represent the true JEV infection rate in Australia. Testing for JEV focused on patients with unexplained encephalitis,</w:t>
      </w:r>
      <w:r w:rsidRPr="00B0344B">
        <w:rPr>
          <w:vertAlign w:val="superscript"/>
          <w:lang w:val="en-GB"/>
        </w:rPr>
        <w:t>22</w:t>
      </w:r>
      <w:r w:rsidRPr="00B0344B">
        <w:rPr>
          <w:lang w:val="en-GB"/>
        </w:rPr>
        <w:t xml:space="preserve"> therefore cases that were asymptomatic or had milder disease were unlikely to be tested and are not included in this cohort. In serosurveys in regional NSW and Victoria, JEV antibodies were found in 3.3% and 9% of all participants in Victoria and New South Wales respectively.</w:t>
      </w:r>
      <w:r w:rsidRPr="00B0344B">
        <w:rPr>
          <w:vertAlign w:val="superscript"/>
          <w:lang w:val="en-GB"/>
        </w:rPr>
        <w:t>46,47</w:t>
      </w:r>
      <w:r w:rsidRPr="00B0344B">
        <w:rPr>
          <w:lang w:val="en-GB"/>
        </w:rPr>
        <w:t xml:space="preserve"> Additionally, longer-term illness outcomes were not captured in the outbreak response database and therefore are not able to be reported here. </w:t>
      </w:r>
    </w:p>
    <w:p w14:paraId="36170C00" w14:textId="77777777" w:rsidR="008A0736" w:rsidRDefault="001020EE" w:rsidP="00AC7CD7">
      <w:pPr>
        <w:pStyle w:val="Heading1"/>
        <w:divId w:val="935526654"/>
      </w:pPr>
      <w:r>
        <w:t>Conclusion</w:t>
      </w:r>
    </w:p>
    <w:p w14:paraId="0709DC36" w14:textId="77777777" w:rsidR="007F66A6" w:rsidRPr="00B0344B" w:rsidRDefault="007F66A6" w:rsidP="007F66A6">
      <w:pPr>
        <w:divId w:val="935526654"/>
        <w:rPr>
          <w:lang w:val="en-GB"/>
        </w:rPr>
      </w:pPr>
      <w:r w:rsidRPr="00B0344B">
        <w:rPr>
          <w:lang w:val="en-GB"/>
        </w:rPr>
        <w:t>In this outbreak, there was unprecedented detection of human JEV cases across a vast geographical area in Australia. As human cases and environmental and animal detections emerged over an 18-month period, there is potential for future detections of JEV in humans to occur in new and known geographical areas of Australia. Given the risk of further cases, and of JEV becoming endemic in Australia, ongoing and extended environmental and human surveillance is required.</w:t>
      </w:r>
    </w:p>
    <w:p w14:paraId="434235F9" w14:textId="77777777" w:rsidR="008A0736" w:rsidRPr="00702D05" w:rsidRDefault="008A0736" w:rsidP="008A0736">
      <w:pPr>
        <w:pStyle w:val="Heading1"/>
        <w:divId w:val="935526654"/>
        <w:rPr>
          <w:lang w:val="en-GB"/>
        </w:rPr>
      </w:pPr>
      <w:r>
        <w:rPr>
          <w:lang w:val="en-GB"/>
        </w:rPr>
        <w:t>Acknowledgments</w:t>
      </w:r>
    </w:p>
    <w:p w14:paraId="5D4F5FFD" w14:textId="77777777" w:rsidR="007F66A6" w:rsidRDefault="007F66A6" w:rsidP="007F66A6">
      <w:pPr>
        <w:divId w:val="935526654"/>
        <w:rPr>
          <w:lang w:val="en-GB"/>
        </w:rPr>
      </w:pPr>
      <w:r w:rsidRPr="00B0344B">
        <w:rPr>
          <w:lang w:val="en-GB"/>
        </w:rPr>
        <w:t>The authors would like to thank all state and territory health departments, as well as the Communicable Diseases Network Australia. We acknowledge the work of various public health professionals and laboratory staff around Australia who interviewed patients, tested specimens, and investigated the JEV outbreak.</w:t>
      </w:r>
      <w:r>
        <w:rPr>
          <w:lang w:val="en-GB"/>
        </w:rPr>
        <w:br w:type="page"/>
      </w:r>
    </w:p>
    <w:p w14:paraId="28E69D14" w14:textId="77777777" w:rsidR="008A0736" w:rsidRDefault="008A0736" w:rsidP="008A0736">
      <w:pPr>
        <w:pStyle w:val="Heading1"/>
        <w:divId w:val="935526654"/>
      </w:pPr>
      <w:r>
        <w:lastRenderedPageBreak/>
        <w:t>Author details</w:t>
      </w:r>
    </w:p>
    <w:p w14:paraId="75863CBF" w14:textId="77777777" w:rsidR="007F66A6" w:rsidRDefault="007F66A6" w:rsidP="007F66A6">
      <w:pPr>
        <w:divId w:val="935526654"/>
      </w:pPr>
      <w:r>
        <w:t>Amanda Reyes Veliz,</w:t>
      </w:r>
      <w:r w:rsidRPr="007F66A6">
        <w:rPr>
          <w:vertAlign w:val="superscript"/>
        </w:rPr>
        <w:t>1,2</w:t>
      </w:r>
    </w:p>
    <w:p w14:paraId="39D54F44" w14:textId="77777777" w:rsidR="007F66A6" w:rsidRDefault="007F66A6" w:rsidP="007F66A6">
      <w:pPr>
        <w:pStyle w:val="Normal-lessspace"/>
        <w:divId w:val="935526654"/>
      </w:pPr>
      <w:r>
        <w:t>Stacey Kane,</w:t>
      </w:r>
      <w:r w:rsidRPr="007F66A6">
        <w:rPr>
          <w:vertAlign w:val="superscript"/>
        </w:rPr>
        <w:t>1</w:t>
      </w:r>
    </w:p>
    <w:p w14:paraId="474EC27D" w14:textId="77777777" w:rsidR="007F66A6" w:rsidRDefault="007F66A6" w:rsidP="007F66A6">
      <w:pPr>
        <w:pStyle w:val="Normal-lessspace"/>
        <w:divId w:val="935526654"/>
      </w:pPr>
      <w:r>
        <w:t>Anna Glynn-Robinson</w:t>
      </w:r>
      <w:r w:rsidRPr="007F66A6">
        <w:rPr>
          <w:vertAlign w:val="superscript"/>
        </w:rPr>
        <w:t>2</w:t>
      </w:r>
    </w:p>
    <w:p w14:paraId="338806A2" w14:textId="43215899" w:rsidR="007F66A6" w:rsidRDefault="007F66A6" w:rsidP="007F66A6">
      <w:pPr>
        <w:pStyle w:val="CDINumberedList1-L1"/>
        <w:divId w:val="935526654"/>
      </w:pPr>
      <w:r>
        <w:t>Health Protection Policy and Surveillance Division, Australian Government Department of Health and Aged Care, Canberra, Australian Capital Territory, Australia</w:t>
      </w:r>
    </w:p>
    <w:p w14:paraId="3224C6FB" w14:textId="06B2C6D2" w:rsidR="008A0736" w:rsidRDefault="007F66A6" w:rsidP="007F66A6">
      <w:pPr>
        <w:pStyle w:val="CDINumberedList1-L1"/>
        <w:divId w:val="935526654"/>
      </w:pPr>
      <w:r>
        <w:t>National School of Epidemiology and Public Health, Australian National University, Canberra, Australian Capital Territory, Australia</w:t>
      </w:r>
    </w:p>
    <w:p w14:paraId="47F2664C" w14:textId="77777777" w:rsidR="00AC7CD7" w:rsidRDefault="00AC7CD7" w:rsidP="00AC7CD7">
      <w:pPr>
        <w:pStyle w:val="Authordetails"/>
        <w:divId w:val="935526654"/>
      </w:pPr>
      <w:r>
        <w:t>Corresponding author</w:t>
      </w:r>
    </w:p>
    <w:p w14:paraId="78F989FF" w14:textId="77777777" w:rsidR="007F66A6" w:rsidRDefault="007F66A6" w:rsidP="007F66A6">
      <w:pPr>
        <w:divId w:val="935526654"/>
      </w:pPr>
      <w:r>
        <w:t xml:space="preserve">Amanda Reyes </w:t>
      </w:r>
      <w:proofErr w:type="spellStart"/>
      <w:r>
        <w:t>Veliz</w:t>
      </w:r>
      <w:proofErr w:type="spellEnd"/>
    </w:p>
    <w:p w14:paraId="182FFB2B" w14:textId="77777777" w:rsidR="007F66A6" w:rsidRDefault="007F66A6" w:rsidP="007F66A6">
      <w:pPr>
        <w:pStyle w:val="Normal-lessspace"/>
        <w:divId w:val="935526654"/>
      </w:pPr>
      <w:r>
        <w:t>Health Protection Policy and Surveillance Division, Australian Government Department of Health, Canberra, Australia</w:t>
      </w:r>
    </w:p>
    <w:p w14:paraId="17E254BB" w14:textId="045074E6" w:rsidR="008A0736" w:rsidRPr="007A2D74" w:rsidRDefault="007F66A6" w:rsidP="007F66A6">
      <w:pPr>
        <w:pStyle w:val="Normal-lessspace"/>
        <w:divId w:val="935526654"/>
      </w:pPr>
      <w:r>
        <w:t>Email: CDESS@health.gov.au</w:t>
      </w:r>
      <w:r w:rsidR="008A0736" w:rsidRPr="007A2D74">
        <w:br w:type="page"/>
      </w:r>
    </w:p>
    <w:p w14:paraId="60D9382A" w14:textId="77777777" w:rsidR="008A0736" w:rsidRDefault="008A0736" w:rsidP="00122ADA">
      <w:pPr>
        <w:pStyle w:val="Heading1"/>
        <w:divId w:val="935526654"/>
      </w:pPr>
      <w:r>
        <w:lastRenderedPageBreak/>
        <w:t>References</w:t>
      </w:r>
    </w:p>
    <w:p w14:paraId="4EFAB67D" w14:textId="77777777" w:rsidR="007F66A6" w:rsidRPr="00E5210D" w:rsidRDefault="007F66A6" w:rsidP="00942D10">
      <w:pPr>
        <w:pStyle w:val="CDINumberedList1-L1"/>
        <w:numPr>
          <w:ilvl w:val="0"/>
          <w:numId w:val="35"/>
        </w:numPr>
        <w:divId w:val="935526654"/>
      </w:pPr>
      <w:r w:rsidRPr="00E5210D">
        <w:t xml:space="preserve">Erlanger TE, Weiss S, Keiser J, Utzinger J, </w:t>
      </w:r>
      <w:proofErr w:type="spellStart"/>
      <w:r w:rsidRPr="00E5210D">
        <w:t>Wiedenmayer</w:t>
      </w:r>
      <w:proofErr w:type="spellEnd"/>
      <w:r w:rsidRPr="00E5210D">
        <w:t xml:space="preserve"> K. Past, present, and future of Japanese encephalitis.</w:t>
      </w:r>
      <w:r w:rsidRPr="00942D10">
        <w:rPr>
          <w:i/>
          <w:iCs/>
        </w:rPr>
        <w:t xml:space="preserve"> Emerg Infect Dis</w:t>
      </w:r>
      <w:r w:rsidRPr="00E5210D">
        <w:t>. 2009;15(1):1–7. doi: https://doi/org/10.3201/eid1501.080311.</w:t>
      </w:r>
    </w:p>
    <w:p w14:paraId="0337AAF0" w14:textId="77777777" w:rsidR="007F66A6" w:rsidRPr="00E5210D" w:rsidRDefault="007F66A6" w:rsidP="007F66A6">
      <w:pPr>
        <w:pStyle w:val="CDINumberedList1-L1"/>
        <w:divId w:val="935526654"/>
      </w:pPr>
      <w:r w:rsidRPr="00E5210D">
        <w:t xml:space="preserve">Le </w:t>
      </w:r>
      <w:proofErr w:type="spellStart"/>
      <w:r w:rsidRPr="00E5210D">
        <w:t>Flohic</w:t>
      </w:r>
      <w:proofErr w:type="spellEnd"/>
      <w:r w:rsidRPr="00E5210D">
        <w:t xml:space="preserve"> G, Porphyre V, </w:t>
      </w:r>
      <w:proofErr w:type="spellStart"/>
      <w:r w:rsidRPr="00E5210D">
        <w:t>Barbazan</w:t>
      </w:r>
      <w:proofErr w:type="spellEnd"/>
      <w:r w:rsidRPr="00E5210D">
        <w:t xml:space="preserve"> P, Gonzalez JP. Review of climate, landscape, and viral genetics as drivers of the Japanese encephalitis virus ecology.</w:t>
      </w:r>
      <w:r w:rsidRPr="00E5210D">
        <w:rPr>
          <w:i/>
          <w:iCs/>
        </w:rPr>
        <w:t xml:space="preserve"> PLOS </w:t>
      </w:r>
      <w:proofErr w:type="spellStart"/>
      <w:r w:rsidRPr="00E5210D">
        <w:rPr>
          <w:i/>
          <w:iCs/>
        </w:rPr>
        <w:t>Negl</w:t>
      </w:r>
      <w:proofErr w:type="spellEnd"/>
      <w:r w:rsidRPr="00E5210D">
        <w:rPr>
          <w:i/>
          <w:iCs/>
        </w:rPr>
        <w:t xml:space="preserve"> Trop Dis</w:t>
      </w:r>
      <w:r w:rsidRPr="00E5210D">
        <w:t>. 2013;7(9</w:t>
      </w:r>
      <w:proofErr w:type="gramStart"/>
      <w:r w:rsidRPr="00E5210D">
        <w:t>):e</w:t>
      </w:r>
      <w:proofErr w:type="gramEnd"/>
      <w:r w:rsidRPr="00E5210D">
        <w:t>2208. doi:</w:t>
      </w:r>
      <w:r>
        <w:t> </w:t>
      </w:r>
      <w:r w:rsidRPr="00E5210D">
        <w:t>https://doi/org/10.1371/journal.pntd.0002208.</w:t>
      </w:r>
    </w:p>
    <w:p w14:paraId="09A55E48" w14:textId="77777777" w:rsidR="007F66A6" w:rsidRPr="00E5210D" w:rsidRDefault="007F66A6" w:rsidP="007F66A6">
      <w:pPr>
        <w:pStyle w:val="CDINumberedList1-L1"/>
        <w:divId w:val="935526654"/>
      </w:pPr>
      <w:r w:rsidRPr="00E5210D">
        <w:t xml:space="preserve">van den Hurk AF, Ritchie SA, Mackenzie JS. Ecology and geographical expansion of Japanese encephalitis virus. </w:t>
      </w:r>
      <w:r w:rsidRPr="00E5210D">
        <w:rPr>
          <w:i/>
          <w:iCs/>
        </w:rPr>
        <w:t xml:space="preserve">Annu Rev </w:t>
      </w:r>
      <w:proofErr w:type="spellStart"/>
      <w:r w:rsidRPr="00E5210D">
        <w:rPr>
          <w:i/>
          <w:iCs/>
        </w:rPr>
        <w:t>Entomol</w:t>
      </w:r>
      <w:proofErr w:type="spellEnd"/>
      <w:r w:rsidRPr="00E5210D">
        <w:t>. 2009;54(1):17–35. doi:</w:t>
      </w:r>
      <w:r>
        <w:t> </w:t>
      </w:r>
      <w:r w:rsidRPr="00E5210D">
        <w:t>https://doi/org/10.1146/annurev.ento.54.110807.090510.</w:t>
      </w:r>
    </w:p>
    <w:p w14:paraId="281EA044" w14:textId="77777777" w:rsidR="007F66A6" w:rsidRPr="00E5210D" w:rsidRDefault="007F66A6" w:rsidP="007F66A6">
      <w:pPr>
        <w:pStyle w:val="CDINumberedList1-L1"/>
        <w:divId w:val="935526654"/>
      </w:pPr>
      <w:r w:rsidRPr="00E5210D">
        <w:t xml:space="preserve">Turtle L, Solomon T. Japanese encephalitis — the prospects for new treatments. </w:t>
      </w:r>
      <w:r w:rsidRPr="00E5210D">
        <w:rPr>
          <w:i/>
          <w:iCs/>
        </w:rPr>
        <w:t>Nat Rev Neurol</w:t>
      </w:r>
      <w:r w:rsidRPr="00E5210D">
        <w:t>. 2018;14(5):298–313. doi: https://doi/org/10.1038/nrneurol.2018.30.</w:t>
      </w:r>
    </w:p>
    <w:p w14:paraId="39F70C56" w14:textId="77777777" w:rsidR="007F66A6" w:rsidRPr="00E5210D" w:rsidRDefault="007F66A6" w:rsidP="007F66A6">
      <w:pPr>
        <w:pStyle w:val="CDINumberedList1-L1"/>
        <w:divId w:val="935526654"/>
      </w:pPr>
      <w:r w:rsidRPr="00E5210D">
        <w:t xml:space="preserve">Campbell GL, Hills SL, Fischer M, Jacobson JA, Hoke CH, </w:t>
      </w:r>
      <w:proofErr w:type="spellStart"/>
      <w:r w:rsidRPr="00E5210D">
        <w:t>Hombach</w:t>
      </w:r>
      <w:proofErr w:type="spellEnd"/>
      <w:r w:rsidRPr="00E5210D">
        <w:t xml:space="preserve"> JM et al. Estimated global incidence of Japanese encephalitis: a systematic review.</w:t>
      </w:r>
      <w:r w:rsidRPr="00E5210D">
        <w:rPr>
          <w:i/>
          <w:iCs/>
        </w:rPr>
        <w:t xml:space="preserve"> Bull World Health Organ</w:t>
      </w:r>
      <w:r w:rsidRPr="00E5210D">
        <w:t>. 2011;89(10):766–74E. doi:</w:t>
      </w:r>
      <w:r>
        <w:t> </w:t>
      </w:r>
      <w:r w:rsidRPr="00E5210D">
        <w:t>https://doi/org/10.2471/BLT.10.085233.</w:t>
      </w:r>
    </w:p>
    <w:p w14:paraId="55A12050" w14:textId="77777777" w:rsidR="007F66A6" w:rsidRPr="00E5210D" w:rsidRDefault="007F66A6" w:rsidP="007F66A6">
      <w:pPr>
        <w:pStyle w:val="CDINumberedList1-L1"/>
        <w:divId w:val="935526654"/>
      </w:pPr>
      <w:r w:rsidRPr="00E5210D">
        <w:t>Quan TM, Thao TTN, Duy NM, Nhat TM, Clapham H. Estimates of the global burden of Japanese encephalitis and the impact of vaccination from 2000–2015. Elife. 2020;</w:t>
      </w:r>
      <w:proofErr w:type="gramStart"/>
      <w:r w:rsidRPr="00E5210D">
        <w:t>9:e</w:t>
      </w:r>
      <w:proofErr w:type="gramEnd"/>
      <w:r w:rsidRPr="00E5210D">
        <w:t>51027. doi:</w:t>
      </w:r>
      <w:r>
        <w:t> </w:t>
      </w:r>
      <w:r w:rsidRPr="00E5210D">
        <w:t>https://doi/org/10.7554/eLife.51027.</w:t>
      </w:r>
    </w:p>
    <w:p w14:paraId="21616FC9" w14:textId="77777777" w:rsidR="007F66A6" w:rsidRPr="00E5210D" w:rsidRDefault="007F66A6" w:rsidP="007F66A6">
      <w:pPr>
        <w:pStyle w:val="CDINumberedList1-L1"/>
        <w:divId w:val="935526654"/>
      </w:pPr>
      <w:r w:rsidRPr="00E5210D">
        <w:t xml:space="preserve">Cheng Y, Tran Minh N, Tran Minh Q, Khandelwal S, Clapham HE. Estimates of Japanese Encephalitis mortality and morbidity: a systematic review and </w:t>
      </w:r>
      <w:proofErr w:type="spellStart"/>
      <w:r w:rsidRPr="00E5210D">
        <w:t>modeling</w:t>
      </w:r>
      <w:proofErr w:type="spellEnd"/>
      <w:r w:rsidRPr="00E5210D">
        <w:t xml:space="preserve"> analysis. </w:t>
      </w:r>
      <w:r w:rsidRPr="00E5210D">
        <w:rPr>
          <w:i/>
          <w:iCs/>
        </w:rPr>
        <w:t xml:space="preserve">PLOS </w:t>
      </w:r>
      <w:proofErr w:type="spellStart"/>
      <w:r w:rsidRPr="00E5210D">
        <w:rPr>
          <w:i/>
          <w:iCs/>
        </w:rPr>
        <w:t>Negl</w:t>
      </w:r>
      <w:proofErr w:type="spellEnd"/>
      <w:r w:rsidRPr="00E5210D">
        <w:rPr>
          <w:i/>
          <w:iCs/>
        </w:rPr>
        <w:t xml:space="preserve"> Trop Dis</w:t>
      </w:r>
      <w:r w:rsidRPr="00E5210D">
        <w:t>. 2022;16(5</w:t>
      </w:r>
      <w:proofErr w:type="gramStart"/>
      <w:r w:rsidRPr="00E5210D">
        <w:t>):e</w:t>
      </w:r>
      <w:proofErr w:type="gramEnd"/>
      <w:r w:rsidRPr="00E5210D">
        <w:t>0010361. doi: https://doi/org/10.1371/journal.pntd.0010361.</w:t>
      </w:r>
    </w:p>
    <w:p w14:paraId="320A39E0" w14:textId="77777777" w:rsidR="007F66A6" w:rsidRPr="00E5210D" w:rsidRDefault="007F66A6" w:rsidP="007F66A6">
      <w:pPr>
        <w:pStyle w:val="CDINumberedList1-L1"/>
        <w:divId w:val="935526654"/>
      </w:pPr>
      <w:r w:rsidRPr="00E5210D">
        <w:t xml:space="preserve">Mackenzie JS, Johansen CA, Ritchie SA, van den Hurk AF, Hall RA. Japanese encephalitis as an emerging virus: the emergence and spread of Japanese encephalitis virus in Australasia. </w:t>
      </w:r>
      <w:r w:rsidRPr="00E5210D">
        <w:rPr>
          <w:i/>
          <w:iCs/>
        </w:rPr>
        <w:t>Curr Top Microbiol Immuno</w:t>
      </w:r>
      <w:r w:rsidRPr="00E5210D">
        <w:t xml:space="preserve">l. </w:t>
      </w:r>
      <w:proofErr w:type="gramStart"/>
      <w:r w:rsidRPr="00E5210D">
        <w:t>2002;267:49</w:t>
      </w:r>
      <w:proofErr w:type="gramEnd"/>
      <w:r w:rsidRPr="00E5210D">
        <w:t>–73. doi: https://doi/org/10.1007/978-3-642-59403-8_3.</w:t>
      </w:r>
    </w:p>
    <w:p w14:paraId="4D5B27A2" w14:textId="77777777" w:rsidR="007F66A6" w:rsidRPr="00E5210D" w:rsidRDefault="007F66A6" w:rsidP="007F66A6">
      <w:pPr>
        <w:pStyle w:val="CDINumberedList1-L1"/>
        <w:divId w:val="935526654"/>
      </w:pPr>
      <w:r w:rsidRPr="00E5210D">
        <w:t>World Health Organization (WHO). Japanese encephalitis. [Online fact sheet.] Geneva: WHO; 9 May 2019. [Accessed on 21 September 2022.] Available from: https://www.who.int/news-room/fact-sheets/detail/japanese-encephalitis.</w:t>
      </w:r>
    </w:p>
    <w:p w14:paraId="3D0C42D9" w14:textId="77777777" w:rsidR="007F66A6" w:rsidRPr="00E5210D" w:rsidRDefault="007F66A6" w:rsidP="007F66A6">
      <w:pPr>
        <w:pStyle w:val="CDINumberedList1-L1"/>
        <w:divId w:val="935526654"/>
      </w:pPr>
      <w:r w:rsidRPr="00E5210D">
        <w:t xml:space="preserve">NNDSS Annual Report Working Group. Australia’s notifiable disease status, 2016: annual report of the National Notifiable </w:t>
      </w:r>
      <w:proofErr w:type="spellStart"/>
      <w:r w:rsidRPr="00E5210D">
        <w:t>DIseases</w:t>
      </w:r>
      <w:proofErr w:type="spellEnd"/>
      <w:r w:rsidRPr="00E5210D">
        <w:t xml:space="preserve"> Surveillance System. </w:t>
      </w:r>
      <w:r w:rsidRPr="00E5210D">
        <w:rPr>
          <w:i/>
          <w:iCs/>
        </w:rPr>
        <w:t>Commun Dis Intell</w:t>
      </w:r>
      <w:r w:rsidRPr="00E5210D">
        <w:t>. (2018). 2021;45. doi:</w:t>
      </w:r>
      <w:r>
        <w:t> </w:t>
      </w:r>
      <w:r w:rsidRPr="00E5210D">
        <w:t>https://doi.org/10.33321/cdi.2021.45.28.</w:t>
      </w:r>
    </w:p>
    <w:p w14:paraId="1A6D663C" w14:textId="77777777" w:rsidR="007F66A6" w:rsidRPr="00E5210D" w:rsidRDefault="007F66A6" w:rsidP="007F66A6">
      <w:pPr>
        <w:pStyle w:val="CDINumberedList1-L1"/>
        <w:divId w:val="935526654"/>
      </w:pPr>
      <w:r w:rsidRPr="00E5210D">
        <w:t xml:space="preserve">Hanna JN, Ritchie SA, Phillips DA, Shield J, Bailey MC, Mackenzie JS et al. An outbreak of Japanese encephalitis in the Torres Strait, Australia, 1995. </w:t>
      </w:r>
      <w:r w:rsidRPr="00E5210D">
        <w:rPr>
          <w:i/>
          <w:iCs/>
        </w:rPr>
        <w:t>Med J Aust</w:t>
      </w:r>
      <w:r w:rsidRPr="00E5210D">
        <w:t>. 1996;165(5):256–60. doi:</w:t>
      </w:r>
      <w:r>
        <w:t> </w:t>
      </w:r>
      <w:r w:rsidRPr="00E5210D">
        <w:t>https://doi/org/10.5694/j.1326-5377.1996.tb124960.x.</w:t>
      </w:r>
    </w:p>
    <w:p w14:paraId="71F7D8BF" w14:textId="77777777" w:rsidR="007F66A6" w:rsidRPr="00E5210D" w:rsidRDefault="007F66A6" w:rsidP="007F66A6">
      <w:pPr>
        <w:pStyle w:val="CDINumberedList1-L1"/>
        <w:divId w:val="935526654"/>
      </w:pPr>
      <w:r w:rsidRPr="00E5210D">
        <w:t xml:space="preserve">Hanna JN, Ritchie SA, Phillips DA, Lee JM, Hills SL, van den Hurk AF et al. Japanese encephalitis in north Queensland, Australia, 1998. </w:t>
      </w:r>
      <w:r w:rsidRPr="00E5210D">
        <w:rPr>
          <w:i/>
          <w:iCs/>
        </w:rPr>
        <w:t>Med J Aust</w:t>
      </w:r>
      <w:r w:rsidRPr="00E5210D">
        <w:t>. 1999;170(11):533–6. doi: https://doi/org/10.5694/j.1326-5377.1999.tb127878.x.</w:t>
      </w:r>
    </w:p>
    <w:p w14:paraId="4C430621" w14:textId="77777777" w:rsidR="007F66A6" w:rsidRPr="00E5210D" w:rsidRDefault="007F66A6" w:rsidP="007F66A6">
      <w:pPr>
        <w:pStyle w:val="CDINumberedList1-L1"/>
        <w:divId w:val="935526654"/>
      </w:pPr>
      <w:r w:rsidRPr="00E5210D">
        <w:lastRenderedPageBreak/>
        <w:t>van den Hurk AF, Pyke AT, Mackenzie JS, Hall-</w:t>
      </w:r>
      <w:proofErr w:type="spellStart"/>
      <w:r w:rsidRPr="00E5210D">
        <w:t>Mendelin</w:t>
      </w:r>
      <w:proofErr w:type="spellEnd"/>
      <w:r w:rsidRPr="00E5210D">
        <w:t xml:space="preserve"> S, Ritchie SA. Japanese encephalitis virus in Australia: from known known to known unknown. </w:t>
      </w:r>
      <w:r w:rsidRPr="00E5210D">
        <w:rPr>
          <w:i/>
          <w:iCs/>
        </w:rPr>
        <w:t>Trop Med Infect Dis</w:t>
      </w:r>
      <w:r w:rsidRPr="00E5210D">
        <w:t xml:space="preserve">. 2019;4(1):38. </w:t>
      </w:r>
      <w:proofErr w:type="spellStart"/>
      <w:proofErr w:type="gramStart"/>
      <w:r w:rsidRPr="00E5210D">
        <w:t>doi:https</w:t>
      </w:r>
      <w:proofErr w:type="spellEnd"/>
      <w:r w:rsidRPr="00E5210D">
        <w:t>://doi/org/10.3390/tropicalmed4010038</w:t>
      </w:r>
      <w:proofErr w:type="gramEnd"/>
      <w:r w:rsidRPr="00E5210D">
        <w:t>.</w:t>
      </w:r>
    </w:p>
    <w:p w14:paraId="424F0BCF" w14:textId="77777777" w:rsidR="007F66A6" w:rsidRPr="00E5210D" w:rsidRDefault="007F66A6" w:rsidP="007F66A6">
      <w:pPr>
        <w:pStyle w:val="CDINumberedList1-L1"/>
        <w:divId w:val="935526654"/>
      </w:pPr>
      <w:r w:rsidRPr="00E5210D">
        <w:t xml:space="preserve">Shield J, Hanna J, Phillips D. Reappearance of the Japanese encephalitis virus in the Torres Strait, 1996. </w:t>
      </w:r>
      <w:r w:rsidRPr="00E5210D">
        <w:rPr>
          <w:i/>
          <w:iCs/>
        </w:rPr>
        <w:t>Commun Dis Intell</w:t>
      </w:r>
      <w:r w:rsidRPr="00E5210D">
        <w:t>. 1996;20(8):191.</w:t>
      </w:r>
    </w:p>
    <w:p w14:paraId="6D84ECA6" w14:textId="77777777" w:rsidR="007F66A6" w:rsidRPr="00E5210D" w:rsidRDefault="007F66A6" w:rsidP="007F66A6">
      <w:pPr>
        <w:pStyle w:val="CDINumberedList1-L1"/>
        <w:divId w:val="935526654"/>
      </w:pPr>
      <w:r w:rsidRPr="00E5210D">
        <w:t xml:space="preserve">Pyke AT, Williams DT, Nisbet DJ, van den Hurk AF, Taylor CT, Johansen CA et al. The appearance of a second genotype of Japanese encephalitis virus in the Australasian region. </w:t>
      </w:r>
      <w:r w:rsidRPr="00E5210D">
        <w:rPr>
          <w:i/>
          <w:iCs/>
        </w:rPr>
        <w:t xml:space="preserve">Am J Trop Med </w:t>
      </w:r>
      <w:proofErr w:type="spellStart"/>
      <w:r w:rsidRPr="00E5210D">
        <w:rPr>
          <w:i/>
          <w:iCs/>
        </w:rPr>
        <w:t>Hyg</w:t>
      </w:r>
      <w:proofErr w:type="spellEnd"/>
      <w:r w:rsidRPr="00E5210D">
        <w:t>. 2001;65(6):747–53. doi: https://doi/org/10.4269/ajtmh.2001.65.747.</w:t>
      </w:r>
    </w:p>
    <w:p w14:paraId="1F777E17" w14:textId="77777777" w:rsidR="007F66A6" w:rsidRPr="00E5210D" w:rsidRDefault="007F66A6" w:rsidP="007F66A6">
      <w:pPr>
        <w:pStyle w:val="CDINumberedList1-L1"/>
        <w:divId w:val="935526654"/>
      </w:pPr>
      <w:r w:rsidRPr="00E5210D">
        <w:t xml:space="preserve">van den Hurk AF, Skinner E, Ritchie SA, Mackenzie JS. The emergence of Japanese encephalitis virus in Australia in 2022: existing knowledge of mosquito vectors. </w:t>
      </w:r>
      <w:r w:rsidRPr="00E5210D">
        <w:rPr>
          <w:i/>
          <w:iCs/>
        </w:rPr>
        <w:t>Viruses</w:t>
      </w:r>
      <w:r w:rsidRPr="00E5210D">
        <w:t>. 2022;14(6):1208. doi:</w:t>
      </w:r>
      <w:r>
        <w:t> </w:t>
      </w:r>
      <w:r w:rsidRPr="00E5210D">
        <w:t>https://doi/org/10.3390/v14061208.</w:t>
      </w:r>
    </w:p>
    <w:p w14:paraId="462CED7B" w14:textId="77777777" w:rsidR="007F66A6" w:rsidRPr="00E5210D" w:rsidRDefault="007F66A6" w:rsidP="007F66A6">
      <w:pPr>
        <w:pStyle w:val="CDINumberedList1-L1"/>
        <w:divId w:val="935526654"/>
      </w:pPr>
      <w:r w:rsidRPr="00E5210D">
        <w:t xml:space="preserve">van den Hurk AF, Montgomery BL, </w:t>
      </w:r>
      <w:proofErr w:type="spellStart"/>
      <w:r w:rsidRPr="00E5210D">
        <w:t>Northill</w:t>
      </w:r>
      <w:proofErr w:type="spellEnd"/>
      <w:r w:rsidRPr="00E5210D">
        <w:t xml:space="preserve"> JA, Smith IL, Zborowski P, Ritchie SA et al. </w:t>
      </w:r>
      <w:proofErr w:type="gramStart"/>
      <w:r w:rsidRPr="00E5210D">
        <w:t>Short</w:t>
      </w:r>
      <w:proofErr w:type="gramEnd"/>
      <w:r w:rsidRPr="00E5210D">
        <w:t xml:space="preserve"> report: the first isolation of Japanese encephalitis virus from mosquitoes collected from mainland Australia. </w:t>
      </w:r>
      <w:r w:rsidRPr="00E5210D">
        <w:rPr>
          <w:i/>
          <w:iCs/>
        </w:rPr>
        <w:t xml:space="preserve">Am J Trop Med </w:t>
      </w:r>
      <w:proofErr w:type="spellStart"/>
      <w:r w:rsidRPr="00E5210D">
        <w:rPr>
          <w:i/>
          <w:iCs/>
        </w:rPr>
        <w:t>Hyg</w:t>
      </w:r>
      <w:proofErr w:type="spellEnd"/>
      <w:r w:rsidRPr="00E5210D">
        <w:t>. 2006;75(1):21–5.</w:t>
      </w:r>
    </w:p>
    <w:p w14:paraId="449F5935" w14:textId="77777777" w:rsidR="007F66A6" w:rsidRPr="00E5210D" w:rsidRDefault="007F66A6" w:rsidP="007F66A6">
      <w:pPr>
        <w:pStyle w:val="CDINumberedList1-L1"/>
        <w:divId w:val="935526654"/>
      </w:pPr>
      <w:proofErr w:type="spellStart"/>
      <w:r w:rsidRPr="00E5210D">
        <w:t>Hemmerter</w:t>
      </w:r>
      <w:proofErr w:type="spellEnd"/>
      <w:r w:rsidRPr="00E5210D">
        <w:t xml:space="preserve"> S, Slapeta J, van den Hurk AF, Cooper RD, Whelan PI, Russell RC et al. A curious coincidence: mosquito biodiversity and the limits of the Japanese encephalitis virus in Australasia. </w:t>
      </w:r>
      <w:r w:rsidRPr="00E5210D">
        <w:rPr>
          <w:i/>
          <w:iCs/>
        </w:rPr>
        <w:t xml:space="preserve">BMC </w:t>
      </w:r>
      <w:proofErr w:type="spellStart"/>
      <w:r w:rsidRPr="00E5210D">
        <w:rPr>
          <w:i/>
          <w:iCs/>
        </w:rPr>
        <w:t>Evol</w:t>
      </w:r>
      <w:proofErr w:type="spellEnd"/>
      <w:r w:rsidRPr="00E5210D">
        <w:rPr>
          <w:i/>
          <w:iCs/>
        </w:rPr>
        <w:t xml:space="preserve"> Biol</w:t>
      </w:r>
      <w:r w:rsidRPr="00E5210D">
        <w:t xml:space="preserve">. </w:t>
      </w:r>
      <w:proofErr w:type="gramStart"/>
      <w:r w:rsidRPr="00E5210D">
        <w:t>2007;7:100</w:t>
      </w:r>
      <w:proofErr w:type="gramEnd"/>
      <w:r w:rsidRPr="00E5210D">
        <w:t>. doi: https://doi/org/10.1186/1471-2148-7-100.</w:t>
      </w:r>
    </w:p>
    <w:p w14:paraId="302E11B5" w14:textId="77777777" w:rsidR="007F66A6" w:rsidRPr="00E5210D" w:rsidRDefault="007F66A6" w:rsidP="007F66A6">
      <w:pPr>
        <w:pStyle w:val="CDINumberedList1-L1"/>
        <w:divId w:val="935526654"/>
      </w:pPr>
      <w:r w:rsidRPr="00E5210D">
        <w:t xml:space="preserve">Waller C, </w:t>
      </w:r>
      <w:proofErr w:type="spellStart"/>
      <w:r w:rsidRPr="00E5210D">
        <w:t>Tiemensma</w:t>
      </w:r>
      <w:proofErr w:type="spellEnd"/>
      <w:r w:rsidRPr="00E5210D">
        <w:t xml:space="preserve"> M, Currie BJ, Williams DT, Baird RW, Krause VL. Japanese encephalitis in Australia — a sentinel case. </w:t>
      </w:r>
      <w:r w:rsidRPr="00E5210D">
        <w:rPr>
          <w:i/>
          <w:iCs/>
        </w:rPr>
        <w:t>N Engl J Med</w:t>
      </w:r>
      <w:r w:rsidRPr="00E5210D">
        <w:t>. 2022;387(7):661–2. doi: https://doi/org/10.1056/NEJMc2207004.</w:t>
      </w:r>
    </w:p>
    <w:p w14:paraId="726A2338" w14:textId="77777777" w:rsidR="007F66A6" w:rsidRPr="00E5210D" w:rsidRDefault="007F66A6" w:rsidP="007F66A6">
      <w:pPr>
        <w:pStyle w:val="CDINumberedList1-L1"/>
        <w:divId w:val="935526654"/>
      </w:pPr>
      <w:r w:rsidRPr="00E5210D">
        <w:t>Australian Government Department of Agriculture Fisheries and Forestry. Japanese encephalitis virus. [Webpage.] Canberra: Australian Government Department of Agriculture, Fisheries and Forestry; 1</w:t>
      </w:r>
      <w:r>
        <w:t> </w:t>
      </w:r>
      <w:r w:rsidRPr="00E5210D">
        <w:t>September 2022. [Accessed on 28 September 2022.] Available from: https://www.agriculture.gov.au/biosecurity-trade/pests-diseases-weeds/animal/japanese-encephalitis.</w:t>
      </w:r>
    </w:p>
    <w:p w14:paraId="6CD60CB5" w14:textId="77777777" w:rsidR="007F66A6" w:rsidRPr="00E5210D" w:rsidRDefault="007F66A6" w:rsidP="007F66A6">
      <w:pPr>
        <w:pStyle w:val="CDINumberedList1-L1"/>
        <w:divId w:val="935526654"/>
      </w:pPr>
      <w:r w:rsidRPr="00E5210D">
        <w:t xml:space="preserve">Howard-Jones AR, Pham D, </w:t>
      </w:r>
      <w:proofErr w:type="spellStart"/>
      <w:r w:rsidRPr="00E5210D">
        <w:t>Jeoffreys</w:t>
      </w:r>
      <w:proofErr w:type="spellEnd"/>
      <w:r w:rsidRPr="00E5210D">
        <w:t xml:space="preserve"> N, Eden JS, Hueston L, Kesson AM et al. Emerging genotype IV Japanese encephalitis virus outbreak in New South Wales, Australia. </w:t>
      </w:r>
      <w:r w:rsidRPr="00E5210D">
        <w:rPr>
          <w:i/>
          <w:iCs/>
        </w:rPr>
        <w:t>Viruses</w:t>
      </w:r>
      <w:r w:rsidRPr="00E5210D">
        <w:t>. 2022;14(9):1853. doi:</w:t>
      </w:r>
      <w:r>
        <w:t> </w:t>
      </w:r>
      <w:r w:rsidRPr="00E5210D">
        <w:t>https://doi/org/10.3390/v14091853.</w:t>
      </w:r>
    </w:p>
    <w:p w14:paraId="6AB27536" w14:textId="77777777" w:rsidR="007F66A6" w:rsidRPr="00E5210D" w:rsidRDefault="007F66A6" w:rsidP="007F66A6">
      <w:pPr>
        <w:pStyle w:val="CDINumberedList1-L1"/>
        <w:divId w:val="935526654"/>
      </w:pPr>
      <w:r w:rsidRPr="00E5210D">
        <w:t>Australian Government Department of Health and Aged Care. Japanese encephalitis virus situation declared a Communicable Disease Incident of National Significance. [Media release.] Canberra: Australian Government Department of Health and Aged Care; 4 March 2022. [Accessed on 24</w:t>
      </w:r>
      <w:r>
        <w:t> </w:t>
      </w:r>
      <w:r w:rsidRPr="00E5210D">
        <w:t>September 2022.] Available from: https://www.health.gov.au/news/japanese-encephalitis-virus-situation-declared-a-communicable-disease-incident-of-national-significance.</w:t>
      </w:r>
    </w:p>
    <w:p w14:paraId="5B478363" w14:textId="77777777" w:rsidR="007F66A6" w:rsidRPr="00E5210D" w:rsidRDefault="007F66A6" w:rsidP="007F66A6">
      <w:pPr>
        <w:pStyle w:val="CDINumberedList1-L1"/>
        <w:divId w:val="935526654"/>
      </w:pPr>
      <w:r w:rsidRPr="00E5210D">
        <w:t xml:space="preserve">Public Health Laboratory Network (PHLN). </w:t>
      </w:r>
      <w:r w:rsidRPr="00E5210D">
        <w:rPr>
          <w:i/>
          <w:iCs/>
        </w:rPr>
        <w:t>Flavivirus. Laboratory case definition</w:t>
      </w:r>
      <w:r w:rsidRPr="00E5210D">
        <w:t>. Canberra: Australian Government Department of Health and Aged Care, PHLN; 2 May 2022. Available from: https://www.health.gov.au/sites/default/files/documents/2022/07/flavivirus-laboratory-case-definition.pdf.</w:t>
      </w:r>
    </w:p>
    <w:p w14:paraId="618866F2" w14:textId="77777777" w:rsidR="007F66A6" w:rsidRPr="00E5210D" w:rsidRDefault="007F66A6" w:rsidP="007F66A6">
      <w:pPr>
        <w:pStyle w:val="CDINumberedList1-L1"/>
        <w:divId w:val="935526654"/>
      </w:pPr>
      <w:r w:rsidRPr="00E5210D">
        <w:lastRenderedPageBreak/>
        <w:t>Australian Bureau of Statistics. National, state and territory population. Reference period March 2022. [Webpage.] Canberra: Australian Bureau of Statistics; 21 September 2022. [Accessed on 27 September 2022.] Available from: https://www.abs.gov.au/statistics/people/population/national-state-and-territory-population/mar-2022.</w:t>
      </w:r>
    </w:p>
    <w:p w14:paraId="48E24707" w14:textId="77777777" w:rsidR="007F66A6" w:rsidRPr="00E5210D" w:rsidRDefault="007F66A6" w:rsidP="007F66A6">
      <w:pPr>
        <w:pStyle w:val="CDINumberedList1-L1"/>
        <w:divId w:val="935526654"/>
      </w:pPr>
      <w:r w:rsidRPr="00E5210D">
        <w:t>Australian Bureau of Statistics. Local Government Areas: Australian Statistical Geography Standard (ASGS) Edition 3. Reference period: July 2021 – June 2026. [Webpage.] Canberra: Australian Bureau of Statistics; 6 October 2021. [Accessed on 4 November 2022.] Available from: https://www.abs.gov.au/statistics/standards/australian-statistical-geography-standard-asgs-edition-3/jul2021-jun2026/non-abs-structures/local-government-areas#cite-window1.</w:t>
      </w:r>
    </w:p>
    <w:p w14:paraId="2BCBADB6" w14:textId="77777777" w:rsidR="007F66A6" w:rsidRPr="00E5210D" w:rsidRDefault="007F66A6" w:rsidP="007F66A6">
      <w:pPr>
        <w:pStyle w:val="CDINumberedList1-L1"/>
        <w:divId w:val="935526654"/>
      </w:pPr>
      <w:r w:rsidRPr="00E5210D">
        <w:t>Australian Bureau of Statistics. Remoteness Structure: Australian Statistical Geography Standard (ASGS) Edition 3. Reference period: July 2021 – June 2026. [Webpage.] Canberra: Australian Bureau of Statistics; 20 July 2021. [Accessed on 4 November 2022.] Available from: https://www.abs.gov.au/statistics/standards/australian-statistical-geography-standard-asgs-edition-3/jul2021-jun2026/remoteness-structure#cite-window1.</w:t>
      </w:r>
    </w:p>
    <w:p w14:paraId="3FD3F49C" w14:textId="77777777" w:rsidR="007F66A6" w:rsidRPr="00E5210D" w:rsidRDefault="007F66A6" w:rsidP="007F66A6">
      <w:pPr>
        <w:pStyle w:val="CDINumberedList1-L1"/>
        <w:divId w:val="935526654"/>
      </w:pPr>
      <w:r w:rsidRPr="00E5210D">
        <w:t>Australian Government Department of Health and Aged Care. Japanese encephalitis virus (JEV) vaccines. [Webpage.] Canberra: Australian Government Department of Health and Aged Care; 23 September 2022. [Accessed on 4 November 2022.] Available from: https://www.health.gov.au/health-alerts/japanese-encephalitis-virus-jev/vaccines.</w:t>
      </w:r>
    </w:p>
    <w:p w14:paraId="415BE82D" w14:textId="77777777" w:rsidR="007F66A6" w:rsidRPr="00E5210D" w:rsidRDefault="007F66A6" w:rsidP="007F66A6">
      <w:pPr>
        <w:pStyle w:val="CDINumberedList1-L1"/>
        <w:divId w:val="935526654"/>
      </w:pPr>
      <w:r w:rsidRPr="00E5210D">
        <w:t>Australian Government Department of Health and Aged Care, Australian Immunisation Handbook. Japanese encephalitis. [Webpage.] Canberra: Australian Government Department of Health and Aged Care; 19 May 2022. [Accessed on 7 August 2023.] Available from: https://immunisationhandbook.health.gov.au/contents/vaccine-preventable-diseases/japanese-encephalitis.</w:t>
      </w:r>
    </w:p>
    <w:p w14:paraId="7DE6E893" w14:textId="77777777" w:rsidR="007F66A6" w:rsidRPr="00E5210D" w:rsidRDefault="007F66A6" w:rsidP="007F66A6">
      <w:pPr>
        <w:pStyle w:val="CDINumberedList1-L1"/>
        <w:divId w:val="935526654"/>
      </w:pPr>
      <w:r w:rsidRPr="00E5210D">
        <w:t xml:space="preserve">Hills SL, Netravathi M, Solomon T. Japanese encephalitis among adults: a review. </w:t>
      </w:r>
      <w:r w:rsidRPr="00E5210D">
        <w:rPr>
          <w:i/>
          <w:iCs/>
        </w:rPr>
        <w:t xml:space="preserve">Am J Trop Med </w:t>
      </w:r>
      <w:proofErr w:type="spellStart"/>
      <w:r w:rsidRPr="00E5210D">
        <w:rPr>
          <w:i/>
          <w:iCs/>
        </w:rPr>
        <w:t>Hyg</w:t>
      </w:r>
      <w:proofErr w:type="spellEnd"/>
      <w:r w:rsidRPr="00E5210D">
        <w:t>. 2023;108(5):860–4. doi: https://doi.org/10.4269/ajtmh.23-0036.</w:t>
      </w:r>
    </w:p>
    <w:p w14:paraId="1E7554A1" w14:textId="77777777" w:rsidR="007F66A6" w:rsidRPr="00E5210D" w:rsidRDefault="007F66A6" w:rsidP="007F66A6">
      <w:pPr>
        <w:pStyle w:val="CDINumberedList1-L1"/>
        <w:divId w:val="935526654"/>
      </w:pPr>
      <w:r w:rsidRPr="00E5210D">
        <w:t>Northern Territory Government Department of Health (NT Health). NT on alert for Japanese encephalitis. [Internet.] Darwin: NT Health; 7 June 2022. [Accessed on 28 September 2022.] Available from: https://health.nt.gov.au/news/nt-on-alert-for-japanese-encephalitis.</w:t>
      </w:r>
    </w:p>
    <w:p w14:paraId="163C5678" w14:textId="77777777" w:rsidR="007F66A6" w:rsidRPr="00E5210D" w:rsidRDefault="007F66A6" w:rsidP="007F66A6">
      <w:pPr>
        <w:pStyle w:val="CDINumberedList1-L1"/>
        <w:divId w:val="935526654"/>
      </w:pPr>
      <w:r w:rsidRPr="00E5210D">
        <w:t>New South Wales Government Department of Primary Industries (NSW DPI). Japanese encephalitis. [Webpage.] Sydney: NSW DPI; 2022. [Accessed on 30 September 2022.] Available from: https://www.dpi.nsw.gov.au/biosecurity/animal/info-vets/japanese-encephalitis.</w:t>
      </w:r>
    </w:p>
    <w:p w14:paraId="23CDF2FE" w14:textId="77777777" w:rsidR="007F66A6" w:rsidRPr="00E5210D" w:rsidRDefault="007F66A6" w:rsidP="007F66A6">
      <w:pPr>
        <w:pStyle w:val="CDINumberedList1-L1"/>
        <w:divId w:val="935526654"/>
      </w:pPr>
      <w:r w:rsidRPr="00E5210D">
        <w:t xml:space="preserve">Government of South Australia Department of Health (SA Health). </w:t>
      </w:r>
      <w:r w:rsidRPr="00E5210D">
        <w:rPr>
          <w:i/>
          <w:iCs/>
        </w:rPr>
        <w:t>South Australian Arbovirus and Mosquito Monitoring and Control Annual Report: 2021–2022</w:t>
      </w:r>
      <w:r w:rsidRPr="00E5210D">
        <w:t>. Adelaide: SA Health; 2023. [Accessed on 30 May 2023.] Available from: https://www.sahealth.sa.gov.au/wps/wcm/connect/1d27806b-5806-45fe-8c18-0d292036b8e1/South+Australian+Arbovirus+and+Mosquito+Monitoring+and+Control+Annual+Report+for+the+2021-2022+season.pdf.</w:t>
      </w:r>
    </w:p>
    <w:p w14:paraId="2EEFB2FF" w14:textId="77777777" w:rsidR="007F66A6" w:rsidRPr="00E5210D" w:rsidRDefault="007F66A6" w:rsidP="007F66A6">
      <w:pPr>
        <w:pStyle w:val="CDINumberedList1-L1"/>
        <w:divId w:val="935526654"/>
      </w:pPr>
      <w:r w:rsidRPr="00E5210D">
        <w:lastRenderedPageBreak/>
        <w:t xml:space="preserve">New South Wales Government Department of Health (NSW Health). </w:t>
      </w:r>
      <w:r w:rsidRPr="00E5210D">
        <w:rPr>
          <w:i/>
          <w:iCs/>
        </w:rPr>
        <w:t>NSW Arbovirus Surveillance &amp; Mosquito Monitoring 2021–2022, Weekly Update: Week ending 23 April 2022 (Report Number 24)</w:t>
      </w:r>
      <w:r w:rsidRPr="00E5210D">
        <w:t>. Sydney: NSW Health; 2022. [Accessed on 30 May 2023.] Available from: https://www.health.nsw.gov.au/environment/pests/vector/Publications/nswasp-weekly-report-2022-04-23.pdf.</w:t>
      </w:r>
    </w:p>
    <w:p w14:paraId="3CB2A75F" w14:textId="77777777" w:rsidR="007F66A6" w:rsidRPr="00E5210D" w:rsidRDefault="007F66A6" w:rsidP="007F66A6">
      <w:pPr>
        <w:pStyle w:val="CDINumberedList1-L1"/>
        <w:divId w:val="935526654"/>
      </w:pPr>
      <w:r w:rsidRPr="00E5210D">
        <w:t>Victorian State Government Department of Agriculture (Agriculture Victoria). Japanese encephalitis current situation. [Internet.] Melbourne: Agriculture Victoria; 5 July 2022. [Accessed on 30 September 2022.] Available from: https://agriculture.vic.gov.au/biosecurity/animal-diseases/important-animal-diseases/japanese-encephalitis/japanese-encephalitis-current-situation.</w:t>
      </w:r>
    </w:p>
    <w:p w14:paraId="2CCBACF9" w14:textId="77777777" w:rsidR="007F66A6" w:rsidRPr="00E5210D" w:rsidRDefault="007F66A6" w:rsidP="007F66A6">
      <w:pPr>
        <w:pStyle w:val="CDINumberedList1-L1"/>
        <w:divId w:val="935526654"/>
      </w:pPr>
      <w:r w:rsidRPr="00E5210D">
        <w:t>Government of South Australia Department of Primary Industries and Regions. Japanese encephalitis. [Webpage.] Adelaide: Government of South Australia Department of Primary Industries and Regions; 2022. [Accessed on 30 September 2022.] Available from: https://www.pir.sa.gov.au/emergencies_and_recovery/japanese_encephalitis.</w:t>
      </w:r>
    </w:p>
    <w:p w14:paraId="1CB78E8C" w14:textId="77777777" w:rsidR="007F66A6" w:rsidRPr="00E5210D" w:rsidRDefault="007F66A6" w:rsidP="007F66A6">
      <w:pPr>
        <w:pStyle w:val="CDINumberedList1-L1"/>
        <w:divId w:val="935526654"/>
      </w:pPr>
      <w:r w:rsidRPr="00E5210D">
        <w:t>NSW Health. Japanese encephalitis. [Webpage.] Sydney: NSW Health; 2022. [Accessed on 30</w:t>
      </w:r>
      <w:r>
        <w:t> </w:t>
      </w:r>
      <w:r w:rsidRPr="00E5210D">
        <w:t>September 2022.] Available from: https://www.health.nsw.gov.au/environment/pests/vector/Pages/japanese-encephalitis.aspx.</w:t>
      </w:r>
    </w:p>
    <w:p w14:paraId="48E44C47" w14:textId="77777777" w:rsidR="007F66A6" w:rsidRPr="00E5210D" w:rsidRDefault="007F66A6" w:rsidP="007F66A6">
      <w:pPr>
        <w:pStyle w:val="CDINumberedList1-L1"/>
        <w:divId w:val="935526654"/>
      </w:pPr>
      <w:r w:rsidRPr="00E5210D">
        <w:t xml:space="preserve">Australian Government Bureau of Meteorology (BoM). </w:t>
      </w:r>
      <w:r w:rsidRPr="00E5210D">
        <w:rPr>
          <w:i/>
          <w:iCs/>
        </w:rPr>
        <w:t>Special Climate Statement 76 – Extreme rainfall and flooding in south-eastern Queensland and eastern New South Wales</w:t>
      </w:r>
      <w:r w:rsidRPr="00E5210D">
        <w:t>. Canberra: BoM; 25 May 2022. [Accessed on 30 September 2022.] Available from: http://www.bom.gov.au/climate/current/statements/scs76.pdf?20220525.</w:t>
      </w:r>
    </w:p>
    <w:p w14:paraId="794F1B34" w14:textId="77777777" w:rsidR="007F66A6" w:rsidRPr="00E5210D" w:rsidRDefault="007F66A6" w:rsidP="007F66A6">
      <w:pPr>
        <w:pStyle w:val="CDINumberedList1-L1"/>
        <w:divId w:val="935526654"/>
      </w:pPr>
      <w:r w:rsidRPr="00E5210D">
        <w:t xml:space="preserve">BoM. </w:t>
      </w:r>
      <w:r w:rsidRPr="00E5210D">
        <w:rPr>
          <w:i/>
          <w:iCs/>
        </w:rPr>
        <w:t>Special Climate Statement 75 – Australia’s wettest November on record</w:t>
      </w:r>
      <w:r w:rsidRPr="00E5210D">
        <w:t>. Canberra: BoM; 14</w:t>
      </w:r>
      <w:r>
        <w:t> </w:t>
      </w:r>
      <w:r w:rsidRPr="00E5210D">
        <w:t>February 2022. [Accessed on 30 September 2022.] Available from: http://www.bom.gov.au/climate/current/statements/scs75.pdf?20220214.</w:t>
      </w:r>
    </w:p>
    <w:p w14:paraId="6AD38ACE" w14:textId="77777777" w:rsidR="007F66A6" w:rsidRPr="00E5210D" w:rsidRDefault="007F66A6" w:rsidP="007F66A6">
      <w:pPr>
        <w:pStyle w:val="CDINumberedList1-L1"/>
        <w:divId w:val="935526654"/>
      </w:pPr>
      <w:r w:rsidRPr="00E5210D">
        <w:t>Dubach I. Current floods essential for long-term future of waterbirds: annual survey. [Press release.] Sydney: University of New South Wales; 17 December 2021. Available from: https://www.unsw.edu.au/news/2021/12/current-floods-essential-for-long-term-future-of-waterbirds--ann.</w:t>
      </w:r>
    </w:p>
    <w:p w14:paraId="5080F6D9" w14:textId="77777777" w:rsidR="007F66A6" w:rsidRPr="00E5210D" w:rsidRDefault="007F66A6" w:rsidP="007F66A6">
      <w:pPr>
        <w:pStyle w:val="CDINumberedList1-L1"/>
        <w:divId w:val="935526654"/>
      </w:pPr>
      <w:r w:rsidRPr="00E5210D">
        <w:t xml:space="preserve">Mulvey P, Duong V, Boyer S, Burgess G, Williams DT, </w:t>
      </w:r>
      <w:proofErr w:type="spellStart"/>
      <w:r w:rsidRPr="00E5210D">
        <w:t>Dussart</w:t>
      </w:r>
      <w:proofErr w:type="spellEnd"/>
      <w:r w:rsidRPr="00E5210D">
        <w:t xml:space="preserve"> P et al. The ecology and evolution of Japanese encephalitis virus. </w:t>
      </w:r>
      <w:r w:rsidRPr="00E5210D">
        <w:rPr>
          <w:i/>
          <w:iCs/>
        </w:rPr>
        <w:t>Pathogens</w:t>
      </w:r>
      <w:r w:rsidRPr="00E5210D">
        <w:t>. 2021;10(12):1534. doi:</w:t>
      </w:r>
      <w:r>
        <w:t> </w:t>
      </w:r>
      <w:r w:rsidRPr="00E5210D">
        <w:t>https://doi/org/10.3390/pathogens10121534.</w:t>
      </w:r>
    </w:p>
    <w:p w14:paraId="7E8ABFF7" w14:textId="77777777" w:rsidR="007F66A6" w:rsidRPr="00E5210D" w:rsidRDefault="007F66A6" w:rsidP="007F66A6">
      <w:pPr>
        <w:pStyle w:val="CDINumberedList1-L1"/>
        <w:divId w:val="935526654"/>
      </w:pPr>
      <w:r w:rsidRPr="00E5210D">
        <w:t xml:space="preserve">Mansfield KL, Horton DL, Johnson N, Li L, Barrett ADT, Smith DJ et al. Flavivirus-induced antibody cross-reactivity. </w:t>
      </w:r>
      <w:r w:rsidRPr="00E5210D">
        <w:rPr>
          <w:i/>
          <w:iCs/>
        </w:rPr>
        <w:t xml:space="preserve">J Gen </w:t>
      </w:r>
      <w:proofErr w:type="spellStart"/>
      <w:r w:rsidRPr="00E5210D">
        <w:rPr>
          <w:i/>
          <w:iCs/>
        </w:rPr>
        <w:t>Virol</w:t>
      </w:r>
      <w:proofErr w:type="spellEnd"/>
      <w:r w:rsidRPr="00E5210D">
        <w:t>. 2011;92(Pt 12):2821–9. doi: https://doi/org/10.1099/vir.0.031641-0.</w:t>
      </w:r>
    </w:p>
    <w:p w14:paraId="2BF35E78" w14:textId="77777777" w:rsidR="007F66A6" w:rsidRPr="00E5210D" w:rsidRDefault="007F66A6" w:rsidP="007F66A6">
      <w:pPr>
        <w:pStyle w:val="CDINumberedList1-L1"/>
        <w:divId w:val="935526654"/>
      </w:pPr>
      <w:r w:rsidRPr="00E5210D">
        <w:t xml:space="preserve">Johansen CA, van den </w:t>
      </w:r>
      <w:proofErr w:type="spellStart"/>
      <w:r w:rsidRPr="00E5210D">
        <w:t>hurk</w:t>
      </w:r>
      <w:proofErr w:type="spellEnd"/>
      <w:r w:rsidRPr="00E5210D">
        <w:t xml:space="preserve"> AF, Pyke AT, Zborowski P, Phillips DA, Mackenzie JS et al. Entomological investigations of an outbreak of Japanese encephalitis virus in the Torres Strait, Australia, in 1998. </w:t>
      </w:r>
      <w:r w:rsidRPr="00E5210D">
        <w:rPr>
          <w:i/>
          <w:iCs/>
        </w:rPr>
        <w:t>J</w:t>
      </w:r>
      <w:r>
        <w:rPr>
          <w:i/>
          <w:iCs/>
        </w:rPr>
        <w:t> </w:t>
      </w:r>
      <w:r w:rsidRPr="00E5210D">
        <w:rPr>
          <w:i/>
          <w:iCs/>
        </w:rPr>
        <w:t xml:space="preserve">Med </w:t>
      </w:r>
      <w:proofErr w:type="spellStart"/>
      <w:r w:rsidRPr="00E5210D">
        <w:rPr>
          <w:i/>
          <w:iCs/>
        </w:rPr>
        <w:t>Entomol</w:t>
      </w:r>
      <w:proofErr w:type="spellEnd"/>
      <w:r w:rsidRPr="00E5210D">
        <w:t>. 2001;38(4):581–8. doi: https://doi/org/10.1603/0022-2585-38.4.581.</w:t>
      </w:r>
    </w:p>
    <w:p w14:paraId="327BDF43" w14:textId="77777777" w:rsidR="007F66A6" w:rsidRPr="00E5210D" w:rsidRDefault="007F66A6" w:rsidP="007F66A6">
      <w:pPr>
        <w:pStyle w:val="CDINumberedList1-L1"/>
        <w:divId w:val="935526654"/>
      </w:pPr>
      <w:proofErr w:type="spellStart"/>
      <w:r w:rsidRPr="00E5210D">
        <w:t>Floridis</w:t>
      </w:r>
      <w:proofErr w:type="spellEnd"/>
      <w:r w:rsidRPr="00E5210D">
        <w:t xml:space="preserve"> J, McGuinness SL, Kurucz N, Burrow JN, Baird R, Francis JR. Murray Valley encephalitis virus: an ongoing cause of encephalitis in Australia’s north. </w:t>
      </w:r>
      <w:r w:rsidRPr="00E5210D">
        <w:rPr>
          <w:i/>
          <w:iCs/>
        </w:rPr>
        <w:t>Trop Med Infect Dis</w:t>
      </w:r>
      <w:r w:rsidRPr="00E5210D">
        <w:t>. 2018;3(2):49. doi:</w:t>
      </w:r>
      <w:r>
        <w:t> </w:t>
      </w:r>
      <w:r w:rsidRPr="00E5210D">
        <w:t>https://doi/org/10.3390/tropicalmed3020049.</w:t>
      </w:r>
    </w:p>
    <w:p w14:paraId="5530D39F" w14:textId="77777777" w:rsidR="007F66A6" w:rsidRPr="00E5210D" w:rsidRDefault="007F66A6" w:rsidP="007F66A6">
      <w:pPr>
        <w:pStyle w:val="CDINumberedList1-L1"/>
        <w:divId w:val="935526654"/>
      </w:pPr>
      <w:r w:rsidRPr="00E5210D">
        <w:lastRenderedPageBreak/>
        <w:t xml:space="preserve">Selvey LA, Dailey L, Lindsay M, Armstrong P, Tobin S, Koehler AP et al. The changing epidemiology of Murray Valley encephalitis in Australia: the 2011 outbreak and a review of the literature. </w:t>
      </w:r>
      <w:proofErr w:type="spellStart"/>
      <w:r w:rsidRPr="00E5210D">
        <w:rPr>
          <w:i/>
          <w:iCs/>
        </w:rPr>
        <w:t>PLoS</w:t>
      </w:r>
      <w:proofErr w:type="spellEnd"/>
      <w:r w:rsidRPr="00E5210D">
        <w:rPr>
          <w:i/>
          <w:iCs/>
        </w:rPr>
        <w:t xml:space="preserve"> </w:t>
      </w:r>
      <w:proofErr w:type="spellStart"/>
      <w:r w:rsidRPr="00E5210D">
        <w:rPr>
          <w:i/>
          <w:iCs/>
        </w:rPr>
        <w:t>Negl</w:t>
      </w:r>
      <w:proofErr w:type="spellEnd"/>
      <w:r w:rsidRPr="00E5210D">
        <w:rPr>
          <w:i/>
          <w:iCs/>
        </w:rPr>
        <w:t xml:space="preserve"> Trop Dis</w:t>
      </w:r>
      <w:r w:rsidRPr="00E5210D">
        <w:t>. 2014;8(1</w:t>
      </w:r>
      <w:proofErr w:type="gramStart"/>
      <w:r w:rsidRPr="00E5210D">
        <w:t>):e</w:t>
      </w:r>
      <w:proofErr w:type="gramEnd"/>
      <w:r w:rsidRPr="00E5210D">
        <w:t>2656. doi: https://doi/org/10.1371/journal.pntd.0002656.</w:t>
      </w:r>
    </w:p>
    <w:p w14:paraId="4D336323" w14:textId="77777777" w:rsidR="007F66A6" w:rsidRPr="00E5210D" w:rsidRDefault="007F66A6" w:rsidP="007F66A6">
      <w:pPr>
        <w:pStyle w:val="CDINumberedList1-L1"/>
        <w:divId w:val="935526654"/>
      </w:pPr>
      <w:r w:rsidRPr="00E5210D">
        <w:t xml:space="preserve">Australian Government Department of Health and Aged Care. </w:t>
      </w:r>
      <w:r w:rsidRPr="00E5210D">
        <w:rPr>
          <w:i/>
          <w:iCs/>
        </w:rPr>
        <w:t>CDNA advice regarding vaccination against Japanese encephalitis virus</w:t>
      </w:r>
      <w:r w:rsidRPr="00E5210D">
        <w:t>. Canberra: Australian Government Department of Health and Aged Care; 16 March 2022. [Accessed on 29 October 2022.] Available from: https://www.health.gov.au/resources/publications/cdna-advice-regarding-vaccination-against-japanese-encephalitis-virus.</w:t>
      </w:r>
    </w:p>
    <w:p w14:paraId="476F1087" w14:textId="77777777" w:rsidR="007F66A6" w:rsidRPr="00E5210D" w:rsidRDefault="007F66A6" w:rsidP="007F66A6">
      <w:pPr>
        <w:pStyle w:val="CDINumberedList1-L1"/>
        <w:divId w:val="935526654"/>
      </w:pPr>
      <w:r w:rsidRPr="00E5210D">
        <w:t xml:space="preserve">NSW Health. </w:t>
      </w:r>
      <w:r w:rsidRPr="00E5210D">
        <w:rPr>
          <w:i/>
          <w:iCs/>
        </w:rPr>
        <w:t>Summary of NSW Japanese encephalitis virus serosurvey results</w:t>
      </w:r>
      <w:r w:rsidRPr="00E5210D">
        <w:t>. Sydney: NSW Health; September 2022. [Accessed on 20 September 2022.] Available from: https://www.health.nsw.gov.au/environment/pests/vector/Documents/jev-serosurvey-report.pdf.</w:t>
      </w:r>
    </w:p>
    <w:p w14:paraId="15128876" w14:textId="2B120652" w:rsidR="00620509" w:rsidRPr="00942D10" w:rsidRDefault="007F66A6" w:rsidP="0086762E">
      <w:pPr>
        <w:pStyle w:val="CDINumberedList1-L1"/>
        <w:divId w:val="935526654"/>
      </w:pPr>
      <w:r w:rsidRPr="00E5210D">
        <w:t>Victorian State Government Department of Health (Vic Health). Serosurvey for Japanese encephalitis virus in northern Victoria. [Webpage.] Melbourne: Vic Health; 2 March 2023. [Accessed on 20</w:t>
      </w:r>
      <w:r w:rsidR="00942D10">
        <w:t> </w:t>
      </w:r>
      <w:r w:rsidRPr="00E5210D">
        <w:t>December 2023.] Available from: https://www.health.vic.gov.au/infectious-diseases/serosurvey-for-japanese-encephalitis-in-northern-victoria.</w:t>
      </w:r>
    </w:p>
    <w:p w14:paraId="0309CCBF" w14:textId="77777777" w:rsidR="001A26DD" w:rsidRDefault="001A26DD" w:rsidP="0037146D">
      <w:pPr>
        <w:divId w:val="935526654"/>
        <w:sectPr w:rsidR="001A26DD" w:rsidSect="00690957">
          <w:headerReference w:type="even" r:id="rId11"/>
          <w:headerReference w:type="default" r:id="rId12"/>
          <w:footerReference w:type="even" r:id="rId13"/>
          <w:footerReference w:type="default" r:id="rId14"/>
          <w:headerReference w:type="first" r:id="rId15"/>
          <w:footerReference w:type="first" r:id="rId16"/>
          <w:pgSz w:w="11907" w:h="16840" w:code="9"/>
          <w:pgMar w:top="1134" w:right="1134" w:bottom="1304" w:left="1134" w:header="709" w:footer="567" w:gutter="0"/>
          <w:cols w:space="708"/>
          <w:titlePg/>
          <w:docGrid w:linePitch="360"/>
        </w:sectPr>
      </w:pPr>
    </w:p>
    <w:p w14:paraId="2A005F81" w14:textId="77777777" w:rsidR="000705FF" w:rsidRPr="0089025E" w:rsidRDefault="000705FF" w:rsidP="00863F8D">
      <w:pPr>
        <w:pStyle w:val="CDICopyrighttext-lessspace"/>
      </w:pPr>
      <w:bookmarkStart w:id="0" w:name="_Hlk185172676"/>
      <w:r w:rsidRPr="0089025E">
        <w:lastRenderedPageBreak/>
        <w:t xml:space="preserve">© </w:t>
      </w:r>
      <w:fldSimple w:instr=" DOCPROPERTY  Year  \* MERGEFORMAT ">
        <w:r w:rsidR="00D67F05">
          <w:t>2025</w:t>
        </w:r>
      </w:fldSimple>
      <w:r w:rsidRPr="0089025E">
        <w:t xml:space="preserve"> Commonwealth of Australia as represented by the </w:t>
      </w:r>
      <w:r w:rsidR="00602AC1">
        <w:t>Department of Health and Aged Care</w:t>
      </w:r>
    </w:p>
    <w:p w14:paraId="6B5CA078" w14:textId="77777777" w:rsidR="00DE4482" w:rsidRPr="0089025E" w:rsidRDefault="00DE4482" w:rsidP="00C32715">
      <w:pPr>
        <w:pStyle w:val="CDICopyrighttext-lessspace"/>
      </w:pPr>
      <w:r w:rsidRPr="0089025E">
        <w:t>ISSN: 2209-6051 Online</w:t>
      </w:r>
    </w:p>
    <w:p w14:paraId="5B850CCF" w14:textId="77777777" w:rsidR="00DE4482" w:rsidRDefault="00DE4482" w:rsidP="00C32715">
      <w:pPr>
        <w:pStyle w:val="CDICopyrighttext-lessspace"/>
      </w:pPr>
      <w:r w:rsidRPr="0089025E">
        <w:t>This journal is indexed by Index Medicus and Medline.</w:t>
      </w:r>
    </w:p>
    <w:p w14:paraId="1A494CB9" w14:textId="77777777" w:rsidR="006221DD" w:rsidRPr="0089025E" w:rsidRDefault="006221DD" w:rsidP="00C32715">
      <w:pPr>
        <w:pStyle w:val="CDICopyrightheading"/>
      </w:pPr>
      <w:r>
        <w:t>Creative Commons Licence</w:t>
      </w:r>
    </w:p>
    <w:p w14:paraId="091121CA" w14:textId="77777777" w:rsidR="000705FF" w:rsidRPr="0089025E" w:rsidRDefault="000705FF" w:rsidP="00194A12">
      <w:pPr>
        <w:pStyle w:val="CDICopyrighttext"/>
      </w:pPr>
      <w:r w:rsidRPr="0089025E">
        <w:t>This publication is licensed under a Creative Commons Attribution-NonCommercial-NoDerivatives 4.0 International Licence</w:t>
      </w:r>
      <w:r w:rsidR="00DE4482" w:rsidRPr="0089025E">
        <w:t xml:space="preserve"> (CC BY-NC-ND)</w:t>
      </w:r>
      <w:r w:rsidRPr="0089025E">
        <w:t xml:space="preserve"> </w:t>
      </w:r>
      <w:r w:rsidR="00DE4482" w:rsidRPr="0089025E">
        <w:t xml:space="preserve">available </w:t>
      </w:r>
      <w:r w:rsidRPr="0089025E">
        <w:t xml:space="preserve">from </w:t>
      </w:r>
      <w:r w:rsidRPr="008355D9">
        <w:rPr>
          <w:rFonts w:cstheme="minorHAnsi"/>
        </w:rPr>
        <w:t>https://creativecommons.org/licenses/by-nc-nd/4.0/legalcode</w:t>
      </w:r>
      <w:r w:rsidRPr="0089025E">
        <w:t xml:space="preserve"> (Licence). You</w:t>
      </w:r>
      <w:r w:rsidR="006221DD">
        <w:t> </w:t>
      </w:r>
      <w:r w:rsidRPr="0089025E">
        <w:t>must read and understand the Licence before using any material from this publication.</w:t>
      </w:r>
    </w:p>
    <w:bookmarkEnd w:id="0"/>
    <w:p w14:paraId="7149E7EB" w14:textId="77777777" w:rsidR="000705FF" w:rsidRPr="00194A12" w:rsidRDefault="000705FF" w:rsidP="00194A12">
      <w:pPr>
        <w:pStyle w:val="CDICopyrightheading"/>
      </w:pPr>
      <w:r w:rsidRPr="00194A12">
        <w:t>Restrictions</w:t>
      </w:r>
    </w:p>
    <w:p w14:paraId="3B5322A6" w14:textId="77777777" w:rsidR="000705FF" w:rsidRPr="0089025E" w:rsidRDefault="000705FF" w:rsidP="00863F8D">
      <w:pPr>
        <w:pStyle w:val="CDICopyrighttext-lessspace"/>
      </w:pPr>
      <w:r w:rsidRPr="0089025E">
        <w:t>The Licence does not cover, and there is no permission given for, use of any of the following material found in this publication (if</w:t>
      </w:r>
      <w:r w:rsidR="000F223B" w:rsidRPr="0089025E">
        <w:t xml:space="preserve"> </w:t>
      </w:r>
      <w:r w:rsidRPr="0089025E">
        <w:t xml:space="preserve">any): </w:t>
      </w:r>
    </w:p>
    <w:p w14:paraId="7F6512F1" w14:textId="77777777" w:rsidR="000705FF" w:rsidRPr="008355D9" w:rsidRDefault="000705FF" w:rsidP="00AC0F5D">
      <w:pPr>
        <w:pStyle w:val="CDICopyrightbullets"/>
      </w:pPr>
      <w:r w:rsidRPr="008355D9">
        <w:t xml:space="preserve">the Commonwealth Coat of Arms (by way of information, the terms under which the Coat of Arms may be used can be </w:t>
      </w:r>
      <w:r w:rsidRPr="00AC0F5D">
        <w:t>found</w:t>
      </w:r>
      <w:r w:rsidRPr="008355D9">
        <w:t xml:space="preserve"> </w:t>
      </w:r>
      <w:r w:rsidR="006221DD">
        <w:t>on the Department of Prime Minister and Cabinet website</w:t>
      </w:r>
      <w:r w:rsidRPr="008355D9">
        <w:t>;</w:t>
      </w:r>
    </w:p>
    <w:p w14:paraId="6394A32E" w14:textId="77777777" w:rsidR="000705FF" w:rsidRPr="0089025E" w:rsidRDefault="000705FF" w:rsidP="00AC0F5D">
      <w:pPr>
        <w:pStyle w:val="CDICopyrightbullets"/>
      </w:pPr>
      <w:r w:rsidRPr="0089025E">
        <w:t xml:space="preserve">any logos (including the </w:t>
      </w:r>
      <w:r w:rsidR="00602AC1">
        <w:t>Department of Health and Aged Care</w:t>
      </w:r>
      <w:r w:rsidRPr="0089025E">
        <w:t>’s logo) and trademarks;</w:t>
      </w:r>
    </w:p>
    <w:p w14:paraId="584510D3" w14:textId="77777777" w:rsidR="000705FF" w:rsidRPr="0089025E" w:rsidRDefault="000705FF" w:rsidP="00AC0F5D">
      <w:pPr>
        <w:pStyle w:val="CDICopyrightbullets"/>
      </w:pPr>
      <w:r w:rsidRPr="0089025E">
        <w:t xml:space="preserve">any photographs and images; </w:t>
      </w:r>
    </w:p>
    <w:p w14:paraId="6CA344D1" w14:textId="77777777" w:rsidR="000705FF" w:rsidRPr="0089025E" w:rsidRDefault="000705FF" w:rsidP="00AC0F5D">
      <w:pPr>
        <w:pStyle w:val="CDICopyrightbullets"/>
      </w:pPr>
      <w:r w:rsidRPr="0089025E">
        <w:t>any signatures; and</w:t>
      </w:r>
    </w:p>
    <w:p w14:paraId="4E9401C8" w14:textId="77777777" w:rsidR="000705FF" w:rsidRPr="0089025E" w:rsidRDefault="000705FF" w:rsidP="00AC0F5D">
      <w:pPr>
        <w:pStyle w:val="CDICopyrightbullets"/>
      </w:pPr>
      <w:r w:rsidRPr="0089025E">
        <w:t xml:space="preserve">any material belonging to third parties. </w:t>
      </w:r>
    </w:p>
    <w:p w14:paraId="1F15393D" w14:textId="77777777" w:rsidR="000F223B" w:rsidRPr="0089025E" w:rsidRDefault="000705FF" w:rsidP="00194A12">
      <w:pPr>
        <w:pStyle w:val="CDICopyrightheading"/>
      </w:pPr>
      <w:r w:rsidRPr="0089025E">
        <w:t>Disclaimer</w:t>
      </w:r>
    </w:p>
    <w:p w14:paraId="0C419C00" w14:textId="77777777" w:rsidR="000705FF" w:rsidRPr="0089025E" w:rsidRDefault="000705FF" w:rsidP="00194A12">
      <w:pPr>
        <w:pStyle w:val="CDICopyrighttext"/>
      </w:pPr>
      <w:r w:rsidRPr="0089025E">
        <w:t xml:space="preserve">Opinions expressed in </w:t>
      </w:r>
      <w:r w:rsidRPr="00682E53">
        <w:rPr>
          <w:i/>
          <w:iCs/>
        </w:rPr>
        <w:t>Communicable Diseases Intelligence</w:t>
      </w:r>
      <w:r w:rsidR="004B0C95">
        <w:t xml:space="preserve"> </w:t>
      </w:r>
      <w:r w:rsidRPr="0089025E">
        <w:t xml:space="preserve">are those of the authors and not necessarily those of the </w:t>
      </w:r>
      <w:r w:rsidR="00602AC1">
        <w:t>Department of Health and Aged Care</w:t>
      </w:r>
      <w:r w:rsidRPr="0089025E">
        <w:t xml:space="preserve"> or the Communicable Diseases Network Australia. Data may be subject to revision.</w:t>
      </w:r>
    </w:p>
    <w:p w14:paraId="4C0A6060" w14:textId="77777777" w:rsidR="000F223B" w:rsidRPr="0089025E" w:rsidRDefault="000705FF" w:rsidP="00194A12">
      <w:pPr>
        <w:pStyle w:val="CDICopyrightheading"/>
      </w:pPr>
      <w:r w:rsidRPr="0089025E">
        <w:t>Enquiries</w:t>
      </w:r>
    </w:p>
    <w:p w14:paraId="45201B71" w14:textId="77777777" w:rsidR="000705FF" w:rsidRPr="00863F8D" w:rsidRDefault="000705FF" w:rsidP="004B0C95">
      <w:pPr>
        <w:pStyle w:val="CDICopyrighttext"/>
      </w:pPr>
      <w:r w:rsidRPr="00863F8D">
        <w:t>Enquiries regarding any other use of this publication should be addressed to the</w:t>
      </w:r>
      <w:r w:rsidR="00661FE1" w:rsidRPr="00863F8D">
        <w:t xml:space="preserve"> </w:t>
      </w:r>
      <w:r w:rsidR="009D0F93" w:rsidRPr="00863F8D">
        <w:t>CDI Editor</w:t>
      </w:r>
      <w:r w:rsidRPr="00863F8D">
        <w:t xml:space="preserve"> </w:t>
      </w:r>
      <w:r w:rsidR="000F223B" w:rsidRPr="00863F8D">
        <w:t xml:space="preserve">at: </w:t>
      </w:r>
      <w:r w:rsidR="006307C1" w:rsidRPr="004B0C95">
        <w:rPr>
          <w:rStyle w:val="Hyperlink"/>
        </w:rPr>
        <w:t>cdi.editor@health.gov.au</w:t>
      </w:r>
      <w:r w:rsidR="00863F8D" w:rsidRPr="00863F8D">
        <w:t>.</w:t>
      </w:r>
    </w:p>
    <w:p w14:paraId="7BC98C59" w14:textId="77777777" w:rsidR="000F223B" w:rsidRPr="0089025E" w:rsidRDefault="000705FF" w:rsidP="00194A12">
      <w:pPr>
        <w:pStyle w:val="CDICopyrightheading"/>
      </w:pPr>
      <w:r w:rsidRPr="0089025E">
        <w:t>Communicable Diseases Network Australia</w:t>
      </w:r>
    </w:p>
    <w:p w14:paraId="7E1A2B6A" w14:textId="77777777" w:rsidR="00DA2E9E" w:rsidRDefault="000705FF" w:rsidP="00194A12">
      <w:pPr>
        <w:pStyle w:val="CDICopyrighttext"/>
      </w:pPr>
      <w:r w:rsidRPr="0089025E">
        <w:t xml:space="preserve">Communicable Diseases Intelligence contributes to the work of the </w:t>
      </w:r>
      <w:hyperlink r:id="rId17" w:history="1">
        <w:r w:rsidRPr="00C47C8C">
          <w:rPr>
            <w:rStyle w:val="Hyperlink"/>
          </w:rPr>
          <w:t>Communicable Diseases Network Australia</w:t>
        </w:r>
      </w:hyperlink>
      <w:r w:rsidRPr="0089025E">
        <w:t>.</w:t>
      </w:r>
      <w:r w:rsidR="0089025E" w:rsidRPr="0089025E">
        <w:t xml:space="preserve"> </w:t>
      </w:r>
    </w:p>
    <w:p w14:paraId="4D006FBA" w14:textId="77777777" w:rsidR="004B0C95" w:rsidRDefault="004B0C95" w:rsidP="004B0C95">
      <w:pPr>
        <w:pStyle w:val="Normal-nospace"/>
      </w:pPr>
    </w:p>
    <w:p w14:paraId="24CB13E7" w14:textId="77777777" w:rsidR="00126546" w:rsidRPr="00A65DFA" w:rsidRDefault="00126546" w:rsidP="00126546">
      <w:pPr>
        <w:pStyle w:val="CDICopyrighttitle"/>
      </w:pPr>
      <w:r>
        <w:t xml:space="preserve">About </w:t>
      </w:r>
      <w:r w:rsidRPr="00A65DFA">
        <w:t xml:space="preserve">Communicable Diseases </w:t>
      </w:r>
      <w:r w:rsidRPr="00194A12">
        <w:t>Intelligence</w:t>
      </w:r>
    </w:p>
    <w:p w14:paraId="1DC75CE3" w14:textId="77777777" w:rsidR="00126546" w:rsidRDefault="00126546" w:rsidP="00126546">
      <w:pPr>
        <w:pStyle w:val="CDICopyrighttext"/>
      </w:pPr>
      <w:r w:rsidRPr="004B0C95">
        <w:rPr>
          <w:i/>
          <w:iCs/>
        </w:rPr>
        <w:t>Communicable Diseases Intelligence</w:t>
      </w:r>
      <w:r w:rsidRPr="0089025E">
        <w:t xml:space="preserve"> (CDI) is a peer-reviewed scientific journal published by the </w:t>
      </w:r>
      <w:r>
        <w:t>Health Security &amp; Emergency Management Division</w:t>
      </w:r>
      <w:r w:rsidRPr="0089025E">
        <w:t>,</w:t>
      </w:r>
      <w:r>
        <w:t xml:space="preserve"> </w:t>
      </w:r>
      <w:r w:rsidR="00602AC1">
        <w:t>Department of Health and Aged Care</w:t>
      </w:r>
      <w:r w:rsidRPr="0089025E">
        <w:t>. The journal aims to disseminate information on the epidemiology, surveillance, prevention and control of communicable diseases of relevance to Australia.</w:t>
      </w:r>
    </w:p>
    <w:p w14:paraId="04432D63" w14:textId="77777777" w:rsidR="00126546" w:rsidRPr="0089025E" w:rsidRDefault="00126546" w:rsidP="00126546">
      <w:pPr>
        <w:pStyle w:val="CDICopyrighttext"/>
      </w:pPr>
      <w:r w:rsidRPr="0089025E">
        <w:rPr>
          <w:b/>
          <w:bCs/>
        </w:rPr>
        <w:t>Editor</w:t>
      </w:r>
      <w:r w:rsidRPr="0089025E">
        <w:t xml:space="preserve">: Christina Bareja </w:t>
      </w:r>
      <w:r w:rsidRPr="00D43E8E">
        <w:rPr>
          <w:rStyle w:val="CDICopyrighttextbullet"/>
        </w:rPr>
        <w:t>•</w:t>
      </w:r>
      <w:r w:rsidRPr="0089025E">
        <w:t xml:space="preserve"> </w:t>
      </w:r>
      <w:r w:rsidRPr="0089025E">
        <w:rPr>
          <w:b/>
          <w:bCs/>
        </w:rPr>
        <w:t>Deputy Editor</w:t>
      </w:r>
      <w:r w:rsidRPr="0089025E">
        <w:t xml:space="preserve">: Simon Petrie </w:t>
      </w:r>
      <w:r w:rsidRPr="00D43E8E">
        <w:rPr>
          <w:rStyle w:val="CDICopyrighttextbullet"/>
        </w:rPr>
        <w:t>•</w:t>
      </w:r>
      <w:r w:rsidRPr="0089025E">
        <w:t xml:space="preserve"> </w:t>
      </w:r>
      <w:r w:rsidRPr="0089025E">
        <w:rPr>
          <w:b/>
          <w:bCs/>
        </w:rPr>
        <w:t>Design and Production</w:t>
      </w:r>
      <w:r w:rsidRPr="0089025E">
        <w:t>: Lisa Thompson</w:t>
      </w:r>
    </w:p>
    <w:p w14:paraId="2030D5EE" w14:textId="77777777" w:rsidR="00126546" w:rsidRPr="0089025E" w:rsidRDefault="00126546" w:rsidP="00126546">
      <w:pPr>
        <w:pStyle w:val="CDICopyrighttext"/>
      </w:pPr>
      <w:r w:rsidRPr="0089025E">
        <w:rPr>
          <w:b/>
          <w:bCs/>
        </w:rPr>
        <w:t>Editorial Advisory Board</w:t>
      </w:r>
      <w:r w:rsidRPr="0089025E">
        <w:t>: David Durrheim, Mark Ferson, Clare Huppatz, John Kaldor, Martyn Kirk</w:t>
      </w:r>
      <w:r>
        <w:t xml:space="preserve"> and </w:t>
      </w:r>
      <w:r w:rsidRPr="0089025E">
        <w:t>Meru Sheel</w:t>
      </w:r>
    </w:p>
    <w:p w14:paraId="0C8BD053" w14:textId="77777777" w:rsidR="00A51E0E" w:rsidRPr="0089025E" w:rsidRDefault="00A51E0E" w:rsidP="00A51E0E">
      <w:pPr>
        <w:pStyle w:val="CDICopyrightheading"/>
      </w:pPr>
      <w:r w:rsidRPr="0089025E">
        <w:t xml:space="preserve">Submit an </w:t>
      </w:r>
      <w:proofErr w:type="gramStart"/>
      <w:r w:rsidRPr="0089025E">
        <w:t>Article</w:t>
      </w:r>
      <w:proofErr w:type="gramEnd"/>
    </w:p>
    <w:p w14:paraId="6AC3B0DA" w14:textId="77777777" w:rsidR="00A51E0E" w:rsidRPr="0089025E" w:rsidRDefault="00126546" w:rsidP="00A51E0E">
      <w:pPr>
        <w:pStyle w:val="CDICopyrighttext"/>
      </w:pPr>
      <w:r>
        <w:t>S</w:t>
      </w:r>
      <w:r w:rsidR="00A51E0E" w:rsidRPr="0089025E">
        <w:t xml:space="preserve">ubmit your next communicable disease related article to </w:t>
      </w:r>
      <w:r>
        <w:t>C</w:t>
      </w:r>
      <w:r w:rsidR="00A51E0E" w:rsidRPr="0089025E">
        <w:t xml:space="preserve">DI for consideration. </w:t>
      </w:r>
      <w:hyperlink r:id="rId18" w:history="1">
        <w:r w:rsidRPr="004B0C95">
          <w:rPr>
            <w:rStyle w:val="Hyperlink"/>
          </w:rPr>
          <w:t>Information for authors</w:t>
        </w:r>
      </w:hyperlink>
      <w:r>
        <w:t xml:space="preserve"> and details on how to </w:t>
      </w:r>
      <w:hyperlink r:id="rId19" w:anchor="submission_package" w:history="1">
        <w:r w:rsidRPr="004B0C95">
          <w:rPr>
            <w:rStyle w:val="Hyperlink"/>
          </w:rPr>
          <w:t>submit your publication</w:t>
        </w:r>
      </w:hyperlink>
      <w:r>
        <w:t xml:space="preserve"> is available on our </w:t>
      </w:r>
      <w:r w:rsidRPr="004B0C95">
        <w:t>website</w:t>
      </w:r>
      <w:r>
        <w:t xml:space="preserve">, or by email at </w:t>
      </w:r>
      <w:hyperlink r:id="rId20" w:history="1">
        <w:r w:rsidR="00A51E0E" w:rsidRPr="000C6EB5">
          <w:rPr>
            <w:rStyle w:val="Hyperlink"/>
          </w:rPr>
          <w:t>cdi.editor@health.gov.au</w:t>
        </w:r>
      </w:hyperlink>
      <w:r w:rsidR="00863F8D">
        <w:t>.</w:t>
      </w:r>
    </w:p>
    <w:p w14:paraId="70649DF1" w14:textId="77777777" w:rsidR="00DE4482" w:rsidRPr="0089025E" w:rsidRDefault="00A51E0E" w:rsidP="00194A12">
      <w:pPr>
        <w:pStyle w:val="CDICopyrightheading"/>
      </w:pPr>
      <w:r>
        <w:t>Contact us</w:t>
      </w:r>
    </w:p>
    <w:p w14:paraId="5F0C2554" w14:textId="77777777" w:rsidR="00863F8D" w:rsidRDefault="00126546" w:rsidP="00863F8D">
      <w:pPr>
        <w:pStyle w:val="CDICopyrighttext-nospace"/>
      </w:pPr>
      <w:r>
        <w:t>Communicable Diseases Intelligence (CDI)</w:t>
      </w:r>
    </w:p>
    <w:p w14:paraId="7000EE3D" w14:textId="77777777" w:rsidR="00863F8D" w:rsidRDefault="00470C19" w:rsidP="00863F8D">
      <w:pPr>
        <w:pStyle w:val="CDICopyrighttext-nospace"/>
      </w:pPr>
      <w:r>
        <w:t>Health Security &amp; Emergency Management Division</w:t>
      </w:r>
    </w:p>
    <w:p w14:paraId="6EC09B7C" w14:textId="77777777" w:rsidR="00863F8D" w:rsidRDefault="00602AC1" w:rsidP="00863F8D">
      <w:pPr>
        <w:pStyle w:val="CDICopyrighttext-nospace"/>
      </w:pPr>
      <w:r>
        <w:t>Department of Health and Aged Care</w:t>
      </w:r>
    </w:p>
    <w:p w14:paraId="6E19D1AA" w14:textId="77777777" w:rsidR="000A5F42" w:rsidRPr="0089025E" w:rsidRDefault="00E54BBD" w:rsidP="00863F8D">
      <w:pPr>
        <w:pStyle w:val="CDICopyrighttext-lessspace"/>
      </w:pPr>
      <w:r w:rsidRPr="0089025E">
        <w:t>GPO Box 9848, CANBERRA ACT 2601</w:t>
      </w:r>
    </w:p>
    <w:p w14:paraId="6F8D5D11" w14:textId="77777777" w:rsidR="00863F8D" w:rsidRDefault="00DA2E9E" w:rsidP="00863F8D">
      <w:pPr>
        <w:pStyle w:val="CDICopyrighttext-nospace"/>
      </w:pPr>
      <w:r w:rsidRPr="0089025E">
        <w:t xml:space="preserve">Website: </w:t>
      </w:r>
      <w:hyperlink r:id="rId21" w:history="1">
        <w:r w:rsidR="00AC0F5D" w:rsidRPr="000C6EB5">
          <w:rPr>
            <w:rStyle w:val="Hyperlink"/>
          </w:rPr>
          <w:t>www.health.gov.au/cdi</w:t>
        </w:r>
      </w:hyperlink>
    </w:p>
    <w:p w14:paraId="1D384E30" w14:textId="77777777" w:rsidR="000A5F42" w:rsidRPr="0089025E" w:rsidRDefault="000A5F42" w:rsidP="00863F8D">
      <w:pPr>
        <w:pStyle w:val="CDICopyrighttext-lessspace"/>
      </w:pPr>
      <w:r w:rsidRPr="0089025E">
        <w:t xml:space="preserve">Email: </w:t>
      </w:r>
      <w:hyperlink r:id="rId22" w:history="1">
        <w:r w:rsidR="00AC0F5D" w:rsidRPr="000C6EB5">
          <w:rPr>
            <w:rStyle w:val="Hyperlink"/>
          </w:rPr>
          <w:t>cdi.editor@health.gov.au</w:t>
        </w:r>
      </w:hyperlink>
    </w:p>
    <w:sectPr w:rsidR="000A5F42" w:rsidRPr="0089025E" w:rsidSect="00690957">
      <w:footerReference w:type="default" r:id="rId23"/>
      <w:pgSz w:w="11907" w:h="16840" w:code="9"/>
      <w:pgMar w:top="1134" w:right="1134" w:bottom="130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74CEC2" w14:textId="77777777" w:rsidR="00D67F05" w:rsidRDefault="00D67F05" w:rsidP="00E54DBA">
      <w:r>
        <w:separator/>
      </w:r>
    </w:p>
    <w:p w14:paraId="582CD532" w14:textId="77777777" w:rsidR="00D67F05" w:rsidRDefault="00D67F05"/>
    <w:p w14:paraId="4AFBCE95" w14:textId="77777777" w:rsidR="00D67F05" w:rsidRDefault="00D67F05" w:rsidP="008714B0"/>
  </w:endnote>
  <w:endnote w:type="continuationSeparator" w:id="0">
    <w:p w14:paraId="2904AC2C" w14:textId="77777777" w:rsidR="00D67F05" w:rsidRDefault="00D67F05" w:rsidP="00E54DBA">
      <w:r>
        <w:continuationSeparator/>
      </w:r>
    </w:p>
    <w:p w14:paraId="334DDB04" w14:textId="77777777" w:rsidR="00D67F05" w:rsidRDefault="00D67F05"/>
    <w:p w14:paraId="4CD809C9" w14:textId="77777777" w:rsidR="00D67F05" w:rsidRDefault="00D67F05"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panose1 w:val="00000000000000000000"/>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A4104" w14:textId="77777777" w:rsidR="00A14629" w:rsidRDefault="00A146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0415F" w14:textId="15BD8AF7" w:rsidR="00A14629" w:rsidRPr="00912A31" w:rsidRDefault="00912A31" w:rsidP="00912A31">
    <w:pPr>
      <w:pStyle w:val="CDIFooter"/>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fldSimple w:instr=" DOCPROPERTY  Year  \* MERGEFORMAT ">
      <w:r w:rsidR="00D67F05">
        <w:t>2025</w:t>
      </w:r>
    </w:fldSimple>
    <w:r w:rsidRPr="001D0612">
      <w:t xml:space="preserve"> </w:t>
    </w:r>
    <w:fldSimple w:instr=" DOCPROPERTY  Vol  \* MERGEFORMAT ">
      <w:r w:rsidR="00D67F05">
        <w:t>49</w:t>
      </w:r>
    </w:fldSimple>
    <w:r w:rsidRPr="001D0612">
      <w:t xml:space="preserve">  (</w:t>
    </w:r>
    <w:fldSimple w:instr=" DOCPROPERTY  DOI  \* MERGEFORMAT ">
      <w:r w:rsidR="002A2E1C">
        <w:t>https://doi.org/10.33321/cdi.2025.49.005</w:t>
      </w:r>
    </w:fldSimple>
    <w:r w:rsidRPr="001D0612">
      <w:t xml:space="preserve">) </w:t>
    </w:r>
    <w:r w:rsidRPr="00912A31">
      <w:rPr>
        <w:rStyle w:val="CDICopyrighttextbullet"/>
      </w:rPr>
      <w:t>•</w:t>
    </w:r>
    <w:r w:rsidRPr="001D0612">
      <w:rPr>
        <w:rFonts w:cstheme="minorHAnsi"/>
      </w:rPr>
      <w:t xml:space="preserve"> </w:t>
    </w:r>
    <w:r w:rsidRPr="001D0612">
      <w:t xml:space="preserve">Epub </w:t>
    </w:r>
    <w:fldSimple w:instr=" DOCPROPERTY  ePubDate  \* MERGEFORMAT ">
      <w:r w:rsidR="002A2E1C">
        <w:t>22/01/2025</w:t>
      </w:r>
    </w:fldSimple>
    <w:r w:rsidR="00040B99">
      <w:ptab w:relativeTo="margin" w:alignment="right" w:leader="none"/>
    </w:r>
    <w:r w:rsidR="00040B99" w:rsidRPr="00040B99">
      <w:fldChar w:fldCharType="begin"/>
    </w:r>
    <w:r w:rsidR="00040B99" w:rsidRPr="00040B99">
      <w:instrText xml:space="preserve"> PAGE   \* MERGEFORMAT </w:instrText>
    </w:r>
    <w:r w:rsidR="00040B99" w:rsidRPr="00040B99">
      <w:fldChar w:fldCharType="separate"/>
    </w:r>
    <w:r w:rsidR="00040B99" w:rsidRPr="00040B99">
      <w:rPr>
        <w:noProof/>
      </w:rPr>
      <w:t>1</w:t>
    </w:r>
    <w:r w:rsidR="00040B99" w:rsidRPr="00040B9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10716" w14:textId="77777777" w:rsidR="00A14629" w:rsidRDefault="00A14629" w:rsidP="00F664DD">
    <w:pPr>
      <w:pStyle w:val="CDIFooter-first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C2339" w14:textId="51D31721" w:rsidR="00AB3C13" w:rsidRDefault="00343991" w:rsidP="00690957">
    <w:pPr>
      <w:pStyle w:val="CDIFooter"/>
    </w:pPr>
    <w:r w:rsidRPr="001D0612">
      <w:t xml:space="preserve">www.health.gov.au/cdi </w:t>
    </w:r>
    <w:r w:rsidRPr="00AC7CD7">
      <w:rPr>
        <w:rStyle w:val="CDICopyrighttextbullet"/>
      </w:rPr>
      <w:t>•</w:t>
    </w:r>
    <w:r w:rsidRPr="001D0612">
      <w:rPr>
        <w:rFonts w:cstheme="minorHAnsi"/>
      </w:rPr>
      <w:t xml:space="preserve"> </w:t>
    </w:r>
    <w:r w:rsidRPr="00AC7CD7">
      <w:rPr>
        <w:i/>
        <w:iCs/>
      </w:rPr>
      <w:t>Commun Dis Intell (2018)</w:t>
    </w:r>
    <w:r w:rsidRPr="001D0612">
      <w:t xml:space="preserve">  </w:t>
    </w:r>
    <w:fldSimple w:instr=" DOCPROPERTY  Year  \* MERGEFORMAT ">
      <w:r w:rsidR="00D67F05">
        <w:t>2025</w:t>
      </w:r>
    </w:fldSimple>
    <w:r w:rsidRPr="001D0612">
      <w:t xml:space="preserve"> </w:t>
    </w:r>
    <w:fldSimple w:instr=" DOCPROPERTY  Vol  \* MERGEFORMAT ">
      <w:r w:rsidR="00D67F05">
        <w:t>49</w:t>
      </w:r>
    </w:fldSimple>
    <w:r w:rsidRPr="001D0612">
      <w:t xml:space="preserve">  (</w:t>
    </w:r>
    <w:fldSimple w:instr=" DOCPROPERTY  DOI  \* MERGEFORMAT ">
      <w:r w:rsidR="002A2E1C">
        <w:t>https://doi.org/10.33321/cdi.2025.49.005</w:t>
      </w:r>
    </w:fldSimple>
    <w:r w:rsidRPr="001D0612">
      <w:t xml:space="preserve">) </w:t>
    </w:r>
    <w:r w:rsidRPr="00AC7CD7">
      <w:rPr>
        <w:rStyle w:val="CDICopyrighttextbullet"/>
      </w:rPr>
      <w:t>•</w:t>
    </w:r>
    <w:r w:rsidRPr="001D0612">
      <w:rPr>
        <w:rFonts w:cstheme="minorHAnsi"/>
      </w:rPr>
      <w:t xml:space="preserve"> </w:t>
    </w:r>
    <w:r w:rsidRPr="001D0612">
      <w:t xml:space="preserve">Epub </w:t>
    </w:r>
    <w:fldSimple w:instr=" DOCPROPERTY  ePubDate  \* MERGEFORMAT ">
      <w:r w:rsidR="002A2E1C">
        <w:t>22/01/2025</w:t>
      </w:r>
    </w:fldSimple>
    <w:r w:rsidR="00040B99">
      <w:ptab w:relativeTo="margin" w:alignment="right" w:leader="none"/>
    </w:r>
    <w:r w:rsidRPr="001D0612">
      <w:fldChar w:fldCharType="begin"/>
    </w:r>
    <w:r w:rsidRPr="001D0612">
      <w:instrText xml:space="preserve"> PAGE   \* MERGEFORMAT </w:instrText>
    </w:r>
    <w:r w:rsidRPr="001D0612">
      <w:fldChar w:fldCharType="separate"/>
    </w:r>
    <w:r>
      <w:t>3</w:t>
    </w:r>
    <w:r w:rsidRPr="001D06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125D67" w14:textId="77777777" w:rsidR="00D67F05" w:rsidRPr="00B91FB5" w:rsidRDefault="00D67F05" w:rsidP="00B91FB5">
      <w:pPr>
        <w:spacing w:line="240" w:lineRule="auto"/>
        <w:rPr>
          <w:sz w:val="18"/>
          <w:szCs w:val="18"/>
        </w:rPr>
      </w:pPr>
      <w:r w:rsidRPr="00B91FB5">
        <w:rPr>
          <w:sz w:val="18"/>
          <w:szCs w:val="18"/>
        </w:rPr>
        <w:separator/>
      </w:r>
    </w:p>
  </w:footnote>
  <w:footnote w:type="continuationSeparator" w:id="0">
    <w:p w14:paraId="214796AC" w14:textId="77777777" w:rsidR="00D67F05" w:rsidRDefault="00D67F05" w:rsidP="00E54DBA">
      <w:r>
        <w:continuationSeparator/>
      </w:r>
    </w:p>
  </w:footnote>
  <w:footnote w:type="continuationNotice" w:id="1">
    <w:p w14:paraId="13B562CD" w14:textId="77777777" w:rsidR="00D67F05" w:rsidRPr="00224EFF" w:rsidRDefault="00D67F05"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9615D3" w14:textId="77777777" w:rsidR="00A14629" w:rsidRDefault="00A146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E7BD4" w14:textId="77777777" w:rsidR="008B5348" w:rsidRPr="00830070" w:rsidRDefault="008B5348" w:rsidP="00912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03137" w14:textId="77777777" w:rsidR="00A14629" w:rsidRDefault="006B16A5" w:rsidP="006B16A5">
    <w:pPr>
      <w:pStyle w:val="CDIJournal"/>
    </w:pPr>
    <w:r w:rsidRPr="006B16A5">
      <w:t>Communicable</w:t>
    </w:r>
    <w:r>
      <w:t xml:space="preserve"> Diseases Intelligence</w:t>
    </w:r>
    <w:r w:rsidR="00962C2F">
      <w:rPr>
        <w:noProof/>
      </w:rPr>
      <w:drawing>
        <wp:anchor distT="0" distB="0" distL="114300" distR="114300" simplePos="0" relativeHeight="251659264" behindDoc="1" locked="1" layoutInCell="1" allowOverlap="1" wp14:anchorId="30B34FA3" wp14:editId="6A02F315">
          <wp:simplePos x="0" y="0"/>
          <wp:positionH relativeFrom="page">
            <wp:align>left</wp:align>
          </wp:positionH>
          <wp:positionV relativeFrom="page">
            <wp:align>top</wp:align>
          </wp:positionV>
          <wp:extent cx="7556400" cy="2268000"/>
          <wp:effectExtent l="0" t="0" r="6985" b="0"/>
          <wp:wrapNone/>
          <wp:docPr id="2024918223" name="Picture 2024918223" descr="A green rectangle with teal and white strokes displaying the logo for the interim Australian Centre for Disease Control and Department of Health and Age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918223" name="Picture 2024918223" descr="A green rectangle with teal and white strokes displaying the logo for the interim Australian Centre for Disease Control and Department of Health and Aged Car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64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791E94"/>
    <w:multiLevelType w:val="hybridMultilevel"/>
    <w:tmpl w:val="09A44BB6"/>
    <w:lvl w:ilvl="0" w:tplc="92961A60">
      <w:start w:val="1"/>
      <w:numFmt w:val="bullet"/>
      <w:pStyle w:val="CDITable-Row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23D41"/>
    <w:multiLevelType w:val="hybridMultilevel"/>
    <w:tmpl w:val="62D84E70"/>
    <w:lvl w:ilvl="0" w:tplc="79A29D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F1EF6"/>
    <w:multiLevelType w:val="hybridMultilevel"/>
    <w:tmpl w:val="88A251AE"/>
    <w:lvl w:ilvl="0" w:tplc="02BEA01A">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7B26"/>
    <w:multiLevelType w:val="hybridMultilevel"/>
    <w:tmpl w:val="FF5273AA"/>
    <w:lvl w:ilvl="0" w:tplc="3362C0A6">
      <w:start w:val="1"/>
      <w:numFmt w:val="bullet"/>
      <w:pStyle w:val="CDIBullets-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29C4235"/>
    <w:multiLevelType w:val="hybridMultilevel"/>
    <w:tmpl w:val="7544480E"/>
    <w:lvl w:ilvl="0" w:tplc="992A7346">
      <w:start w:val="1"/>
      <w:numFmt w:val="lowerLetter"/>
      <w:pStyle w:val="CDINumberedListaL2"/>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63D37045"/>
    <w:multiLevelType w:val="hybridMultilevel"/>
    <w:tmpl w:val="8A045308"/>
    <w:lvl w:ilvl="0" w:tplc="8988957A">
      <w:start w:val="1"/>
      <w:numFmt w:val="bullet"/>
      <w:pStyle w:val="CDICopyrightbullets"/>
      <w:lvlText w:val=""/>
      <w:lvlJc w:val="left"/>
      <w:pPr>
        <w:ind w:left="360" w:hanging="360"/>
      </w:pPr>
      <w:rPr>
        <w:rFonts w:ascii="Symbol" w:hAnsi="Symbol" w:hint="default"/>
        <w:color w:val="00DCA1" w:themeColor="background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608516B"/>
    <w:multiLevelType w:val="hybridMultilevel"/>
    <w:tmpl w:val="6D4EEC48"/>
    <w:lvl w:ilvl="0" w:tplc="4EA20708">
      <w:start w:val="1"/>
      <w:numFmt w:val="bullet"/>
      <w:pStyle w:val="CDIBoxbullet-Green"/>
      <w:lvlText w:val=""/>
      <w:lvlJc w:val="left"/>
      <w:pPr>
        <w:ind w:left="720" w:hanging="360"/>
      </w:pPr>
      <w:rPr>
        <w:rFonts w:ascii="Symbol" w:hAnsi="Symbol" w:hint="default"/>
        <w:color w:val="00DCA1" w:themeColor="background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8296814">
    <w:abstractNumId w:val="7"/>
  </w:num>
  <w:num w:numId="2" w16cid:durableId="1897424293">
    <w:abstractNumId w:val="12"/>
  </w:num>
  <w:num w:numId="3" w16cid:durableId="1257204005">
    <w:abstractNumId w:val="13"/>
  </w:num>
  <w:num w:numId="4" w16cid:durableId="249435281">
    <w:abstractNumId w:val="6"/>
  </w:num>
  <w:num w:numId="5" w16cid:durableId="1065370261">
    <w:abstractNumId w:val="18"/>
  </w:num>
  <w:num w:numId="6" w16cid:durableId="1981112450">
    <w:abstractNumId w:val="19"/>
  </w:num>
  <w:num w:numId="7" w16cid:durableId="1847285225">
    <w:abstractNumId w:val="20"/>
  </w:num>
  <w:num w:numId="8" w16cid:durableId="1155611035">
    <w:abstractNumId w:val="9"/>
  </w:num>
  <w:num w:numId="9" w16cid:durableId="1609970672">
    <w:abstractNumId w:val="15"/>
  </w:num>
  <w:num w:numId="10" w16cid:durableId="1791893130">
    <w:abstractNumId w:val="11"/>
  </w:num>
  <w:num w:numId="11" w16cid:durableId="470942222">
    <w:abstractNumId w:val="0"/>
  </w:num>
  <w:num w:numId="12" w16cid:durableId="564532051">
    <w:abstractNumId w:val="1"/>
  </w:num>
  <w:num w:numId="13" w16cid:durableId="1881085909">
    <w:abstractNumId w:val="3"/>
  </w:num>
  <w:num w:numId="14" w16cid:durableId="1568371897">
    <w:abstractNumId w:val="4"/>
  </w:num>
  <w:num w:numId="15" w16cid:durableId="1940402864">
    <w:abstractNumId w:val="10"/>
  </w:num>
  <w:num w:numId="16" w16cid:durableId="1786655782">
    <w:abstractNumId w:val="14"/>
  </w:num>
  <w:num w:numId="17" w16cid:durableId="479153694">
    <w:abstractNumId w:val="5"/>
  </w:num>
  <w:num w:numId="18" w16cid:durableId="283313819">
    <w:abstractNumId w:val="8"/>
  </w:num>
  <w:num w:numId="19" w16cid:durableId="1861163522">
    <w:abstractNumId w:val="5"/>
    <w:lvlOverride w:ilvl="0">
      <w:startOverride w:val="1"/>
    </w:lvlOverride>
  </w:num>
  <w:num w:numId="20" w16cid:durableId="1804809668">
    <w:abstractNumId w:val="5"/>
    <w:lvlOverride w:ilvl="0">
      <w:startOverride w:val="1"/>
    </w:lvlOverride>
  </w:num>
  <w:num w:numId="21" w16cid:durableId="1603873510">
    <w:abstractNumId w:val="5"/>
    <w:lvlOverride w:ilvl="0">
      <w:startOverride w:val="1"/>
    </w:lvlOverride>
  </w:num>
  <w:num w:numId="22" w16cid:durableId="914365539">
    <w:abstractNumId w:val="5"/>
    <w:lvlOverride w:ilvl="0">
      <w:startOverride w:val="1"/>
    </w:lvlOverride>
  </w:num>
  <w:num w:numId="23" w16cid:durableId="1022317170">
    <w:abstractNumId w:val="5"/>
    <w:lvlOverride w:ilvl="0">
      <w:startOverride w:val="1"/>
    </w:lvlOverride>
  </w:num>
  <w:num w:numId="24" w16cid:durableId="1343896282">
    <w:abstractNumId w:val="5"/>
    <w:lvlOverride w:ilvl="0">
      <w:startOverride w:val="1"/>
    </w:lvlOverride>
  </w:num>
  <w:num w:numId="25" w16cid:durableId="195311537">
    <w:abstractNumId w:val="5"/>
    <w:lvlOverride w:ilvl="0">
      <w:startOverride w:val="1"/>
    </w:lvlOverride>
  </w:num>
  <w:num w:numId="26" w16cid:durableId="939068915">
    <w:abstractNumId w:val="5"/>
    <w:lvlOverride w:ilvl="0">
      <w:startOverride w:val="1"/>
    </w:lvlOverride>
  </w:num>
  <w:num w:numId="27" w16cid:durableId="1996446220">
    <w:abstractNumId w:val="5"/>
    <w:lvlOverride w:ilvl="0">
      <w:startOverride w:val="1"/>
    </w:lvlOverride>
  </w:num>
  <w:num w:numId="28" w16cid:durableId="1808283431">
    <w:abstractNumId w:val="5"/>
    <w:lvlOverride w:ilvl="0">
      <w:startOverride w:val="1"/>
    </w:lvlOverride>
  </w:num>
  <w:num w:numId="29" w16cid:durableId="1886942018">
    <w:abstractNumId w:val="8"/>
  </w:num>
  <w:num w:numId="30" w16cid:durableId="1615593665">
    <w:abstractNumId w:val="17"/>
  </w:num>
  <w:num w:numId="31" w16cid:durableId="528883462">
    <w:abstractNumId w:val="2"/>
  </w:num>
  <w:num w:numId="32" w16cid:durableId="1956327888">
    <w:abstractNumId w:val="5"/>
    <w:lvlOverride w:ilvl="0">
      <w:startOverride w:val="1"/>
    </w:lvlOverride>
  </w:num>
  <w:num w:numId="33" w16cid:durableId="1590312649">
    <w:abstractNumId w:val="21"/>
  </w:num>
  <w:num w:numId="34" w16cid:durableId="605577607">
    <w:abstractNumId w:val="16"/>
  </w:num>
  <w:num w:numId="35" w16cid:durableId="1988583170">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F05"/>
    <w:rsid w:val="00000B5B"/>
    <w:rsid w:val="00001611"/>
    <w:rsid w:val="00002B8D"/>
    <w:rsid w:val="000104A8"/>
    <w:rsid w:val="0001246E"/>
    <w:rsid w:val="000124B1"/>
    <w:rsid w:val="000147ED"/>
    <w:rsid w:val="00014B0F"/>
    <w:rsid w:val="0001562E"/>
    <w:rsid w:val="00016FE6"/>
    <w:rsid w:val="0002642D"/>
    <w:rsid w:val="00026D55"/>
    <w:rsid w:val="00031064"/>
    <w:rsid w:val="00031692"/>
    <w:rsid w:val="00032531"/>
    <w:rsid w:val="000325A0"/>
    <w:rsid w:val="00032BCB"/>
    <w:rsid w:val="00034DCB"/>
    <w:rsid w:val="00040B99"/>
    <w:rsid w:val="000420DA"/>
    <w:rsid w:val="000471BF"/>
    <w:rsid w:val="00047B68"/>
    <w:rsid w:val="00052600"/>
    <w:rsid w:val="0005643C"/>
    <w:rsid w:val="0006264A"/>
    <w:rsid w:val="00065A6B"/>
    <w:rsid w:val="00066764"/>
    <w:rsid w:val="000705FF"/>
    <w:rsid w:val="000733B3"/>
    <w:rsid w:val="00073D77"/>
    <w:rsid w:val="00081655"/>
    <w:rsid w:val="00084BAB"/>
    <w:rsid w:val="000864E0"/>
    <w:rsid w:val="00087301"/>
    <w:rsid w:val="000969B3"/>
    <w:rsid w:val="000A26CA"/>
    <w:rsid w:val="000A5F42"/>
    <w:rsid w:val="000C34E2"/>
    <w:rsid w:val="000C3D48"/>
    <w:rsid w:val="000C3FB4"/>
    <w:rsid w:val="000D4B4D"/>
    <w:rsid w:val="000E1322"/>
    <w:rsid w:val="000E6C4C"/>
    <w:rsid w:val="000F223B"/>
    <w:rsid w:val="000F73D7"/>
    <w:rsid w:val="001020EE"/>
    <w:rsid w:val="00110B7D"/>
    <w:rsid w:val="00112E44"/>
    <w:rsid w:val="00113D58"/>
    <w:rsid w:val="001200CB"/>
    <w:rsid w:val="00122ADA"/>
    <w:rsid w:val="00126546"/>
    <w:rsid w:val="001371D9"/>
    <w:rsid w:val="001378A3"/>
    <w:rsid w:val="00146435"/>
    <w:rsid w:val="00153D94"/>
    <w:rsid w:val="00155582"/>
    <w:rsid w:val="00161590"/>
    <w:rsid w:val="00161C85"/>
    <w:rsid w:val="00163BE3"/>
    <w:rsid w:val="001704D1"/>
    <w:rsid w:val="0017056E"/>
    <w:rsid w:val="00171CC0"/>
    <w:rsid w:val="001723AC"/>
    <w:rsid w:val="00175494"/>
    <w:rsid w:val="00175629"/>
    <w:rsid w:val="001830EC"/>
    <w:rsid w:val="00183534"/>
    <w:rsid w:val="0018758E"/>
    <w:rsid w:val="00194A12"/>
    <w:rsid w:val="00197A4A"/>
    <w:rsid w:val="00197ACB"/>
    <w:rsid w:val="001A26DD"/>
    <w:rsid w:val="001A4A96"/>
    <w:rsid w:val="001A5900"/>
    <w:rsid w:val="001A5D05"/>
    <w:rsid w:val="001A796C"/>
    <w:rsid w:val="001B0E7B"/>
    <w:rsid w:val="001B248E"/>
    <w:rsid w:val="001B2614"/>
    <w:rsid w:val="001B37B8"/>
    <w:rsid w:val="001B552F"/>
    <w:rsid w:val="001C0893"/>
    <w:rsid w:val="001C1303"/>
    <w:rsid w:val="001C1BD1"/>
    <w:rsid w:val="001C2B4B"/>
    <w:rsid w:val="001C5BB1"/>
    <w:rsid w:val="001C5F09"/>
    <w:rsid w:val="001C70B2"/>
    <w:rsid w:val="001D0612"/>
    <w:rsid w:val="001D37C7"/>
    <w:rsid w:val="001D6888"/>
    <w:rsid w:val="001E4E1D"/>
    <w:rsid w:val="001E562B"/>
    <w:rsid w:val="001F0D9D"/>
    <w:rsid w:val="001F6248"/>
    <w:rsid w:val="00221481"/>
    <w:rsid w:val="00223F42"/>
    <w:rsid w:val="00224EFF"/>
    <w:rsid w:val="002276DC"/>
    <w:rsid w:val="00227E00"/>
    <w:rsid w:val="002307CB"/>
    <w:rsid w:val="00231046"/>
    <w:rsid w:val="00234F21"/>
    <w:rsid w:val="00236A5F"/>
    <w:rsid w:val="00242659"/>
    <w:rsid w:val="002428F7"/>
    <w:rsid w:val="00242A9E"/>
    <w:rsid w:val="0024315F"/>
    <w:rsid w:val="0024631C"/>
    <w:rsid w:val="00252C9A"/>
    <w:rsid w:val="00254E56"/>
    <w:rsid w:val="00256309"/>
    <w:rsid w:val="00257484"/>
    <w:rsid w:val="00260636"/>
    <w:rsid w:val="00262EA6"/>
    <w:rsid w:val="00271AFA"/>
    <w:rsid w:val="00275C5C"/>
    <w:rsid w:val="00275C78"/>
    <w:rsid w:val="00275F5D"/>
    <w:rsid w:val="00280594"/>
    <w:rsid w:val="00281EE3"/>
    <w:rsid w:val="00282B56"/>
    <w:rsid w:val="00284E4A"/>
    <w:rsid w:val="002A2E1C"/>
    <w:rsid w:val="002A3799"/>
    <w:rsid w:val="002A3BCC"/>
    <w:rsid w:val="002A4516"/>
    <w:rsid w:val="002A569F"/>
    <w:rsid w:val="002A5B2C"/>
    <w:rsid w:val="002A7066"/>
    <w:rsid w:val="002B001E"/>
    <w:rsid w:val="002B09B7"/>
    <w:rsid w:val="002B493C"/>
    <w:rsid w:val="002B75A9"/>
    <w:rsid w:val="002C21B0"/>
    <w:rsid w:val="002C3003"/>
    <w:rsid w:val="002C5D55"/>
    <w:rsid w:val="002E2FB3"/>
    <w:rsid w:val="002F327B"/>
    <w:rsid w:val="00301626"/>
    <w:rsid w:val="003059EC"/>
    <w:rsid w:val="00316727"/>
    <w:rsid w:val="00316CCD"/>
    <w:rsid w:val="00324F7E"/>
    <w:rsid w:val="0032526F"/>
    <w:rsid w:val="003316F4"/>
    <w:rsid w:val="003323BC"/>
    <w:rsid w:val="00341720"/>
    <w:rsid w:val="00343991"/>
    <w:rsid w:val="00346D42"/>
    <w:rsid w:val="00346E11"/>
    <w:rsid w:val="00351364"/>
    <w:rsid w:val="00351A5A"/>
    <w:rsid w:val="003601C0"/>
    <w:rsid w:val="003635F5"/>
    <w:rsid w:val="00371080"/>
    <w:rsid w:val="0037146D"/>
    <w:rsid w:val="00372A88"/>
    <w:rsid w:val="00381A0F"/>
    <w:rsid w:val="00381E8E"/>
    <w:rsid w:val="00390F66"/>
    <w:rsid w:val="00392D07"/>
    <w:rsid w:val="00393B4D"/>
    <w:rsid w:val="003A1B3A"/>
    <w:rsid w:val="003A40F5"/>
    <w:rsid w:val="003A5BF3"/>
    <w:rsid w:val="003B3487"/>
    <w:rsid w:val="003B5B8C"/>
    <w:rsid w:val="003B7ADD"/>
    <w:rsid w:val="003C554E"/>
    <w:rsid w:val="003C5E16"/>
    <w:rsid w:val="003C7841"/>
    <w:rsid w:val="003D15AE"/>
    <w:rsid w:val="003D5EAA"/>
    <w:rsid w:val="003D79B1"/>
    <w:rsid w:val="003E74EE"/>
    <w:rsid w:val="003F0552"/>
    <w:rsid w:val="003F3BC2"/>
    <w:rsid w:val="003F5172"/>
    <w:rsid w:val="003F725B"/>
    <w:rsid w:val="00401ED1"/>
    <w:rsid w:val="0040224C"/>
    <w:rsid w:val="004101DC"/>
    <w:rsid w:val="00411852"/>
    <w:rsid w:val="004118D0"/>
    <w:rsid w:val="00413397"/>
    <w:rsid w:val="00413EE1"/>
    <w:rsid w:val="00415494"/>
    <w:rsid w:val="004164BB"/>
    <w:rsid w:val="0042000E"/>
    <w:rsid w:val="00421ECE"/>
    <w:rsid w:val="004228F2"/>
    <w:rsid w:val="00422FEB"/>
    <w:rsid w:val="0042435E"/>
    <w:rsid w:val="004315F5"/>
    <w:rsid w:val="00433456"/>
    <w:rsid w:val="00433DFA"/>
    <w:rsid w:val="00435D67"/>
    <w:rsid w:val="0043642C"/>
    <w:rsid w:val="0043704E"/>
    <w:rsid w:val="00461653"/>
    <w:rsid w:val="00464A58"/>
    <w:rsid w:val="00464E0D"/>
    <w:rsid w:val="00470721"/>
    <w:rsid w:val="00470C19"/>
    <w:rsid w:val="00471494"/>
    <w:rsid w:val="00473D2D"/>
    <w:rsid w:val="00491C26"/>
    <w:rsid w:val="004A19B8"/>
    <w:rsid w:val="004A2125"/>
    <w:rsid w:val="004A38F6"/>
    <w:rsid w:val="004B0C95"/>
    <w:rsid w:val="004B1266"/>
    <w:rsid w:val="004B4EB6"/>
    <w:rsid w:val="004B4F34"/>
    <w:rsid w:val="004C04D3"/>
    <w:rsid w:val="004C083C"/>
    <w:rsid w:val="004C3BDE"/>
    <w:rsid w:val="004C62AA"/>
    <w:rsid w:val="004C67C6"/>
    <w:rsid w:val="004D29DE"/>
    <w:rsid w:val="004E1094"/>
    <w:rsid w:val="004E2E81"/>
    <w:rsid w:val="0050662A"/>
    <w:rsid w:val="00510EAC"/>
    <w:rsid w:val="00526875"/>
    <w:rsid w:val="00532189"/>
    <w:rsid w:val="00542A57"/>
    <w:rsid w:val="00545068"/>
    <w:rsid w:val="0054635D"/>
    <w:rsid w:val="005635C8"/>
    <w:rsid w:val="00565974"/>
    <w:rsid w:val="005732C0"/>
    <w:rsid w:val="0057336D"/>
    <w:rsid w:val="0057489A"/>
    <w:rsid w:val="00574ACF"/>
    <w:rsid w:val="00581588"/>
    <w:rsid w:val="0058540B"/>
    <w:rsid w:val="00587C87"/>
    <w:rsid w:val="00590B80"/>
    <w:rsid w:val="005B3134"/>
    <w:rsid w:val="005B4E61"/>
    <w:rsid w:val="005B595A"/>
    <w:rsid w:val="005B66C2"/>
    <w:rsid w:val="005B7F9E"/>
    <w:rsid w:val="005C1AA0"/>
    <w:rsid w:val="005C66A6"/>
    <w:rsid w:val="005D2465"/>
    <w:rsid w:val="005D4A40"/>
    <w:rsid w:val="005D79A5"/>
    <w:rsid w:val="005E33DD"/>
    <w:rsid w:val="005E3E4C"/>
    <w:rsid w:val="005E4229"/>
    <w:rsid w:val="005E5181"/>
    <w:rsid w:val="005E540E"/>
    <w:rsid w:val="005E55FB"/>
    <w:rsid w:val="005E709A"/>
    <w:rsid w:val="005F16BB"/>
    <w:rsid w:val="00602AC1"/>
    <w:rsid w:val="00604098"/>
    <w:rsid w:val="00606DFF"/>
    <w:rsid w:val="00607115"/>
    <w:rsid w:val="006108F2"/>
    <w:rsid w:val="00620509"/>
    <w:rsid w:val="00620768"/>
    <w:rsid w:val="006221DD"/>
    <w:rsid w:val="00624477"/>
    <w:rsid w:val="0062594B"/>
    <w:rsid w:val="00627997"/>
    <w:rsid w:val="006306A8"/>
    <w:rsid w:val="006307C1"/>
    <w:rsid w:val="00631406"/>
    <w:rsid w:val="006324FF"/>
    <w:rsid w:val="00632787"/>
    <w:rsid w:val="006351D6"/>
    <w:rsid w:val="00636E0D"/>
    <w:rsid w:val="0064142F"/>
    <w:rsid w:val="00643CB4"/>
    <w:rsid w:val="00644B9D"/>
    <w:rsid w:val="00656427"/>
    <w:rsid w:val="00660255"/>
    <w:rsid w:val="00661FE1"/>
    <w:rsid w:val="00663EA5"/>
    <w:rsid w:val="00666D94"/>
    <w:rsid w:val="00681509"/>
    <w:rsid w:val="00682146"/>
    <w:rsid w:val="00682E53"/>
    <w:rsid w:val="00683E6F"/>
    <w:rsid w:val="006862C0"/>
    <w:rsid w:val="00690811"/>
    <w:rsid w:val="00690957"/>
    <w:rsid w:val="00693DAE"/>
    <w:rsid w:val="00697039"/>
    <w:rsid w:val="006971F3"/>
    <w:rsid w:val="006A12BE"/>
    <w:rsid w:val="006B16A5"/>
    <w:rsid w:val="006B337D"/>
    <w:rsid w:val="006C2787"/>
    <w:rsid w:val="006C74A3"/>
    <w:rsid w:val="006D1381"/>
    <w:rsid w:val="006D31BC"/>
    <w:rsid w:val="006D4979"/>
    <w:rsid w:val="006D508B"/>
    <w:rsid w:val="006D6625"/>
    <w:rsid w:val="006E7943"/>
    <w:rsid w:val="006F24EA"/>
    <w:rsid w:val="00702D05"/>
    <w:rsid w:val="00703009"/>
    <w:rsid w:val="00704CA9"/>
    <w:rsid w:val="0071048D"/>
    <w:rsid w:val="00710F86"/>
    <w:rsid w:val="007111A8"/>
    <w:rsid w:val="00714CD2"/>
    <w:rsid w:val="00723B5F"/>
    <w:rsid w:val="00725C33"/>
    <w:rsid w:val="00731BC3"/>
    <w:rsid w:val="00731FF7"/>
    <w:rsid w:val="00733216"/>
    <w:rsid w:val="00734159"/>
    <w:rsid w:val="00741192"/>
    <w:rsid w:val="007430BF"/>
    <w:rsid w:val="00743A33"/>
    <w:rsid w:val="00743DF3"/>
    <w:rsid w:val="00745AE2"/>
    <w:rsid w:val="00746080"/>
    <w:rsid w:val="0075144A"/>
    <w:rsid w:val="00760A97"/>
    <w:rsid w:val="00771313"/>
    <w:rsid w:val="00774BA6"/>
    <w:rsid w:val="00775C3B"/>
    <w:rsid w:val="00780C3D"/>
    <w:rsid w:val="00781AEF"/>
    <w:rsid w:val="00781C54"/>
    <w:rsid w:val="007828D7"/>
    <w:rsid w:val="007852D0"/>
    <w:rsid w:val="00785B51"/>
    <w:rsid w:val="00786329"/>
    <w:rsid w:val="007918B3"/>
    <w:rsid w:val="00792C7D"/>
    <w:rsid w:val="00794293"/>
    <w:rsid w:val="00794A4D"/>
    <w:rsid w:val="007A159E"/>
    <w:rsid w:val="007A2D74"/>
    <w:rsid w:val="007A33B9"/>
    <w:rsid w:val="007A35A0"/>
    <w:rsid w:val="007A4B9B"/>
    <w:rsid w:val="007A5234"/>
    <w:rsid w:val="007A764D"/>
    <w:rsid w:val="007B7854"/>
    <w:rsid w:val="007C1CF5"/>
    <w:rsid w:val="007C457F"/>
    <w:rsid w:val="007C56A1"/>
    <w:rsid w:val="007C6454"/>
    <w:rsid w:val="007D5B5D"/>
    <w:rsid w:val="007D6F3B"/>
    <w:rsid w:val="007E01E0"/>
    <w:rsid w:val="007E5CA0"/>
    <w:rsid w:val="007E610C"/>
    <w:rsid w:val="007E6297"/>
    <w:rsid w:val="007E7486"/>
    <w:rsid w:val="007F0B93"/>
    <w:rsid w:val="007F2ECA"/>
    <w:rsid w:val="007F66A6"/>
    <w:rsid w:val="008019B9"/>
    <w:rsid w:val="00802960"/>
    <w:rsid w:val="0080547B"/>
    <w:rsid w:val="00805663"/>
    <w:rsid w:val="00811708"/>
    <w:rsid w:val="00813007"/>
    <w:rsid w:val="0081404B"/>
    <w:rsid w:val="00816B90"/>
    <w:rsid w:val="00817799"/>
    <w:rsid w:val="00821796"/>
    <w:rsid w:val="00822F5F"/>
    <w:rsid w:val="00824FD3"/>
    <w:rsid w:val="008261E4"/>
    <w:rsid w:val="00826589"/>
    <w:rsid w:val="00830070"/>
    <w:rsid w:val="00830F91"/>
    <w:rsid w:val="00834BCC"/>
    <w:rsid w:val="008355D9"/>
    <w:rsid w:val="00836451"/>
    <w:rsid w:val="008446AE"/>
    <w:rsid w:val="00850D54"/>
    <w:rsid w:val="00852E2B"/>
    <w:rsid w:val="00862C50"/>
    <w:rsid w:val="00863F8D"/>
    <w:rsid w:val="008714B0"/>
    <w:rsid w:val="00872A7F"/>
    <w:rsid w:val="00876331"/>
    <w:rsid w:val="00877B90"/>
    <w:rsid w:val="00880726"/>
    <w:rsid w:val="0089025E"/>
    <w:rsid w:val="008A0736"/>
    <w:rsid w:val="008A3532"/>
    <w:rsid w:val="008A3544"/>
    <w:rsid w:val="008B48B8"/>
    <w:rsid w:val="008B5348"/>
    <w:rsid w:val="008B58F8"/>
    <w:rsid w:val="008B62FF"/>
    <w:rsid w:val="008C0712"/>
    <w:rsid w:val="008C4520"/>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4CC1"/>
    <w:rsid w:val="009066AF"/>
    <w:rsid w:val="00906D66"/>
    <w:rsid w:val="00910578"/>
    <w:rsid w:val="00912050"/>
    <w:rsid w:val="00912A31"/>
    <w:rsid w:val="00912E48"/>
    <w:rsid w:val="00912E68"/>
    <w:rsid w:val="00923159"/>
    <w:rsid w:val="00925E8A"/>
    <w:rsid w:val="0092746F"/>
    <w:rsid w:val="00935DC9"/>
    <w:rsid w:val="00937F3C"/>
    <w:rsid w:val="00942D10"/>
    <w:rsid w:val="009446C0"/>
    <w:rsid w:val="00947BAF"/>
    <w:rsid w:val="00951883"/>
    <w:rsid w:val="009527E3"/>
    <w:rsid w:val="009533E1"/>
    <w:rsid w:val="0096082E"/>
    <w:rsid w:val="00961347"/>
    <w:rsid w:val="00962C2F"/>
    <w:rsid w:val="00964753"/>
    <w:rsid w:val="00965AD4"/>
    <w:rsid w:val="009666BE"/>
    <w:rsid w:val="00967410"/>
    <w:rsid w:val="00967D73"/>
    <w:rsid w:val="00970B9A"/>
    <w:rsid w:val="00971C4F"/>
    <w:rsid w:val="009745B6"/>
    <w:rsid w:val="0098119A"/>
    <w:rsid w:val="009823EE"/>
    <w:rsid w:val="00984AAF"/>
    <w:rsid w:val="00985521"/>
    <w:rsid w:val="00991B09"/>
    <w:rsid w:val="0099319C"/>
    <w:rsid w:val="00993CB2"/>
    <w:rsid w:val="009A0251"/>
    <w:rsid w:val="009A218B"/>
    <w:rsid w:val="009A5166"/>
    <w:rsid w:val="009A76F8"/>
    <w:rsid w:val="009B2B83"/>
    <w:rsid w:val="009C49F8"/>
    <w:rsid w:val="009D0F93"/>
    <w:rsid w:val="009D56E7"/>
    <w:rsid w:val="009D77CC"/>
    <w:rsid w:val="009D797A"/>
    <w:rsid w:val="009E2423"/>
    <w:rsid w:val="009E5490"/>
    <w:rsid w:val="009E55D7"/>
    <w:rsid w:val="009F4150"/>
    <w:rsid w:val="009F5665"/>
    <w:rsid w:val="009F5DAD"/>
    <w:rsid w:val="009F71CB"/>
    <w:rsid w:val="009F752C"/>
    <w:rsid w:val="00A01BCA"/>
    <w:rsid w:val="00A07088"/>
    <w:rsid w:val="00A10458"/>
    <w:rsid w:val="00A104E5"/>
    <w:rsid w:val="00A14629"/>
    <w:rsid w:val="00A153B6"/>
    <w:rsid w:val="00A164D5"/>
    <w:rsid w:val="00A20C2D"/>
    <w:rsid w:val="00A20E4F"/>
    <w:rsid w:val="00A25601"/>
    <w:rsid w:val="00A2678D"/>
    <w:rsid w:val="00A273C3"/>
    <w:rsid w:val="00A30C37"/>
    <w:rsid w:val="00A34275"/>
    <w:rsid w:val="00A3671B"/>
    <w:rsid w:val="00A36C65"/>
    <w:rsid w:val="00A37AE9"/>
    <w:rsid w:val="00A41BBE"/>
    <w:rsid w:val="00A443E3"/>
    <w:rsid w:val="00A45BDD"/>
    <w:rsid w:val="00A46060"/>
    <w:rsid w:val="00A46A0A"/>
    <w:rsid w:val="00A51E0E"/>
    <w:rsid w:val="00A553F8"/>
    <w:rsid w:val="00A5606F"/>
    <w:rsid w:val="00A56852"/>
    <w:rsid w:val="00A56D0C"/>
    <w:rsid w:val="00A571EC"/>
    <w:rsid w:val="00A623E8"/>
    <w:rsid w:val="00A649E7"/>
    <w:rsid w:val="00A65DFA"/>
    <w:rsid w:val="00A6708F"/>
    <w:rsid w:val="00A71BF6"/>
    <w:rsid w:val="00A72AF9"/>
    <w:rsid w:val="00A74050"/>
    <w:rsid w:val="00A86F9A"/>
    <w:rsid w:val="00A95A81"/>
    <w:rsid w:val="00AA3329"/>
    <w:rsid w:val="00AA35E6"/>
    <w:rsid w:val="00AA50B6"/>
    <w:rsid w:val="00AA78FF"/>
    <w:rsid w:val="00AB3472"/>
    <w:rsid w:val="00AB3C13"/>
    <w:rsid w:val="00AC0F5D"/>
    <w:rsid w:val="00AC27EF"/>
    <w:rsid w:val="00AC4595"/>
    <w:rsid w:val="00AC659C"/>
    <w:rsid w:val="00AC66D9"/>
    <w:rsid w:val="00AC7CD7"/>
    <w:rsid w:val="00AD0762"/>
    <w:rsid w:val="00AE0209"/>
    <w:rsid w:val="00AE3DCF"/>
    <w:rsid w:val="00AE4452"/>
    <w:rsid w:val="00AE6604"/>
    <w:rsid w:val="00AE7C38"/>
    <w:rsid w:val="00AF1538"/>
    <w:rsid w:val="00AF2679"/>
    <w:rsid w:val="00AF2814"/>
    <w:rsid w:val="00AF5008"/>
    <w:rsid w:val="00AF6920"/>
    <w:rsid w:val="00B01F99"/>
    <w:rsid w:val="00B02B37"/>
    <w:rsid w:val="00B05276"/>
    <w:rsid w:val="00B132DB"/>
    <w:rsid w:val="00B15F5B"/>
    <w:rsid w:val="00B20A91"/>
    <w:rsid w:val="00B24295"/>
    <w:rsid w:val="00B24C05"/>
    <w:rsid w:val="00B26F80"/>
    <w:rsid w:val="00B31427"/>
    <w:rsid w:val="00B3166B"/>
    <w:rsid w:val="00B32FF9"/>
    <w:rsid w:val="00B33861"/>
    <w:rsid w:val="00B33E0B"/>
    <w:rsid w:val="00B40DE2"/>
    <w:rsid w:val="00B4377A"/>
    <w:rsid w:val="00B50210"/>
    <w:rsid w:val="00B50D8D"/>
    <w:rsid w:val="00B53955"/>
    <w:rsid w:val="00B53BFC"/>
    <w:rsid w:val="00B63C79"/>
    <w:rsid w:val="00B6408A"/>
    <w:rsid w:val="00B6478A"/>
    <w:rsid w:val="00B714B8"/>
    <w:rsid w:val="00B716E8"/>
    <w:rsid w:val="00B814CF"/>
    <w:rsid w:val="00B82C2C"/>
    <w:rsid w:val="00B85721"/>
    <w:rsid w:val="00B85F35"/>
    <w:rsid w:val="00B8720B"/>
    <w:rsid w:val="00B876EF"/>
    <w:rsid w:val="00B91551"/>
    <w:rsid w:val="00B91FB5"/>
    <w:rsid w:val="00B9572B"/>
    <w:rsid w:val="00BA2598"/>
    <w:rsid w:val="00BA4697"/>
    <w:rsid w:val="00BA5893"/>
    <w:rsid w:val="00BB5378"/>
    <w:rsid w:val="00BB6F53"/>
    <w:rsid w:val="00BC086C"/>
    <w:rsid w:val="00BC0BD3"/>
    <w:rsid w:val="00BC5BA6"/>
    <w:rsid w:val="00BD0107"/>
    <w:rsid w:val="00BD2220"/>
    <w:rsid w:val="00BD4DBE"/>
    <w:rsid w:val="00BE0C33"/>
    <w:rsid w:val="00BE0FE9"/>
    <w:rsid w:val="00BE262C"/>
    <w:rsid w:val="00BE4C25"/>
    <w:rsid w:val="00BE6C3D"/>
    <w:rsid w:val="00BF42FE"/>
    <w:rsid w:val="00C02B29"/>
    <w:rsid w:val="00C06DA4"/>
    <w:rsid w:val="00C07606"/>
    <w:rsid w:val="00C12542"/>
    <w:rsid w:val="00C130EE"/>
    <w:rsid w:val="00C24725"/>
    <w:rsid w:val="00C30BA9"/>
    <w:rsid w:val="00C32396"/>
    <w:rsid w:val="00C32715"/>
    <w:rsid w:val="00C3541E"/>
    <w:rsid w:val="00C36A8F"/>
    <w:rsid w:val="00C401C8"/>
    <w:rsid w:val="00C42834"/>
    <w:rsid w:val="00C42FFA"/>
    <w:rsid w:val="00C47780"/>
    <w:rsid w:val="00C47C8C"/>
    <w:rsid w:val="00C507D8"/>
    <w:rsid w:val="00C51F5A"/>
    <w:rsid w:val="00C57018"/>
    <w:rsid w:val="00C62EAC"/>
    <w:rsid w:val="00C63F9F"/>
    <w:rsid w:val="00C6558E"/>
    <w:rsid w:val="00C66F97"/>
    <w:rsid w:val="00C7723C"/>
    <w:rsid w:val="00C838F5"/>
    <w:rsid w:val="00C841C0"/>
    <w:rsid w:val="00CA1AF4"/>
    <w:rsid w:val="00CA6068"/>
    <w:rsid w:val="00CA757A"/>
    <w:rsid w:val="00CB15E1"/>
    <w:rsid w:val="00CB3D46"/>
    <w:rsid w:val="00CB3D75"/>
    <w:rsid w:val="00CC0771"/>
    <w:rsid w:val="00CD1A87"/>
    <w:rsid w:val="00CD35F3"/>
    <w:rsid w:val="00CD5C93"/>
    <w:rsid w:val="00CD69CD"/>
    <w:rsid w:val="00CE342B"/>
    <w:rsid w:val="00CE63A5"/>
    <w:rsid w:val="00CF131F"/>
    <w:rsid w:val="00CF320C"/>
    <w:rsid w:val="00CF3A4B"/>
    <w:rsid w:val="00CF4001"/>
    <w:rsid w:val="00CF75DF"/>
    <w:rsid w:val="00D05837"/>
    <w:rsid w:val="00D12D8A"/>
    <w:rsid w:val="00D13E0C"/>
    <w:rsid w:val="00D20FB5"/>
    <w:rsid w:val="00D25896"/>
    <w:rsid w:val="00D26EE6"/>
    <w:rsid w:val="00D33918"/>
    <w:rsid w:val="00D34AAF"/>
    <w:rsid w:val="00D373A1"/>
    <w:rsid w:val="00D37C0F"/>
    <w:rsid w:val="00D4113F"/>
    <w:rsid w:val="00D43E8E"/>
    <w:rsid w:val="00D45661"/>
    <w:rsid w:val="00D45943"/>
    <w:rsid w:val="00D47D22"/>
    <w:rsid w:val="00D51865"/>
    <w:rsid w:val="00D51D0C"/>
    <w:rsid w:val="00D52ECE"/>
    <w:rsid w:val="00D55D13"/>
    <w:rsid w:val="00D56C54"/>
    <w:rsid w:val="00D6407A"/>
    <w:rsid w:val="00D64A19"/>
    <w:rsid w:val="00D67F05"/>
    <w:rsid w:val="00D7189B"/>
    <w:rsid w:val="00D7327C"/>
    <w:rsid w:val="00D74140"/>
    <w:rsid w:val="00D80045"/>
    <w:rsid w:val="00D93AD4"/>
    <w:rsid w:val="00DA2E9E"/>
    <w:rsid w:val="00DA6E56"/>
    <w:rsid w:val="00DA78DD"/>
    <w:rsid w:val="00DB0DF2"/>
    <w:rsid w:val="00DB1C65"/>
    <w:rsid w:val="00DC0C4C"/>
    <w:rsid w:val="00DC24E5"/>
    <w:rsid w:val="00DC3B05"/>
    <w:rsid w:val="00DC6705"/>
    <w:rsid w:val="00DD1EF6"/>
    <w:rsid w:val="00DD2DE8"/>
    <w:rsid w:val="00DE04B8"/>
    <w:rsid w:val="00DE2BFC"/>
    <w:rsid w:val="00DE38B4"/>
    <w:rsid w:val="00DE4482"/>
    <w:rsid w:val="00DE5D02"/>
    <w:rsid w:val="00DF1E91"/>
    <w:rsid w:val="00DF2102"/>
    <w:rsid w:val="00DF3D35"/>
    <w:rsid w:val="00DF48CC"/>
    <w:rsid w:val="00DF78F3"/>
    <w:rsid w:val="00E005A9"/>
    <w:rsid w:val="00E03579"/>
    <w:rsid w:val="00E040CF"/>
    <w:rsid w:val="00E065BA"/>
    <w:rsid w:val="00E115A8"/>
    <w:rsid w:val="00E1166E"/>
    <w:rsid w:val="00E24DC0"/>
    <w:rsid w:val="00E2519C"/>
    <w:rsid w:val="00E25229"/>
    <w:rsid w:val="00E25F2A"/>
    <w:rsid w:val="00E271F7"/>
    <w:rsid w:val="00E30C30"/>
    <w:rsid w:val="00E34468"/>
    <w:rsid w:val="00E35EB1"/>
    <w:rsid w:val="00E363D2"/>
    <w:rsid w:val="00E41455"/>
    <w:rsid w:val="00E42AD2"/>
    <w:rsid w:val="00E50856"/>
    <w:rsid w:val="00E518FD"/>
    <w:rsid w:val="00E538CC"/>
    <w:rsid w:val="00E54BBD"/>
    <w:rsid w:val="00E54DBA"/>
    <w:rsid w:val="00E57DB7"/>
    <w:rsid w:val="00E63D7C"/>
    <w:rsid w:val="00E640D5"/>
    <w:rsid w:val="00E64C4F"/>
    <w:rsid w:val="00E66E2E"/>
    <w:rsid w:val="00E67691"/>
    <w:rsid w:val="00E714F6"/>
    <w:rsid w:val="00E80F90"/>
    <w:rsid w:val="00E87669"/>
    <w:rsid w:val="00E877F0"/>
    <w:rsid w:val="00E92237"/>
    <w:rsid w:val="00E951EF"/>
    <w:rsid w:val="00EA1A80"/>
    <w:rsid w:val="00EA387D"/>
    <w:rsid w:val="00EA3D54"/>
    <w:rsid w:val="00EA42F9"/>
    <w:rsid w:val="00EA487F"/>
    <w:rsid w:val="00EA5244"/>
    <w:rsid w:val="00EA56D9"/>
    <w:rsid w:val="00EA5CE3"/>
    <w:rsid w:val="00EA6AD8"/>
    <w:rsid w:val="00EA7AB8"/>
    <w:rsid w:val="00EB51C1"/>
    <w:rsid w:val="00EB5AE1"/>
    <w:rsid w:val="00EB5E0B"/>
    <w:rsid w:val="00EB7247"/>
    <w:rsid w:val="00EB7C2A"/>
    <w:rsid w:val="00EC05A3"/>
    <w:rsid w:val="00EC2171"/>
    <w:rsid w:val="00ED442D"/>
    <w:rsid w:val="00ED70C2"/>
    <w:rsid w:val="00EE18FF"/>
    <w:rsid w:val="00EE1D64"/>
    <w:rsid w:val="00EE3E29"/>
    <w:rsid w:val="00EE489F"/>
    <w:rsid w:val="00EE558A"/>
    <w:rsid w:val="00EE70B0"/>
    <w:rsid w:val="00EF082D"/>
    <w:rsid w:val="00EF55AE"/>
    <w:rsid w:val="00F0647F"/>
    <w:rsid w:val="00F10CE3"/>
    <w:rsid w:val="00F12006"/>
    <w:rsid w:val="00F13443"/>
    <w:rsid w:val="00F14F3B"/>
    <w:rsid w:val="00F16362"/>
    <w:rsid w:val="00F207C7"/>
    <w:rsid w:val="00F24CCA"/>
    <w:rsid w:val="00F27185"/>
    <w:rsid w:val="00F34C4E"/>
    <w:rsid w:val="00F35D78"/>
    <w:rsid w:val="00F36B6D"/>
    <w:rsid w:val="00F41618"/>
    <w:rsid w:val="00F4166D"/>
    <w:rsid w:val="00F43FA3"/>
    <w:rsid w:val="00F4712F"/>
    <w:rsid w:val="00F4772B"/>
    <w:rsid w:val="00F510E5"/>
    <w:rsid w:val="00F55648"/>
    <w:rsid w:val="00F568F7"/>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9BB"/>
    <w:rsid w:val="00F81EF3"/>
    <w:rsid w:val="00F82066"/>
    <w:rsid w:val="00F84496"/>
    <w:rsid w:val="00F85DCB"/>
    <w:rsid w:val="00F86F9C"/>
    <w:rsid w:val="00F90D76"/>
    <w:rsid w:val="00F94055"/>
    <w:rsid w:val="00F95581"/>
    <w:rsid w:val="00FB17AB"/>
    <w:rsid w:val="00FB48CF"/>
    <w:rsid w:val="00FC002E"/>
    <w:rsid w:val="00FC4C23"/>
    <w:rsid w:val="00FC6204"/>
    <w:rsid w:val="00FC642E"/>
    <w:rsid w:val="00FD6229"/>
    <w:rsid w:val="00FE081C"/>
    <w:rsid w:val="00FE2AE4"/>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A4C00A"/>
  <w15:docId w15:val="{A9256D60-5413-4C7D-92E4-6372D04D1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8FD"/>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4C62AA"/>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4C62AA"/>
    <w:pPr>
      <w:keepNext/>
      <w:autoSpaceDE w:val="0"/>
      <w:autoSpaceDN w:val="0"/>
      <w:adjustRightInd w:val="0"/>
      <w:spacing w:before="360" w:line="240" w:lineRule="auto"/>
      <w:textAlignment w:val="center"/>
      <w:outlineLvl w:val="1"/>
    </w:pPr>
    <w:rPr>
      <w:rFonts w:ascii="Arial" w:hAnsi="Arial" w:cs="MyriadPro-Bold"/>
      <w:b/>
      <w:bCs/>
      <w:color w:val="033636" w:themeColor="text2"/>
      <w:sz w:val="38"/>
      <w:szCs w:val="28"/>
    </w:rPr>
  </w:style>
  <w:style w:type="paragraph" w:styleId="Heading3">
    <w:name w:val="heading 3"/>
    <w:basedOn w:val="Normal"/>
    <w:next w:val="Normal"/>
    <w:link w:val="Heading3Char"/>
    <w:uiPriority w:val="9"/>
    <w:unhideWhenUsed/>
    <w:qFormat/>
    <w:rsid w:val="004C62AA"/>
    <w:pPr>
      <w:keepNext/>
      <w:keepLines/>
      <w:autoSpaceDE w:val="0"/>
      <w:autoSpaceDN w:val="0"/>
      <w:adjustRightInd w:val="0"/>
      <w:spacing w:before="360" w:line="240" w:lineRule="auto"/>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BA2598"/>
    <w:pPr>
      <w:keepNext/>
      <w:keepLines/>
      <w:spacing w:before="360" w:line="240" w:lineRule="auto"/>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4C62AA"/>
    <w:pPr>
      <w:keepNext/>
      <w:spacing w:line="240" w:lineRule="auto"/>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4C62AA"/>
    <w:pPr>
      <w:keepNext/>
      <w:keepLines/>
      <w:spacing w:line="240" w:lineRule="auto"/>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2AA"/>
    <w:rPr>
      <w:rFonts w:ascii="Arial" w:hAnsi="Arial" w:cs="Manrope ExtraLight"/>
      <w:b/>
      <w:color w:val="033636" w:themeColor="text2"/>
      <w:sz w:val="48"/>
      <w:szCs w:val="32"/>
      <w14:ligatures w14:val="standardContextual"/>
    </w:rPr>
  </w:style>
  <w:style w:type="paragraph" w:customStyle="1" w:styleId="CDIFooter">
    <w:name w:val="CDI Footer"/>
    <w:basedOn w:val="Normal"/>
    <w:link w:val="CDIFooterChar"/>
    <w:qFormat/>
    <w:rsid w:val="00BA2598"/>
    <w:pPr>
      <w:spacing w:before="0" w:line="240" w:lineRule="auto"/>
    </w:pPr>
    <w:rPr>
      <w:sz w:val="18"/>
      <w:szCs w:val="18"/>
    </w:rPr>
  </w:style>
  <w:style w:type="character" w:customStyle="1" w:styleId="Heading2Char">
    <w:name w:val="Heading 2 Char"/>
    <w:basedOn w:val="DefaultParagraphFont"/>
    <w:link w:val="Heading2"/>
    <w:uiPriority w:val="9"/>
    <w:rsid w:val="004C62AA"/>
    <w:rPr>
      <w:rFonts w:ascii="Arial" w:hAnsi="Arial" w:cs="MyriadPro-Bold"/>
      <w:b/>
      <w:bCs/>
      <w:color w:val="033636" w:themeColor="text2"/>
      <w:sz w:val="38"/>
      <w:szCs w:val="28"/>
      <w14:ligatures w14:val="standardContextual"/>
    </w:rPr>
  </w:style>
  <w:style w:type="paragraph" w:customStyle="1" w:styleId="CDIBoxsummaryheading-Teal">
    <w:name w:val="CDI Box summary heading - Teal"/>
    <w:basedOn w:val="CDIBoxheading-Teal"/>
    <w:rsid w:val="00734159"/>
    <w:rPr>
      <w:b/>
      <w:bCs/>
      <w:sz w:val="48"/>
    </w:rPr>
  </w:style>
  <w:style w:type="paragraph" w:styleId="Title">
    <w:name w:val="Title"/>
    <w:basedOn w:val="Normal"/>
    <w:next w:val="Normal"/>
    <w:link w:val="TitleChar"/>
    <w:uiPriority w:val="10"/>
    <w:rsid w:val="00040B99"/>
    <w:pPr>
      <w:spacing w:before="480" w:line="240" w:lineRule="auto"/>
      <w:outlineLvl w:val="0"/>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040B99"/>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4C62AA"/>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BA2598"/>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4C62AA"/>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4C62AA"/>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734159"/>
    <w:pPr>
      <w:keepNext/>
    </w:pPr>
    <w:rPr>
      <w:rFonts w:ascii="Arial Narrow" w:hAnsi="Arial Narrow"/>
      <w:sz w:val="26"/>
    </w:rPr>
  </w:style>
  <w:style w:type="character" w:customStyle="1" w:styleId="SubtitleChar">
    <w:name w:val="Subtitle Char"/>
    <w:basedOn w:val="DefaultParagraphFont"/>
    <w:link w:val="Subtitle"/>
    <w:uiPriority w:val="11"/>
    <w:rsid w:val="00734159"/>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character" w:styleId="UnresolvedMention">
    <w:name w:val="Unresolved Mention"/>
    <w:basedOn w:val="DefaultParagraphFont"/>
    <w:uiPriority w:val="99"/>
    <w:semiHidden/>
    <w:unhideWhenUsed/>
    <w:rsid w:val="006307C1"/>
    <w:rPr>
      <w:color w:val="605E5C"/>
      <w:shd w:val="clear" w:color="auto" w:fill="E1DFDD"/>
    </w:rPr>
  </w:style>
  <w:style w:type="paragraph" w:styleId="Footer">
    <w:name w:val="footer"/>
    <w:basedOn w:val="Normal"/>
    <w:link w:val="FooterChar"/>
    <w:uiPriority w:val="99"/>
    <w:unhideWhenUsed/>
    <w:rsid w:val="0073415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34159"/>
    <w:rPr>
      <w:rFonts w:ascii="Calibri" w:hAnsi="Calibri"/>
      <w14:ligatures w14:val="standardContextual"/>
    </w:rPr>
  </w:style>
  <w:style w:type="character" w:styleId="PlaceholderText">
    <w:name w:val="Placeholder Text"/>
    <w:basedOn w:val="DefaultParagraphFont"/>
    <w:uiPriority w:val="99"/>
    <w:semiHidden/>
    <w:rsid w:val="00433DFA"/>
    <w:rPr>
      <w:color w:val="808080"/>
    </w:rPr>
  </w:style>
  <w:style w:type="paragraph" w:styleId="Header">
    <w:name w:val="header"/>
    <w:basedOn w:val="Normal"/>
    <w:link w:val="HeaderChar"/>
    <w:uiPriority w:val="99"/>
    <w:unhideWhenUsed/>
    <w:rsid w:val="00690957"/>
    <w:pPr>
      <w:spacing w:before="0" w:line="240" w:lineRule="auto"/>
    </w:p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paragraph" w:customStyle="1" w:styleId="Heading2-nospacebefore">
    <w:name w:val="Heading 2 - no space before"/>
    <w:basedOn w:val="Heading2"/>
    <w:link w:val="Heading2-nospacebeforeChar"/>
    <w:qFormat/>
    <w:rsid w:val="004C62AA"/>
    <w:pPr>
      <w:spacing w:before="0"/>
    </w:pPr>
    <w:rPr>
      <w:lang w:val="en-GB"/>
    </w:rPr>
  </w:style>
  <w:style w:type="character" w:customStyle="1" w:styleId="Bold">
    <w:name w:val="Bold"/>
    <w:uiPriority w:val="99"/>
    <w:rsid w:val="00526875"/>
    <w:rPr>
      <w:b/>
      <w:bCs/>
    </w:rPr>
  </w:style>
  <w:style w:type="paragraph" w:customStyle="1" w:styleId="CDITable-Title">
    <w:name w:val="CDI Table - Title"/>
    <w:basedOn w:val="Normal"/>
    <w:uiPriority w:val="99"/>
    <w:rsid w:val="00734159"/>
    <w:pPr>
      <w:keepNext/>
      <w:suppressAutoHyphens/>
      <w:autoSpaceDE w:val="0"/>
      <w:autoSpaceDN w:val="0"/>
      <w:adjustRightInd w:val="0"/>
      <w:spacing w:after="120"/>
      <w:textAlignment w:val="center"/>
    </w:pPr>
    <w:rPr>
      <w:rFonts w:cs="Minion3-Bold"/>
      <w:b/>
      <w:bCs/>
      <w:szCs w:val="23"/>
      <w:lang w:val="en-GB"/>
    </w:rPr>
  </w:style>
  <w:style w:type="paragraph" w:customStyle="1" w:styleId="CDITable-Footnote">
    <w:name w:val="CDI Table - Footnote"/>
    <w:basedOn w:val="Normal"/>
    <w:link w:val="CDITable-FootnoteChar"/>
    <w:uiPriority w:val="99"/>
    <w:rsid w:val="00734159"/>
    <w:pPr>
      <w:autoSpaceDE w:val="0"/>
      <w:autoSpaceDN w:val="0"/>
      <w:adjustRightInd w:val="0"/>
      <w:spacing w:before="40"/>
      <w:ind w:left="284" w:hanging="284"/>
      <w:textAlignment w:val="center"/>
    </w:pPr>
    <w:rPr>
      <w:rFonts w:cs="Minion3Caption-Regular"/>
      <w:sz w:val="16"/>
      <w:szCs w:val="16"/>
      <w:lang w:val="en-GB"/>
    </w:rPr>
  </w:style>
  <w:style w:type="paragraph" w:customStyle="1" w:styleId="CDICopyrighttext">
    <w:name w:val="CDI Copyright text"/>
    <w:basedOn w:val="CDIBoxtext-Green"/>
    <w:qFormat/>
    <w:rsid w:val="00C32715"/>
    <w:pPr>
      <w:spacing w:before="0"/>
    </w:pPr>
    <w:rPr>
      <w:sz w:val="20"/>
      <w:szCs w:val="20"/>
    </w:rPr>
  </w:style>
  <w:style w:type="paragraph" w:customStyle="1" w:styleId="CDICopyrightbullets">
    <w:name w:val="CDI Copyright bullets"/>
    <w:basedOn w:val="CDIBoxbullet-Green"/>
    <w:qFormat/>
    <w:rsid w:val="00AC7CD7"/>
    <w:pPr>
      <w:numPr>
        <w:numId w:val="30"/>
      </w:numPr>
      <w:spacing w:before="60" w:after="60"/>
      <w:ind w:left="284" w:hanging="284"/>
    </w:pPr>
    <w:rPr>
      <w:sz w:val="20"/>
      <w:szCs w:val="20"/>
    </w:rPr>
  </w:style>
  <w:style w:type="paragraph" w:customStyle="1" w:styleId="Heading3-nospacebefore">
    <w:name w:val="Heading 3 - no space before"/>
    <w:basedOn w:val="Heading3"/>
    <w:next w:val="Normal"/>
    <w:link w:val="Heading3-nospacebeforeChar"/>
    <w:qFormat/>
    <w:rsid w:val="00BA2598"/>
    <w:pPr>
      <w:spacing w:before="0"/>
    </w:pPr>
    <w:rPr>
      <w:lang w:val="en-GB"/>
    </w:rPr>
  </w:style>
  <w:style w:type="character" w:customStyle="1" w:styleId="CDITable-FootnoteChar">
    <w:name w:val="CDI Table - Footnote Char"/>
    <w:basedOn w:val="DefaultParagraphFont"/>
    <w:link w:val="CDITable-Footnote"/>
    <w:uiPriority w:val="99"/>
    <w:rsid w:val="00734159"/>
    <w:rPr>
      <w:rFonts w:ascii="Calibri" w:hAnsi="Calibri" w:cs="Minion3Caption-Regular"/>
      <w:sz w:val="16"/>
      <w:szCs w:val="16"/>
      <w:lang w:val="en-GB"/>
      <w14:ligatures w14:val="standardContextual"/>
    </w:rPr>
  </w:style>
  <w:style w:type="paragraph" w:customStyle="1" w:styleId="CDIBullets-L1">
    <w:name w:val="CDI Bullets - L1"/>
    <w:basedOn w:val="Normal"/>
    <w:uiPriority w:val="99"/>
    <w:rsid w:val="00734159"/>
    <w:pPr>
      <w:numPr>
        <w:numId w:val="29"/>
      </w:numPr>
      <w:suppressAutoHyphens/>
      <w:autoSpaceDE w:val="0"/>
      <w:autoSpaceDN w:val="0"/>
      <w:adjustRightInd w:val="0"/>
      <w:textAlignment w:val="center"/>
    </w:pPr>
    <w:rPr>
      <w:rFonts w:cs="Minion3-Regular"/>
      <w:szCs w:val="23"/>
      <w:lang w:val="en-GB"/>
    </w:rPr>
  </w:style>
  <w:style w:type="paragraph" w:customStyle="1" w:styleId="CDINumberedList1-L1">
    <w:name w:val="CDI Numbered List (1.) - L1"/>
    <w:basedOn w:val="Normal"/>
    <w:uiPriority w:val="99"/>
    <w:rsid w:val="00065A6B"/>
    <w:pPr>
      <w:keepLines/>
      <w:numPr>
        <w:numId w:val="17"/>
      </w:numPr>
      <w:autoSpaceDE w:val="0"/>
      <w:autoSpaceDN w:val="0"/>
      <w:adjustRightInd w:val="0"/>
      <w:ind w:left="397" w:hanging="397"/>
      <w:textAlignment w:val="center"/>
    </w:pPr>
    <w:rPr>
      <w:rFonts w:cs="Minion3-Regular"/>
      <w:szCs w:val="23"/>
      <w:lang w:val="en-GB"/>
    </w:rPr>
  </w:style>
  <w:style w:type="paragraph" w:customStyle="1" w:styleId="CDIBoxbullet-Green">
    <w:name w:val="CDI Box bullet - Green"/>
    <w:basedOn w:val="Normal"/>
    <w:qFormat/>
    <w:rsid w:val="00906D66"/>
    <w:pPr>
      <w:numPr>
        <w:numId w:val="33"/>
      </w:num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contextualSpacing/>
    </w:pPr>
    <w:rPr>
      <w:rFonts w:eastAsia="Arial"/>
      <w:kern w:val="2"/>
      <w:szCs w:val="24"/>
      <w:lang w:eastAsia="en-US"/>
    </w:rPr>
  </w:style>
  <w:style w:type="paragraph" w:customStyle="1" w:styleId="CDIBoxheading-Teal">
    <w:name w:val="CDI Box heading - Teal"/>
    <w:basedOn w:val="Normal"/>
    <w:qFormat/>
    <w:rsid w:val="00E518FD"/>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1"/>
    </w:pPr>
    <w:rPr>
      <w:rFonts w:ascii="Arial" w:eastAsia="Times New Roman" w:hAnsi="Arial" w:cs="Times New Roman"/>
      <w:color w:val="033636" w:themeColor="text2"/>
      <w:kern w:val="2"/>
      <w:sz w:val="32"/>
      <w:szCs w:val="24"/>
      <w:lang w:eastAsia="en-US"/>
    </w:rPr>
  </w:style>
  <w:style w:type="paragraph" w:customStyle="1" w:styleId="CDIBoxtext-Green">
    <w:name w:val="CDI Box text -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pPr>
  </w:style>
  <w:style w:type="paragraph" w:customStyle="1" w:styleId="CDIDOIinformation">
    <w:name w:val="CDI DOI information"/>
    <w:basedOn w:val="Normal"/>
    <w:qFormat/>
    <w:rsid w:val="00C02B29"/>
    <w:pPr>
      <w:spacing w:before="600"/>
    </w:pPr>
    <w:rPr>
      <w:rFonts w:ascii="Arial Narrow" w:hAnsi="Arial Narrow"/>
    </w:rPr>
  </w:style>
  <w:style w:type="paragraph" w:customStyle="1" w:styleId="CDIFigure-Placeholder">
    <w:name w:val="CDI Figure - Placeholder"/>
    <w:basedOn w:val="Normal"/>
    <w:qFormat/>
    <w:rsid w:val="00734159"/>
    <w:pPr>
      <w:spacing w:after="240"/>
      <w:jc w:val="center"/>
    </w:pPr>
  </w:style>
  <w:style w:type="paragraph" w:customStyle="1" w:styleId="CDITable-Firstfootnote">
    <w:name w:val="CDI Table - First footnote"/>
    <w:basedOn w:val="CDITable-Footnote"/>
    <w:qFormat/>
    <w:rsid w:val="00734159"/>
    <w:pPr>
      <w:spacing w:before="240"/>
    </w:pPr>
  </w:style>
  <w:style w:type="paragraph" w:customStyle="1" w:styleId="CDICopyrighttitle">
    <w:name w:val="CDI Copyright title"/>
    <w:basedOn w:val="CDIBoxheading-Teal"/>
    <w:qFormat/>
    <w:rsid w:val="00734159"/>
    <w:pPr>
      <w:spacing w:before="0" w:after="120"/>
      <w:outlineLvl w:val="0"/>
    </w:pPr>
    <w:rPr>
      <w:sz w:val="28"/>
    </w:rPr>
  </w:style>
  <w:style w:type="character" w:customStyle="1" w:styleId="CDICopyrighttextbullet">
    <w:name w:val="CDI Copyright text bullet"/>
    <w:basedOn w:val="DefaultParagraphFont"/>
    <w:uiPriority w:val="1"/>
    <w:qFormat/>
    <w:rsid w:val="00734159"/>
    <w:rPr>
      <w:rFonts w:cs="Arial"/>
      <w:color w:val="033636" w:themeColor="text2"/>
    </w:rPr>
  </w:style>
  <w:style w:type="paragraph" w:customStyle="1" w:styleId="CDICopyrightheading">
    <w:name w:val="CDI Copyright heading"/>
    <w:basedOn w:val="CDICopyrighttext"/>
    <w:qFormat/>
    <w:rsid w:val="00C32715"/>
    <w:pPr>
      <w:spacing w:before="120" w:after="0"/>
    </w:pPr>
    <w:rPr>
      <w:b/>
      <w:bCs/>
    </w:rPr>
  </w:style>
  <w:style w:type="character" w:styleId="Hyperlink">
    <w:name w:val="Hyperlink"/>
    <w:basedOn w:val="DefaultParagraphFont"/>
    <w:uiPriority w:val="99"/>
    <w:unhideWhenUsed/>
    <w:rsid w:val="00862C50"/>
    <w:rPr>
      <w:color w:val="083E9C" w:themeColor="accent1"/>
      <w:u w:val="single"/>
    </w:rPr>
  </w:style>
  <w:style w:type="character" w:customStyle="1" w:styleId="HeaderChar">
    <w:name w:val="Header Char"/>
    <w:basedOn w:val="DefaultParagraphFont"/>
    <w:link w:val="Header"/>
    <w:uiPriority w:val="99"/>
    <w:rsid w:val="00690957"/>
    <w:rPr>
      <w:rFonts w:ascii="Calibri" w:hAnsi="Calibri"/>
      <w14:ligatures w14:val="standardContextual"/>
    </w:rPr>
  </w:style>
  <w:style w:type="paragraph" w:customStyle="1" w:styleId="Normal-morespace">
    <w:name w:val="Normal - more space"/>
    <w:basedOn w:val="Normal"/>
    <w:qFormat/>
    <w:rsid w:val="0037146D"/>
    <w:pPr>
      <w:spacing w:after="240"/>
    </w:pPr>
  </w:style>
  <w:style w:type="paragraph" w:customStyle="1" w:styleId="CDITable-HeaderRowLeft">
    <w:name w:val="CDI Table - Header Row Left"/>
    <w:basedOn w:val="CDITable-Title"/>
    <w:qFormat/>
    <w:rsid w:val="00734159"/>
    <w:pPr>
      <w:spacing w:beforeAutospacing="1" w:afterAutospacing="1" w:line="240" w:lineRule="auto"/>
    </w:pPr>
    <w:rPr>
      <w:color w:val="FFFFFF" w:themeColor="background1"/>
      <w:sz w:val="18"/>
    </w:rPr>
  </w:style>
  <w:style w:type="paragraph" w:customStyle="1" w:styleId="CDITable-RowLeft">
    <w:name w:val="CDI Table - Row Left"/>
    <w:basedOn w:val="Normal"/>
    <w:qFormat/>
    <w:rsid w:val="00734159"/>
    <w:pPr>
      <w:spacing w:before="100" w:beforeAutospacing="1" w:after="100" w:afterAutospacing="1" w:line="240" w:lineRule="auto"/>
    </w:pPr>
    <w:rPr>
      <w:sz w:val="18"/>
    </w:rPr>
  </w:style>
  <w:style w:type="paragraph" w:customStyle="1" w:styleId="CDITable-TotalRowLeft">
    <w:name w:val="CDI Table - Total Row Left"/>
    <w:basedOn w:val="Normal"/>
    <w:qFormat/>
    <w:rsid w:val="00734159"/>
    <w:pPr>
      <w:spacing w:before="100" w:beforeAutospacing="1" w:after="100" w:afterAutospacing="1" w:line="240" w:lineRule="auto"/>
    </w:pPr>
    <w:rPr>
      <w:b/>
      <w:sz w:val="18"/>
      <w:lang w:val="en-GB"/>
    </w:rPr>
  </w:style>
  <w:style w:type="paragraph" w:customStyle="1" w:styleId="CDITable-TotalRowCentre">
    <w:name w:val="CDI Table - Total Row Centre"/>
    <w:basedOn w:val="CDITable-TotalRowLeft"/>
    <w:qFormat/>
    <w:rsid w:val="00734159"/>
    <w:pPr>
      <w:jc w:val="center"/>
    </w:pPr>
  </w:style>
  <w:style w:type="paragraph" w:customStyle="1" w:styleId="CDITable-RowCentre">
    <w:name w:val="CDI Table - Row Centre"/>
    <w:basedOn w:val="CDITable-RowLeft"/>
    <w:qFormat/>
    <w:rsid w:val="00734159"/>
    <w:pPr>
      <w:jc w:val="center"/>
    </w:pPr>
    <w:rPr>
      <w:lang w:val="en-GB"/>
    </w:rPr>
  </w:style>
  <w:style w:type="paragraph" w:customStyle="1" w:styleId="CDITable-HeaderRowCentre">
    <w:name w:val="CDI Table - Header Row Centre"/>
    <w:basedOn w:val="Normal"/>
    <w:qFormat/>
    <w:rsid w:val="00734159"/>
    <w:pPr>
      <w:spacing w:beforeAutospacing="1" w:afterAutospacing="1" w:line="240" w:lineRule="auto"/>
      <w:jc w:val="center"/>
    </w:pPr>
    <w:rPr>
      <w:b/>
      <w:color w:val="FFFFFF" w:themeColor="background1"/>
      <w:sz w:val="18"/>
      <w:lang w:val="en-GB"/>
    </w:rPr>
  </w:style>
  <w:style w:type="character" w:customStyle="1" w:styleId="BoldItalic">
    <w:name w:val="Bold Italic"/>
    <w:basedOn w:val="Bold"/>
    <w:uiPriority w:val="99"/>
    <w:rsid w:val="00F82066"/>
    <w:rPr>
      <w:b/>
      <w:bCs/>
      <w:i/>
      <w:iCs/>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Bannerplacement">
    <w:name w:val="CDI Banner placement"/>
    <w:basedOn w:val="Normal"/>
    <w:qFormat/>
    <w:rsid w:val="00962C2F"/>
    <w:pPr>
      <w:spacing w:before="2640" w:line="240" w:lineRule="auto"/>
    </w:pPr>
  </w:style>
  <w:style w:type="paragraph" w:customStyle="1" w:styleId="CDIFooter-firstpage">
    <w:name w:val="CDI Footer - first page"/>
    <w:basedOn w:val="CDIFooter"/>
    <w:qFormat/>
    <w:rsid w:val="00BA2598"/>
    <w:pPr>
      <w:pBdr>
        <w:top w:val="single" w:sz="6" w:space="4" w:color="00DCA1" w:themeColor="background2"/>
      </w:pBdr>
    </w:pPr>
  </w:style>
  <w:style w:type="paragraph" w:customStyle="1" w:styleId="CDINumberedList1-L1lessspace">
    <w:name w:val="CDI Numbered List (1.) - L1 less space"/>
    <w:basedOn w:val="CDINumberedList1-L1"/>
    <w:qFormat/>
    <w:rsid w:val="00343991"/>
    <w:pPr>
      <w:spacing w:before="120"/>
    </w:pPr>
  </w:style>
  <w:style w:type="paragraph" w:customStyle="1" w:styleId="CDITable-RowBullets">
    <w:name w:val="CDI Table - Row Bullets"/>
    <w:basedOn w:val="CDITable-RowLeft"/>
    <w:qFormat/>
    <w:rsid w:val="00734159"/>
    <w:pPr>
      <w:numPr>
        <w:numId w:val="31"/>
      </w:numPr>
      <w:spacing w:before="0" w:beforeAutospacing="0" w:afterAutospacing="0"/>
      <w:ind w:left="170" w:hanging="170"/>
    </w:pPr>
  </w:style>
  <w:style w:type="paragraph" w:customStyle="1" w:styleId="CDITable-Titlemorespacebefore">
    <w:name w:val="CDI Table - Title more space before"/>
    <w:basedOn w:val="CDITable-Title"/>
    <w:qFormat/>
    <w:rsid w:val="00734159"/>
    <w:pPr>
      <w:spacing w:before="360"/>
    </w:pPr>
  </w:style>
  <w:style w:type="paragraph" w:styleId="Revision">
    <w:name w:val="Revision"/>
    <w:hidden/>
    <w:uiPriority w:val="99"/>
    <w:semiHidden/>
    <w:rsid w:val="006221DD"/>
    <w:pPr>
      <w:spacing w:after="0" w:line="240" w:lineRule="auto"/>
    </w:pPr>
    <w:rPr>
      <w:rFonts w:ascii="Calibri" w:hAnsi="Calibri"/>
      <w14:ligatures w14:val="standardContextual"/>
    </w:rPr>
  </w:style>
  <w:style w:type="paragraph" w:customStyle="1" w:styleId="CDICopyrighttext-lessspace">
    <w:name w:val="CDI Copyright text - less space"/>
    <w:basedOn w:val="CDICopyrighttext"/>
    <w:qFormat/>
    <w:rsid w:val="00C32715"/>
    <w:pPr>
      <w:spacing w:after="60"/>
    </w:pPr>
  </w:style>
  <w:style w:type="paragraph" w:customStyle="1" w:styleId="CDICopyrighttext-nospace">
    <w:name w:val="CDI Copyright text - no space"/>
    <w:basedOn w:val="CDICopyrighttext"/>
    <w:qFormat/>
    <w:rsid w:val="00863F8D"/>
    <w:pPr>
      <w:spacing w:after="0"/>
    </w:pPr>
  </w:style>
  <w:style w:type="paragraph" w:customStyle="1" w:styleId="Heading1-nospacebefore">
    <w:name w:val="Heading 1 - no space before"/>
    <w:basedOn w:val="Heading1"/>
    <w:next w:val="Normal"/>
    <w:link w:val="Heading1-nospacebeforeChar"/>
    <w:qFormat/>
    <w:rsid w:val="00122ADA"/>
    <w:pPr>
      <w:spacing w:before="0"/>
    </w:pPr>
  </w:style>
  <w:style w:type="paragraph" w:customStyle="1" w:styleId="CDIJournal">
    <w:name w:val="CDI Journal"/>
    <w:basedOn w:val="Normal"/>
    <w:qFormat/>
    <w:rsid w:val="006B16A5"/>
    <w:pPr>
      <w:spacing w:before="1920" w:line="240" w:lineRule="auto"/>
      <w:ind w:left="-680"/>
    </w:pPr>
    <w:rPr>
      <w:rFonts w:ascii="Arial" w:hAnsi="Arial"/>
      <w:color w:val="033636" w:themeColor="text2"/>
      <w:sz w:val="42"/>
    </w:rPr>
  </w:style>
  <w:style w:type="paragraph" w:customStyle="1" w:styleId="Heading1-lessspacebefore">
    <w:name w:val="Heading 1 - less space before"/>
    <w:basedOn w:val="Heading1"/>
    <w:link w:val="Heading1-lessspacebeforeChar"/>
    <w:qFormat/>
    <w:rsid w:val="004C62AA"/>
    <w:pPr>
      <w:spacing w:before="240"/>
    </w:pPr>
    <w:rPr>
      <w:lang w:val="en-GB"/>
    </w:rPr>
  </w:style>
  <w:style w:type="character" w:customStyle="1" w:styleId="Heading1-lessspacebeforeChar">
    <w:name w:val="Heading 1 - less space before Char"/>
    <w:basedOn w:val="Heading1Char"/>
    <w:link w:val="Heading1-lessspacebefore"/>
    <w:rsid w:val="004C62AA"/>
    <w:rPr>
      <w:rFonts w:ascii="Arial" w:hAnsi="Arial" w:cs="Manrope ExtraLight"/>
      <w:b/>
      <w:color w:val="033636" w:themeColor="text2"/>
      <w:sz w:val="48"/>
      <w:szCs w:val="32"/>
      <w:lang w:val="en-GB"/>
      <w14:ligatures w14:val="standardContextual"/>
    </w:rPr>
  </w:style>
  <w:style w:type="character" w:customStyle="1" w:styleId="Heading1-nospacebeforeChar">
    <w:name w:val="Heading 1 - no space before Char"/>
    <w:basedOn w:val="Heading1Char"/>
    <w:link w:val="Heading1-nospacebefore"/>
    <w:rsid w:val="00BA2598"/>
    <w:rPr>
      <w:rFonts w:ascii="Arial" w:hAnsi="Arial" w:cs="Manrope ExtraLight"/>
      <w:b/>
      <w:color w:val="033636" w:themeColor="text2"/>
      <w:sz w:val="48"/>
      <w:szCs w:val="32"/>
      <w14:ligatures w14:val="standardContextual"/>
    </w:rPr>
  </w:style>
  <w:style w:type="character" w:customStyle="1" w:styleId="Heading2-nospacebeforeChar">
    <w:name w:val="Heading 2 - no space before Char"/>
    <w:basedOn w:val="Heading2Char"/>
    <w:link w:val="Heading2-nospacebefore"/>
    <w:rsid w:val="00BA2598"/>
    <w:rPr>
      <w:rFonts w:ascii="Arial" w:hAnsi="Arial" w:cs="MyriadPro-Bold"/>
      <w:b/>
      <w:bCs/>
      <w:color w:val="033636" w:themeColor="text2"/>
      <w:sz w:val="38"/>
      <w:szCs w:val="28"/>
      <w:lang w:val="en-GB"/>
      <w14:ligatures w14:val="standardContextual"/>
    </w:rPr>
  </w:style>
  <w:style w:type="paragraph" w:customStyle="1" w:styleId="Heading2-lessspacebefore">
    <w:name w:val="Heading 2 - less space before"/>
    <w:basedOn w:val="Heading2"/>
    <w:next w:val="Normal"/>
    <w:link w:val="Heading2-lessspacebeforeChar"/>
    <w:qFormat/>
    <w:rsid w:val="00BA2598"/>
    <w:pPr>
      <w:spacing w:before="240"/>
    </w:pPr>
  </w:style>
  <w:style w:type="character" w:customStyle="1" w:styleId="Heading2-lessspacebeforeChar">
    <w:name w:val="Heading 2 - less space before Char"/>
    <w:basedOn w:val="Heading2Char"/>
    <w:link w:val="Heading2-lessspacebefore"/>
    <w:rsid w:val="00BA2598"/>
    <w:rPr>
      <w:rFonts w:ascii="Arial" w:hAnsi="Arial" w:cs="MyriadPro-Bold"/>
      <w:b/>
      <w:bCs/>
      <w:color w:val="033636" w:themeColor="text2"/>
      <w:sz w:val="38"/>
      <w:szCs w:val="28"/>
      <w14:ligatures w14:val="standardContextual"/>
    </w:rPr>
  </w:style>
  <w:style w:type="character" w:customStyle="1" w:styleId="Heading3-nospacebeforeChar">
    <w:name w:val="Heading 3 - no space before Char"/>
    <w:basedOn w:val="Heading3Char"/>
    <w:link w:val="Heading3-nospacebefore"/>
    <w:rsid w:val="00BA2598"/>
    <w:rPr>
      <w:rFonts w:ascii="Arial" w:hAnsi="Arial" w:cs="MyriadPro-Regular"/>
      <w:bCs/>
      <w:color w:val="033636" w:themeColor="text2"/>
      <w:sz w:val="32"/>
      <w:szCs w:val="26"/>
      <w:lang w:val="en-GB"/>
      <w14:ligatures w14:val="standardContextual"/>
    </w:rPr>
  </w:style>
  <w:style w:type="paragraph" w:customStyle="1" w:styleId="Heading3-lessspacebefore">
    <w:name w:val="Heading 3 - less space before"/>
    <w:basedOn w:val="Heading3"/>
    <w:next w:val="Normal"/>
    <w:link w:val="Heading3-lessspacebeforeChar"/>
    <w:qFormat/>
    <w:rsid w:val="00BA2598"/>
    <w:pPr>
      <w:spacing w:before="240"/>
    </w:pPr>
  </w:style>
  <w:style w:type="character" w:customStyle="1" w:styleId="Heading3-lessspacebeforeChar">
    <w:name w:val="Heading 3 - less space before Char"/>
    <w:basedOn w:val="Heading3Char"/>
    <w:link w:val="Heading3-lessspacebefore"/>
    <w:rsid w:val="00BA2598"/>
    <w:rPr>
      <w:rFonts w:ascii="Arial" w:hAnsi="Arial" w:cs="MyriadPro-Regular"/>
      <w:bCs/>
      <w:color w:val="033636" w:themeColor="text2"/>
      <w:sz w:val="32"/>
      <w:szCs w:val="26"/>
      <w14:ligatures w14:val="standardContextual"/>
    </w:rPr>
  </w:style>
  <w:style w:type="paragraph" w:customStyle="1" w:styleId="Authordetails">
    <w:name w:val="Author details"/>
    <w:basedOn w:val="Heading4"/>
    <w:next w:val="Normal"/>
    <w:link w:val="AuthordetailsChar"/>
    <w:qFormat/>
    <w:rsid w:val="00BA2598"/>
    <w:pPr>
      <w:outlineLvl w:val="1"/>
    </w:pPr>
    <w:rPr>
      <w:color w:val="033636" w:themeColor="text2"/>
    </w:rPr>
  </w:style>
  <w:style w:type="character" w:customStyle="1" w:styleId="AuthordetailsChar">
    <w:name w:val="Author details Char"/>
    <w:basedOn w:val="Heading4Char"/>
    <w:link w:val="Authordetails"/>
    <w:rsid w:val="00BA2598"/>
    <w:rPr>
      <w:rFonts w:ascii="Arial" w:eastAsiaTheme="majorEastAsia" w:hAnsi="Arial" w:cstheme="majorBidi"/>
      <w:bCs/>
      <w:iCs/>
      <w:color w:val="033636" w:themeColor="text2"/>
      <w:sz w:val="28"/>
      <w:lang w:val="en-GB"/>
      <w14:ligatures w14:val="standardContextual"/>
    </w:rPr>
  </w:style>
  <w:style w:type="character" w:customStyle="1" w:styleId="CDIFooterChar">
    <w:name w:val="CDI Footer Char"/>
    <w:basedOn w:val="DefaultParagraphFont"/>
    <w:link w:val="CDIFooter"/>
    <w:rsid w:val="00AC7CD7"/>
    <w:rPr>
      <w:rFonts w:ascii="Calibri" w:hAnsi="Calibri"/>
      <w:sz w:val="18"/>
      <w:szCs w:val="18"/>
      <w14:ligatures w14:val="standardContextual"/>
    </w:rPr>
  </w:style>
  <w:style w:type="paragraph" w:customStyle="1" w:styleId="CDITable-Titlenospacebefore">
    <w:name w:val="CDI Table - Title no space before"/>
    <w:basedOn w:val="CDITable-Title"/>
    <w:qFormat/>
    <w:rsid w:val="00D26EE6"/>
    <w:pPr>
      <w:spacing w:before="0"/>
    </w:pPr>
  </w:style>
  <w:style w:type="paragraph" w:customStyle="1" w:styleId="Heading3-lineabove">
    <w:name w:val="Heading 3 - line above"/>
    <w:basedOn w:val="Heading3"/>
    <w:qFormat/>
    <w:rsid w:val="00B85721"/>
    <w:pPr>
      <w:pBdr>
        <w:top w:val="single" w:sz="6" w:space="6" w:color="00DCA1" w:themeColor="background2"/>
      </w:pBdr>
      <w:spacing w:line="276" w:lineRule="auto"/>
      <w:outlineLvl w:val="9"/>
    </w:pPr>
  </w:style>
  <w:style w:type="paragraph" w:customStyle="1" w:styleId="CDINumberedListaL2">
    <w:name w:val="CDI_Numbered List (a.) L2"/>
    <w:basedOn w:val="Normal"/>
    <w:qFormat/>
    <w:rsid w:val="00B85721"/>
    <w:pPr>
      <w:keepLines/>
      <w:numPr>
        <w:numId w:val="34"/>
      </w:numPr>
      <w:autoSpaceDE w:val="0"/>
      <w:autoSpaceDN w:val="0"/>
      <w:adjustRightInd w:val="0"/>
      <w:ind w:left="714" w:hanging="357"/>
      <w:textAlignment w:val="center"/>
    </w:pPr>
    <w:rPr>
      <w:rFonts w:cs="Minion3-Regular"/>
      <w:szCs w:val="23"/>
      <w:lang w:val="en-GB"/>
    </w:rPr>
  </w:style>
  <w:style w:type="paragraph" w:customStyle="1" w:styleId="Indent">
    <w:name w:val="Indent"/>
    <w:basedOn w:val="Normal"/>
    <w:rsid w:val="00B85721"/>
    <w:pPr>
      <w:ind w:left="360"/>
    </w:pPr>
    <w:rPr>
      <w:rFonts w:eastAsia="Times New Roman" w:cs="Times New Roman"/>
      <w:szCs w:val="20"/>
    </w:rPr>
  </w:style>
  <w:style w:type="paragraph" w:customStyle="1" w:styleId="Line">
    <w:name w:val="Line"/>
    <w:basedOn w:val="Normal"/>
    <w:qFormat/>
    <w:rsid w:val="00B85721"/>
    <w:pPr>
      <w:pBdr>
        <w:top w:val="single" w:sz="6" w:space="6" w:color="00DCA1" w:themeColor="background2"/>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www1.health.gov.au/internet/main/publishing.nsf/Content/cda-pubs-cdi-auth_inst.htm" TargetMode="External"/><Relationship Id="rId3" Type="http://schemas.openxmlformats.org/officeDocument/2006/relationships/numbering" Target="numbering.xml"/><Relationship Id="rId21" Type="http://schemas.openxmlformats.org/officeDocument/2006/relationships/hyperlink" Target="http://www.health.gov.au/cdi"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health.gov.au/cdn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cdi.editor@health.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4.xml"/><Relationship Id="rId10" Type="http://schemas.openxmlformats.org/officeDocument/2006/relationships/image" Target="media/image2.png"/><Relationship Id="rId19" Type="http://schemas.openxmlformats.org/officeDocument/2006/relationships/hyperlink" Target="https://www1.health.gov.au/internet/main/publishing.nsf/Content/cda-pubs-cdi-auth_inst.ht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mailto:cdi.editor@health.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template-jan-2025.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CDI-template-jan-2025.dotx</Template>
  <TotalTime>4</TotalTime>
  <Pages>20</Pages>
  <Words>6323</Words>
  <Characters>39066</Characters>
  <Application>Microsoft Office Word</Application>
  <DocSecurity>0</DocSecurity>
  <Lines>325</Lines>
  <Paragraphs>90</Paragraphs>
  <ScaleCrop>false</ScaleCrop>
  <HeadingPairs>
    <vt:vector size="2" baseType="variant">
      <vt:variant>
        <vt:lpstr>Title</vt:lpstr>
      </vt:variant>
      <vt:variant>
        <vt:i4>1</vt:i4>
      </vt:variant>
    </vt:vector>
  </HeadingPairs>
  <TitlesOfParts>
    <vt:vector size="1" baseType="lpstr">
      <vt:lpstr>Communicable Diseases Intelligence - Emergence of locally acquired Japanese encephalitis virus in Australia, January 2021–June 2022: a national case series</vt:lpstr>
    </vt:vector>
  </TitlesOfParts>
  <Company/>
  <LinksUpToDate>false</LinksUpToDate>
  <CharactersWithSpaces>45299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Emergence of locally acquired Japanese encephalitis virus in Australia, January 2021–June 2022: a national case series</dc:title>
  <dc:subject>Japanese encephalitis virus (JEV) is a mosquito borne RNA virus belonging to the genus Flavivirus. In Australia, JEV cases have been limited to small, localised outbreaks, or overseas acquired cases imported from travel to JEV endemic countries. On 4 March 2022, the JEV outbreak was declared a ‘Communicable Disease Incident of National Significance’ (CDINS) as human cases of JEV were confirmed in south-eastern Australia for the first time. This paper describes the epidemiology of human JEV cases reported in Australia during the period between January 2021 and June 2022.</dc:subject>
  <dc:creator>Amanda Reyes Veliz; Stacey Kane; Anna Glynn-Robinson</dc:creator>
  <cp:keywords>emerging diseases; infectious diseases; Japanese encephalitis; Japanese encephalitis virus; flaviviruses; mosquitos; Australia</cp:keywords>
  <dc:description>© 2025 Commonwealth of Australia as represented by the Department of Health and Aged Care. This publication is licenced under a CC BY-NC-ND licence.</dc:description>
  <cp:lastModifiedBy>THOMPSON, Lisa</cp:lastModifiedBy>
  <cp:revision>2</cp:revision>
  <cp:lastPrinted>2024-03-07T01:06:00Z</cp:lastPrinted>
  <dcterms:created xsi:type="dcterms:W3CDTF">2024-12-16T23:21:00Z</dcterms:created>
  <dcterms:modified xsi:type="dcterms:W3CDTF">2024-12-16T23:21:00Z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2025</vt:lpwstr>
  </property>
  <property fmtid="{D5CDD505-2E9C-101B-9397-08002B2CF9AE}" pid="3" name="Vol">
    <vt:i4>49</vt:i4>
  </property>
  <property fmtid="{D5CDD505-2E9C-101B-9397-08002B2CF9AE}" pid="4" name="ePubDate">
    <vt:lpwstr>22/01/2025</vt:lpwstr>
  </property>
  <property fmtid="{D5CDD505-2E9C-101B-9397-08002B2CF9AE}" pid="5" name="DOI">
    <vt:lpwstr>https://doi.org/10.33321/cdi.2025.49.005</vt:lpwstr>
  </property>
</Properties>
</file>