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BB8C" w14:textId="77777777" w:rsidR="00B0445D" w:rsidRDefault="00B0445D" w:rsidP="00B0445D">
      <w:pPr>
        <w:pStyle w:val="Title"/>
        <w:rPr>
          <w:sz w:val="24"/>
          <w:szCs w:val="24"/>
        </w:rPr>
      </w:pPr>
      <w:r>
        <w:t>2019-nCoV acute respiratory disease, Australia</w:t>
      </w:r>
      <w:r w:rsidR="00B70066">
        <w:t>:</w:t>
      </w:r>
      <w:r>
        <w:t xml:space="preserve"> Epidemiology Report 1 </w:t>
      </w:r>
    </w:p>
    <w:p w14:paraId="5F2CB40A" w14:textId="77777777" w:rsidR="00B0445D" w:rsidRDefault="00B0445D" w:rsidP="00B0445D">
      <w:pPr>
        <w:pStyle w:val="Subtitle"/>
        <w:rPr>
          <w:rFonts w:eastAsia="Times New Roman"/>
        </w:rPr>
      </w:pPr>
      <w:r>
        <w:rPr>
          <w:rFonts w:eastAsia="Times New Roman"/>
        </w:rPr>
        <w:t xml:space="preserve">Reporting week 26 January – 1 February 2020 </w:t>
      </w:r>
    </w:p>
    <w:p w14:paraId="5103C51D" w14:textId="77777777" w:rsidR="00B51EA8" w:rsidRDefault="00B51EA8" w:rsidP="00B51EA8">
      <w:pPr>
        <w:rPr>
          <w:b/>
          <w:bCs/>
        </w:rPr>
      </w:pPr>
      <w:r w:rsidRPr="00B51EA8">
        <w:t xml:space="preserve">2019-nCoV National </w:t>
      </w:r>
      <w:r w:rsidR="00F223A4" w:rsidRPr="00F223A4">
        <w:t>Incident</w:t>
      </w:r>
      <w:r w:rsidR="00F223A4">
        <w:t xml:space="preserve"> </w:t>
      </w:r>
      <w:r w:rsidRPr="00B51EA8">
        <w:t>Room Surveillance Team</w:t>
      </w:r>
    </w:p>
    <w:p w14:paraId="18ADCF71" w14:textId="77777777" w:rsidR="00B0445D" w:rsidRPr="00B0445D" w:rsidRDefault="00B0445D" w:rsidP="00B0445D">
      <w:pPr>
        <w:pStyle w:val="Heading1"/>
      </w:pPr>
      <w:r w:rsidRPr="00B0445D">
        <w:t xml:space="preserve">Summary </w:t>
      </w:r>
    </w:p>
    <w:p w14:paraId="5EFBD6B9" w14:textId="77777777" w:rsidR="00B0445D" w:rsidRDefault="00B0445D" w:rsidP="00B0445D">
      <w:r>
        <w:t xml:space="preserve">This is the first epidemiological report of novel coronavirus (2019-nCoV) acute respiratory disease infections reported in Australia at 19:00 Australian Eastern Daylight Time [AEDT] 1 February 2020. It includes data on Australian cases notified during the week 26 January to 1 February 2020 and in the previous week (19 to 25 January 2020), the international situation and current information on the severity, transmission and spread of the 2019-nCoV infection. </w:t>
      </w:r>
    </w:p>
    <w:p w14:paraId="7E696BA4" w14:textId="77777777" w:rsidR="00B0445D" w:rsidRDefault="00B0445D" w:rsidP="00B0445D">
      <w:r>
        <w:t xml:space="preserve">Keywords: novel coronavirus (2019-nCoV); respiratory disease; case definition; epidemiology; Australia </w:t>
      </w:r>
    </w:p>
    <w:p w14:paraId="2D537D1F" w14:textId="77777777" w:rsidR="006369CE" w:rsidRDefault="00B0445D" w:rsidP="00B0445D">
      <w:pPr>
        <w:rPr>
          <w:i/>
        </w:rPr>
      </w:pPr>
      <w:r w:rsidRPr="006369CE">
        <w:rPr>
          <w:i/>
        </w:rPr>
        <w:t xml:space="preserve">The following epidemiological data </w:t>
      </w:r>
      <w:r w:rsidR="00DF0984">
        <w:rPr>
          <w:i/>
        </w:rPr>
        <w:t>are</w:t>
      </w:r>
      <w:r w:rsidRPr="006369CE">
        <w:rPr>
          <w:i/>
        </w:rPr>
        <w:t xml:space="preserve"> subject to change both domestically and internationally due to the rapidly evolving situation. Australian cases are still under active investigation. While every effort has been made to standardise the investigation of cases nationally, there may be some dif</w:t>
      </w:r>
      <w:r w:rsidR="006369CE">
        <w:rPr>
          <w:i/>
        </w:rPr>
        <w:t>ferences between jurisdictions.</w:t>
      </w:r>
    </w:p>
    <w:p w14:paraId="76F3E28E" w14:textId="77777777" w:rsidR="006369CE" w:rsidRPr="006369CE" w:rsidRDefault="007F663C" w:rsidP="00B0445D">
      <w:r>
        <w:rPr>
          <w:noProof/>
        </w:rPr>
        <mc:AlternateContent>
          <mc:Choice Requires="wps">
            <w:drawing>
              <wp:inline distT="0" distB="0" distL="0" distR="0" wp14:anchorId="775194C6">
                <wp:extent cx="6629400" cy="1404620"/>
                <wp:effectExtent l="0" t="0" r="19050"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chemeClr val="bg1">
                            <a:lumMod val="95000"/>
                          </a:schemeClr>
                        </a:solidFill>
                        <a:ln w="3175">
                          <a:solidFill>
                            <a:srgbClr val="000000"/>
                          </a:solidFill>
                          <a:miter lim="800000"/>
                          <a:headEnd/>
                          <a:tailEnd/>
                        </a:ln>
                      </wps:spPr>
                      <wps:txbx>
                        <w:txbxContent>
                          <w:p w14:paraId="27A621B3" w14:textId="77777777" w:rsidR="007F663C" w:rsidRDefault="007F663C" w:rsidP="007F663C">
                            <w:pPr>
                              <w:pStyle w:val="NormalWeb"/>
                            </w:pPr>
                            <w:r>
                              <w:rPr>
                                <w:rStyle w:val="Strong"/>
                              </w:rPr>
                              <w:t xml:space="preserve">In Australia: </w:t>
                            </w:r>
                          </w:p>
                          <w:p w14:paraId="2B678F32" w14:textId="77777777" w:rsidR="007F663C" w:rsidRPr="007F663C" w:rsidRDefault="007F663C" w:rsidP="005E5EFD">
                            <w:pPr>
                              <w:pStyle w:val="ListParagraph"/>
                              <w:numPr>
                                <w:ilvl w:val="0"/>
                                <w:numId w:val="13"/>
                              </w:numPr>
                              <w:rPr>
                                <w:rFonts w:eastAsia="Times New Roman"/>
                              </w:rPr>
                            </w:pPr>
                            <w:r w:rsidRPr="007F663C">
                              <w:rPr>
                                <w:rFonts w:eastAsia="Times New Roman"/>
                              </w:rPr>
                              <w:t>A total of twelve cases of 2019-nCoV infection were notified</w:t>
                            </w:r>
                            <w:r w:rsidR="005E5EFD">
                              <w:rPr>
                                <w:rFonts w:eastAsia="Times New Roman"/>
                              </w:rPr>
                              <w:t xml:space="preserve"> </w:t>
                            </w:r>
                            <w:r w:rsidR="005E5EFD" w:rsidRPr="005E5EFD">
                              <w:rPr>
                                <w:rFonts w:eastAsia="Times New Roman"/>
                              </w:rPr>
                              <w:t xml:space="preserve">up </w:t>
                            </w:r>
                            <w:r w:rsidR="003D6591">
                              <w:rPr>
                                <w:rFonts w:eastAsia="Times New Roman"/>
                              </w:rPr>
                              <w:t>un</w:t>
                            </w:r>
                            <w:r w:rsidR="003D6591" w:rsidRPr="005E5EFD">
                              <w:rPr>
                                <w:rFonts w:eastAsia="Times New Roman"/>
                              </w:rPr>
                              <w:t>til</w:t>
                            </w:r>
                            <w:r w:rsidR="005E5EFD" w:rsidRPr="005E5EFD">
                              <w:rPr>
                                <w:rFonts w:eastAsia="Times New Roman"/>
                              </w:rPr>
                              <w:t xml:space="preserve"> 1 February </w:t>
                            </w:r>
                            <w:proofErr w:type="gramStart"/>
                            <w:r w:rsidR="005E5EFD" w:rsidRPr="005E5EFD">
                              <w:rPr>
                                <w:rFonts w:eastAsia="Times New Roman"/>
                              </w:rPr>
                              <w:t>2020</w:t>
                            </w:r>
                            <w:r w:rsidRPr="007F663C">
                              <w:rPr>
                                <w:rFonts w:eastAsia="Times New Roman"/>
                              </w:rPr>
                              <w:t>;</w:t>
                            </w:r>
                            <w:proofErr w:type="gramEnd"/>
                            <w:r w:rsidRPr="007F663C">
                              <w:rPr>
                                <w:rFonts w:eastAsia="Times New Roman"/>
                              </w:rPr>
                              <w:t xml:space="preserve"> </w:t>
                            </w:r>
                          </w:p>
                          <w:p w14:paraId="3EED295C" w14:textId="77777777" w:rsidR="007F663C" w:rsidRPr="007F663C" w:rsidRDefault="007F663C" w:rsidP="007F663C">
                            <w:pPr>
                              <w:pStyle w:val="ListParagraph"/>
                              <w:numPr>
                                <w:ilvl w:val="0"/>
                                <w:numId w:val="13"/>
                              </w:numPr>
                              <w:rPr>
                                <w:rFonts w:eastAsia="Times New Roman"/>
                              </w:rPr>
                            </w:pPr>
                            <w:r w:rsidRPr="007F663C">
                              <w:rPr>
                                <w:rFonts w:eastAsia="Times New Roman"/>
                              </w:rPr>
                              <w:t xml:space="preserve">All twelve cases reported a travel history to China, and 92% (11/12) had a travel history to Wuhan, Hubei Province, </w:t>
                            </w:r>
                            <w:proofErr w:type="gramStart"/>
                            <w:r w:rsidRPr="007F663C">
                              <w:rPr>
                                <w:rFonts w:eastAsia="Times New Roman"/>
                              </w:rPr>
                              <w:t>China;</w:t>
                            </w:r>
                            <w:proofErr w:type="gramEnd"/>
                            <w:r w:rsidRPr="007F663C">
                              <w:rPr>
                                <w:rFonts w:eastAsia="Times New Roman"/>
                              </w:rPr>
                              <w:t xml:space="preserve"> </w:t>
                            </w:r>
                          </w:p>
                          <w:p w14:paraId="2B58911B" w14:textId="77777777" w:rsidR="007F663C" w:rsidRPr="007F663C" w:rsidRDefault="00BD29E7" w:rsidP="007F663C">
                            <w:pPr>
                              <w:pStyle w:val="ListParagraph"/>
                              <w:numPr>
                                <w:ilvl w:val="0"/>
                                <w:numId w:val="13"/>
                              </w:numPr>
                              <w:rPr>
                                <w:rFonts w:eastAsia="Times New Roman"/>
                              </w:rPr>
                            </w:pPr>
                            <w:r>
                              <w:rPr>
                                <w:rFonts w:eastAsia="Times New Roman"/>
                              </w:rPr>
                              <w:t>The majority of cases (</w:t>
                            </w:r>
                            <w:r w:rsidRPr="007F663C">
                              <w:rPr>
                                <w:rFonts w:eastAsia="Times New Roman"/>
                              </w:rPr>
                              <w:t>92%</w:t>
                            </w:r>
                            <w:r>
                              <w:rPr>
                                <w:rFonts w:eastAsia="Times New Roman"/>
                              </w:rPr>
                              <w:t>, 11/12</w:t>
                            </w:r>
                            <w:r w:rsidR="007F663C" w:rsidRPr="007F663C">
                              <w:rPr>
                                <w:rFonts w:eastAsia="Times New Roman"/>
                              </w:rPr>
                              <w:t>) developed mild to moderate symptoms, with one case (</w:t>
                            </w:r>
                            <w:r w:rsidR="005A3973">
                              <w:rPr>
                                <w:rFonts w:eastAsia="Times New Roman"/>
                              </w:rPr>
                              <w:t>8%,</w:t>
                            </w:r>
                            <w:r w:rsidR="005A3973" w:rsidRPr="007F663C">
                              <w:rPr>
                                <w:rFonts w:eastAsia="Times New Roman"/>
                              </w:rPr>
                              <w:t xml:space="preserve"> </w:t>
                            </w:r>
                            <w:r w:rsidR="007F663C" w:rsidRPr="007F663C">
                              <w:rPr>
                                <w:rFonts w:eastAsia="Times New Roman"/>
                              </w:rPr>
                              <w:t>1/12</w:t>
                            </w:r>
                            <w:r w:rsidR="005A3973">
                              <w:rPr>
                                <w:rFonts w:eastAsia="Times New Roman"/>
                              </w:rPr>
                              <w:t xml:space="preserve">) </w:t>
                            </w:r>
                            <w:r w:rsidR="007F663C" w:rsidRPr="007F663C">
                              <w:rPr>
                                <w:rFonts w:eastAsia="Times New Roman"/>
                              </w:rPr>
                              <w:t xml:space="preserve">admitted to intensive </w:t>
                            </w:r>
                            <w:proofErr w:type="gramStart"/>
                            <w:r w:rsidR="007F663C" w:rsidRPr="007F663C">
                              <w:rPr>
                                <w:rFonts w:eastAsia="Times New Roman"/>
                              </w:rPr>
                              <w:t>care;</w:t>
                            </w:r>
                            <w:proofErr w:type="gramEnd"/>
                            <w:r w:rsidR="007F663C" w:rsidRPr="007F663C">
                              <w:rPr>
                                <w:rFonts w:eastAsia="Times New Roman"/>
                              </w:rPr>
                              <w:t xml:space="preserve"> </w:t>
                            </w:r>
                          </w:p>
                          <w:p w14:paraId="7FC374BF" w14:textId="77777777" w:rsidR="007F663C" w:rsidRPr="007F663C" w:rsidRDefault="007F663C" w:rsidP="007F663C">
                            <w:pPr>
                              <w:pStyle w:val="ListParagraph"/>
                              <w:numPr>
                                <w:ilvl w:val="0"/>
                                <w:numId w:val="13"/>
                              </w:numPr>
                              <w:rPr>
                                <w:rFonts w:eastAsia="Times New Roman"/>
                              </w:rPr>
                            </w:pPr>
                            <w:r w:rsidRPr="007F663C">
                              <w:rPr>
                                <w:rFonts w:eastAsia="Times New Roman"/>
                              </w:rPr>
                              <w:t xml:space="preserve">Zero deaths were reported; and </w:t>
                            </w:r>
                          </w:p>
                          <w:p w14:paraId="0862CF95" w14:textId="77777777" w:rsidR="007F663C" w:rsidRPr="007F663C" w:rsidRDefault="00880168" w:rsidP="00880168">
                            <w:pPr>
                              <w:pStyle w:val="ListParagraph"/>
                              <w:numPr>
                                <w:ilvl w:val="0"/>
                                <w:numId w:val="13"/>
                              </w:numPr>
                              <w:rPr>
                                <w:rFonts w:eastAsia="Times New Roman"/>
                              </w:rPr>
                            </w:pPr>
                            <w:r w:rsidRPr="00880168">
                              <w:rPr>
                                <w:rFonts w:eastAsia="Times New Roman"/>
                              </w:rPr>
                              <w:t>Two days elapsed since the onset of illness in the latest confirmed case and the date of this report</w:t>
                            </w:r>
                            <w:r w:rsidR="007F663C" w:rsidRPr="007F663C">
                              <w:rPr>
                                <w:rFonts w:eastAsia="Times New Roman"/>
                              </w:rPr>
                              <w:t xml:space="preserve">. </w:t>
                            </w:r>
                          </w:p>
                          <w:p w14:paraId="51C234E9" w14:textId="77777777" w:rsidR="007F663C" w:rsidRDefault="007F663C" w:rsidP="007F663C">
                            <w:pPr>
                              <w:pStyle w:val="NormalWeb"/>
                            </w:pPr>
                            <w:r>
                              <w:rPr>
                                <w:rStyle w:val="Strong"/>
                              </w:rPr>
                              <w:t xml:space="preserve">Internationally: </w:t>
                            </w:r>
                          </w:p>
                          <w:p w14:paraId="2274A7D0" w14:textId="77777777" w:rsidR="007F663C" w:rsidRPr="007F663C" w:rsidRDefault="007F663C" w:rsidP="007F663C">
                            <w:pPr>
                              <w:pStyle w:val="ListParagraph"/>
                              <w:numPr>
                                <w:ilvl w:val="0"/>
                                <w:numId w:val="14"/>
                              </w:numPr>
                              <w:rPr>
                                <w:rFonts w:eastAsia="Times New Roman"/>
                              </w:rPr>
                            </w:pPr>
                            <w:r w:rsidRPr="007F663C">
                              <w:rPr>
                                <w:rFonts w:eastAsia="Times New Roman"/>
                              </w:rPr>
                              <w:t xml:space="preserve">Case numbers are increasing rapidly with 11,953 infections confirmed globally; and </w:t>
                            </w:r>
                          </w:p>
                          <w:p w14:paraId="70568FE1" w14:textId="77777777" w:rsidR="007F663C" w:rsidRPr="007F663C" w:rsidRDefault="007F663C" w:rsidP="007F663C">
                            <w:pPr>
                              <w:pStyle w:val="ListParagraph"/>
                              <w:numPr>
                                <w:ilvl w:val="0"/>
                                <w:numId w:val="14"/>
                              </w:numPr>
                              <w:rPr>
                                <w:rFonts w:eastAsia="Times New Roman"/>
                              </w:rPr>
                            </w:pPr>
                            <w:r w:rsidRPr="007F663C">
                              <w:rPr>
                                <w:rFonts w:eastAsia="Times New Roman"/>
                              </w:rPr>
                              <w:t xml:space="preserve">The majority of confirmed infections (11,821) were reported in China, as well as 259 </w:t>
                            </w:r>
                            <w:proofErr w:type="gramStart"/>
                            <w:r w:rsidRPr="007F663C">
                              <w:rPr>
                                <w:rFonts w:eastAsia="Times New Roman"/>
                              </w:rPr>
                              <w:t>deaths</w:t>
                            </w:r>
                            <w:proofErr w:type="gramEnd"/>
                            <w:r w:rsidRPr="007F663C">
                              <w:rPr>
                                <w:rFonts w:eastAsia="Times New Roman"/>
                              </w:rPr>
                              <w:t xml:space="preserve"> </w:t>
                            </w:r>
                          </w:p>
                        </w:txbxContent>
                      </wps:txbx>
                      <wps:bodyPr rot="0" vert="horz" wrap="square" lIns="180000" tIns="180000" rIns="180000" bIns="18000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" fillcolor="#f2f2f2 [3052]" strokeweight=".25pt">
                <v:textbox style="mso-fit-shape-to-text:t" inset="5mm,5mm,5mm,5mm">
                  <w:txbxContent>
                    <w:p w:rsidR="007F663C" w:rsidRDefault="007F663C" w:rsidP="007F663C">
                      <w:pPr>
                        <w:pStyle w:val="NormalWeb"/>
                      </w:pPr>
                      <w:r>
                        <w:rPr>
                          <w:rStyle w:val="Strong"/>
                        </w:rPr>
                        <w:t xml:space="preserve">In Australia: </w:t>
                      </w:r>
                    </w:p>
                    <w:p w:rsidR="007F663C" w:rsidRPr="007F663C" w:rsidRDefault="007F663C" w:rsidP="005E5EFD">
                      <w:pPr>
                        <w:pStyle w:val="ListParagraph"/>
                        <w:numPr>
                          <w:ilvl w:val="0"/>
                          <w:numId w:val="13"/>
                        </w:numPr>
                        <w:rPr>
                          <w:rFonts w:eastAsia="Times New Roman"/>
                        </w:rPr>
                      </w:pPr>
                      <w:r w:rsidRPr="007F663C">
                        <w:rPr>
                          <w:rFonts w:eastAsia="Times New Roman"/>
                        </w:rPr>
                        <w:t>A total of twelve cases of 2019-nCoV infection were notified</w:t>
                      </w:r>
                      <w:r w:rsidR="005E5EFD">
                        <w:rPr>
                          <w:rFonts w:eastAsia="Times New Roman"/>
                        </w:rPr>
                        <w:t xml:space="preserve"> </w:t>
                      </w:r>
                      <w:r w:rsidR="005E5EFD" w:rsidRPr="005E5EFD">
                        <w:rPr>
                          <w:rFonts w:eastAsia="Times New Roman"/>
                        </w:rPr>
                        <w:t xml:space="preserve">up </w:t>
                      </w:r>
                      <w:r w:rsidR="003D6591">
                        <w:rPr>
                          <w:rFonts w:eastAsia="Times New Roman"/>
                        </w:rPr>
                        <w:t>un</w:t>
                      </w:r>
                      <w:r w:rsidR="003D6591" w:rsidRPr="005E5EFD">
                        <w:rPr>
                          <w:rFonts w:eastAsia="Times New Roman"/>
                        </w:rPr>
                        <w:t>til</w:t>
                      </w:r>
                      <w:r w:rsidR="005E5EFD" w:rsidRPr="005E5EFD">
                        <w:rPr>
                          <w:rFonts w:eastAsia="Times New Roman"/>
                        </w:rPr>
                        <w:t xml:space="preserve"> 1 February 2020</w:t>
                      </w:r>
                      <w:r w:rsidRPr="007F663C">
                        <w:rPr>
                          <w:rFonts w:eastAsia="Times New Roman"/>
                        </w:rPr>
                        <w:t xml:space="preserve">; </w:t>
                      </w:r>
                    </w:p>
                    <w:p w:rsidR="007F663C" w:rsidRPr="007F663C" w:rsidRDefault="007F663C" w:rsidP="007F663C">
                      <w:pPr>
                        <w:pStyle w:val="ListParagraph"/>
                        <w:numPr>
                          <w:ilvl w:val="0"/>
                          <w:numId w:val="13"/>
                        </w:numPr>
                        <w:rPr>
                          <w:rFonts w:eastAsia="Times New Roman"/>
                        </w:rPr>
                      </w:pPr>
                      <w:r w:rsidRPr="007F663C">
                        <w:rPr>
                          <w:rFonts w:eastAsia="Times New Roman"/>
                        </w:rPr>
                        <w:t xml:space="preserve">All twelve cases reported a travel history to China, and 92% (11/12) had a travel history to Wuhan, Hubei Province, China; </w:t>
                      </w:r>
                    </w:p>
                    <w:p w:rsidR="007F663C" w:rsidRPr="007F663C" w:rsidRDefault="00BD29E7" w:rsidP="007F663C">
                      <w:pPr>
                        <w:pStyle w:val="ListParagraph"/>
                        <w:numPr>
                          <w:ilvl w:val="0"/>
                          <w:numId w:val="13"/>
                        </w:numPr>
                        <w:rPr>
                          <w:rFonts w:eastAsia="Times New Roman"/>
                        </w:rPr>
                      </w:pPr>
                      <w:r>
                        <w:rPr>
                          <w:rFonts w:eastAsia="Times New Roman"/>
                        </w:rPr>
                        <w:t>The majority of cases (</w:t>
                      </w:r>
                      <w:r w:rsidRPr="007F663C">
                        <w:rPr>
                          <w:rFonts w:eastAsia="Times New Roman"/>
                        </w:rPr>
                        <w:t>92%</w:t>
                      </w:r>
                      <w:r>
                        <w:rPr>
                          <w:rFonts w:eastAsia="Times New Roman"/>
                        </w:rPr>
                        <w:t>, 11/12</w:t>
                      </w:r>
                      <w:r w:rsidR="007F663C" w:rsidRPr="007F663C">
                        <w:rPr>
                          <w:rFonts w:eastAsia="Times New Roman"/>
                        </w:rPr>
                        <w:t>) developed mild to moderate symptoms, with one case (</w:t>
                      </w:r>
                      <w:r w:rsidR="005A3973">
                        <w:rPr>
                          <w:rFonts w:eastAsia="Times New Roman"/>
                        </w:rPr>
                        <w:t>8%,</w:t>
                      </w:r>
                      <w:r w:rsidR="005A3973" w:rsidRPr="007F663C">
                        <w:rPr>
                          <w:rFonts w:eastAsia="Times New Roman"/>
                        </w:rPr>
                        <w:t xml:space="preserve"> </w:t>
                      </w:r>
                      <w:r w:rsidR="007F663C" w:rsidRPr="007F663C">
                        <w:rPr>
                          <w:rFonts w:eastAsia="Times New Roman"/>
                        </w:rPr>
                        <w:t>1/12</w:t>
                      </w:r>
                      <w:r w:rsidR="005A3973">
                        <w:rPr>
                          <w:rFonts w:eastAsia="Times New Roman"/>
                        </w:rPr>
                        <w:t xml:space="preserve">) </w:t>
                      </w:r>
                      <w:r w:rsidR="007F663C" w:rsidRPr="007F663C">
                        <w:rPr>
                          <w:rFonts w:eastAsia="Times New Roman"/>
                        </w:rPr>
                        <w:t xml:space="preserve">admitted to intensive care; </w:t>
                      </w:r>
                    </w:p>
                    <w:p w:rsidR="007F663C" w:rsidRPr="007F663C" w:rsidRDefault="007F663C" w:rsidP="007F663C">
                      <w:pPr>
                        <w:pStyle w:val="ListParagraph"/>
                        <w:numPr>
                          <w:ilvl w:val="0"/>
                          <w:numId w:val="13"/>
                        </w:numPr>
                        <w:rPr>
                          <w:rFonts w:eastAsia="Times New Roman"/>
                        </w:rPr>
                      </w:pPr>
                      <w:r w:rsidRPr="007F663C">
                        <w:rPr>
                          <w:rFonts w:eastAsia="Times New Roman"/>
                        </w:rPr>
                        <w:t xml:space="preserve">Zero deaths were reported; and </w:t>
                      </w:r>
                    </w:p>
                    <w:p w:rsidR="007F663C" w:rsidRPr="007F663C" w:rsidRDefault="00880168" w:rsidP="00880168">
                      <w:pPr>
                        <w:pStyle w:val="ListParagraph"/>
                        <w:numPr>
                          <w:ilvl w:val="0"/>
                          <w:numId w:val="13"/>
                        </w:numPr>
                        <w:rPr>
                          <w:rFonts w:eastAsia="Times New Roman"/>
                        </w:rPr>
                      </w:pPr>
                      <w:r w:rsidRPr="00880168">
                        <w:rPr>
                          <w:rFonts w:eastAsia="Times New Roman"/>
                        </w:rPr>
                        <w:t>Two days elapsed since the onset of illness in the latest confirmed case and the date of this report</w:t>
                      </w:r>
                      <w:r w:rsidR="007F663C" w:rsidRPr="007F663C">
                        <w:rPr>
                          <w:rFonts w:eastAsia="Times New Roman"/>
                        </w:rPr>
                        <w:t xml:space="preserve">. </w:t>
                      </w:r>
                    </w:p>
                    <w:p w:rsidR="007F663C" w:rsidRDefault="007F663C" w:rsidP="007F663C">
                      <w:pPr>
                        <w:pStyle w:val="NormalWeb"/>
                      </w:pPr>
                      <w:r>
                        <w:rPr>
                          <w:rStyle w:val="Strong"/>
                        </w:rPr>
                        <w:t xml:space="preserve">Internationally: </w:t>
                      </w:r>
                    </w:p>
                    <w:p w:rsidR="007F663C" w:rsidRPr="007F663C" w:rsidRDefault="007F663C" w:rsidP="007F663C">
                      <w:pPr>
                        <w:pStyle w:val="ListParagraph"/>
                        <w:numPr>
                          <w:ilvl w:val="0"/>
                          <w:numId w:val="14"/>
                        </w:numPr>
                        <w:rPr>
                          <w:rFonts w:eastAsia="Times New Roman"/>
                        </w:rPr>
                      </w:pPr>
                      <w:r w:rsidRPr="007F663C">
                        <w:rPr>
                          <w:rFonts w:eastAsia="Times New Roman"/>
                        </w:rPr>
                        <w:t xml:space="preserve">Case numbers are increasing rapidly with 11,953 infections confirmed globally; and </w:t>
                      </w:r>
                    </w:p>
                    <w:p w:rsidR="007F663C" w:rsidRPr="007F663C" w:rsidRDefault="007F663C" w:rsidP="007F663C">
                      <w:pPr>
                        <w:pStyle w:val="ListParagraph"/>
                        <w:numPr>
                          <w:ilvl w:val="0"/>
                          <w:numId w:val="14"/>
                        </w:numPr>
                        <w:rPr>
                          <w:rFonts w:eastAsia="Times New Roman"/>
                        </w:rPr>
                      </w:pPr>
                      <w:r w:rsidRPr="007F663C">
                        <w:rPr>
                          <w:rFonts w:eastAsia="Times New Roman"/>
                        </w:rPr>
                        <w:t xml:space="preserve">The majority of confirmed infections (11,821) were reported in China, as well as 259 deaths </w:t>
                      </w:r>
                    </w:p>
                  </w:txbxContent>
                </v:textbox>
                <w10:anchorlock/>
              </v:shape>
            </w:pict>
          </mc:Fallback>
        </mc:AlternateContent>
      </w:r>
    </w:p>
    <w:p w14:paraId="054748B1" w14:textId="77777777" w:rsidR="00B0445D" w:rsidRPr="00B0445D" w:rsidRDefault="00B0445D" w:rsidP="00B0445D">
      <w:pPr>
        <w:pStyle w:val="Heading2"/>
      </w:pPr>
      <w:r w:rsidRPr="00B0445D">
        <w:t xml:space="preserve">Domestic cases </w:t>
      </w:r>
    </w:p>
    <w:p w14:paraId="1ABC5F62" w14:textId="77777777" w:rsidR="00B0445D" w:rsidRDefault="00B0445D" w:rsidP="00B0445D">
      <w:r>
        <w:t xml:space="preserve">There were twelve confirmed cases reported in Australia as at 19:00 AEDT 1 February 2020 (Table 1). Cases were reported in New South Wales (n = 4), Victoria (n = 4), Queensland (n = 2) and South Australia (n = 2). The first onset of signs and symptoms in a case occurred on 13 January 2020 (Figure 1). The majority of cases (92%, 11/12) had a travel history to Wuhan. The remaining case had direct contact with a confirmed case from Wuhan while travelling in China. All cases acquired their infection in China, which resulted in many close contacts requiring investigation. The median age of cases </w:t>
      </w:r>
      <w:r w:rsidR="00C02664">
        <w:t>was</w:t>
      </w:r>
      <w:r>
        <w:t xml:space="preserve"> 45 (range 21–66) years. The male-to-female ratio </w:t>
      </w:r>
      <w:r w:rsidR="00307723">
        <w:t>was</w:t>
      </w:r>
      <w:r>
        <w:t xml:space="preserve"> 1.4:1. All cases (12/12) reported </w:t>
      </w:r>
      <w:r>
        <w:lastRenderedPageBreak/>
        <w:t xml:space="preserve">fever and/or chills and 83% (10/12) reported cough. Two cases </w:t>
      </w:r>
      <w:r w:rsidR="00307E0C">
        <w:t>reported</w:t>
      </w:r>
      <w:r>
        <w:t xml:space="preserve"> with pneumonia (Figure 2). Approximately 75% (9/12) of cases were hospitalised for clinical management and infection control, including one patient who was admitted to an Intensive Care Unit (ICU). The </w:t>
      </w:r>
      <w:r w:rsidR="00CF26DC" w:rsidRPr="00CF26DC">
        <w:t>clinical course of infection</w:t>
      </w:r>
      <w:r>
        <w:t xml:space="preserve"> was unavailable from these preliminary data. There were no deaths associated with the outbreak in Australia. The median time between onset of illness and collection of a specimen was 1 day (range 0–9 days).</w:t>
      </w:r>
    </w:p>
    <w:p w14:paraId="47A3E51A" w14:textId="77777777" w:rsidR="00B0445D" w:rsidRDefault="00B0445D" w:rsidP="00B0445D">
      <w:pPr>
        <w:pStyle w:val="CDIFigures"/>
      </w:pPr>
      <w:r>
        <w:t>Table 1: Cumulative notified cases of confirmed 2019-nCoV by jurisdiction, Australia,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number of 2019-nCoV notifications by current and prior reporting period and jurisdiction. In this reporting period 1 case was reported in New South Wales, 2 in Queensland, 2 in South Australia and 3 in Victoria."/>
      </w:tblPr>
      <w:tblGrid>
        <w:gridCol w:w="2616"/>
        <w:gridCol w:w="2617"/>
        <w:gridCol w:w="2616"/>
        <w:gridCol w:w="2617"/>
      </w:tblGrid>
      <w:tr w:rsidR="006212FB" w:rsidRPr="00B105E6" w14:paraId="55753FBC" w14:textId="77777777" w:rsidTr="006212FB">
        <w:trPr>
          <w:cnfStyle w:val="100000000000" w:firstRow="1" w:lastRow="0" w:firstColumn="0" w:lastColumn="0" w:oddVBand="0" w:evenVBand="0" w:oddHBand="0" w:evenHBand="0" w:firstRowFirstColumn="0" w:firstRowLastColumn="0" w:lastRowFirstColumn="0" w:lastRowLastColumn="0"/>
          <w:trHeight w:val="719"/>
          <w:tblHeader/>
        </w:trPr>
        <w:tc>
          <w:tcPr>
            <w:tcW w:w="2616" w:type="dxa"/>
            <w:hideMark/>
          </w:tcPr>
          <w:p w14:paraId="7599009E" w14:textId="77777777" w:rsidR="006212FB" w:rsidRPr="00B105E6" w:rsidRDefault="006212FB" w:rsidP="00F505DA">
            <w:pPr>
              <w:pStyle w:val="NormalWeb"/>
              <w:jc w:val="center"/>
              <w:rPr>
                <w:color w:val="FFFFFF" w:themeColor="background1"/>
                <w:sz w:val="18"/>
                <w:szCs w:val="18"/>
              </w:rPr>
            </w:pPr>
            <w:r w:rsidRPr="00B105E6">
              <w:rPr>
                <w:color w:val="FFFFFF" w:themeColor="background1"/>
                <w:sz w:val="18"/>
                <w:szCs w:val="18"/>
              </w:rPr>
              <w:t>Jurisdiction</w:t>
            </w:r>
          </w:p>
        </w:tc>
        <w:tc>
          <w:tcPr>
            <w:tcW w:w="2617" w:type="dxa"/>
            <w:hideMark/>
          </w:tcPr>
          <w:p w14:paraId="09B99601" w14:textId="77777777" w:rsidR="006212FB" w:rsidRPr="006212FB" w:rsidRDefault="006212FB" w:rsidP="00F505DA">
            <w:pPr>
              <w:pStyle w:val="NormalWeb"/>
              <w:jc w:val="center"/>
              <w:rPr>
                <w:b w:val="0"/>
                <w:color w:val="FFFFFF" w:themeColor="background1"/>
                <w:sz w:val="18"/>
                <w:szCs w:val="18"/>
              </w:rPr>
            </w:pPr>
            <w:r w:rsidRPr="00B105E6">
              <w:rPr>
                <w:color w:val="FFFFFF" w:themeColor="background1"/>
                <w:sz w:val="18"/>
                <w:szCs w:val="18"/>
              </w:rPr>
              <w:t>This week</w:t>
            </w:r>
            <w:r>
              <w:rPr>
                <w:b w:val="0"/>
                <w:color w:val="FFFFFF" w:themeColor="background1"/>
                <w:sz w:val="18"/>
                <w:szCs w:val="18"/>
              </w:rPr>
              <w:br/>
            </w:r>
            <w:r w:rsidRPr="00B105E6">
              <w:rPr>
                <w:color w:val="FFFFFF" w:themeColor="background1"/>
                <w:sz w:val="18"/>
                <w:szCs w:val="18"/>
              </w:rPr>
              <w:t>(26 Jan to 1 Feb)</w:t>
            </w:r>
            <w:r>
              <w:rPr>
                <w:b w:val="0"/>
                <w:color w:val="FFFFFF" w:themeColor="background1"/>
                <w:sz w:val="18"/>
                <w:szCs w:val="18"/>
              </w:rPr>
              <w:br/>
            </w:r>
            <w:r w:rsidRPr="00B105E6">
              <w:rPr>
                <w:color w:val="FFFFFF" w:themeColor="background1"/>
                <w:sz w:val="18"/>
                <w:szCs w:val="18"/>
              </w:rPr>
              <w:t>No. of cases</w:t>
            </w:r>
          </w:p>
        </w:tc>
        <w:tc>
          <w:tcPr>
            <w:tcW w:w="2616" w:type="dxa"/>
            <w:hideMark/>
          </w:tcPr>
          <w:p w14:paraId="2FBC475B" w14:textId="77777777" w:rsidR="006212FB" w:rsidRPr="006212FB" w:rsidRDefault="006212FB" w:rsidP="00F505DA">
            <w:pPr>
              <w:pStyle w:val="NormalWeb"/>
              <w:jc w:val="center"/>
              <w:rPr>
                <w:b w:val="0"/>
                <w:color w:val="FFFFFF" w:themeColor="background1"/>
                <w:sz w:val="18"/>
                <w:szCs w:val="18"/>
              </w:rPr>
            </w:pPr>
            <w:r w:rsidRPr="00B105E6">
              <w:rPr>
                <w:color w:val="FFFFFF" w:themeColor="background1"/>
                <w:sz w:val="18"/>
                <w:szCs w:val="18"/>
              </w:rPr>
              <w:t>Last week</w:t>
            </w:r>
            <w:r>
              <w:rPr>
                <w:b w:val="0"/>
                <w:color w:val="FFFFFF" w:themeColor="background1"/>
                <w:sz w:val="18"/>
                <w:szCs w:val="18"/>
              </w:rPr>
              <w:br/>
            </w:r>
            <w:r w:rsidRPr="00B105E6">
              <w:rPr>
                <w:color w:val="FFFFFF" w:themeColor="background1"/>
                <w:sz w:val="18"/>
                <w:szCs w:val="18"/>
              </w:rPr>
              <w:t>(19 to 25 Jan)</w:t>
            </w:r>
            <w:r>
              <w:rPr>
                <w:b w:val="0"/>
                <w:color w:val="FFFFFF" w:themeColor="background1"/>
                <w:sz w:val="18"/>
                <w:szCs w:val="18"/>
              </w:rPr>
              <w:br/>
            </w:r>
            <w:r w:rsidRPr="00B105E6">
              <w:rPr>
                <w:color w:val="FFFFFF" w:themeColor="background1"/>
                <w:sz w:val="18"/>
                <w:szCs w:val="18"/>
              </w:rPr>
              <w:t>No. of cases</w:t>
            </w:r>
          </w:p>
        </w:tc>
        <w:tc>
          <w:tcPr>
            <w:tcW w:w="2617" w:type="dxa"/>
            <w:hideMark/>
          </w:tcPr>
          <w:p w14:paraId="650A413A" w14:textId="77777777" w:rsidR="006212FB" w:rsidRPr="006212FB" w:rsidRDefault="006212FB" w:rsidP="00F505DA">
            <w:pPr>
              <w:pStyle w:val="NormalWeb"/>
              <w:jc w:val="center"/>
              <w:rPr>
                <w:b w:val="0"/>
                <w:color w:val="FFFFFF" w:themeColor="background1"/>
                <w:sz w:val="18"/>
                <w:szCs w:val="18"/>
              </w:rPr>
            </w:pPr>
            <w:r w:rsidRPr="00B105E6">
              <w:rPr>
                <w:color w:val="FFFFFF" w:themeColor="background1"/>
                <w:sz w:val="18"/>
                <w:szCs w:val="18"/>
              </w:rPr>
              <w:t>Total cases</w:t>
            </w:r>
            <w:r>
              <w:rPr>
                <w:b w:val="0"/>
                <w:color w:val="FFFFFF" w:themeColor="background1"/>
                <w:sz w:val="18"/>
                <w:szCs w:val="18"/>
              </w:rPr>
              <w:br/>
            </w:r>
            <w:r w:rsidRPr="00B105E6">
              <w:rPr>
                <w:color w:val="FFFFFF" w:themeColor="background1"/>
                <w:sz w:val="18"/>
                <w:szCs w:val="18"/>
              </w:rPr>
              <w:t>(as of 1 Feb 2020)</w:t>
            </w:r>
            <w:r>
              <w:rPr>
                <w:b w:val="0"/>
                <w:color w:val="FFFFFF" w:themeColor="background1"/>
                <w:sz w:val="18"/>
                <w:szCs w:val="18"/>
              </w:rPr>
              <w:br/>
            </w:r>
            <w:r w:rsidRPr="00B105E6">
              <w:rPr>
                <w:color w:val="FFFFFF" w:themeColor="background1"/>
                <w:sz w:val="18"/>
                <w:szCs w:val="18"/>
              </w:rPr>
              <w:t>No. of cases</w:t>
            </w:r>
          </w:p>
        </w:tc>
      </w:tr>
      <w:tr w:rsidR="00B0445D" w:rsidRPr="00B105E6" w14:paraId="3C862009" w14:textId="77777777" w:rsidTr="0061193C">
        <w:tc>
          <w:tcPr>
            <w:tcW w:w="2616" w:type="dxa"/>
            <w:hideMark/>
          </w:tcPr>
          <w:p w14:paraId="0E1AFE32" w14:textId="77777777" w:rsidR="00B0445D" w:rsidRPr="00B105E6" w:rsidRDefault="00B0445D">
            <w:pPr>
              <w:pStyle w:val="NormalWeb"/>
              <w:rPr>
                <w:sz w:val="18"/>
                <w:szCs w:val="18"/>
              </w:rPr>
            </w:pPr>
            <w:r w:rsidRPr="00B105E6">
              <w:rPr>
                <w:sz w:val="18"/>
                <w:szCs w:val="18"/>
              </w:rPr>
              <w:t>NSW</w:t>
            </w:r>
          </w:p>
        </w:tc>
        <w:tc>
          <w:tcPr>
            <w:tcW w:w="2617" w:type="dxa"/>
            <w:hideMark/>
          </w:tcPr>
          <w:p w14:paraId="3C96710C" w14:textId="77777777" w:rsidR="00B0445D" w:rsidRPr="00B105E6" w:rsidRDefault="00B0445D" w:rsidP="0061193C">
            <w:pPr>
              <w:pStyle w:val="NormalWeb"/>
              <w:jc w:val="center"/>
              <w:rPr>
                <w:sz w:val="18"/>
                <w:szCs w:val="18"/>
              </w:rPr>
            </w:pPr>
            <w:r w:rsidRPr="00B105E6">
              <w:rPr>
                <w:sz w:val="18"/>
                <w:szCs w:val="18"/>
              </w:rPr>
              <w:t>0</w:t>
            </w:r>
          </w:p>
        </w:tc>
        <w:tc>
          <w:tcPr>
            <w:tcW w:w="2616" w:type="dxa"/>
            <w:hideMark/>
          </w:tcPr>
          <w:p w14:paraId="727BABA1" w14:textId="77777777" w:rsidR="00B0445D" w:rsidRPr="00B105E6" w:rsidRDefault="00B0445D" w:rsidP="0061193C">
            <w:pPr>
              <w:pStyle w:val="NormalWeb"/>
              <w:jc w:val="center"/>
              <w:rPr>
                <w:sz w:val="18"/>
                <w:szCs w:val="18"/>
              </w:rPr>
            </w:pPr>
            <w:r w:rsidRPr="00B105E6">
              <w:rPr>
                <w:sz w:val="18"/>
                <w:szCs w:val="18"/>
              </w:rPr>
              <w:t>4</w:t>
            </w:r>
          </w:p>
        </w:tc>
        <w:tc>
          <w:tcPr>
            <w:tcW w:w="2617" w:type="dxa"/>
            <w:hideMark/>
          </w:tcPr>
          <w:p w14:paraId="0D742A44" w14:textId="77777777" w:rsidR="00B0445D" w:rsidRPr="00B105E6" w:rsidRDefault="00B0445D" w:rsidP="0061193C">
            <w:pPr>
              <w:pStyle w:val="NormalWeb"/>
              <w:jc w:val="center"/>
              <w:rPr>
                <w:sz w:val="18"/>
                <w:szCs w:val="18"/>
              </w:rPr>
            </w:pPr>
            <w:r w:rsidRPr="00B105E6">
              <w:rPr>
                <w:sz w:val="18"/>
                <w:szCs w:val="18"/>
              </w:rPr>
              <w:t>4</w:t>
            </w:r>
          </w:p>
        </w:tc>
      </w:tr>
      <w:tr w:rsidR="00B0445D" w:rsidRPr="00B105E6" w14:paraId="5BD45358" w14:textId="77777777" w:rsidTr="0061193C">
        <w:trPr>
          <w:cnfStyle w:val="000000010000" w:firstRow="0" w:lastRow="0" w:firstColumn="0" w:lastColumn="0" w:oddVBand="0" w:evenVBand="0" w:oddHBand="0" w:evenHBand="1" w:firstRowFirstColumn="0" w:firstRowLastColumn="0" w:lastRowFirstColumn="0" w:lastRowLastColumn="0"/>
        </w:trPr>
        <w:tc>
          <w:tcPr>
            <w:tcW w:w="2616" w:type="dxa"/>
            <w:hideMark/>
          </w:tcPr>
          <w:p w14:paraId="0087CEFE" w14:textId="77777777" w:rsidR="00B0445D" w:rsidRPr="00B105E6" w:rsidRDefault="00B0445D">
            <w:pPr>
              <w:pStyle w:val="NormalWeb"/>
              <w:rPr>
                <w:sz w:val="18"/>
                <w:szCs w:val="18"/>
              </w:rPr>
            </w:pPr>
            <w:r w:rsidRPr="00B105E6">
              <w:rPr>
                <w:sz w:val="18"/>
                <w:szCs w:val="18"/>
              </w:rPr>
              <w:t>Vic</w:t>
            </w:r>
          </w:p>
        </w:tc>
        <w:tc>
          <w:tcPr>
            <w:tcW w:w="2617" w:type="dxa"/>
            <w:hideMark/>
          </w:tcPr>
          <w:p w14:paraId="751C91F4" w14:textId="77777777" w:rsidR="00B0445D" w:rsidRPr="00B105E6" w:rsidRDefault="00B0445D" w:rsidP="0061193C">
            <w:pPr>
              <w:pStyle w:val="NormalWeb"/>
              <w:jc w:val="center"/>
              <w:rPr>
                <w:sz w:val="18"/>
                <w:szCs w:val="18"/>
              </w:rPr>
            </w:pPr>
            <w:r w:rsidRPr="00B105E6">
              <w:rPr>
                <w:sz w:val="18"/>
                <w:szCs w:val="18"/>
              </w:rPr>
              <w:t>2</w:t>
            </w:r>
          </w:p>
        </w:tc>
        <w:tc>
          <w:tcPr>
            <w:tcW w:w="2616" w:type="dxa"/>
            <w:hideMark/>
          </w:tcPr>
          <w:p w14:paraId="641839DF" w14:textId="77777777" w:rsidR="00B0445D" w:rsidRPr="00B105E6" w:rsidRDefault="00B0445D" w:rsidP="0061193C">
            <w:pPr>
              <w:pStyle w:val="NormalWeb"/>
              <w:jc w:val="center"/>
              <w:rPr>
                <w:sz w:val="18"/>
                <w:szCs w:val="18"/>
              </w:rPr>
            </w:pPr>
            <w:r w:rsidRPr="00B105E6">
              <w:rPr>
                <w:sz w:val="18"/>
                <w:szCs w:val="18"/>
              </w:rPr>
              <w:t>2</w:t>
            </w:r>
          </w:p>
        </w:tc>
        <w:tc>
          <w:tcPr>
            <w:tcW w:w="2617" w:type="dxa"/>
            <w:hideMark/>
          </w:tcPr>
          <w:p w14:paraId="10710B89" w14:textId="77777777" w:rsidR="00B0445D" w:rsidRPr="00B105E6" w:rsidRDefault="00B0445D" w:rsidP="0061193C">
            <w:pPr>
              <w:pStyle w:val="NormalWeb"/>
              <w:jc w:val="center"/>
              <w:rPr>
                <w:sz w:val="18"/>
                <w:szCs w:val="18"/>
              </w:rPr>
            </w:pPr>
            <w:r w:rsidRPr="00B105E6">
              <w:rPr>
                <w:sz w:val="18"/>
                <w:szCs w:val="18"/>
              </w:rPr>
              <w:t>4</w:t>
            </w:r>
          </w:p>
        </w:tc>
      </w:tr>
      <w:tr w:rsidR="00B0445D" w:rsidRPr="00B105E6" w14:paraId="0F3FB2FD" w14:textId="77777777" w:rsidTr="0061193C">
        <w:tc>
          <w:tcPr>
            <w:tcW w:w="2616" w:type="dxa"/>
            <w:hideMark/>
          </w:tcPr>
          <w:p w14:paraId="7B8E493B" w14:textId="77777777" w:rsidR="00B0445D" w:rsidRPr="00B105E6" w:rsidRDefault="00B0445D">
            <w:pPr>
              <w:pStyle w:val="NormalWeb"/>
              <w:rPr>
                <w:sz w:val="18"/>
                <w:szCs w:val="18"/>
              </w:rPr>
            </w:pPr>
            <w:r w:rsidRPr="00B105E6">
              <w:rPr>
                <w:sz w:val="18"/>
                <w:szCs w:val="18"/>
              </w:rPr>
              <w:t>Qld</w:t>
            </w:r>
          </w:p>
        </w:tc>
        <w:tc>
          <w:tcPr>
            <w:tcW w:w="2617" w:type="dxa"/>
            <w:hideMark/>
          </w:tcPr>
          <w:p w14:paraId="1C9C5CB7" w14:textId="77777777" w:rsidR="00B0445D" w:rsidRPr="00B105E6" w:rsidRDefault="00B0445D" w:rsidP="0061193C">
            <w:pPr>
              <w:pStyle w:val="NormalWeb"/>
              <w:jc w:val="center"/>
              <w:rPr>
                <w:sz w:val="18"/>
                <w:szCs w:val="18"/>
              </w:rPr>
            </w:pPr>
            <w:r w:rsidRPr="00B105E6">
              <w:rPr>
                <w:sz w:val="18"/>
                <w:szCs w:val="18"/>
              </w:rPr>
              <w:t>2</w:t>
            </w:r>
          </w:p>
        </w:tc>
        <w:tc>
          <w:tcPr>
            <w:tcW w:w="2616" w:type="dxa"/>
            <w:hideMark/>
          </w:tcPr>
          <w:p w14:paraId="359D8AC2" w14:textId="77777777" w:rsidR="00B0445D" w:rsidRPr="00B105E6" w:rsidRDefault="00B0445D" w:rsidP="0061193C">
            <w:pPr>
              <w:pStyle w:val="NormalWeb"/>
              <w:jc w:val="center"/>
              <w:rPr>
                <w:sz w:val="18"/>
                <w:szCs w:val="18"/>
              </w:rPr>
            </w:pPr>
            <w:r w:rsidRPr="00B105E6">
              <w:rPr>
                <w:sz w:val="18"/>
                <w:szCs w:val="18"/>
              </w:rPr>
              <w:t>0</w:t>
            </w:r>
          </w:p>
        </w:tc>
        <w:tc>
          <w:tcPr>
            <w:tcW w:w="2617" w:type="dxa"/>
            <w:hideMark/>
          </w:tcPr>
          <w:p w14:paraId="77E109BE" w14:textId="77777777" w:rsidR="00B0445D" w:rsidRPr="00B105E6" w:rsidRDefault="00B0445D" w:rsidP="0061193C">
            <w:pPr>
              <w:pStyle w:val="NormalWeb"/>
              <w:jc w:val="center"/>
              <w:rPr>
                <w:sz w:val="18"/>
                <w:szCs w:val="18"/>
              </w:rPr>
            </w:pPr>
            <w:r w:rsidRPr="00B105E6">
              <w:rPr>
                <w:sz w:val="18"/>
                <w:szCs w:val="18"/>
              </w:rPr>
              <w:t>2</w:t>
            </w:r>
          </w:p>
        </w:tc>
      </w:tr>
      <w:tr w:rsidR="00B0445D" w:rsidRPr="00B105E6" w14:paraId="6B334C40" w14:textId="77777777" w:rsidTr="0061193C">
        <w:trPr>
          <w:cnfStyle w:val="000000010000" w:firstRow="0" w:lastRow="0" w:firstColumn="0" w:lastColumn="0" w:oddVBand="0" w:evenVBand="0" w:oddHBand="0" w:evenHBand="1" w:firstRowFirstColumn="0" w:firstRowLastColumn="0" w:lastRowFirstColumn="0" w:lastRowLastColumn="0"/>
        </w:trPr>
        <w:tc>
          <w:tcPr>
            <w:tcW w:w="2616" w:type="dxa"/>
            <w:hideMark/>
          </w:tcPr>
          <w:p w14:paraId="19C25C38" w14:textId="77777777" w:rsidR="00B0445D" w:rsidRPr="00B105E6" w:rsidRDefault="00B0445D">
            <w:pPr>
              <w:pStyle w:val="NormalWeb"/>
              <w:rPr>
                <w:sz w:val="18"/>
                <w:szCs w:val="18"/>
              </w:rPr>
            </w:pPr>
            <w:r w:rsidRPr="00B105E6">
              <w:rPr>
                <w:sz w:val="18"/>
                <w:szCs w:val="18"/>
              </w:rPr>
              <w:t>WA</w:t>
            </w:r>
          </w:p>
        </w:tc>
        <w:tc>
          <w:tcPr>
            <w:tcW w:w="2617" w:type="dxa"/>
            <w:hideMark/>
          </w:tcPr>
          <w:p w14:paraId="50588EAF" w14:textId="77777777" w:rsidR="00B0445D" w:rsidRPr="00B105E6" w:rsidRDefault="00B0445D" w:rsidP="0061193C">
            <w:pPr>
              <w:pStyle w:val="NormalWeb"/>
              <w:jc w:val="center"/>
              <w:rPr>
                <w:sz w:val="18"/>
                <w:szCs w:val="18"/>
              </w:rPr>
            </w:pPr>
            <w:r w:rsidRPr="00B105E6">
              <w:rPr>
                <w:sz w:val="18"/>
                <w:szCs w:val="18"/>
              </w:rPr>
              <w:t>0</w:t>
            </w:r>
          </w:p>
        </w:tc>
        <w:tc>
          <w:tcPr>
            <w:tcW w:w="2616" w:type="dxa"/>
            <w:hideMark/>
          </w:tcPr>
          <w:p w14:paraId="7066AE35" w14:textId="77777777" w:rsidR="00B0445D" w:rsidRPr="00B105E6" w:rsidRDefault="00B0445D" w:rsidP="0061193C">
            <w:pPr>
              <w:pStyle w:val="NormalWeb"/>
              <w:jc w:val="center"/>
              <w:rPr>
                <w:sz w:val="18"/>
                <w:szCs w:val="18"/>
              </w:rPr>
            </w:pPr>
            <w:r w:rsidRPr="00B105E6">
              <w:rPr>
                <w:sz w:val="18"/>
                <w:szCs w:val="18"/>
              </w:rPr>
              <w:t>0</w:t>
            </w:r>
          </w:p>
        </w:tc>
        <w:tc>
          <w:tcPr>
            <w:tcW w:w="2617" w:type="dxa"/>
            <w:hideMark/>
          </w:tcPr>
          <w:p w14:paraId="2E3610E7" w14:textId="77777777" w:rsidR="00B0445D" w:rsidRPr="00B105E6" w:rsidRDefault="00B0445D" w:rsidP="0061193C">
            <w:pPr>
              <w:pStyle w:val="NormalWeb"/>
              <w:jc w:val="center"/>
              <w:rPr>
                <w:sz w:val="18"/>
                <w:szCs w:val="18"/>
              </w:rPr>
            </w:pPr>
            <w:r w:rsidRPr="00B105E6">
              <w:rPr>
                <w:sz w:val="18"/>
                <w:szCs w:val="18"/>
              </w:rPr>
              <w:t>0</w:t>
            </w:r>
          </w:p>
        </w:tc>
      </w:tr>
      <w:tr w:rsidR="00B0445D" w:rsidRPr="00B105E6" w14:paraId="4AF42A66" w14:textId="77777777" w:rsidTr="0061193C">
        <w:tc>
          <w:tcPr>
            <w:tcW w:w="2616" w:type="dxa"/>
            <w:hideMark/>
          </w:tcPr>
          <w:p w14:paraId="2A012764" w14:textId="77777777" w:rsidR="00B0445D" w:rsidRPr="00B105E6" w:rsidRDefault="00B0445D">
            <w:pPr>
              <w:pStyle w:val="NormalWeb"/>
              <w:rPr>
                <w:sz w:val="18"/>
                <w:szCs w:val="18"/>
              </w:rPr>
            </w:pPr>
            <w:r w:rsidRPr="00B105E6">
              <w:rPr>
                <w:sz w:val="18"/>
                <w:szCs w:val="18"/>
              </w:rPr>
              <w:t>SA</w:t>
            </w:r>
          </w:p>
        </w:tc>
        <w:tc>
          <w:tcPr>
            <w:tcW w:w="2617" w:type="dxa"/>
            <w:hideMark/>
          </w:tcPr>
          <w:p w14:paraId="0950EFCA" w14:textId="77777777" w:rsidR="00B0445D" w:rsidRPr="00B105E6" w:rsidRDefault="00B0445D" w:rsidP="0061193C">
            <w:pPr>
              <w:pStyle w:val="NormalWeb"/>
              <w:jc w:val="center"/>
              <w:rPr>
                <w:sz w:val="18"/>
                <w:szCs w:val="18"/>
              </w:rPr>
            </w:pPr>
            <w:r w:rsidRPr="00B105E6">
              <w:rPr>
                <w:sz w:val="18"/>
                <w:szCs w:val="18"/>
              </w:rPr>
              <w:t>2</w:t>
            </w:r>
          </w:p>
        </w:tc>
        <w:tc>
          <w:tcPr>
            <w:tcW w:w="2616" w:type="dxa"/>
            <w:hideMark/>
          </w:tcPr>
          <w:p w14:paraId="010BBE4D" w14:textId="77777777" w:rsidR="00B0445D" w:rsidRPr="00B105E6" w:rsidRDefault="00B0445D" w:rsidP="0061193C">
            <w:pPr>
              <w:pStyle w:val="NormalWeb"/>
              <w:jc w:val="center"/>
              <w:rPr>
                <w:sz w:val="18"/>
                <w:szCs w:val="18"/>
              </w:rPr>
            </w:pPr>
            <w:r w:rsidRPr="00B105E6">
              <w:rPr>
                <w:sz w:val="18"/>
                <w:szCs w:val="18"/>
              </w:rPr>
              <w:t>0</w:t>
            </w:r>
          </w:p>
        </w:tc>
        <w:tc>
          <w:tcPr>
            <w:tcW w:w="2617" w:type="dxa"/>
            <w:hideMark/>
          </w:tcPr>
          <w:p w14:paraId="3A904001" w14:textId="77777777" w:rsidR="00B0445D" w:rsidRPr="00B105E6" w:rsidRDefault="00B0445D" w:rsidP="0061193C">
            <w:pPr>
              <w:pStyle w:val="NormalWeb"/>
              <w:jc w:val="center"/>
              <w:rPr>
                <w:sz w:val="18"/>
                <w:szCs w:val="18"/>
              </w:rPr>
            </w:pPr>
            <w:r w:rsidRPr="00B105E6">
              <w:rPr>
                <w:sz w:val="18"/>
                <w:szCs w:val="18"/>
              </w:rPr>
              <w:t>2</w:t>
            </w:r>
          </w:p>
        </w:tc>
      </w:tr>
      <w:tr w:rsidR="00B0445D" w:rsidRPr="00B105E6" w14:paraId="21DC3ED4" w14:textId="77777777" w:rsidTr="0061193C">
        <w:trPr>
          <w:cnfStyle w:val="000000010000" w:firstRow="0" w:lastRow="0" w:firstColumn="0" w:lastColumn="0" w:oddVBand="0" w:evenVBand="0" w:oddHBand="0" w:evenHBand="1" w:firstRowFirstColumn="0" w:firstRowLastColumn="0" w:lastRowFirstColumn="0" w:lastRowLastColumn="0"/>
        </w:trPr>
        <w:tc>
          <w:tcPr>
            <w:tcW w:w="2616" w:type="dxa"/>
            <w:hideMark/>
          </w:tcPr>
          <w:p w14:paraId="140B6DAA" w14:textId="77777777" w:rsidR="00B0445D" w:rsidRPr="00B105E6" w:rsidRDefault="00B0445D">
            <w:pPr>
              <w:pStyle w:val="NormalWeb"/>
              <w:rPr>
                <w:sz w:val="18"/>
                <w:szCs w:val="18"/>
              </w:rPr>
            </w:pPr>
            <w:r w:rsidRPr="00B105E6">
              <w:rPr>
                <w:sz w:val="18"/>
                <w:szCs w:val="18"/>
              </w:rPr>
              <w:t>Tas</w:t>
            </w:r>
          </w:p>
        </w:tc>
        <w:tc>
          <w:tcPr>
            <w:tcW w:w="2617" w:type="dxa"/>
            <w:hideMark/>
          </w:tcPr>
          <w:p w14:paraId="157AC7BC" w14:textId="77777777" w:rsidR="00B0445D" w:rsidRPr="00B105E6" w:rsidRDefault="00B0445D" w:rsidP="0061193C">
            <w:pPr>
              <w:pStyle w:val="NormalWeb"/>
              <w:jc w:val="center"/>
              <w:rPr>
                <w:sz w:val="18"/>
                <w:szCs w:val="18"/>
              </w:rPr>
            </w:pPr>
            <w:r w:rsidRPr="00B105E6">
              <w:rPr>
                <w:sz w:val="18"/>
                <w:szCs w:val="18"/>
              </w:rPr>
              <w:t>0</w:t>
            </w:r>
          </w:p>
        </w:tc>
        <w:tc>
          <w:tcPr>
            <w:tcW w:w="2616" w:type="dxa"/>
            <w:hideMark/>
          </w:tcPr>
          <w:p w14:paraId="224D3AE2" w14:textId="77777777" w:rsidR="00B0445D" w:rsidRPr="00B105E6" w:rsidRDefault="00B0445D" w:rsidP="0061193C">
            <w:pPr>
              <w:pStyle w:val="NormalWeb"/>
              <w:jc w:val="center"/>
              <w:rPr>
                <w:sz w:val="18"/>
                <w:szCs w:val="18"/>
              </w:rPr>
            </w:pPr>
            <w:r w:rsidRPr="00B105E6">
              <w:rPr>
                <w:sz w:val="18"/>
                <w:szCs w:val="18"/>
              </w:rPr>
              <w:t>0</w:t>
            </w:r>
          </w:p>
        </w:tc>
        <w:tc>
          <w:tcPr>
            <w:tcW w:w="2617" w:type="dxa"/>
            <w:hideMark/>
          </w:tcPr>
          <w:p w14:paraId="07D8C3CD" w14:textId="77777777" w:rsidR="00B0445D" w:rsidRPr="00B105E6" w:rsidRDefault="00B0445D" w:rsidP="0061193C">
            <w:pPr>
              <w:pStyle w:val="NormalWeb"/>
              <w:jc w:val="center"/>
              <w:rPr>
                <w:sz w:val="18"/>
                <w:szCs w:val="18"/>
              </w:rPr>
            </w:pPr>
            <w:r w:rsidRPr="00B105E6">
              <w:rPr>
                <w:sz w:val="18"/>
                <w:szCs w:val="18"/>
              </w:rPr>
              <w:t>0</w:t>
            </w:r>
          </w:p>
        </w:tc>
      </w:tr>
      <w:tr w:rsidR="00B0445D" w:rsidRPr="00B105E6" w14:paraId="1DA2041E" w14:textId="77777777" w:rsidTr="0061193C">
        <w:tc>
          <w:tcPr>
            <w:tcW w:w="2616" w:type="dxa"/>
            <w:hideMark/>
          </w:tcPr>
          <w:p w14:paraId="19631D11" w14:textId="77777777" w:rsidR="00B0445D" w:rsidRPr="00B105E6" w:rsidRDefault="00B0445D">
            <w:pPr>
              <w:pStyle w:val="NormalWeb"/>
              <w:rPr>
                <w:sz w:val="18"/>
                <w:szCs w:val="18"/>
              </w:rPr>
            </w:pPr>
            <w:r w:rsidRPr="00B105E6">
              <w:rPr>
                <w:sz w:val="18"/>
                <w:szCs w:val="18"/>
              </w:rPr>
              <w:t>NT</w:t>
            </w:r>
          </w:p>
        </w:tc>
        <w:tc>
          <w:tcPr>
            <w:tcW w:w="2617" w:type="dxa"/>
            <w:hideMark/>
          </w:tcPr>
          <w:p w14:paraId="0A5EC4AF" w14:textId="77777777" w:rsidR="00B0445D" w:rsidRPr="00B105E6" w:rsidRDefault="00B0445D" w:rsidP="0061193C">
            <w:pPr>
              <w:pStyle w:val="NormalWeb"/>
              <w:jc w:val="center"/>
              <w:rPr>
                <w:sz w:val="18"/>
                <w:szCs w:val="18"/>
              </w:rPr>
            </w:pPr>
            <w:r w:rsidRPr="00B105E6">
              <w:rPr>
                <w:sz w:val="18"/>
                <w:szCs w:val="18"/>
              </w:rPr>
              <w:t>0</w:t>
            </w:r>
          </w:p>
        </w:tc>
        <w:tc>
          <w:tcPr>
            <w:tcW w:w="2616" w:type="dxa"/>
            <w:hideMark/>
          </w:tcPr>
          <w:p w14:paraId="70AC2731" w14:textId="77777777" w:rsidR="00B0445D" w:rsidRPr="00B105E6" w:rsidRDefault="00B0445D" w:rsidP="0061193C">
            <w:pPr>
              <w:pStyle w:val="NormalWeb"/>
              <w:jc w:val="center"/>
              <w:rPr>
                <w:sz w:val="18"/>
                <w:szCs w:val="18"/>
              </w:rPr>
            </w:pPr>
            <w:r w:rsidRPr="00B105E6">
              <w:rPr>
                <w:sz w:val="18"/>
                <w:szCs w:val="18"/>
              </w:rPr>
              <w:t>0</w:t>
            </w:r>
          </w:p>
        </w:tc>
        <w:tc>
          <w:tcPr>
            <w:tcW w:w="2617" w:type="dxa"/>
            <w:hideMark/>
          </w:tcPr>
          <w:p w14:paraId="176876CB" w14:textId="77777777" w:rsidR="00B0445D" w:rsidRPr="00B105E6" w:rsidRDefault="00B0445D" w:rsidP="0061193C">
            <w:pPr>
              <w:pStyle w:val="NormalWeb"/>
              <w:jc w:val="center"/>
              <w:rPr>
                <w:sz w:val="18"/>
                <w:szCs w:val="18"/>
              </w:rPr>
            </w:pPr>
            <w:r w:rsidRPr="00B105E6">
              <w:rPr>
                <w:sz w:val="18"/>
                <w:szCs w:val="18"/>
              </w:rPr>
              <w:t>0</w:t>
            </w:r>
          </w:p>
        </w:tc>
      </w:tr>
      <w:tr w:rsidR="00B0445D" w:rsidRPr="00B105E6" w14:paraId="4B0DB40F" w14:textId="77777777" w:rsidTr="0061193C">
        <w:trPr>
          <w:cnfStyle w:val="000000010000" w:firstRow="0" w:lastRow="0" w:firstColumn="0" w:lastColumn="0" w:oddVBand="0" w:evenVBand="0" w:oddHBand="0" w:evenHBand="1" w:firstRowFirstColumn="0" w:firstRowLastColumn="0" w:lastRowFirstColumn="0" w:lastRowLastColumn="0"/>
        </w:trPr>
        <w:tc>
          <w:tcPr>
            <w:tcW w:w="2616" w:type="dxa"/>
            <w:hideMark/>
          </w:tcPr>
          <w:p w14:paraId="6B84B97B" w14:textId="77777777" w:rsidR="00B0445D" w:rsidRPr="00B105E6" w:rsidRDefault="00B0445D">
            <w:pPr>
              <w:pStyle w:val="NormalWeb"/>
              <w:rPr>
                <w:sz w:val="18"/>
                <w:szCs w:val="18"/>
              </w:rPr>
            </w:pPr>
            <w:r w:rsidRPr="00B105E6">
              <w:rPr>
                <w:sz w:val="18"/>
                <w:szCs w:val="18"/>
              </w:rPr>
              <w:t>ACT</w:t>
            </w:r>
          </w:p>
        </w:tc>
        <w:tc>
          <w:tcPr>
            <w:tcW w:w="2617" w:type="dxa"/>
            <w:hideMark/>
          </w:tcPr>
          <w:p w14:paraId="5DCC8191" w14:textId="77777777" w:rsidR="00B0445D" w:rsidRPr="00B105E6" w:rsidRDefault="00B0445D" w:rsidP="0061193C">
            <w:pPr>
              <w:pStyle w:val="NormalWeb"/>
              <w:jc w:val="center"/>
              <w:rPr>
                <w:sz w:val="18"/>
                <w:szCs w:val="18"/>
              </w:rPr>
            </w:pPr>
            <w:r w:rsidRPr="00B105E6">
              <w:rPr>
                <w:sz w:val="18"/>
                <w:szCs w:val="18"/>
              </w:rPr>
              <w:t>0</w:t>
            </w:r>
          </w:p>
        </w:tc>
        <w:tc>
          <w:tcPr>
            <w:tcW w:w="2616" w:type="dxa"/>
            <w:hideMark/>
          </w:tcPr>
          <w:p w14:paraId="09938872" w14:textId="77777777" w:rsidR="00B0445D" w:rsidRPr="00B105E6" w:rsidRDefault="00B0445D" w:rsidP="0061193C">
            <w:pPr>
              <w:pStyle w:val="NormalWeb"/>
              <w:jc w:val="center"/>
              <w:rPr>
                <w:sz w:val="18"/>
                <w:szCs w:val="18"/>
              </w:rPr>
            </w:pPr>
            <w:r w:rsidRPr="00B105E6">
              <w:rPr>
                <w:sz w:val="18"/>
                <w:szCs w:val="18"/>
              </w:rPr>
              <w:t>0</w:t>
            </w:r>
          </w:p>
        </w:tc>
        <w:tc>
          <w:tcPr>
            <w:tcW w:w="2617" w:type="dxa"/>
            <w:hideMark/>
          </w:tcPr>
          <w:p w14:paraId="7BE63F0C" w14:textId="77777777" w:rsidR="00B0445D" w:rsidRPr="00B105E6" w:rsidRDefault="00B0445D" w:rsidP="0061193C">
            <w:pPr>
              <w:pStyle w:val="NormalWeb"/>
              <w:jc w:val="center"/>
              <w:rPr>
                <w:sz w:val="18"/>
                <w:szCs w:val="18"/>
              </w:rPr>
            </w:pPr>
            <w:r w:rsidRPr="00B105E6">
              <w:rPr>
                <w:sz w:val="18"/>
                <w:szCs w:val="18"/>
              </w:rPr>
              <w:t>0</w:t>
            </w:r>
          </w:p>
        </w:tc>
      </w:tr>
      <w:tr w:rsidR="00B0445D" w:rsidRPr="00B105E6" w14:paraId="486DDA13" w14:textId="77777777" w:rsidTr="0061193C">
        <w:tc>
          <w:tcPr>
            <w:tcW w:w="2616" w:type="dxa"/>
            <w:shd w:val="clear" w:color="auto" w:fill="FDE9D9" w:themeFill="accent6" w:themeFillTint="33"/>
            <w:hideMark/>
          </w:tcPr>
          <w:p w14:paraId="67C1714C" w14:textId="77777777" w:rsidR="00B0445D" w:rsidRPr="00B105E6" w:rsidRDefault="00B0445D">
            <w:pPr>
              <w:pStyle w:val="NormalWeb"/>
              <w:rPr>
                <w:b/>
                <w:sz w:val="18"/>
                <w:szCs w:val="18"/>
              </w:rPr>
            </w:pPr>
            <w:r w:rsidRPr="00B105E6">
              <w:rPr>
                <w:b/>
                <w:sz w:val="18"/>
                <w:szCs w:val="18"/>
              </w:rPr>
              <w:t>Total cases</w:t>
            </w:r>
          </w:p>
        </w:tc>
        <w:tc>
          <w:tcPr>
            <w:tcW w:w="2617" w:type="dxa"/>
            <w:shd w:val="clear" w:color="auto" w:fill="FDE9D9" w:themeFill="accent6" w:themeFillTint="33"/>
            <w:hideMark/>
          </w:tcPr>
          <w:p w14:paraId="03246640" w14:textId="77777777" w:rsidR="00B0445D" w:rsidRPr="00B105E6" w:rsidRDefault="00B0445D" w:rsidP="0061193C">
            <w:pPr>
              <w:pStyle w:val="NormalWeb"/>
              <w:jc w:val="center"/>
              <w:rPr>
                <w:b/>
                <w:sz w:val="18"/>
                <w:szCs w:val="18"/>
              </w:rPr>
            </w:pPr>
            <w:r w:rsidRPr="00B105E6">
              <w:rPr>
                <w:b/>
                <w:sz w:val="18"/>
                <w:szCs w:val="18"/>
              </w:rPr>
              <w:t>6</w:t>
            </w:r>
          </w:p>
        </w:tc>
        <w:tc>
          <w:tcPr>
            <w:tcW w:w="2616" w:type="dxa"/>
            <w:shd w:val="clear" w:color="auto" w:fill="FDE9D9" w:themeFill="accent6" w:themeFillTint="33"/>
            <w:hideMark/>
          </w:tcPr>
          <w:p w14:paraId="26735F79" w14:textId="77777777" w:rsidR="00B0445D" w:rsidRPr="00B105E6" w:rsidRDefault="00B0445D" w:rsidP="0061193C">
            <w:pPr>
              <w:pStyle w:val="NormalWeb"/>
              <w:jc w:val="center"/>
              <w:rPr>
                <w:b/>
                <w:sz w:val="18"/>
                <w:szCs w:val="18"/>
              </w:rPr>
            </w:pPr>
            <w:r w:rsidRPr="00B105E6">
              <w:rPr>
                <w:b/>
                <w:sz w:val="18"/>
                <w:szCs w:val="18"/>
              </w:rPr>
              <w:t>6</w:t>
            </w:r>
          </w:p>
        </w:tc>
        <w:tc>
          <w:tcPr>
            <w:tcW w:w="2617" w:type="dxa"/>
            <w:shd w:val="clear" w:color="auto" w:fill="FDE9D9" w:themeFill="accent6" w:themeFillTint="33"/>
            <w:hideMark/>
          </w:tcPr>
          <w:p w14:paraId="33225D9B" w14:textId="77777777" w:rsidR="00B0445D" w:rsidRPr="00B105E6" w:rsidRDefault="00B0445D" w:rsidP="0061193C">
            <w:pPr>
              <w:pStyle w:val="NormalWeb"/>
              <w:jc w:val="center"/>
              <w:rPr>
                <w:b/>
                <w:sz w:val="18"/>
                <w:szCs w:val="18"/>
              </w:rPr>
            </w:pPr>
            <w:r w:rsidRPr="00B105E6">
              <w:rPr>
                <w:b/>
                <w:sz w:val="18"/>
                <w:szCs w:val="18"/>
              </w:rPr>
              <w:t>12</w:t>
            </w:r>
          </w:p>
        </w:tc>
      </w:tr>
    </w:tbl>
    <w:p w14:paraId="3953F1C8" w14:textId="77777777" w:rsidR="006708AD" w:rsidRDefault="006708AD" w:rsidP="006708AD">
      <w:pPr>
        <w:pStyle w:val="CDIFigures"/>
        <w:sectPr w:rsidR="006708A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46F4831" w14:textId="77777777" w:rsidR="00B0445D" w:rsidRDefault="00B0445D" w:rsidP="006708AD">
      <w:pPr>
        <w:pStyle w:val="CDIFigures"/>
      </w:pPr>
      <w:r>
        <w:lastRenderedPageBreak/>
        <w:t>Figure 1: Confirmed cases of 2019-nCoV infection by date of illness onset, Australia 2020</w:t>
      </w:r>
    </w:p>
    <w:p w14:paraId="1C316508" w14:textId="77777777" w:rsidR="00B0445D" w:rsidRDefault="00B0445D">
      <w:pPr>
        <w:pStyle w:val="NormalWeb"/>
      </w:pPr>
      <w:r>
        <w:rPr>
          <w:noProof/>
        </w:rPr>
        <w:drawing>
          <wp:inline distT="0" distB="0" distL="0" distR="0" wp14:anchorId="0FC57A53" wp14:editId="2E95ADF6">
            <wp:extent cx="9334500" cy="5977140"/>
            <wp:effectExtent l="0" t="0" r="0" b="5080"/>
            <wp:docPr id="3" name="Picture 3" descr="Bar chart showing 2019-nCoV notifications by jurisdiction and date of disease onset. A total of 12 notifications are shown with onset dates ranging from 12 January 2020 to 30 Jan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2019-nCoV notifications by jurisdiction and date of disease onset. A total of 12 notifications are shown with onset dates ranging from 12 January 2020 to 30 January 20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334500" cy="5977140"/>
                    </a:xfrm>
                    <a:prstGeom prst="rect">
                      <a:avLst/>
                    </a:prstGeom>
                    <a:noFill/>
                    <a:ln>
                      <a:noFill/>
                    </a:ln>
                  </pic:spPr>
                </pic:pic>
              </a:graphicData>
            </a:graphic>
          </wp:inline>
        </w:drawing>
      </w:r>
    </w:p>
    <w:p w14:paraId="2DFDA698" w14:textId="77777777" w:rsidR="006708AD" w:rsidRDefault="006708AD" w:rsidP="004D0C9E">
      <w:pPr>
        <w:pStyle w:val="CDIFigures"/>
        <w:sectPr w:rsidR="006708AD" w:rsidSect="004D0C9E">
          <w:pgSz w:w="16838" w:h="11906" w:orient="landscape"/>
          <w:pgMar w:top="720" w:right="720" w:bottom="720" w:left="1134" w:header="709" w:footer="284" w:gutter="0"/>
          <w:cols w:space="708"/>
          <w:titlePg/>
          <w:docGrid w:linePitch="360"/>
        </w:sectPr>
      </w:pPr>
    </w:p>
    <w:p w14:paraId="76ECE204" w14:textId="77777777" w:rsidR="00B0445D" w:rsidRDefault="00B0445D" w:rsidP="00B0445D">
      <w:pPr>
        <w:pStyle w:val="CDIFigures"/>
      </w:pPr>
      <w:r>
        <w:lastRenderedPageBreak/>
        <w:t>Figure 2: Signs and symptoms reported by 2019-nCoV cases in Australia, 2020 (n = 12)</w:t>
      </w:r>
    </w:p>
    <w:p w14:paraId="78A7BA9F" w14:textId="77777777" w:rsidR="00B0445D" w:rsidRDefault="00B0445D">
      <w:pPr>
        <w:pStyle w:val="NormalWeb"/>
      </w:pPr>
      <w:r>
        <w:rPr>
          <w:noProof/>
        </w:rPr>
        <w:drawing>
          <wp:inline distT="0" distB="0" distL="0" distR="0" wp14:anchorId="25F28883">
            <wp:extent cx="9433097" cy="6025487"/>
            <wp:effectExtent l="0" t="0" r="0" b="0"/>
            <wp:docPr id="2" name="Picture 2" descr="Bar chart showing symptoms reported by 2019-nCoV cases in Australia, 2020. The most common symptom reported was fever/chills, followed by cough, runny nose and sore thr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symptoms reported by 2019-nCoV cases in Australia, 2020. The most common symptom reported was fever/chills, followed by cough, runny nose and sore throa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438984" cy="6029247"/>
                    </a:xfrm>
                    <a:prstGeom prst="rect">
                      <a:avLst/>
                    </a:prstGeom>
                    <a:noFill/>
                    <a:ln>
                      <a:noFill/>
                    </a:ln>
                  </pic:spPr>
                </pic:pic>
              </a:graphicData>
            </a:graphic>
          </wp:inline>
        </w:drawing>
      </w:r>
    </w:p>
    <w:p w14:paraId="55AF59AD" w14:textId="77777777" w:rsidR="006708AD" w:rsidRDefault="006708AD" w:rsidP="00B0445D">
      <w:pPr>
        <w:pStyle w:val="Heading2"/>
        <w:sectPr w:rsidR="006708AD" w:rsidSect="004D0C9E">
          <w:pgSz w:w="16838" w:h="11906" w:orient="landscape"/>
          <w:pgMar w:top="720" w:right="720" w:bottom="720" w:left="1134" w:header="709" w:footer="284" w:gutter="0"/>
          <w:cols w:space="708"/>
          <w:titlePg/>
          <w:docGrid w:linePitch="360"/>
        </w:sectPr>
      </w:pPr>
    </w:p>
    <w:p w14:paraId="43101BB0" w14:textId="77777777" w:rsidR="00B0445D" w:rsidRPr="00B0445D" w:rsidRDefault="00B0445D" w:rsidP="00B0445D">
      <w:pPr>
        <w:pStyle w:val="Heading2"/>
      </w:pPr>
      <w:r w:rsidRPr="00B0445D">
        <w:lastRenderedPageBreak/>
        <w:t xml:space="preserve">International status report </w:t>
      </w:r>
    </w:p>
    <w:p w14:paraId="5C03009C" w14:textId="77777777" w:rsidR="00B0445D" w:rsidRDefault="00B0445D" w:rsidP="00B0445D">
      <w:r>
        <w:t>As at 1</w:t>
      </w:r>
      <w:r w:rsidR="000828A2">
        <w:t>9</w:t>
      </w:r>
      <w:r>
        <w:t>:00 AEST 1 February 2020 the number of confirmed 2019-nCoV cases was 11,953 globally (Table 2). Mainland China reported the majority of cases (11,791) and all of the 259 deaths.</w:t>
      </w:r>
      <w:r>
        <w:rPr>
          <w:vertAlign w:val="superscript"/>
        </w:rPr>
        <w:t>1</w:t>
      </w:r>
      <w:r>
        <w:t xml:space="preserve"> </w:t>
      </w:r>
    </w:p>
    <w:p w14:paraId="7A3B3A0F" w14:textId="77777777" w:rsidR="00B0445D" w:rsidRDefault="00B0445D" w:rsidP="00B0445D">
      <w:pPr>
        <w:pStyle w:val="CDIFigures"/>
      </w:pPr>
      <w:r>
        <w:t xml:space="preserve">Table 2: </w:t>
      </w:r>
      <w:r w:rsidR="003E4B91" w:rsidRPr="003E4B91">
        <w:t>Cumulative confirmed cases of 2019-nCoV globally, excluding Australia, 2019-2020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cumulative confirmed cases of 2019-nCoV outside of mainland China and excluding Australia, from cases reported in the 2019-2020 WHO Situation Report 12 – 1 February 2020."/>
      </w:tblPr>
      <w:tblGrid>
        <w:gridCol w:w="3480"/>
        <w:gridCol w:w="3480"/>
        <w:gridCol w:w="3480"/>
      </w:tblGrid>
      <w:tr w:rsidR="00EC1308" w:rsidRPr="00EC1308" w14:paraId="7154BC6E" w14:textId="77777777" w:rsidTr="008977B4">
        <w:trPr>
          <w:cnfStyle w:val="100000000000" w:firstRow="1" w:lastRow="0" w:firstColumn="0" w:lastColumn="0" w:oddVBand="0" w:evenVBand="0" w:oddHBand="0" w:evenHBand="0" w:firstRowFirstColumn="0" w:firstRowLastColumn="0" w:lastRowFirstColumn="0" w:lastRowLastColumn="0"/>
          <w:tblHeader/>
        </w:trPr>
        <w:tc>
          <w:tcPr>
            <w:tcW w:w="3480" w:type="dxa"/>
            <w:hideMark/>
          </w:tcPr>
          <w:p w14:paraId="4D2F460A" w14:textId="77777777" w:rsidR="00B0445D" w:rsidRPr="00EC1308" w:rsidRDefault="00B0445D">
            <w:pPr>
              <w:pStyle w:val="NormalWeb"/>
              <w:rPr>
                <w:color w:val="FFFFFF" w:themeColor="background1"/>
                <w:sz w:val="18"/>
                <w:szCs w:val="18"/>
              </w:rPr>
            </w:pPr>
            <w:r w:rsidRPr="00EC1308">
              <w:rPr>
                <w:color w:val="FFFFFF" w:themeColor="background1"/>
                <w:sz w:val="18"/>
                <w:szCs w:val="18"/>
              </w:rPr>
              <w:t>Country / Special</w:t>
            </w:r>
            <w:r w:rsidR="00322075">
              <w:rPr>
                <w:color w:val="FFFFFF" w:themeColor="background1"/>
                <w:sz w:val="18"/>
                <w:szCs w:val="18"/>
              </w:rPr>
              <w:t xml:space="preserve"> </w:t>
            </w:r>
            <w:r w:rsidRPr="00EC1308">
              <w:rPr>
                <w:color w:val="FFFFFF" w:themeColor="background1"/>
                <w:sz w:val="18"/>
                <w:szCs w:val="18"/>
              </w:rPr>
              <w:t>Administrative Region</w:t>
            </w:r>
          </w:p>
        </w:tc>
        <w:tc>
          <w:tcPr>
            <w:tcW w:w="3480" w:type="dxa"/>
            <w:hideMark/>
          </w:tcPr>
          <w:p w14:paraId="299EB963" w14:textId="77777777" w:rsidR="00B0445D" w:rsidRPr="00EC1308" w:rsidRDefault="00B0445D" w:rsidP="00EC1308">
            <w:pPr>
              <w:pStyle w:val="NormalWeb"/>
              <w:jc w:val="center"/>
              <w:rPr>
                <w:color w:val="FFFFFF" w:themeColor="background1"/>
                <w:sz w:val="18"/>
                <w:szCs w:val="18"/>
              </w:rPr>
            </w:pPr>
            <w:r w:rsidRPr="00EC1308">
              <w:rPr>
                <w:color w:val="FFFFFF" w:themeColor="background1"/>
                <w:sz w:val="18"/>
                <w:szCs w:val="18"/>
              </w:rPr>
              <w:t>This reporting week</w:t>
            </w:r>
            <w:r w:rsidR="00322075">
              <w:rPr>
                <w:color w:val="FFFFFF" w:themeColor="background1"/>
                <w:sz w:val="18"/>
                <w:szCs w:val="18"/>
              </w:rPr>
              <w:t xml:space="preserve"> </w:t>
            </w:r>
            <w:r w:rsidRPr="00EC1308">
              <w:rPr>
                <w:color w:val="FFFFFF" w:themeColor="background1"/>
                <w:sz w:val="18"/>
                <w:szCs w:val="18"/>
              </w:rPr>
              <w:t>(26 Jan to 1 Feb 2020)</w:t>
            </w:r>
          </w:p>
        </w:tc>
        <w:tc>
          <w:tcPr>
            <w:tcW w:w="3480" w:type="dxa"/>
            <w:hideMark/>
          </w:tcPr>
          <w:p w14:paraId="493AD6F1" w14:textId="77777777" w:rsidR="00B0445D" w:rsidRPr="00EC1308" w:rsidRDefault="00B0445D" w:rsidP="00EC1308">
            <w:pPr>
              <w:pStyle w:val="NormalWeb"/>
              <w:jc w:val="center"/>
              <w:rPr>
                <w:color w:val="FFFFFF" w:themeColor="background1"/>
                <w:sz w:val="18"/>
                <w:szCs w:val="18"/>
              </w:rPr>
            </w:pPr>
            <w:r w:rsidRPr="00EC1308">
              <w:rPr>
                <w:color w:val="FFFFFF" w:themeColor="background1"/>
                <w:sz w:val="18"/>
                <w:szCs w:val="18"/>
              </w:rPr>
              <w:t>Total cases</w:t>
            </w:r>
            <w:r w:rsidR="00322075">
              <w:rPr>
                <w:color w:val="FFFFFF" w:themeColor="background1"/>
                <w:sz w:val="18"/>
                <w:szCs w:val="18"/>
              </w:rPr>
              <w:t xml:space="preserve"> </w:t>
            </w:r>
            <w:r w:rsidRPr="00EC1308">
              <w:rPr>
                <w:color w:val="FFFFFF" w:themeColor="background1"/>
                <w:sz w:val="18"/>
                <w:szCs w:val="18"/>
              </w:rPr>
              <w:t>(from Dec 2019)</w:t>
            </w:r>
            <w:r w:rsidRPr="00322075">
              <w:rPr>
                <w:color w:val="FFFFFF" w:themeColor="background1"/>
                <w:sz w:val="18"/>
                <w:szCs w:val="18"/>
                <w:vertAlign w:val="superscript"/>
              </w:rPr>
              <w:t>1</w:t>
            </w:r>
          </w:p>
        </w:tc>
      </w:tr>
      <w:tr w:rsidR="00B0445D" w:rsidRPr="00EC1308" w14:paraId="6906B606" w14:textId="77777777" w:rsidTr="00783D7A">
        <w:tc>
          <w:tcPr>
            <w:tcW w:w="3480" w:type="dxa"/>
            <w:hideMark/>
          </w:tcPr>
          <w:p w14:paraId="5ACDC2D8" w14:textId="77777777" w:rsidR="00B0445D" w:rsidRPr="00EC1308" w:rsidRDefault="00B0445D">
            <w:pPr>
              <w:pStyle w:val="NormalWeb"/>
              <w:rPr>
                <w:sz w:val="18"/>
                <w:szCs w:val="18"/>
              </w:rPr>
            </w:pPr>
            <w:r w:rsidRPr="00EC1308">
              <w:rPr>
                <w:sz w:val="18"/>
                <w:szCs w:val="18"/>
              </w:rPr>
              <w:t>Cambodia</w:t>
            </w:r>
          </w:p>
        </w:tc>
        <w:tc>
          <w:tcPr>
            <w:tcW w:w="3480" w:type="dxa"/>
            <w:hideMark/>
          </w:tcPr>
          <w:p w14:paraId="22B8AE1D"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21FC599E"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4B3D994F"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4181E3CA" w14:textId="77777777" w:rsidR="00B0445D" w:rsidRPr="00EC1308" w:rsidRDefault="00B0445D">
            <w:pPr>
              <w:pStyle w:val="NormalWeb"/>
              <w:rPr>
                <w:sz w:val="18"/>
                <w:szCs w:val="18"/>
              </w:rPr>
            </w:pPr>
            <w:r w:rsidRPr="00EC1308">
              <w:rPr>
                <w:sz w:val="18"/>
                <w:szCs w:val="18"/>
              </w:rPr>
              <w:t>Canada</w:t>
            </w:r>
          </w:p>
        </w:tc>
        <w:tc>
          <w:tcPr>
            <w:tcW w:w="3480" w:type="dxa"/>
            <w:hideMark/>
          </w:tcPr>
          <w:p w14:paraId="2F0C8D88" w14:textId="77777777" w:rsidR="00B0445D" w:rsidRPr="00EC1308" w:rsidRDefault="00B0445D" w:rsidP="00EC1308">
            <w:pPr>
              <w:pStyle w:val="NormalWeb"/>
              <w:jc w:val="center"/>
              <w:rPr>
                <w:sz w:val="18"/>
                <w:szCs w:val="18"/>
              </w:rPr>
            </w:pPr>
            <w:r w:rsidRPr="00EC1308">
              <w:rPr>
                <w:sz w:val="18"/>
                <w:szCs w:val="18"/>
              </w:rPr>
              <w:t>4</w:t>
            </w:r>
          </w:p>
        </w:tc>
        <w:tc>
          <w:tcPr>
            <w:tcW w:w="3480" w:type="dxa"/>
            <w:hideMark/>
          </w:tcPr>
          <w:p w14:paraId="0F9E6962" w14:textId="77777777" w:rsidR="00B0445D" w:rsidRPr="00EC1308" w:rsidRDefault="00B0445D" w:rsidP="00EC1308">
            <w:pPr>
              <w:pStyle w:val="NormalWeb"/>
              <w:jc w:val="center"/>
              <w:rPr>
                <w:sz w:val="18"/>
                <w:szCs w:val="18"/>
              </w:rPr>
            </w:pPr>
            <w:r w:rsidRPr="00EC1308">
              <w:rPr>
                <w:sz w:val="18"/>
                <w:szCs w:val="18"/>
              </w:rPr>
              <w:t>4</w:t>
            </w:r>
          </w:p>
        </w:tc>
      </w:tr>
      <w:tr w:rsidR="00B0445D" w:rsidRPr="00EC1308" w14:paraId="3051F1E5" w14:textId="77777777" w:rsidTr="00783D7A">
        <w:tc>
          <w:tcPr>
            <w:tcW w:w="3480" w:type="dxa"/>
            <w:hideMark/>
          </w:tcPr>
          <w:p w14:paraId="152F5B32" w14:textId="77777777" w:rsidR="00B0445D" w:rsidRPr="00EC1308" w:rsidRDefault="00B0445D">
            <w:pPr>
              <w:pStyle w:val="NormalWeb"/>
              <w:rPr>
                <w:sz w:val="18"/>
                <w:szCs w:val="18"/>
              </w:rPr>
            </w:pPr>
            <w:r w:rsidRPr="00EC1308">
              <w:rPr>
                <w:sz w:val="18"/>
                <w:szCs w:val="18"/>
              </w:rPr>
              <w:t>mainland China</w:t>
            </w:r>
          </w:p>
        </w:tc>
        <w:tc>
          <w:tcPr>
            <w:tcW w:w="3480" w:type="dxa"/>
            <w:hideMark/>
          </w:tcPr>
          <w:p w14:paraId="54CA4B6E" w14:textId="77777777" w:rsidR="00B0445D" w:rsidRPr="00EC1308" w:rsidRDefault="00B0445D" w:rsidP="00EC1308">
            <w:pPr>
              <w:pStyle w:val="NormalWeb"/>
              <w:jc w:val="center"/>
              <w:rPr>
                <w:sz w:val="18"/>
                <w:szCs w:val="18"/>
              </w:rPr>
            </w:pPr>
            <w:r w:rsidRPr="00EC1308">
              <w:rPr>
                <w:sz w:val="18"/>
                <w:szCs w:val="18"/>
              </w:rPr>
              <w:t>10,504</w:t>
            </w:r>
          </w:p>
        </w:tc>
        <w:tc>
          <w:tcPr>
            <w:tcW w:w="3480" w:type="dxa"/>
            <w:hideMark/>
          </w:tcPr>
          <w:p w14:paraId="6FBC92A0" w14:textId="77777777" w:rsidR="00B0445D" w:rsidRPr="00EC1308" w:rsidRDefault="00B0445D" w:rsidP="00EC1308">
            <w:pPr>
              <w:pStyle w:val="NormalWeb"/>
              <w:jc w:val="center"/>
              <w:rPr>
                <w:sz w:val="18"/>
                <w:szCs w:val="18"/>
              </w:rPr>
            </w:pPr>
            <w:r w:rsidRPr="00EC1308">
              <w:rPr>
                <w:sz w:val="18"/>
                <w:szCs w:val="18"/>
              </w:rPr>
              <w:t>11,791</w:t>
            </w:r>
          </w:p>
        </w:tc>
      </w:tr>
      <w:tr w:rsidR="00B0445D" w:rsidRPr="00EC1308" w14:paraId="4C44FEB5"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52B9BC13" w14:textId="77777777" w:rsidR="00B0445D" w:rsidRPr="00EC1308" w:rsidRDefault="00B0445D">
            <w:pPr>
              <w:pStyle w:val="NormalWeb"/>
              <w:rPr>
                <w:sz w:val="18"/>
                <w:szCs w:val="18"/>
              </w:rPr>
            </w:pPr>
            <w:r w:rsidRPr="00EC1308">
              <w:rPr>
                <w:sz w:val="18"/>
                <w:szCs w:val="18"/>
              </w:rPr>
              <w:t>Finland</w:t>
            </w:r>
          </w:p>
        </w:tc>
        <w:tc>
          <w:tcPr>
            <w:tcW w:w="3480" w:type="dxa"/>
            <w:hideMark/>
          </w:tcPr>
          <w:p w14:paraId="3A711598"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1F564941"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144537EA" w14:textId="77777777" w:rsidTr="00783D7A">
        <w:tc>
          <w:tcPr>
            <w:tcW w:w="3480" w:type="dxa"/>
            <w:hideMark/>
          </w:tcPr>
          <w:p w14:paraId="0DEC3329" w14:textId="77777777" w:rsidR="00B0445D" w:rsidRPr="00EC1308" w:rsidRDefault="00B0445D">
            <w:pPr>
              <w:pStyle w:val="NormalWeb"/>
              <w:rPr>
                <w:sz w:val="18"/>
                <w:szCs w:val="18"/>
              </w:rPr>
            </w:pPr>
            <w:r w:rsidRPr="00EC1308">
              <w:rPr>
                <w:sz w:val="18"/>
                <w:szCs w:val="18"/>
              </w:rPr>
              <w:t>France</w:t>
            </w:r>
          </w:p>
        </w:tc>
        <w:tc>
          <w:tcPr>
            <w:tcW w:w="3480" w:type="dxa"/>
            <w:hideMark/>
          </w:tcPr>
          <w:p w14:paraId="3973515C" w14:textId="77777777" w:rsidR="00B0445D" w:rsidRPr="00EC1308" w:rsidRDefault="00B0445D" w:rsidP="00EC1308">
            <w:pPr>
              <w:pStyle w:val="NormalWeb"/>
              <w:jc w:val="center"/>
              <w:rPr>
                <w:sz w:val="18"/>
                <w:szCs w:val="18"/>
              </w:rPr>
            </w:pPr>
            <w:r w:rsidRPr="00EC1308">
              <w:rPr>
                <w:sz w:val="18"/>
                <w:szCs w:val="18"/>
              </w:rPr>
              <w:t>3</w:t>
            </w:r>
          </w:p>
        </w:tc>
        <w:tc>
          <w:tcPr>
            <w:tcW w:w="3480" w:type="dxa"/>
            <w:hideMark/>
          </w:tcPr>
          <w:p w14:paraId="1805095F" w14:textId="77777777" w:rsidR="00B0445D" w:rsidRPr="00EC1308" w:rsidRDefault="00B0445D" w:rsidP="00EC1308">
            <w:pPr>
              <w:pStyle w:val="NormalWeb"/>
              <w:jc w:val="center"/>
              <w:rPr>
                <w:sz w:val="18"/>
                <w:szCs w:val="18"/>
              </w:rPr>
            </w:pPr>
            <w:r w:rsidRPr="00EC1308">
              <w:rPr>
                <w:sz w:val="18"/>
                <w:szCs w:val="18"/>
              </w:rPr>
              <w:t>6</w:t>
            </w:r>
          </w:p>
        </w:tc>
      </w:tr>
      <w:tr w:rsidR="00B0445D" w:rsidRPr="00EC1308" w14:paraId="5DC72BA3"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3E7EBA8A" w14:textId="77777777" w:rsidR="00B0445D" w:rsidRPr="00EC1308" w:rsidRDefault="00B0445D">
            <w:pPr>
              <w:pStyle w:val="NormalWeb"/>
              <w:rPr>
                <w:sz w:val="18"/>
                <w:szCs w:val="18"/>
              </w:rPr>
            </w:pPr>
            <w:r w:rsidRPr="00EC1308">
              <w:rPr>
                <w:sz w:val="18"/>
                <w:szCs w:val="18"/>
              </w:rPr>
              <w:t>Germany</w:t>
            </w:r>
          </w:p>
        </w:tc>
        <w:tc>
          <w:tcPr>
            <w:tcW w:w="3480" w:type="dxa"/>
            <w:hideMark/>
          </w:tcPr>
          <w:p w14:paraId="1EC71242" w14:textId="77777777" w:rsidR="00B0445D" w:rsidRPr="00EC1308" w:rsidRDefault="00B0445D" w:rsidP="00EC1308">
            <w:pPr>
              <w:pStyle w:val="NormalWeb"/>
              <w:jc w:val="center"/>
              <w:rPr>
                <w:sz w:val="18"/>
                <w:szCs w:val="18"/>
              </w:rPr>
            </w:pPr>
            <w:r w:rsidRPr="00EC1308">
              <w:rPr>
                <w:sz w:val="18"/>
                <w:szCs w:val="18"/>
              </w:rPr>
              <w:t>7</w:t>
            </w:r>
          </w:p>
        </w:tc>
        <w:tc>
          <w:tcPr>
            <w:tcW w:w="3480" w:type="dxa"/>
            <w:hideMark/>
          </w:tcPr>
          <w:p w14:paraId="56142473" w14:textId="77777777" w:rsidR="00B0445D" w:rsidRPr="00EC1308" w:rsidRDefault="00B0445D" w:rsidP="00EC1308">
            <w:pPr>
              <w:pStyle w:val="NormalWeb"/>
              <w:jc w:val="center"/>
              <w:rPr>
                <w:sz w:val="18"/>
                <w:szCs w:val="18"/>
              </w:rPr>
            </w:pPr>
            <w:r w:rsidRPr="00EC1308">
              <w:rPr>
                <w:sz w:val="18"/>
                <w:szCs w:val="18"/>
              </w:rPr>
              <w:t>7</w:t>
            </w:r>
          </w:p>
        </w:tc>
      </w:tr>
      <w:tr w:rsidR="00B0445D" w:rsidRPr="00EC1308" w14:paraId="576291A7" w14:textId="77777777" w:rsidTr="00783D7A">
        <w:tc>
          <w:tcPr>
            <w:tcW w:w="3480" w:type="dxa"/>
            <w:hideMark/>
          </w:tcPr>
          <w:p w14:paraId="3CE20094" w14:textId="77777777" w:rsidR="00B0445D" w:rsidRPr="00EC1308" w:rsidRDefault="00B0445D">
            <w:pPr>
              <w:pStyle w:val="NormalWeb"/>
              <w:rPr>
                <w:sz w:val="18"/>
                <w:szCs w:val="18"/>
              </w:rPr>
            </w:pPr>
            <w:r w:rsidRPr="00EC1308">
              <w:rPr>
                <w:sz w:val="18"/>
                <w:szCs w:val="18"/>
              </w:rPr>
              <w:t>Hong Kong</w:t>
            </w:r>
          </w:p>
        </w:tc>
        <w:tc>
          <w:tcPr>
            <w:tcW w:w="3480" w:type="dxa"/>
            <w:hideMark/>
          </w:tcPr>
          <w:p w14:paraId="453D0AFA" w14:textId="77777777" w:rsidR="00B0445D" w:rsidRPr="00EC1308" w:rsidRDefault="00B0445D" w:rsidP="00EC1308">
            <w:pPr>
              <w:pStyle w:val="NormalWeb"/>
              <w:jc w:val="center"/>
              <w:rPr>
                <w:sz w:val="18"/>
                <w:szCs w:val="18"/>
              </w:rPr>
            </w:pPr>
            <w:r w:rsidRPr="00EC1308">
              <w:rPr>
                <w:sz w:val="18"/>
                <w:szCs w:val="18"/>
              </w:rPr>
              <w:t>8</w:t>
            </w:r>
          </w:p>
        </w:tc>
        <w:tc>
          <w:tcPr>
            <w:tcW w:w="3480" w:type="dxa"/>
            <w:hideMark/>
          </w:tcPr>
          <w:p w14:paraId="51DAF129" w14:textId="77777777" w:rsidR="00B0445D" w:rsidRPr="00EC1308" w:rsidRDefault="00B0445D" w:rsidP="00EC1308">
            <w:pPr>
              <w:pStyle w:val="NormalWeb"/>
              <w:jc w:val="center"/>
              <w:rPr>
                <w:sz w:val="18"/>
                <w:szCs w:val="18"/>
              </w:rPr>
            </w:pPr>
            <w:r w:rsidRPr="00EC1308">
              <w:rPr>
                <w:sz w:val="18"/>
                <w:szCs w:val="18"/>
              </w:rPr>
              <w:t>13</w:t>
            </w:r>
          </w:p>
        </w:tc>
      </w:tr>
      <w:tr w:rsidR="00B0445D" w:rsidRPr="00EC1308" w14:paraId="1F237D56"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7B7A92C0" w14:textId="77777777" w:rsidR="00B0445D" w:rsidRPr="00EC1308" w:rsidRDefault="00B0445D">
            <w:pPr>
              <w:pStyle w:val="NormalWeb"/>
              <w:rPr>
                <w:sz w:val="18"/>
                <w:szCs w:val="18"/>
              </w:rPr>
            </w:pPr>
            <w:r w:rsidRPr="00EC1308">
              <w:rPr>
                <w:sz w:val="18"/>
                <w:szCs w:val="18"/>
              </w:rPr>
              <w:t>India</w:t>
            </w:r>
          </w:p>
        </w:tc>
        <w:tc>
          <w:tcPr>
            <w:tcW w:w="3480" w:type="dxa"/>
            <w:hideMark/>
          </w:tcPr>
          <w:p w14:paraId="285CBCD9"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08C5964B"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65F22FAF" w14:textId="77777777" w:rsidTr="00783D7A">
        <w:tc>
          <w:tcPr>
            <w:tcW w:w="3480" w:type="dxa"/>
            <w:hideMark/>
          </w:tcPr>
          <w:p w14:paraId="2F8C07A9" w14:textId="77777777" w:rsidR="00B0445D" w:rsidRPr="00EC1308" w:rsidRDefault="00B0445D">
            <w:pPr>
              <w:pStyle w:val="NormalWeb"/>
              <w:rPr>
                <w:sz w:val="18"/>
                <w:szCs w:val="18"/>
              </w:rPr>
            </w:pPr>
            <w:r w:rsidRPr="00EC1308">
              <w:rPr>
                <w:sz w:val="18"/>
                <w:szCs w:val="18"/>
              </w:rPr>
              <w:t>Italy</w:t>
            </w:r>
          </w:p>
        </w:tc>
        <w:tc>
          <w:tcPr>
            <w:tcW w:w="3480" w:type="dxa"/>
            <w:hideMark/>
          </w:tcPr>
          <w:p w14:paraId="2A0EB9CF" w14:textId="77777777" w:rsidR="00B0445D" w:rsidRPr="00EC1308" w:rsidRDefault="00B0445D" w:rsidP="00EC1308">
            <w:pPr>
              <w:pStyle w:val="NormalWeb"/>
              <w:jc w:val="center"/>
              <w:rPr>
                <w:sz w:val="18"/>
                <w:szCs w:val="18"/>
              </w:rPr>
            </w:pPr>
            <w:r w:rsidRPr="00EC1308">
              <w:rPr>
                <w:sz w:val="18"/>
                <w:szCs w:val="18"/>
              </w:rPr>
              <w:t>2</w:t>
            </w:r>
          </w:p>
        </w:tc>
        <w:tc>
          <w:tcPr>
            <w:tcW w:w="3480" w:type="dxa"/>
            <w:hideMark/>
          </w:tcPr>
          <w:p w14:paraId="11FB04C2" w14:textId="77777777" w:rsidR="00B0445D" w:rsidRPr="00EC1308" w:rsidRDefault="00B0445D" w:rsidP="00EC1308">
            <w:pPr>
              <w:pStyle w:val="NormalWeb"/>
              <w:jc w:val="center"/>
              <w:rPr>
                <w:sz w:val="18"/>
                <w:szCs w:val="18"/>
              </w:rPr>
            </w:pPr>
            <w:r w:rsidRPr="00EC1308">
              <w:rPr>
                <w:sz w:val="18"/>
                <w:szCs w:val="18"/>
              </w:rPr>
              <w:t>2</w:t>
            </w:r>
          </w:p>
        </w:tc>
      </w:tr>
      <w:tr w:rsidR="00B0445D" w:rsidRPr="00EC1308" w14:paraId="5CD38959"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171C4908" w14:textId="77777777" w:rsidR="00B0445D" w:rsidRPr="00EC1308" w:rsidRDefault="00B0445D">
            <w:pPr>
              <w:pStyle w:val="NormalWeb"/>
              <w:rPr>
                <w:sz w:val="18"/>
                <w:szCs w:val="18"/>
              </w:rPr>
            </w:pPr>
            <w:r w:rsidRPr="00EC1308">
              <w:rPr>
                <w:sz w:val="18"/>
                <w:szCs w:val="18"/>
              </w:rPr>
              <w:t>Japan</w:t>
            </w:r>
          </w:p>
        </w:tc>
        <w:tc>
          <w:tcPr>
            <w:tcW w:w="3480" w:type="dxa"/>
            <w:hideMark/>
          </w:tcPr>
          <w:p w14:paraId="332A866F" w14:textId="77777777" w:rsidR="00B0445D" w:rsidRPr="00EC1308" w:rsidRDefault="00B0445D" w:rsidP="00EC1308">
            <w:pPr>
              <w:pStyle w:val="NormalWeb"/>
              <w:jc w:val="center"/>
              <w:rPr>
                <w:sz w:val="18"/>
                <w:szCs w:val="18"/>
              </w:rPr>
            </w:pPr>
            <w:r w:rsidRPr="00EC1308">
              <w:rPr>
                <w:sz w:val="18"/>
                <w:szCs w:val="18"/>
              </w:rPr>
              <w:t>14</w:t>
            </w:r>
          </w:p>
        </w:tc>
        <w:tc>
          <w:tcPr>
            <w:tcW w:w="3480" w:type="dxa"/>
            <w:hideMark/>
          </w:tcPr>
          <w:p w14:paraId="01741197" w14:textId="77777777" w:rsidR="00B0445D" w:rsidRPr="00EC1308" w:rsidRDefault="00B0445D" w:rsidP="00EC1308">
            <w:pPr>
              <w:pStyle w:val="NormalWeb"/>
              <w:jc w:val="center"/>
              <w:rPr>
                <w:sz w:val="18"/>
                <w:szCs w:val="18"/>
              </w:rPr>
            </w:pPr>
            <w:r w:rsidRPr="00EC1308">
              <w:rPr>
                <w:sz w:val="18"/>
                <w:szCs w:val="18"/>
              </w:rPr>
              <w:t>17</w:t>
            </w:r>
          </w:p>
        </w:tc>
      </w:tr>
      <w:tr w:rsidR="00B0445D" w:rsidRPr="00EC1308" w14:paraId="7C7965D8" w14:textId="77777777" w:rsidTr="00783D7A">
        <w:tc>
          <w:tcPr>
            <w:tcW w:w="3480" w:type="dxa"/>
            <w:hideMark/>
          </w:tcPr>
          <w:p w14:paraId="3A48FDB7" w14:textId="77777777" w:rsidR="00B0445D" w:rsidRPr="00EC1308" w:rsidRDefault="00B0445D">
            <w:pPr>
              <w:pStyle w:val="NormalWeb"/>
              <w:rPr>
                <w:sz w:val="18"/>
                <w:szCs w:val="18"/>
              </w:rPr>
            </w:pPr>
            <w:r w:rsidRPr="00EC1308">
              <w:rPr>
                <w:sz w:val="18"/>
                <w:szCs w:val="18"/>
              </w:rPr>
              <w:t>Macau</w:t>
            </w:r>
          </w:p>
        </w:tc>
        <w:tc>
          <w:tcPr>
            <w:tcW w:w="3480" w:type="dxa"/>
            <w:hideMark/>
          </w:tcPr>
          <w:p w14:paraId="1D3A2761" w14:textId="77777777" w:rsidR="00B0445D" w:rsidRPr="00EC1308" w:rsidRDefault="00B0445D" w:rsidP="00EC1308">
            <w:pPr>
              <w:pStyle w:val="NormalWeb"/>
              <w:jc w:val="center"/>
              <w:rPr>
                <w:sz w:val="18"/>
                <w:szCs w:val="18"/>
              </w:rPr>
            </w:pPr>
            <w:r w:rsidRPr="00EC1308">
              <w:rPr>
                <w:sz w:val="18"/>
                <w:szCs w:val="18"/>
              </w:rPr>
              <w:t>5</w:t>
            </w:r>
          </w:p>
        </w:tc>
        <w:tc>
          <w:tcPr>
            <w:tcW w:w="3480" w:type="dxa"/>
            <w:hideMark/>
          </w:tcPr>
          <w:p w14:paraId="5B057C2B" w14:textId="77777777" w:rsidR="00B0445D" w:rsidRPr="00EC1308" w:rsidRDefault="00B0445D" w:rsidP="00EC1308">
            <w:pPr>
              <w:pStyle w:val="NormalWeb"/>
              <w:jc w:val="center"/>
              <w:rPr>
                <w:sz w:val="18"/>
                <w:szCs w:val="18"/>
              </w:rPr>
            </w:pPr>
            <w:r w:rsidRPr="00EC1308">
              <w:rPr>
                <w:sz w:val="18"/>
                <w:szCs w:val="18"/>
              </w:rPr>
              <w:t>7</w:t>
            </w:r>
          </w:p>
        </w:tc>
      </w:tr>
      <w:tr w:rsidR="00B0445D" w:rsidRPr="00EC1308" w14:paraId="20838AAA"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584502B5" w14:textId="77777777" w:rsidR="00B0445D" w:rsidRPr="00EC1308" w:rsidRDefault="00B0445D">
            <w:pPr>
              <w:pStyle w:val="NormalWeb"/>
              <w:rPr>
                <w:sz w:val="18"/>
                <w:szCs w:val="18"/>
              </w:rPr>
            </w:pPr>
            <w:r w:rsidRPr="00EC1308">
              <w:rPr>
                <w:sz w:val="18"/>
                <w:szCs w:val="18"/>
              </w:rPr>
              <w:t>Malaysia</w:t>
            </w:r>
          </w:p>
        </w:tc>
        <w:tc>
          <w:tcPr>
            <w:tcW w:w="3480" w:type="dxa"/>
            <w:hideMark/>
          </w:tcPr>
          <w:p w14:paraId="6A85C1AD" w14:textId="77777777" w:rsidR="00B0445D" w:rsidRPr="00EC1308" w:rsidRDefault="00B0445D" w:rsidP="00EC1308">
            <w:pPr>
              <w:pStyle w:val="NormalWeb"/>
              <w:jc w:val="center"/>
              <w:rPr>
                <w:sz w:val="18"/>
                <w:szCs w:val="18"/>
              </w:rPr>
            </w:pPr>
            <w:r w:rsidRPr="00EC1308">
              <w:rPr>
                <w:sz w:val="18"/>
                <w:szCs w:val="18"/>
              </w:rPr>
              <w:t>8</w:t>
            </w:r>
          </w:p>
        </w:tc>
        <w:tc>
          <w:tcPr>
            <w:tcW w:w="3480" w:type="dxa"/>
            <w:hideMark/>
          </w:tcPr>
          <w:p w14:paraId="28640794" w14:textId="77777777" w:rsidR="00B0445D" w:rsidRPr="00EC1308" w:rsidRDefault="00B0445D" w:rsidP="00EC1308">
            <w:pPr>
              <w:pStyle w:val="NormalWeb"/>
              <w:jc w:val="center"/>
              <w:rPr>
                <w:sz w:val="18"/>
                <w:szCs w:val="18"/>
              </w:rPr>
            </w:pPr>
            <w:r w:rsidRPr="00EC1308">
              <w:rPr>
                <w:sz w:val="18"/>
                <w:szCs w:val="18"/>
              </w:rPr>
              <w:t>8</w:t>
            </w:r>
          </w:p>
        </w:tc>
      </w:tr>
      <w:tr w:rsidR="00B0445D" w:rsidRPr="00EC1308" w14:paraId="06050F00" w14:textId="77777777" w:rsidTr="00783D7A">
        <w:tc>
          <w:tcPr>
            <w:tcW w:w="3480" w:type="dxa"/>
            <w:hideMark/>
          </w:tcPr>
          <w:p w14:paraId="716B63B0" w14:textId="77777777" w:rsidR="00B0445D" w:rsidRPr="00EC1308" w:rsidRDefault="00B0445D">
            <w:pPr>
              <w:pStyle w:val="NormalWeb"/>
              <w:rPr>
                <w:sz w:val="18"/>
                <w:szCs w:val="18"/>
              </w:rPr>
            </w:pPr>
            <w:r w:rsidRPr="00EC1308">
              <w:rPr>
                <w:sz w:val="18"/>
                <w:szCs w:val="18"/>
              </w:rPr>
              <w:t>Nepal</w:t>
            </w:r>
          </w:p>
        </w:tc>
        <w:tc>
          <w:tcPr>
            <w:tcW w:w="3480" w:type="dxa"/>
            <w:hideMark/>
          </w:tcPr>
          <w:p w14:paraId="3FDC3F2A" w14:textId="77777777" w:rsidR="00B0445D" w:rsidRPr="00EC1308" w:rsidRDefault="00B0445D" w:rsidP="00EC1308">
            <w:pPr>
              <w:pStyle w:val="NormalWeb"/>
              <w:jc w:val="center"/>
              <w:rPr>
                <w:sz w:val="18"/>
                <w:szCs w:val="18"/>
              </w:rPr>
            </w:pPr>
            <w:r w:rsidRPr="00EC1308">
              <w:rPr>
                <w:sz w:val="18"/>
                <w:szCs w:val="18"/>
              </w:rPr>
              <w:t>0</w:t>
            </w:r>
          </w:p>
        </w:tc>
        <w:tc>
          <w:tcPr>
            <w:tcW w:w="3480" w:type="dxa"/>
            <w:hideMark/>
          </w:tcPr>
          <w:p w14:paraId="7F6FFB35"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59E77CB8"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0B1D3876" w14:textId="77777777" w:rsidR="00B0445D" w:rsidRPr="00EC1308" w:rsidRDefault="00B0445D">
            <w:pPr>
              <w:pStyle w:val="NormalWeb"/>
              <w:rPr>
                <w:sz w:val="18"/>
                <w:szCs w:val="18"/>
              </w:rPr>
            </w:pPr>
            <w:r w:rsidRPr="00EC1308">
              <w:rPr>
                <w:sz w:val="18"/>
                <w:szCs w:val="18"/>
              </w:rPr>
              <w:t>Philippines</w:t>
            </w:r>
          </w:p>
        </w:tc>
        <w:tc>
          <w:tcPr>
            <w:tcW w:w="3480" w:type="dxa"/>
            <w:hideMark/>
          </w:tcPr>
          <w:p w14:paraId="7B0BC8F3"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0E291A6D"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6E86F07A" w14:textId="77777777" w:rsidTr="00783D7A">
        <w:tc>
          <w:tcPr>
            <w:tcW w:w="3480" w:type="dxa"/>
            <w:hideMark/>
          </w:tcPr>
          <w:p w14:paraId="20A896BB" w14:textId="77777777" w:rsidR="00B0445D" w:rsidRPr="00EC1308" w:rsidRDefault="00B0445D">
            <w:pPr>
              <w:pStyle w:val="NormalWeb"/>
              <w:rPr>
                <w:sz w:val="18"/>
                <w:szCs w:val="18"/>
              </w:rPr>
            </w:pPr>
            <w:r w:rsidRPr="00EC1308">
              <w:rPr>
                <w:sz w:val="18"/>
                <w:szCs w:val="18"/>
              </w:rPr>
              <w:t>Republic of South Korea</w:t>
            </w:r>
          </w:p>
        </w:tc>
        <w:tc>
          <w:tcPr>
            <w:tcW w:w="3480" w:type="dxa"/>
            <w:hideMark/>
          </w:tcPr>
          <w:p w14:paraId="7EAB4F62" w14:textId="77777777" w:rsidR="00B0445D" w:rsidRPr="00EC1308" w:rsidRDefault="00B0445D" w:rsidP="00EC1308">
            <w:pPr>
              <w:pStyle w:val="NormalWeb"/>
              <w:jc w:val="center"/>
              <w:rPr>
                <w:sz w:val="18"/>
                <w:szCs w:val="18"/>
              </w:rPr>
            </w:pPr>
            <w:r w:rsidRPr="00EC1308">
              <w:rPr>
                <w:sz w:val="18"/>
                <w:szCs w:val="18"/>
              </w:rPr>
              <w:t>10</w:t>
            </w:r>
          </w:p>
        </w:tc>
        <w:tc>
          <w:tcPr>
            <w:tcW w:w="3480" w:type="dxa"/>
            <w:hideMark/>
          </w:tcPr>
          <w:p w14:paraId="0D115F6F" w14:textId="77777777" w:rsidR="00B0445D" w:rsidRPr="00EC1308" w:rsidRDefault="00B0445D" w:rsidP="00EC1308">
            <w:pPr>
              <w:pStyle w:val="NormalWeb"/>
              <w:jc w:val="center"/>
              <w:rPr>
                <w:sz w:val="18"/>
                <w:szCs w:val="18"/>
              </w:rPr>
            </w:pPr>
            <w:r w:rsidRPr="00EC1308">
              <w:rPr>
                <w:sz w:val="18"/>
                <w:szCs w:val="18"/>
              </w:rPr>
              <w:t>12</w:t>
            </w:r>
          </w:p>
        </w:tc>
      </w:tr>
      <w:tr w:rsidR="00B0445D" w:rsidRPr="00EC1308" w14:paraId="60DC7572"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49C45947" w14:textId="77777777" w:rsidR="00B0445D" w:rsidRPr="00EC1308" w:rsidRDefault="00B0445D">
            <w:pPr>
              <w:pStyle w:val="NormalWeb"/>
              <w:rPr>
                <w:sz w:val="18"/>
                <w:szCs w:val="18"/>
              </w:rPr>
            </w:pPr>
            <w:r w:rsidRPr="00EC1308">
              <w:rPr>
                <w:sz w:val="18"/>
                <w:szCs w:val="18"/>
              </w:rPr>
              <w:t>Russian Federation</w:t>
            </w:r>
          </w:p>
        </w:tc>
        <w:tc>
          <w:tcPr>
            <w:tcW w:w="3480" w:type="dxa"/>
            <w:hideMark/>
          </w:tcPr>
          <w:p w14:paraId="0CA1D46F" w14:textId="77777777" w:rsidR="00B0445D" w:rsidRPr="00EC1308" w:rsidRDefault="00B0445D" w:rsidP="00EC1308">
            <w:pPr>
              <w:pStyle w:val="NormalWeb"/>
              <w:jc w:val="center"/>
              <w:rPr>
                <w:sz w:val="18"/>
                <w:szCs w:val="18"/>
              </w:rPr>
            </w:pPr>
            <w:r w:rsidRPr="00EC1308">
              <w:rPr>
                <w:sz w:val="18"/>
                <w:szCs w:val="18"/>
              </w:rPr>
              <w:t>2</w:t>
            </w:r>
          </w:p>
        </w:tc>
        <w:tc>
          <w:tcPr>
            <w:tcW w:w="3480" w:type="dxa"/>
            <w:hideMark/>
          </w:tcPr>
          <w:p w14:paraId="375F5F6C" w14:textId="77777777" w:rsidR="00B0445D" w:rsidRPr="00EC1308" w:rsidRDefault="00B0445D" w:rsidP="00EC1308">
            <w:pPr>
              <w:pStyle w:val="NormalWeb"/>
              <w:jc w:val="center"/>
              <w:rPr>
                <w:sz w:val="18"/>
                <w:szCs w:val="18"/>
              </w:rPr>
            </w:pPr>
            <w:r w:rsidRPr="00EC1308">
              <w:rPr>
                <w:sz w:val="18"/>
                <w:szCs w:val="18"/>
              </w:rPr>
              <w:t>2</w:t>
            </w:r>
          </w:p>
        </w:tc>
      </w:tr>
      <w:tr w:rsidR="00B0445D" w:rsidRPr="00EC1308" w14:paraId="72E03DC5" w14:textId="77777777" w:rsidTr="00783D7A">
        <w:tc>
          <w:tcPr>
            <w:tcW w:w="3480" w:type="dxa"/>
            <w:hideMark/>
          </w:tcPr>
          <w:p w14:paraId="04926DA2" w14:textId="77777777" w:rsidR="00B0445D" w:rsidRPr="00EC1308" w:rsidRDefault="00B0445D">
            <w:pPr>
              <w:pStyle w:val="NormalWeb"/>
              <w:rPr>
                <w:sz w:val="18"/>
                <w:szCs w:val="18"/>
              </w:rPr>
            </w:pPr>
            <w:r w:rsidRPr="00EC1308">
              <w:rPr>
                <w:sz w:val="18"/>
                <w:szCs w:val="18"/>
              </w:rPr>
              <w:t>Singapore</w:t>
            </w:r>
          </w:p>
        </w:tc>
        <w:tc>
          <w:tcPr>
            <w:tcW w:w="3480" w:type="dxa"/>
            <w:hideMark/>
          </w:tcPr>
          <w:p w14:paraId="0084A3D1" w14:textId="77777777" w:rsidR="00B0445D" w:rsidRPr="00EC1308" w:rsidRDefault="00B0445D" w:rsidP="00EC1308">
            <w:pPr>
              <w:pStyle w:val="NormalWeb"/>
              <w:jc w:val="center"/>
              <w:rPr>
                <w:sz w:val="18"/>
                <w:szCs w:val="18"/>
              </w:rPr>
            </w:pPr>
            <w:r w:rsidRPr="00EC1308">
              <w:rPr>
                <w:sz w:val="18"/>
                <w:szCs w:val="18"/>
              </w:rPr>
              <w:t>13</w:t>
            </w:r>
          </w:p>
        </w:tc>
        <w:tc>
          <w:tcPr>
            <w:tcW w:w="3480" w:type="dxa"/>
            <w:hideMark/>
          </w:tcPr>
          <w:p w14:paraId="7B8D32BC" w14:textId="77777777" w:rsidR="00B0445D" w:rsidRPr="00EC1308" w:rsidRDefault="00B0445D" w:rsidP="00EC1308">
            <w:pPr>
              <w:pStyle w:val="NormalWeb"/>
              <w:jc w:val="center"/>
              <w:rPr>
                <w:sz w:val="18"/>
                <w:szCs w:val="18"/>
              </w:rPr>
            </w:pPr>
            <w:r w:rsidRPr="00EC1308">
              <w:rPr>
                <w:sz w:val="18"/>
                <w:szCs w:val="18"/>
              </w:rPr>
              <w:t>16</w:t>
            </w:r>
          </w:p>
        </w:tc>
      </w:tr>
      <w:tr w:rsidR="00B0445D" w:rsidRPr="00EC1308" w14:paraId="1E6DC6C0"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1FAEB477" w14:textId="77777777" w:rsidR="00B0445D" w:rsidRPr="00EC1308" w:rsidRDefault="00B0445D">
            <w:pPr>
              <w:pStyle w:val="NormalWeb"/>
              <w:rPr>
                <w:sz w:val="18"/>
                <w:szCs w:val="18"/>
              </w:rPr>
            </w:pPr>
            <w:r w:rsidRPr="00EC1308">
              <w:rPr>
                <w:sz w:val="18"/>
                <w:szCs w:val="18"/>
              </w:rPr>
              <w:t>Spain</w:t>
            </w:r>
          </w:p>
        </w:tc>
        <w:tc>
          <w:tcPr>
            <w:tcW w:w="3480" w:type="dxa"/>
            <w:hideMark/>
          </w:tcPr>
          <w:p w14:paraId="0C4E037D"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27E8861D"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0E7244C0" w14:textId="77777777" w:rsidTr="00783D7A">
        <w:tc>
          <w:tcPr>
            <w:tcW w:w="3480" w:type="dxa"/>
            <w:hideMark/>
          </w:tcPr>
          <w:p w14:paraId="746E80C6" w14:textId="77777777" w:rsidR="00B0445D" w:rsidRPr="00EC1308" w:rsidRDefault="00B0445D">
            <w:pPr>
              <w:pStyle w:val="NormalWeb"/>
              <w:rPr>
                <w:sz w:val="18"/>
                <w:szCs w:val="18"/>
              </w:rPr>
            </w:pPr>
            <w:r w:rsidRPr="00EC1308">
              <w:rPr>
                <w:sz w:val="18"/>
                <w:szCs w:val="18"/>
              </w:rPr>
              <w:t>Sri Lanka</w:t>
            </w:r>
          </w:p>
        </w:tc>
        <w:tc>
          <w:tcPr>
            <w:tcW w:w="3480" w:type="dxa"/>
            <w:hideMark/>
          </w:tcPr>
          <w:p w14:paraId="4E4F21A4"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4CCA7834"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242124DA"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50C435C4" w14:textId="77777777" w:rsidR="00B0445D" w:rsidRPr="00EC1308" w:rsidRDefault="00B0445D">
            <w:pPr>
              <w:pStyle w:val="NormalWeb"/>
              <w:rPr>
                <w:sz w:val="18"/>
                <w:szCs w:val="18"/>
              </w:rPr>
            </w:pPr>
            <w:r w:rsidRPr="00EC1308">
              <w:rPr>
                <w:sz w:val="18"/>
                <w:szCs w:val="18"/>
              </w:rPr>
              <w:t>Sweden</w:t>
            </w:r>
          </w:p>
        </w:tc>
        <w:tc>
          <w:tcPr>
            <w:tcW w:w="3480" w:type="dxa"/>
            <w:hideMark/>
          </w:tcPr>
          <w:p w14:paraId="124F8D01" w14:textId="77777777" w:rsidR="00B0445D" w:rsidRPr="00EC1308" w:rsidRDefault="00B0445D" w:rsidP="00EC1308">
            <w:pPr>
              <w:pStyle w:val="NormalWeb"/>
              <w:jc w:val="center"/>
              <w:rPr>
                <w:sz w:val="18"/>
                <w:szCs w:val="18"/>
              </w:rPr>
            </w:pPr>
            <w:r w:rsidRPr="00EC1308">
              <w:rPr>
                <w:sz w:val="18"/>
                <w:szCs w:val="18"/>
              </w:rPr>
              <w:t>1</w:t>
            </w:r>
          </w:p>
        </w:tc>
        <w:tc>
          <w:tcPr>
            <w:tcW w:w="3480" w:type="dxa"/>
            <w:hideMark/>
          </w:tcPr>
          <w:p w14:paraId="10E108F4" w14:textId="77777777" w:rsidR="00B0445D" w:rsidRPr="00EC1308" w:rsidRDefault="00B0445D" w:rsidP="00EC1308">
            <w:pPr>
              <w:pStyle w:val="NormalWeb"/>
              <w:jc w:val="center"/>
              <w:rPr>
                <w:sz w:val="18"/>
                <w:szCs w:val="18"/>
              </w:rPr>
            </w:pPr>
            <w:r w:rsidRPr="00EC1308">
              <w:rPr>
                <w:sz w:val="18"/>
                <w:szCs w:val="18"/>
              </w:rPr>
              <w:t>1</w:t>
            </w:r>
          </w:p>
        </w:tc>
      </w:tr>
      <w:tr w:rsidR="00B0445D" w:rsidRPr="00EC1308" w14:paraId="57F7CA65" w14:textId="77777777" w:rsidTr="00783D7A">
        <w:tc>
          <w:tcPr>
            <w:tcW w:w="3480" w:type="dxa"/>
            <w:hideMark/>
          </w:tcPr>
          <w:p w14:paraId="268F791E" w14:textId="77777777" w:rsidR="00B0445D" w:rsidRPr="00EC1308" w:rsidRDefault="00B0445D">
            <w:pPr>
              <w:pStyle w:val="NormalWeb"/>
              <w:rPr>
                <w:sz w:val="18"/>
                <w:szCs w:val="18"/>
              </w:rPr>
            </w:pPr>
            <w:r w:rsidRPr="00EC1308">
              <w:rPr>
                <w:sz w:val="18"/>
                <w:szCs w:val="18"/>
              </w:rPr>
              <w:t>Taiwan</w:t>
            </w:r>
          </w:p>
        </w:tc>
        <w:tc>
          <w:tcPr>
            <w:tcW w:w="3480" w:type="dxa"/>
            <w:hideMark/>
          </w:tcPr>
          <w:p w14:paraId="69263708" w14:textId="77777777" w:rsidR="00B0445D" w:rsidRPr="00EC1308" w:rsidRDefault="00B0445D" w:rsidP="00EC1308">
            <w:pPr>
              <w:pStyle w:val="NormalWeb"/>
              <w:jc w:val="center"/>
              <w:rPr>
                <w:sz w:val="18"/>
                <w:szCs w:val="18"/>
              </w:rPr>
            </w:pPr>
            <w:r w:rsidRPr="00EC1308">
              <w:rPr>
                <w:sz w:val="18"/>
                <w:szCs w:val="18"/>
              </w:rPr>
              <w:t>7</w:t>
            </w:r>
          </w:p>
        </w:tc>
        <w:tc>
          <w:tcPr>
            <w:tcW w:w="3480" w:type="dxa"/>
            <w:hideMark/>
          </w:tcPr>
          <w:p w14:paraId="7A1A2484" w14:textId="77777777" w:rsidR="00B0445D" w:rsidRPr="00EC1308" w:rsidRDefault="00B0445D" w:rsidP="00EC1308">
            <w:pPr>
              <w:pStyle w:val="NormalWeb"/>
              <w:jc w:val="center"/>
              <w:rPr>
                <w:sz w:val="18"/>
                <w:szCs w:val="18"/>
              </w:rPr>
            </w:pPr>
            <w:r w:rsidRPr="00EC1308">
              <w:rPr>
                <w:sz w:val="18"/>
                <w:szCs w:val="18"/>
              </w:rPr>
              <w:t>10</w:t>
            </w:r>
          </w:p>
        </w:tc>
      </w:tr>
      <w:tr w:rsidR="00B0445D" w:rsidRPr="00EC1308" w14:paraId="67F4614E"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581C7B01" w14:textId="77777777" w:rsidR="00B0445D" w:rsidRPr="00EC1308" w:rsidRDefault="00B0445D">
            <w:pPr>
              <w:pStyle w:val="NormalWeb"/>
              <w:rPr>
                <w:sz w:val="18"/>
                <w:szCs w:val="18"/>
              </w:rPr>
            </w:pPr>
            <w:r w:rsidRPr="00EC1308">
              <w:rPr>
                <w:sz w:val="18"/>
                <w:szCs w:val="18"/>
              </w:rPr>
              <w:t>Thailand</w:t>
            </w:r>
          </w:p>
        </w:tc>
        <w:tc>
          <w:tcPr>
            <w:tcW w:w="3480" w:type="dxa"/>
            <w:hideMark/>
          </w:tcPr>
          <w:p w14:paraId="57A7A7EF" w14:textId="77777777" w:rsidR="00B0445D" w:rsidRPr="00EC1308" w:rsidRDefault="00B0445D" w:rsidP="00EC1308">
            <w:pPr>
              <w:pStyle w:val="NormalWeb"/>
              <w:jc w:val="center"/>
              <w:rPr>
                <w:sz w:val="18"/>
                <w:szCs w:val="18"/>
              </w:rPr>
            </w:pPr>
            <w:r w:rsidRPr="00EC1308">
              <w:rPr>
                <w:sz w:val="18"/>
                <w:szCs w:val="18"/>
              </w:rPr>
              <w:t>15</w:t>
            </w:r>
          </w:p>
        </w:tc>
        <w:tc>
          <w:tcPr>
            <w:tcW w:w="3480" w:type="dxa"/>
            <w:hideMark/>
          </w:tcPr>
          <w:p w14:paraId="55E25C1B" w14:textId="77777777" w:rsidR="00B0445D" w:rsidRPr="00EC1308" w:rsidRDefault="00B0445D" w:rsidP="00EC1308">
            <w:pPr>
              <w:pStyle w:val="NormalWeb"/>
              <w:jc w:val="center"/>
              <w:rPr>
                <w:sz w:val="18"/>
                <w:szCs w:val="18"/>
              </w:rPr>
            </w:pPr>
            <w:r w:rsidRPr="00EC1308">
              <w:rPr>
                <w:sz w:val="18"/>
                <w:szCs w:val="18"/>
              </w:rPr>
              <w:t>19</w:t>
            </w:r>
          </w:p>
        </w:tc>
      </w:tr>
      <w:tr w:rsidR="00B0445D" w:rsidRPr="00EC1308" w14:paraId="4CB49557" w14:textId="77777777" w:rsidTr="00783D7A">
        <w:tc>
          <w:tcPr>
            <w:tcW w:w="3480" w:type="dxa"/>
            <w:hideMark/>
          </w:tcPr>
          <w:p w14:paraId="2545E3F3" w14:textId="77777777" w:rsidR="00B0445D" w:rsidRPr="00EC1308" w:rsidRDefault="00B0445D">
            <w:pPr>
              <w:pStyle w:val="NormalWeb"/>
              <w:rPr>
                <w:sz w:val="18"/>
                <w:szCs w:val="18"/>
              </w:rPr>
            </w:pPr>
            <w:r w:rsidRPr="00EC1308">
              <w:rPr>
                <w:sz w:val="18"/>
                <w:szCs w:val="18"/>
              </w:rPr>
              <w:t>United Arab Emirates</w:t>
            </w:r>
          </w:p>
        </w:tc>
        <w:tc>
          <w:tcPr>
            <w:tcW w:w="3480" w:type="dxa"/>
            <w:hideMark/>
          </w:tcPr>
          <w:p w14:paraId="0546A95D" w14:textId="77777777" w:rsidR="00B0445D" w:rsidRPr="00EC1308" w:rsidRDefault="00B0445D" w:rsidP="00EC1308">
            <w:pPr>
              <w:pStyle w:val="NormalWeb"/>
              <w:jc w:val="center"/>
              <w:rPr>
                <w:sz w:val="18"/>
                <w:szCs w:val="18"/>
              </w:rPr>
            </w:pPr>
            <w:r w:rsidRPr="00EC1308">
              <w:rPr>
                <w:sz w:val="18"/>
                <w:szCs w:val="18"/>
              </w:rPr>
              <w:t>4</w:t>
            </w:r>
          </w:p>
        </w:tc>
        <w:tc>
          <w:tcPr>
            <w:tcW w:w="3480" w:type="dxa"/>
            <w:hideMark/>
          </w:tcPr>
          <w:p w14:paraId="02DBFE39" w14:textId="77777777" w:rsidR="00B0445D" w:rsidRPr="00EC1308" w:rsidRDefault="00B0445D" w:rsidP="00EC1308">
            <w:pPr>
              <w:pStyle w:val="NormalWeb"/>
              <w:jc w:val="center"/>
              <w:rPr>
                <w:sz w:val="18"/>
                <w:szCs w:val="18"/>
              </w:rPr>
            </w:pPr>
            <w:r w:rsidRPr="00EC1308">
              <w:rPr>
                <w:sz w:val="18"/>
                <w:szCs w:val="18"/>
              </w:rPr>
              <w:t>4</w:t>
            </w:r>
          </w:p>
        </w:tc>
      </w:tr>
      <w:tr w:rsidR="00B0445D" w:rsidRPr="00EC1308" w14:paraId="1294C601"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46D21322" w14:textId="77777777" w:rsidR="00B0445D" w:rsidRPr="00EC1308" w:rsidRDefault="00B0445D">
            <w:pPr>
              <w:pStyle w:val="NormalWeb"/>
              <w:rPr>
                <w:sz w:val="18"/>
                <w:szCs w:val="18"/>
              </w:rPr>
            </w:pPr>
            <w:r w:rsidRPr="00EC1308">
              <w:rPr>
                <w:sz w:val="18"/>
                <w:szCs w:val="18"/>
              </w:rPr>
              <w:t>United Kingdom</w:t>
            </w:r>
          </w:p>
        </w:tc>
        <w:tc>
          <w:tcPr>
            <w:tcW w:w="3480" w:type="dxa"/>
            <w:hideMark/>
          </w:tcPr>
          <w:p w14:paraId="0434D8BF" w14:textId="77777777" w:rsidR="00B0445D" w:rsidRPr="00EC1308" w:rsidRDefault="00B0445D" w:rsidP="00EC1308">
            <w:pPr>
              <w:pStyle w:val="NormalWeb"/>
              <w:jc w:val="center"/>
              <w:rPr>
                <w:sz w:val="18"/>
                <w:szCs w:val="18"/>
              </w:rPr>
            </w:pPr>
            <w:r w:rsidRPr="00EC1308">
              <w:rPr>
                <w:sz w:val="18"/>
                <w:szCs w:val="18"/>
              </w:rPr>
              <w:t>2</w:t>
            </w:r>
          </w:p>
        </w:tc>
        <w:tc>
          <w:tcPr>
            <w:tcW w:w="3480" w:type="dxa"/>
            <w:hideMark/>
          </w:tcPr>
          <w:p w14:paraId="7A6BBF3F" w14:textId="77777777" w:rsidR="00B0445D" w:rsidRPr="00EC1308" w:rsidRDefault="00B0445D" w:rsidP="00EC1308">
            <w:pPr>
              <w:pStyle w:val="NormalWeb"/>
              <w:jc w:val="center"/>
              <w:rPr>
                <w:sz w:val="18"/>
                <w:szCs w:val="18"/>
              </w:rPr>
            </w:pPr>
            <w:r w:rsidRPr="00EC1308">
              <w:rPr>
                <w:sz w:val="18"/>
                <w:szCs w:val="18"/>
              </w:rPr>
              <w:t>2</w:t>
            </w:r>
          </w:p>
        </w:tc>
      </w:tr>
      <w:tr w:rsidR="00B0445D" w:rsidRPr="00EC1308" w14:paraId="08BE9D0E" w14:textId="77777777" w:rsidTr="00783D7A">
        <w:tc>
          <w:tcPr>
            <w:tcW w:w="3480" w:type="dxa"/>
            <w:hideMark/>
          </w:tcPr>
          <w:p w14:paraId="707CE06A" w14:textId="77777777" w:rsidR="00B0445D" w:rsidRPr="00EC1308" w:rsidRDefault="00B0445D">
            <w:pPr>
              <w:pStyle w:val="NormalWeb"/>
              <w:rPr>
                <w:sz w:val="18"/>
                <w:szCs w:val="18"/>
              </w:rPr>
            </w:pPr>
            <w:r w:rsidRPr="00EC1308">
              <w:rPr>
                <w:sz w:val="18"/>
                <w:szCs w:val="18"/>
              </w:rPr>
              <w:t>United States of America</w:t>
            </w:r>
          </w:p>
        </w:tc>
        <w:tc>
          <w:tcPr>
            <w:tcW w:w="3480" w:type="dxa"/>
            <w:hideMark/>
          </w:tcPr>
          <w:p w14:paraId="01BA2A5D" w14:textId="77777777" w:rsidR="00B0445D" w:rsidRPr="00EC1308" w:rsidRDefault="00B0445D" w:rsidP="00EC1308">
            <w:pPr>
              <w:pStyle w:val="NormalWeb"/>
              <w:jc w:val="center"/>
              <w:rPr>
                <w:sz w:val="18"/>
                <w:szCs w:val="18"/>
              </w:rPr>
            </w:pPr>
            <w:r w:rsidRPr="00EC1308">
              <w:rPr>
                <w:sz w:val="18"/>
                <w:szCs w:val="18"/>
              </w:rPr>
              <w:t>5</w:t>
            </w:r>
          </w:p>
        </w:tc>
        <w:tc>
          <w:tcPr>
            <w:tcW w:w="3480" w:type="dxa"/>
            <w:hideMark/>
          </w:tcPr>
          <w:p w14:paraId="5DF7DBF8" w14:textId="77777777" w:rsidR="00B0445D" w:rsidRPr="00EC1308" w:rsidRDefault="00B0445D" w:rsidP="00EC1308">
            <w:pPr>
              <w:pStyle w:val="NormalWeb"/>
              <w:jc w:val="center"/>
              <w:rPr>
                <w:sz w:val="18"/>
                <w:szCs w:val="18"/>
              </w:rPr>
            </w:pPr>
            <w:r w:rsidRPr="00EC1308">
              <w:rPr>
                <w:sz w:val="18"/>
                <w:szCs w:val="18"/>
              </w:rPr>
              <w:t>7</w:t>
            </w:r>
          </w:p>
        </w:tc>
      </w:tr>
      <w:tr w:rsidR="00B0445D" w:rsidRPr="00EC1308" w14:paraId="21BE2DE3" w14:textId="77777777" w:rsidTr="00783D7A">
        <w:trPr>
          <w:cnfStyle w:val="000000010000" w:firstRow="0" w:lastRow="0" w:firstColumn="0" w:lastColumn="0" w:oddVBand="0" w:evenVBand="0" w:oddHBand="0" w:evenHBand="1" w:firstRowFirstColumn="0" w:firstRowLastColumn="0" w:lastRowFirstColumn="0" w:lastRowLastColumn="0"/>
        </w:trPr>
        <w:tc>
          <w:tcPr>
            <w:tcW w:w="3480" w:type="dxa"/>
            <w:hideMark/>
          </w:tcPr>
          <w:p w14:paraId="139BD20B" w14:textId="77777777" w:rsidR="00B0445D" w:rsidRPr="00EC1308" w:rsidRDefault="00391205">
            <w:pPr>
              <w:pStyle w:val="NormalWeb"/>
              <w:rPr>
                <w:sz w:val="18"/>
                <w:szCs w:val="18"/>
              </w:rPr>
            </w:pPr>
            <w:r>
              <w:rPr>
                <w:sz w:val="18"/>
                <w:szCs w:val="18"/>
              </w:rPr>
              <w:t>Vietn</w:t>
            </w:r>
            <w:r w:rsidR="00B0445D" w:rsidRPr="00EC1308">
              <w:rPr>
                <w:sz w:val="18"/>
                <w:szCs w:val="18"/>
              </w:rPr>
              <w:t>am</w:t>
            </w:r>
          </w:p>
        </w:tc>
        <w:tc>
          <w:tcPr>
            <w:tcW w:w="3480" w:type="dxa"/>
            <w:hideMark/>
          </w:tcPr>
          <w:p w14:paraId="5BD5AD10" w14:textId="77777777" w:rsidR="00B0445D" w:rsidRPr="00EC1308" w:rsidRDefault="00B0445D" w:rsidP="00EC1308">
            <w:pPr>
              <w:pStyle w:val="NormalWeb"/>
              <w:jc w:val="center"/>
              <w:rPr>
                <w:sz w:val="18"/>
                <w:szCs w:val="18"/>
              </w:rPr>
            </w:pPr>
            <w:r w:rsidRPr="00EC1308">
              <w:rPr>
                <w:sz w:val="18"/>
                <w:szCs w:val="18"/>
              </w:rPr>
              <w:t>4</w:t>
            </w:r>
          </w:p>
        </w:tc>
        <w:tc>
          <w:tcPr>
            <w:tcW w:w="3480" w:type="dxa"/>
            <w:hideMark/>
          </w:tcPr>
          <w:p w14:paraId="2F5D1A14" w14:textId="77777777" w:rsidR="00B0445D" w:rsidRPr="00EC1308" w:rsidRDefault="00B0445D" w:rsidP="00EC1308">
            <w:pPr>
              <w:pStyle w:val="NormalWeb"/>
              <w:jc w:val="center"/>
              <w:rPr>
                <w:sz w:val="18"/>
                <w:szCs w:val="18"/>
              </w:rPr>
            </w:pPr>
            <w:r w:rsidRPr="00EC1308">
              <w:rPr>
                <w:sz w:val="18"/>
                <w:szCs w:val="18"/>
              </w:rPr>
              <w:t>6</w:t>
            </w:r>
          </w:p>
        </w:tc>
      </w:tr>
    </w:tbl>
    <w:p w14:paraId="17F30EEC" w14:textId="77777777" w:rsidR="00B0445D" w:rsidRPr="00B0445D" w:rsidRDefault="00B0445D" w:rsidP="00B0445D">
      <w:pPr>
        <w:pStyle w:val="Heading1"/>
      </w:pPr>
      <w:r w:rsidRPr="00B0445D">
        <w:t xml:space="preserve">Background </w:t>
      </w:r>
    </w:p>
    <w:p w14:paraId="629022B6" w14:textId="77777777" w:rsidR="00B0445D" w:rsidRDefault="00B0445D" w:rsidP="00B0445D">
      <w:r>
        <w:t>The World Health Organization (WHO) declared the outbreak of 2019-nCoV a Public Health Emergency of International Concern (PHEIC) on 30 January 2020.</w:t>
      </w:r>
      <w:r w:rsidRPr="00B70066">
        <w:rPr>
          <w:vertAlign w:val="superscript"/>
        </w:rPr>
        <w:t>2</w:t>
      </w:r>
      <w:r>
        <w:t xml:space="preserve"> Cases were initially associated with exposure to a wet market – located in Wuhan, Hubei </w:t>
      </w:r>
      <w:r w:rsidR="000C5526">
        <w:t>P</w:t>
      </w:r>
      <w:r>
        <w:t xml:space="preserve">rovince, China – indicating a possible zoonotic source. </w:t>
      </w:r>
      <w:r w:rsidR="007E195B">
        <w:t>S</w:t>
      </w:r>
      <w:r>
        <w:t>ustained human-to-human transmission is now likely to be occurring in the majority of provinces outside of Hubei</w:t>
      </w:r>
      <w:r w:rsidR="00974AB8">
        <w:t xml:space="preserve"> Province</w:t>
      </w:r>
      <w:r>
        <w:t xml:space="preserve"> in China. Additionally, limited instances of human-to-human transmission were observed in a number of countries outside mainland China.</w:t>
      </w:r>
      <w:r>
        <w:rPr>
          <w:vertAlign w:val="superscript"/>
        </w:rPr>
        <w:t xml:space="preserve">3, </w:t>
      </w:r>
      <w:proofErr w:type="gramStart"/>
      <w:r>
        <w:rPr>
          <w:vertAlign w:val="superscript"/>
        </w:rPr>
        <w:t>4</w:t>
      </w:r>
      <w:proofErr w:type="gramEnd"/>
      <w:r>
        <w:t xml:space="preserve"> </w:t>
      </w:r>
    </w:p>
    <w:p w14:paraId="4E909C0C" w14:textId="77777777" w:rsidR="00B0445D" w:rsidRDefault="00B0445D" w:rsidP="00B0445D">
      <w:r>
        <w:t xml:space="preserve">As of 1 February 2020, mainland China </w:t>
      </w:r>
      <w:r w:rsidR="00A41170">
        <w:t>ha</w:t>
      </w:r>
      <w:r w:rsidR="00B70066">
        <w:t>d</w:t>
      </w:r>
      <w:r>
        <w:t xml:space="preserve"> reported 11,791 confirmed 2019-nCoV cases and 259 deaths.</w:t>
      </w:r>
      <w:r>
        <w:rPr>
          <w:vertAlign w:val="superscript"/>
        </w:rPr>
        <w:t>5</w:t>
      </w:r>
    </w:p>
    <w:p w14:paraId="1CBF62D6" w14:textId="77777777" w:rsidR="00B0445D" w:rsidRDefault="00B0445D" w:rsidP="00B0445D">
      <w:r>
        <w:lastRenderedPageBreak/>
        <w:t xml:space="preserve">As of 1 February 2020, </w:t>
      </w:r>
      <w:proofErr w:type="gramStart"/>
      <w:r>
        <w:t>countries</w:t>
      </w:r>
      <w:proofErr w:type="gramEnd"/>
      <w:r>
        <w:t xml:space="preserve"> and </w:t>
      </w:r>
      <w:r w:rsidR="00612EC0">
        <w:t>S</w:t>
      </w:r>
      <w:r>
        <w:t xml:space="preserve">pecial </w:t>
      </w:r>
      <w:r w:rsidR="00612EC0">
        <w:t>A</w:t>
      </w:r>
      <w:r>
        <w:t xml:space="preserve">dministrative </w:t>
      </w:r>
      <w:r w:rsidR="00612EC0">
        <w:t>R</w:t>
      </w:r>
      <w:r>
        <w:t xml:space="preserve">egions outside of mainland China </w:t>
      </w:r>
      <w:r w:rsidR="0091294A">
        <w:t>have</w:t>
      </w:r>
      <w:r>
        <w:t xml:space="preserve"> reported 162 confirmed 2019-nCoV cases and zero deaths. </w:t>
      </w:r>
    </w:p>
    <w:p w14:paraId="753F637C" w14:textId="77777777" w:rsidR="00B0445D" w:rsidRDefault="00B0445D" w:rsidP="00B0445D">
      <w:r w:rsidRPr="00622DC7">
        <w:rPr>
          <w:rStyle w:val="Emphasis"/>
          <w:b w:val="0"/>
        </w:rPr>
        <w:t xml:space="preserve">The current estimates on epidemiological parameters including severity, transmissibility and incubation </w:t>
      </w:r>
      <w:proofErr w:type="gramStart"/>
      <w:r w:rsidRPr="00622DC7">
        <w:rPr>
          <w:rStyle w:val="Emphasis"/>
          <w:b w:val="0"/>
        </w:rPr>
        <w:t>period</w:t>
      </w:r>
      <w:proofErr w:type="gramEnd"/>
      <w:r w:rsidRPr="00622DC7">
        <w:rPr>
          <w:rStyle w:val="Emphasis"/>
          <w:b w:val="0"/>
        </w:rPr>
        <w:t xml:space="preserve"> are uncertain. Estimates are likely to change as more information becomes available. </w:t>
      </w:r>
    </w:p>
    <w:p w14:paraId="1BD891A6" w14:textId="77777777" w:rsidR="00B0445D" w:rsidRPr="00B0445D" w:rsidRDefault="00B0445D" w:rsidP="00B0445D">
      <w:pPr>
        <w:pStyle w:val="Heading2"/>
      </w:pPr>
      <w:r w:rsidRPr="00B0445D">
        <w:t xml:space="preserve">Severity </w:t>
      </w:r>
    </w:p>
    <w:p w14:paraId="5E583BAF" w14:textId="77777777" w:rsidR="00B0445D" w:rsidRDefault="00B0445D" w:rsidP="00B0445D">
      <w:r>
        <w:t>Patients with 2019-nCoV infection present with a wide range of symptoms. Most seem to have mild disease, and about 20% appear to progress to severe disease, including pneumonia, respiratory failure and in some cases death.</w:t>
      </w:r>
      <w:r>
        <w:rPr>
          <w:vertAlign w:val="superscript"/>
        </w:rPr>
        <w:t>6</w:t>
      </w:r>
      <w:r>
        <w:t xml:space="preserve"> </w:t>
      </w:r>
    </w:p>
    <w:p w14:paraId="79F6931E" w14:textId="77777777" w:rsidR="00B0445D" w:rsidRPr="00B0445D" w:rsidRDefault="00B0445D" w:rsidP="00B0445D">
      <w:pPr>
        <w:pStyle w:val="Heading2"/>
      </w:pPr>
      <w:r w:rsidRPr="00B0445D">
        <w:t xml:space="preserve">Transmission </w:t>
      </w:r>
    </w:p>
    <w:p w14:paraId="0376F158" w14:textId="77777777" w:rsidR="00B0445D" w:rsidRDefault="00B0445D" w:rsidP="00B0445D">
      <w:r>
        <w:t xml:space="preserve">The exact nature of transmission is poorly understood. WHO report ‘during previous outbreaks due to other coronavirus (Middle-East Respiratory Syndrome (MERS) and </w:t>
      </w:r>
      <w:proofErr w:type="gramStart"/>
      <w:r>
        <w:t>Severe Acute Respiratory Syndrome</w:t>
      </w:r>
      <w:proofErr w:type="gramEnd"/>
      <w:r>
        <w:t xml:space="preserve"> (SARS)), human-to-human transmission occurred through droplets, contact and fomites, suggesting that the transmission mode of the 2019-nCoV can be similar’.</w:t>
      </w:r>
      <w:r>
        <w:rPr>
          <w:vertAlign w:val="superscript"/>
        </w:rPr>
        <w:t>7</w:t>
      </w:r>
      <w:r>
        <w:t xml:space="preserve"> Sustained human-to-human transmission is likely to be now occurring in the majority of provinces in mainland China. The basic reproductive number, R</w:t>
      </w:r>
      <w:r>
        <w:rPr>
          <w:vertAlign w:val="subscript"/>
        </w:rPr>
        <w:t>0</w:t>
      </w:r>
      <w:r>
        <w:t>, indicates how contagious an infectious disease is and is defined as the average expected number of secondary cases produced by a single infection in a completely susceptible population. Chinese authorities reported a preliminary R</w:t>
      </w:r>
      <w:r>
        <w:rPr>
          <w:vertAlign w:val="subscript"/>
        </w:rPr>
        <w:t>0</w:t>
      </w:r>
      <w:r>
        <w:t xml:space="preserve"> of 1.4–2.5 on 23 January 2020 to the WHO International Health Regulations (2005) Emergency Committee.</w:t>
      </w:r>
      <w:r>
        <w:rPr>
          <w:vertAlign w:val="superscript"/>
        </w:rPr>
        <w:t>8</w:t>
      </w:r>
      <w:r>
        <w:t xml:space="preserve"> On 31 January 2020, Thailand reported its first instance of close community human-to-human transmission (not within a household setting).</w:t>
      </w:r>
      <w:r>
        <w:rPr>
          <w:vertAlign w:val="superscript"/>
        </w:rPr>
        <w:t>9</w:t>
      </w:r>
      <w:r>
        <w:t xml:space="preserve"> Other instances were reported in Japan, </w:t>
      </w:r>
      <w:proofErr w:type="gramStart"/>
      <w:r>
        <w:t>Germany</w:t>
      </w:r>
      <w:proofErr w:type="gramEnd"/>
      <w:r>
        <w:t xml:space="preserve"> and Vietnam.</w:t>
      </w:r>
      <w:r>
        <w:rPr>
          <w:vertAlign w:val="superscript"/>
        </w:rPr>
        <w:t>4</w:t>
      </w:r>
      <w:r>
        <w:t xml:space="preserve"> </w:t>
      </w:r>
    </w:p>
    <w:p w14:paraId="051571CC" w14:textId="77777777" w:rsidR="00B0445D" w:rsidRPr="00B0445D" w:rsidRDefault="00B0445D" w:rsidP="00B0445D">
      <w:pPr>
        <w:pStyle w:val="Heading2"/>
      </w:pPr>
      <w:r w:rsidRPr="00B0445D">
        <w:t xml:space="preserve">Incubation period </w:t>
      </w:r>
    </w:p>
    <w:p w14:paraId="22BB54C3" w14:textId="77777777" w:rsidR="00B0445D" w:rsidRDefault="00B0445D" w:rsidP="00B0445D">
      <w:r>
        <w:t>Current estimates of the incubation period of 2019-nCoV from the WHO range from 2 to 10 days, with these estimates to be refined as more data become available.</w:t>
      </w:r>
      <w:r>
        <w:rPr>
          <w:vertAlign w:val="superscript"/>
        </w:rPr>
        <w:t>7</w:t>
      </w:r>
      <w:r>
        <w:t xml:space="preserve"> A recently-published article characterising the first 425 cases in Wuhan, Hubei Province China estimated the </w:t>
      </w:r>
      <w:r w:rsidR="00FC159E">
        <w:t>median</w:t>
      </w:r>
      <w:r>
        <w:t xml:space="preserve"> incubation period to be 5.2 days (95% confidence interval, 4.1–7.0)</w:t>
      </w:r>
      <w:proofErr w:type="gramStart"/>
      <w:r>
        <w:t>.</w:t>
      </w:r>
      <w:r>
        <w:rPr>
          <w:vertAlign w:val="superscript"/>
        </w:rPr>
        <w:t>10</w:t>
      </w:r>
      <w:proofErr w:type="gramEnd"/>
      <w:r>
        <w:t xml:space="preserve"> </w:t>
      </w:r>
    </w:p>
    <w:p w14:paraId="07AF726B" w14:textId="77777777" w:rsidR="00B0445D" w:rsidRPr="00B0445D" w:rsidRDefault="00B0445D" w:rsidP="00B0445D">
      <w:pPr>
        <w:pStyle w:val="Heading2"/>
      </w:pPr>
      <w:r w:rsidRPr="00B0445D">
        <w:t xml:space="preserve">Recommendations for control </w:t>
      </w:r>
    </w:p>
    <w:p w14:paraId="70C52179" w14:textId="77777777" w:rsidR="00B0445D" w:rsidRDefault="00E83B0B" w:rsidP="00B0445D">
      <w:r w:rsidRPr="00E83B0B">
        <w:t>The WHO recommends the general public reduce their exposure a</w:t>
      </w:r>
      <w:r>
        <w:t>nd transmission to 2019-nCoV by</w:t>
      </w:r>
      <w:r w:rsidR="00B0445D">
        <w:t xml:space="preserve">: </w:t>
      </w:r>
    </w:p>
    <w:p w14:paraId="55A21E69" w14:textId="77777777" w:rsidR="00B0445D" w:rsidRPr="00B0445D" w:rsidRDefault="00B0445D" w:rsidP="00B0445D">
      <w:pPr>
        <w:pStyle w:val="ListParagraph"/>
        <w:numPr>
          <w:ilvl w:val="0"/>
          <w:numId w:val="10"/>
        </w:numPr>
        <w:rPr>
          <w:rFonts w:eastAsia="Times New Roman"/>
        </w:rPr>
      </w:pPr>
      <w:r w:rsidRPr="00B0445D">
        <w:rPr>
          <w:rFonts w:eastAsia="Times New Roman"/>
        </w:rPr>
        <w:t xml:space="preserve">Frequently cleaning hands by using alcohol-based hand rub or soap and </w:t>
      </w:r>
      <w:proofErr w:type="gramStart"/>
      <w:r w:rsidRPr="00B0445D">
        <w:rPr>
          <w:rFonts w:eastAsia="Times New Roman"/>
        </w:rPr>
        <w:t>water;</w:t>
      </w:r>
      <w:proofErr w:type="gramEnd"/>
      <w:r w:rsidRPr="00B0445D">
        <w:rPr>
          <w:rFonts w:eastAsia="Times New Roman"/>
        </w:rPr>
        <w:t xml:space="preserve"> </w:t>
      </w:r>
    </w:p>
    <w:p w14:paraId="47757AEF" w14:textId="77777777" w:rsidR="00B0445D" w:rsidRPr="00B0445D" w:rsidRDefault="00B0445D" w:rsidP="00B0445D">
      <w:pPr>
        <w:pStyle w:val="ListParagraph"/>
        <w:numPr>
          <w:ilvl w:val="0"/>
          <w:numId w:val="10"/>
        </w:numPr>
        <w:rPr>
          <w:rFonts w:eastAsia="Times New Roman"/>
        </w:rPr>
      </w:pPr>
      <w:r w:rsidRPr="00B0445D">
        <w:rPr>
          <w:rFonts w:eastAsia="Times New Roman"/>
        </w:rPr>
        <w:t xml:space="preserve">When coughing and sneezing cover mouth and nose with flexed elbow or tissue – throw tissue away immediately and wash </w:t>
      </w:r>
      <w:proofErr w:type="gramStart"/>
      <w:r w:rsidRPr="00B0445D">
        <w:rPr>
          <w:rFonts w:eastAsia="Times New Roman"/>
        </w:rPr>
        <w:t>hands;</w:t>
      </w:r>
      <w:proofErr w:type="gramEnd"/>
      <w:r w:rsidRPr="00B0445D">
        <w:rPr>
          <w:rFonts w:eastAsia="Times New Roman"/>
        </w:rPr>
        <w:t xml:space="preserve"> </w:t>
      </w:r>
    </w:p>
    <w:p w14:paraId="00FA0609" w14:textId="77777777" w:rsidR="00B0445D" w:rsidRPr="00B0445D" w:rsidRDefault="00B0445D" w:rsidP="00B0445D">
      <w:pPr>
        <w:pStyle w:val="ListParagraph"/>
        <w:numPr>
          <w:ilvl w:val="0"/>
          <w:numId w:val="10"/>
        </w:numPr>
        <w:rPr>
          <w:rFonts w:eastAsia="Times New Roman"/>
        </w:rPr>
      </w:pPr>
      <w:r w:rsidRPr="00B0445D">
        <w:rPr>
          <w:rFonts w:eastAsia="Times New Roman"/>
        </w:rPr>
        <w:t xml:space="preserve">Avoid close contact with anyone who has fever and </w:t>
      </w:r>
      <w:proofErr w:type="gramStart"/>
      <w:r w:rsidRPr="00B0445D">
        <w:rPr>
          <w:rFonts w:eastAsia="Times New Roman"/>
        </w:rPr>
        <w:t>cough;</w:t>
      </w:r>
      <w:proofErr w:type="gramEnd"/>
      <w:r w:rsidRPr="00B0445D">
        <w:rPr>
          <w:rFonts w:eastAsia="Times New Roman"/>
        </w:rPr>
        <w:t xml:space="preserve"> </w:t>
      </w:r>
    </w:p>
    <w:p w14:paraId="12C62744" w14:textId="77777777" w:rsidR="00B0445D" w:rsidRPr="00B0445D" w:rsidRDefault="00B0445D" w:rsidP="00B0445D">
      <w:pPr>
        <w:pStyle w:val="ListParagraph"/>
        <w:numPr>
          <w:ilvl w:val="0"/>
          <w:numId w:val="10"/>
        </w:numPr>
        <w:rPr>
          <w:rFonts w:eastAsia="Times New Roman"/>
        </w:rPr>
      </w:pPr>
      <w:r w:rsidRPr="00B0445D">
        <w:rPr>
          <w:rFonts w:eastAsia="Times New Roman"/>
        </w:rPr>
        <w:t>If you have a fever, cough and difficulty breathing seek medical care early and share previous travel history with your health care provider</w:t>
      </w:r>
      <w:r w:rsidR="00F967A4">
        <w:rPr>
          <w:rFonts w:eastAsia="Times New Roman"/>
        </w:rPr>
        <w:t>.</w:t>
      </w:r>
    </w:p>
    <w:p w14:paraId="56DD24AF" w14:textId="77777777" w:rsidR="00B0445D" w:rsidRPr="00B0445D" w:rsidRDefault="00B0445D" w:rsidP="00B0445D">
      <w:pPr>
        <w:pStyle w:val="Heading2"/>
      </w:pPr>
      <w:r w:rsidRPr="00B0445D">
        <w:t xml:space="preserve">Treatment </w:t>
      </w:r>
    </w:p>
    <w:p w14:paraId="7CD52FC4" w14:textId="77777777" w:rsidR="00B0445D" w:rsidRDefault="00B0445D" w:rsidP="00B0445D">
      <w:r>
        <w:t>Currently there is no specific medication recommended for 2019-nCoV. Antibiotics are not effective against viruses. Some antiviral medications have shown promise in treating MERS and are now being tested for their effectiveness against 2019-nCoV.</w:t>
      </w:r>
      <w:r>
        <w:rPr>
          <w:vertAlign w:val="superscript"/>
        </w:rPr>
        <w:t>11</w:t>
      </w:r>
      <w:r>
        <w:t xml:space="preserve"> Experimental vaccines are also in development. Clinical care of suspected patients with 2019-nCoV should focus on early recognition, immediate isolation, implementation of appropriate infection prevention and control measures and provision of optimised supportive care.</w:t>
      </w:r>
      <w:r>
        <w:rPr>
          <w:vertAlign w:val="superscript"/>
        </w:rPr>
        <w:t>6</w:t>
      </w:r>
      <w:r>
        <w:t xml:space="preserve"> </w:t>
      </w:r>
    </w:p>
    <w:p w14:paraId="199660CD" w14:textId="77777777" w:rsidR="001C55B0" w:rsidRDefault="001C55B0">
      <w:pPr>
        <w:rPr>
          <w:rFonts w:asciiTheme="majorHAnsi" w:eastAsiaTheme="majorEastAsia" w:hAnsiTheme="majorHAnsi" w:cstheme="majorBidi"/>
          <w:b/>
          <w:bCs/>
          <w:sz w:val="32"/>
          <w:szCs w:val="28"/>
        </w:rPr>
      </w:pPr>
      <w:r>
        <w:br w:type="page"/>
      </w:r>
    </w:p>
    <w:p w14:paraId="390C4FD8" w14:textId="77777777" w:rsidR="00B0445D" w:rsidRPr="00B0445D" w:rsidRDefault="00B0445D" w:rsidP="00B0445D">
      <w:pPr>
        <w:pStyle w:val="Heading1"/>
      </w:pPr>
      <w:r w:rsidRPr="00B0445D">
        <w:lastRenderedPageBreak/>
        <w:t xml:space="preserve">Methods </w:t>
      </w:r>
    </w:p>
    <w:p w14:paraId="285FF43A" w14:textId="77777777" w:rsidR="00B0445D" w:rsidRDefault="00B0445D" w:rsidP="00B0445D">
      <w:r>
        <w:t>Data for this report were current as at 1</w:t>
      </w:r>
      <w:r w:rsidR="001C55B0">
        <w:t>9</w:t>
      </w:r>
      <w:r>
        <w:t xml:space="preserve">:00 hours AEDT, 1 February 2020. </w:t>
      </w:r>
    </w:p>
    <w:p w14:paraId="042917FC" w14:textId="77777777" w:rsidR="00B0445D" w:rsidRDefault="00B0445D" w:rsidP="00B0445D">
      <w:r>
        <w:t>This report outlines what is known epidemiologically on 2019-nCoV in Australia and from publicly available data from WHO Situation Reports, other countries’ official updates and the scientific literature. Data on domestic cases in this report were collected from National Notifiable Diseases Surveillance System (NNDSS) and state and territory case investigation reports. The Communicable Diseases Network Australia (CDNA) developed the case definition for suspected and confirmed cases, which was modified at different time points in the epidemic (23 January and 27 January 2020) (Table 3). CDNA developed national guidance on investigating suspected and confirmed cases of 2019-nCoV. Based on this guidance, state and territory health department investigators conducted interviews of suspected cases to collect core and enhanced data for inclusion in NNDSS. Data were analysed using Stata to describe the epidemiology of infections in Australia and the progress of the epidemic.</w:t>
      </w:r>
    </w:p>
    <w:p w14:paraId="3789D9E4" w14:textId="77777777" w:rsidR="00B0445D" w:rsidRPr="00170104" w:rsidRDefault="00B0445D" w:rsidP="00170104">
      <w:pPr>
        <w:pStyle w:val="CDIFigures"/>
      </w:pPr>
      <w:r w:rsidRPr="00170104">
        <w:t xml:space="preserve">Table 3: </w:t>
      </w:r>
      <w:r w:rsidR="00170104" w:rsidRPr="00170104">
        <w:t>Australian 2019-nCoV case definition as of 1 February 2020</w:t>
      </w:r>
      <w:r w:rsidR="00170104" w:rsidRPr="00170104">
        <w:rPr>
          <w:b w:val="0"/>
          <w:vertAlign w:val="superscript"/>
        </w:rPr>
        <w:t>12</w:t>
      </w:r>
    </w:p>
    <w:tbl>
      <w:tblPr>
        <w:tblStyle w:val="CDI-StandardTable"/>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7" w:type="dxa"/>
          <w:left w:w="57" w:type="dxa"/>
          <w:bottom w:w="57" w:type="dxa"/>
          <w:right w:w="57" w:type="dxa"/>
        </w:tblCellMar>
        <w:tblLook w:val="04A0" w:firstRow="1" w:lastRow="0" w:firstColumn="1" w:lastColumn="0" w:noHBand="0" w:noVBand="1"/>
        <w:tblDescription w:val="Text box shows the Australian case definition for 2019-nCoV developed on 1 February 2020, for both suspected and confirmed cases."/>
      </w:tblPr>
      <w:tblGrid>
        <w:gridCol w:w="1233"/>
        <w:gridCol w:w="6561"/>
        <w:gridCol w:w="2666"/>
      </w:tblGrid>
      <w:tr w:rsidR="008977B4" w:rsidRPr="008977B4" w14:paraId="77118556" w14:textId="77777777" w:rsidTr="006E3A4D">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E78D446" w14:textId="77777777" w:rsidR="00B0445D" w:rsidRPr="008977B4" w:rsidRDefault="00B0445D">
            <w:pPr>
              <w:pStyle w:val="NormalWeb"/>
              <w:rPr>
                <w:color w:val="FFFFFF" w:themeColor="background1"/>
                <w:sz w:val="18"/>
                <w:szCs w:val="18"/>
              </w:rPr>
            </w:pPr>
            <w:r w:rsidRPr="008977B4">
              <w:rPr>
                <w:color w:val="FFFFFF" w:themeColor="background1"/>
                <w:sz w:val="18"/>
                <w:szCs w:val="18"/>
              </w:rPr>
              <w:t>Date of development</w:t>
            </w:r>
          </w:p>
        </w:tc>
        <w:tc>
          <w:tcPr>
            <w:tcW w:w="6561" w:type="dxa"/>
            <w:hideMark/>
          </w:tcPr>
          <w:p w14:paraId="3C74501B" w14:textId="77777777" w:rsidR="00B0445D" w:rsidRPr="008977B4" w:rsidRDefault="00B0445D">
            <w:pPr>
              <w:pStyle w:val="NormalWeb"/>
              <w:rPr>
                <w:color w:val="FFFFFF" w:themeColor="background1"/>
                <w:sz w:val="18"/>
                <w:szCs w:val="18"/>
              </w:rPr>
            </w:pPr>
            <w:r w:rsidRPr="008977B4">
              <w:rPr>
                <w:color w:val="FFFFFF" w:themeColor="background1"/>
                <w:sz w:val="18"/>
                <w:szCs w:val="18"/>
              </w:rPr>
              <w:t>Suspected Cases</w:t>
            </w:r>
          </w:p>
        </w:tc>
        <w:tc>
          <w:tcPr>
            <w:tcW w:w="2666" w:type="dxa"/>
            <w:hideMark/>
          </w:tcPr>
          <w:p w14:paraId="5531EB02" w14:textId="77777777" w:rsidR="00B0445D" w:rsidRPr="008977B4" w:rsidRDefault="00B0445D">
            <w:pPr>
              <w:pStyle w:val="NormalWeb"/>
              <w:rPr>
                <w:color w:val="FFFFFF" w:themeColor="background1"/>
                <w:sz w:val="18"/>
                <w:szCs w:val="18"/>
              </w:rPr>
            </w:pPr>
            <w:r w:rsidRPr="008977B4">
              <w:rPr>
                <w:color w:val="FFFFFF" w:themeColor="background1"/>
                <w:sz w:val="18"/>
                <w:szCs w:val="18"/>
              </w:rPr>
              <w:t>Confirmed Cases</w:t>
            </w:r>
          </w:p>
        </w:tc>
      </w:tr>
      <w:tr w:rsidR="00B0445D" w:rsidRPr="008977B4" w14:paraId="1858D377" w14:textId="77777777" w:rsidTr="006E3A4D">
        <w:tc>
          <w:tcPr>
            <w:tcW w:w="0" w:type="auto"/>
            <w:hideMark/>
          </w:tcPr>
          <w:p w14:paraId="76353DBC" w14:textId="77777777" w:rsidR="00B0445D" w:rsidRPr="008977B4" w:rsidRDefault="00B0445D">
            <w:pPr>
              <w:pStyle w:val="NormalWeb"/>
              <w:rPr>
                <w:sz w:val="18"/>
                <w:szCs w:val="18"/>
              </w:rPr>
            </w:pPr>
            <w:r w:rsidRPr="008977B4">
              <w:rPr>
                <w:sz w:val="18"/>
                <w:szCs w:val="18"/>
              </w:rPr>
              <w:t>27 January 2020</w:t>
            </w:r>
          </w:p>
        </w:tc>
        <w:tc>
          <w:tcPr>
            <w:tcW w:w="6561" w:type="dxa"/>
            <w:hideMark/>
          </w:tcPr>
          <w:p w14:paraId="738E3B1F" w14:textId="77777777" w:rsidR="00B0445D" w:rsidRPr="008977B4" w:rsidRDefault="00B0445D">
            <w:pPr>
              <w:pStyle w:val="NormalWeb"/>
              <w:rPr>
                <w:sz w:val="18"/>
                <w:szCs w:val="18"/>
              </w:rPr>
            </w:pPr>
            <w:r w:rsidRPr="008977B4">
              <w:rPr>
                <w:sz w:val="18"/>
                <w:szCs w:val="18"/>
              </w:rPr>
              <w:t>As the full clinical spectrum of illness is not known, clinical and public health judgement should also be used to determine the need for testing in patients who do not meet the clinical criteria below. If the patient satisfies epidemiological and clinical criteria, they are classified as a suspect case.</w:t>
            </w:r>
          </w:p>
          <w:p w14:paraId="327F0EC5" w14:textId="77777777" w:rsidR="00B0445D" w:rsidRPr="001579BD" w:rsidRDefault="00B0445D">
            <w:pPr>
              <w:pStyle w:val="NormalWeb"/>
              <w:rPr>
                <w:b/>
                <w:sz w:val="18"/>
                <w:szCs w:val="18"/>
              </w:rPr>
            </w:pPr>
            <w:r w:rsidRPr="001579BD">
              <w:rPr>
                <w:b/>
                <w:sz w:val="18"/>
                <w:szCs w:val="18"/>
              </w:rPr>
              <w:t>Epidemiological criteria</w:t>
            </w:r>
          </w:p>
          <w:p w14:paraId="4F6674CE" w14:textId="77777777" w:rsidR="00B0445D" w:rsidRPr="008977B4" w:rsidRDefault="00B0445D" w:rsidP="005A2C71">
            <w:pPr>
              <w:numPr>
                <w:ilvl w:val="0"/>
                <w:numId w:val="8"/>
              </w:numPr>
              <w:spacing w:before="120" w:after="120"/>
              <w:rPr>
                <w:rFonts w:eastAsia="Times New Roman"/>
                <w:sz w:val="18"/>
                <w:szCs w:val="18"/>
              </w:rPr>
            </w:pPr>
            <w:r w:rsidRPr="008977B4">
              <w:rPr>
                <w:rFonts w:eastAsia="Times New Roman"/>
                <w:sz w:val="18"/>
                <w:szCs w:val="18"/>
              </w:rPr>
              <w:t xml:space="preserve">Travel to Hubei Province, China in the 14 days before the onset of </w:t>
            </w:r>
            <w:proofErr w:type="spellStart"/>
            <w:r w:rsidRPr="008977B4">
              <w:rPr>
                <w:rFonts w:eastAsia="Times New Roman"/>
                <w:sz w:val="18"/>
                <w:szCs w:val="18"/>
              </w:rPr>
              <w:t>illness.</w:t>
            </w:r>
            <w:r w:rsidRPr="008977B4">
              <w:rPr>
                <w:rFonts w:eastAsia="Times New Roman"/>
                <w:sz w:val="18"/>
                <w:szCs w:val="18"/>
                <w:vertAlign w:val="superscript"/>
              </w:rPr>
              <w:t>a</w:t>
            </w:r>
            <w:proofErr w:type="spellEnd"/>
            <w:r w:rsidRPr="008977B4">
              <w:rPr>
                <w:rFonts w:eastAsia="Times New Roman"/>
                <w:sz w:val="18"/>
                <w:szCs w:val="18"/>
              </w:rPr>
              <w:t xml:space="preserve"> </w:t>
            </w:r>
          </w:p>
          <w:p w14:paraId="289BE97D" w14:textId="77777777" w:rsidR="00B0445D" w:rsidRPr="008977B4" w:rsidRDefault="00B0445D" w:rsidP="005A2C71">
            <w:pPr>
              <w:pStyle w:val="NormalWeb"/>
              <w:spacing w:before="120" w:beforeAutospacing="0" w:after="120" w:afterAutospacing="0"/>
              <w:ind w:left="720"/>
              <w:rPr>
                <w:sz w:val="18"/>
                <w:szCs w:val="18"/>
              </w:rPr>
            </w:pPr>
            <w:r w:rsidRPr="008977B4">
              <w:rPr>
                <w:sz w:val="18"/>
                <w:szCs w:val="18"/>
              </w:rPr>
              <w:t>OR</w:t>
            </w:r>
          </w:p>
          <w:p w14:paraId="00593469" w14:textId="77777777" w:rsidR="00B0445D" w:rsidRPr="008977B4" w:rsidRDefault="00B0445D" w:rsidP="005A2C71">
            <w:pPr>
              <w:numPr>
                <w:ilvl w:val="0"/>
                <w:numId w:val="8"/>
              </w:numPr>
              <w:spacing w:before="120" w:after="120"/>
              <w:rPr>
                <w:rFonts w:eastAsia="Times New Roman"/>
                <w:sz w:val="18"/>
                <w:szCs w:val="18"/>
              </w:rPr>
            </w:pPr>
            <w:r w:rsidRPr="008977B4">
              <w:rPr>
                <w:rFonts w:eastAsia="Times New Roman"/>
                <w:sz w:val="18"/>
                <w:szCs w:val="18"/>
              </w:rPr>
              <w:t xml:space="preserve">Travel to agreed areas of human-to-human transmission, or a declared outbreak, within 14 days before onset of illness. </w:t>
            </w:r>
          </w:p>
          <w:p w14:paraId="793C4502" w14:textId="77777777" w:rsidR="00B0445D" w:rsidRPr="008977B4" w:rsidRDefault="00B0445D" w:rsidP="005A2C71">
            <w:pPr>
              <w:pStyle w:val="NormalWeb"/>
              <w:spacing w:before="120" w:beforeAutospacing="0" w:after="120" w:afterAutospacing="0"/>
              <w:ind w:left="720"/>
              <w:rPr>
                <w:sz w:val="18"/>
                <w:szCs w:val="18"/>
              </w:rPr>
            </w:pPr>
            <w:r w:rsidRPr="008977B4">
              <w:rPr>
                <w:sz w:val="18"/>
                <w:szCs w:val="18"/>
              </w:rPr>
              <w:t>OR</w:t>
            </w:r>
          </w:p>
          <w:p w14:paraId="183045A8" w14:textId="77777777" w:rsidR="00B0445D" w:rsidRPr="008977B4" w:rsidRDefault="00B0445D" w:rsidP="005A2C71">
            <w:pPr>
              <w:numPr>
                <w:ilvl w:val="0"/>
                <w:numId w:val="8"/>
              </w:numPr>
              <w:spacing w:before="120" w:after="120"/>
              <w:rPr>
                <w:rFonts w:eastAsia="Times New Roman"/>
                <w:sz w:val="18"/>
                <w:szCs w:val="18"/>
              </w:rPr>
            </w:pPr>
            <w:r w:rsidRPr="008977B4">
              <w:rPr>
                <w:rFonts w:eastAsia="Times New Roman"/>
                <w:sz w:val="18"/>
                <w:szCs w:val="18"/>
              </w:rPr>
              <w:t xml:space="preserve">Close contact in 14 days before illness onset with a case of 2019-nCoV. </w:t>
            </w:r>
          </w:p>
          <w:p w14:paraId="0EECFD80" w14:textId="77777777" w:rsidR="00B0445D" w:rsidRPr="008977B4" w:rsidRDefault="00B0445D" w:rsidP="005A2C71">
            <w:pPr>
              <w:pStyle w:val="NormalWeb"/>
              <w:spacing w:before="120" w:beforeAutospacing="0" w:after="120" w:afterAutospacing="0"/>
              <w:ind w:left="720"/>
              <w:rPr>
                <w:sz w:val="18"/>
                <w:szCs w:val="18"/>
              </w:rPr>
            </w:pPr>
            <w:r w:rsidRPr="008977B4">
              <w:rPr>
                <w:sz w:val="18"/>
                <w:szCs w:val="18"/>
              </w:rPr>
              <w:t>Clinical criteria</w:t>
            </w:r>
          </w:p>
          <w:p w14:paraId="34C5C535" w14:textId="77777777" w:rsidR="00B0445D" w:rsidRPr="008977B4" w:rsidRDefault="00B0445D" w:rsidP="005A2C71">
            <w:pPr>
              <w:numPr>
                <w:ilvl w:val="0"/>
                <w:numId w:val="8"/>
              </w:numPr>
              <w:spacing w:before="120" w:after="120"/>
              <w:rPr>
                <w:rFonts w:eastAsia="Times New Roman"/>
                <w:sz w:val="18"/>
                <w:szCs w:val="18"/>
              </w:rPr>
            </w:pPr>
            <w:r w:rsidRPr="008977B4">
              <w:rPr>
                <w:rFonts w:eastAsia="Times New Roman"/>
                <w:sz w:val="18"/>
                <w:szCs w:val="18"/>
              </w:rPr>
              <w:t xml:space="preserve">Fever or history of fever (≥38 °C) and acute respiratory infection (sudden onset of respiratory infection with at least one of: shortness of breath, </w:t>
            </w:r>
            <w:proofErr w:type="gramStart"/>
            <w:r w:rsidRPr="008977B4">
              <w:rPr>
                <w:rFonts w:eastAsia="Times New Roman"/>
                <w:sz w:val="18"/>
                <w:szCs w:val="18"/>
              </w:rPr>
              <w:t>cough</w:t>
            </w:r>
            <w:proofErr w:type="gramEnd"/>
            <w:r w:rsidRPr="008977B4">
              <w:rPr>
                <w:rFonts w:eastAsia="Times New Roman"/>
                <w:sz w:val="18"/>
                <w:szCs w:val="18"/>
              </w:rPr>
              <w:t xml:space="preserve"> or sore throat). </w:t>
            </w:r>
          </w:p>
          <w:p w14:paraId="222B5474" w14:textId="77777777" w:rsidR="00B0445D" w:rsidRPr="008977B4" w:rsidRDefault="00B0445D" w:rsidP="005A2C71">
            <w:pPr>
              <w:pStyle w:val="NormalWeb"/>
              <w:spacing w:before="120" w:beforeAutospacing="0" w:after="120" w:afterAutospacing="0"/>
              <w:ind w:left="720"/>
              <w:rPr>
                <w:sz w:val="18"/>
                <w:szCs w:val="18"/>
              </w:rPr>
            </w:pPr>
            <w:r w:rsidRPr="008977B4">
              <w:rPr>
                <w:sz w:val="18"/>
                <w:szCs w:val="18"/>
              </w:rPr>
              <w:t>OR</w:t>
            </w:r>
          </w:p>
          <w:p w14:paraId="7353A394" w14:textId="77777777" w:rsidR="00B0445D" w:rsidRPr="008977B4" w:rsidRDefault="00B0445D" w:rsidP="005A2C71">
            <w:pPr>
              <w:numPr>
                <w:ilvl w:val="0"/>
                <w:numId w:val="8"/>
              </w:numPr>
              <w:spacing w:before="120" w:after="120"/>
              <w:rPr>
                <w:rFonts w:eastAsia="Times New Roman"/>
                <w:sz w:val="18"/>
                <w:szCs w:val="18"/>
              </w:rPr>
            </w:pPr>
            <w:r w:rsidRPr="008977B4">
              <w:rPr>
                <w:rFonts w:eastAsia="Times New Roman"/>
                <w:sz w:val="18"/>
                <w:szCs w:val="18"/>
              </w:rPr>
              <w:t>Severe acute respiratory infection requiring admission to hospital with clinical or radiological evidence of pneumonia or acute respiratory distress syndrome (i.e. even if no evidence of fever).</w:t>
            </w:r>
          </w:p>
        </w:tc>
        <w:tc>
          <w:tcPr>
            <w:tcW w:w="2666" w:type="dxa"/>
            <w:hideMark/>
          </w:tcPr>
          <w:p w14:paraId="6AB762DE" w14:textId="77777777" w:rsidR="00B0445D" w:rsidRPr="008977B4" w:rsidRDefault="00B0445D">
            <w:pPr>
              <w:pStyle w:val="NormalWeb"/>
              <w:rPr>
                <w:sz w:val="18"/>
                <w:szCs w:val="18"/>
              </w:rPr>
            </w:pPr>
            <w:r w:rsidRPr="008977B4">
              <w:rPr>
                <w:sz w:val="18"/>
                <w:szCs w:val="18"/>
              </w:rPr>
              <w:t>A person who tests positive to a specific 2019-nCoV PCR test (when available) or has the virus identified by electron microscopy or viral culture, at a reference laboratory.</w:t>
            </w:r>
          </w:p>
        </w:tc>
      </w:tr>
    </w:tbl>
    <w:p w14:paraId="22B53687" w14:textId="77777777" w:rsidR="00B0445D" w:rsidRPr="00D50FAF" w:rsidRDefault="00D50FAF" w:rsidP="00D50FAF">
      <w:pPr>
        <w:pStyle w:val="CDIfootnotes"/>
      </w:pPr>
      <w:proofErr w:type="spellStart"/>
      <w:r>
        <w:t>a</w:t>
      </w:r>
      <w:proofErr w:type="spellEnd"/>
      <w:r>
        <w:tab/>
      </w:r>
      <w:proofErr w:type="gramStart"/>
      <w:r w:rsidR="00B0445D" w:rsidRPr="00D50FAF">
        <w:t>The</w:t>
      </w:r>
      <w:proofErr w:type="gramEnd"/>
      <w:r w:rsidR="00B0445D" w:rsidRPr="00D50FAF">
        <w:t xml:space="preserve"> previous case definition developed on 23 January 2020 required that suspected cases had travelled to the city of Wuhan.</w:t>
      </w:r>
    </w:p>
    <w:p w14:paraId="1CF998A9" w14:textId="77777777" w:rsidR="00B0445D" w:rsidRDefault="00B0445D" w:rsidP="00B0445D">
      <w:r>
        <w:t xml:space="preserve">Data for the international reports of 2019-nCoV case numbers by country were compiled from a range of sources. Case definitions for these case counts varied considerably making comparisons difficult. Rapid reviews of the current state of knowledge on 2019-nCoV were conducted from the literature using PubMed. </w:t>
      </w:r>
    </w:p>
    <w:p w14:paraId="2E62470A" w14:textId="77777777" w:rsidR="00B70066" w:rsidRDefault="00B70066">
      <w:pPr>
        <w:rPr>
          <w:rFonts w:asciiTheme="majorHAnsi" w:eastAsiaTheme="majorEastAsia" w:hAnsiTheme="majorHAnsi" w:cstheme="majorBidi"/>
          <w:b/>
          <w:bCs/>
          <w:sz w:val="32"/>
          <w:szCs w:val="28"/>
        </w:rPr>
      </w:pPr>
      <w:r>
        <w:br w:type="page"/>
      </w:r>
    </w:p>
    <w:p w14:paraId="0B4C1497" w14:textId="77777777" w:rsidR="00B0445D" w:rsidRPr="00B0445D" w:rsidRDefault="00B0445D" w:rsidP="00B0445D">
      <w:pPr>
        <w:pStyle w:val="Heading1"/>
      </w:pPr>
      <w:r w:rsidRPr="00B0445D">
        <w:lastRenderedPageBreak/>
        <w:t xml:space="preserve">Acknowledgements </w:t>
      </w:r>
    </w:p>
    <w:p w14:paraId="00BEA30D" w14:textId="77777777" w:rsidR="00B0445D" w:rsidRDefault="00B0445D" w:rsidP="00B0445D">
      <w:r>
        <w:t xml:space="preserve">This report represents surveillance data reported through CDNA as part of the nationally coordinated response to 2019-nCoV. We thank public health staff from incident emergency operations centres in state &amp; territory health departments, and the Australian Government Department of </w:t>
      </w:r>
      <w:proofErr w:type="gramStart"/>
      <w:r>
        <w:t>Health;</w:t>
      </w:r>
      <w:proofErr w:type="gramEnd"/>
      <w:r>
        <w:t xml:space="preserve"> along with state and territory public health laboratories. </w:t>
      </w:r>
    </w:p>
    <w:p w14:paraId="2C81D40F" w14:textId="77777777" w:rsidR="00B0445D" w:rsidRPr="00B0445D" w:rsidRDefault="00B0445D" w:rsidP="00B0445D">
      <w:pPr>
        <w:pStyle w:val="Heading1"/>
      </w:pPr>
      <w:r w:rsidRPr="00B0445D">
        <w:t xml:space="preserve">Author details </w:t>
      </w:r>
    </w:p>
    <w:p w14:paraId="0BB10EFB" w14:textId="77777777" w:rsidR="00B0445D" w:rsidRPr="00B0445D" w:rsidRDefault="00B0445D" w:rsidP="00B0445D">
      <w:pPr>
        <w:pStyle w:val="Heading2"/>
      </w:pPr>
      <w:r w:rsidRPr="00B0445D">
        <w:t xml:space="preserve">Corresponding author </w:t>
      </w:r>
    </w:p>
    <w:p w14:paraId="229875C2" w14:textId="77777777" w:rsidR="00C55862" w:rsidRPr="00C55862" w:rsidRDefault="00C55862" w:rsidP="00C55862">
      <w:pPr>
        <w:pStyle w:val="NoSpacing"/>
      </w:pPr>
      <w:r w:rsidRPr="00C55862">
        <w:t>Liz J Walker</w:t>
      </w:r>
    </w:p>
    <w:p w14:paraId="4DEA6902" w14:textId="77777777" w:rsidR="00C55862" w:rsidRPr="00C55862" w:rsidRDefault="00C55862" w:rsidP="00C55862">
      <w:pPr>
        <w:pStyle w:val="NoSpacing"/>
      </w:pPr>
      <w:r w:rsidRPr="00C55862">
        <w:t>NIR Surveillance Team, Communicable Disease Epidemiology and Surveillance Section, Health Protection Policy Branch, Australian Government Department of Health, GPO Box 9484, MDP 14, Canberra, ACT 2601.</w:t>
      </w:r>
    </w:p>
    <w:p w14:paraId="34CB4589" w14:textId="77777777" w:rsidR="00C55862" w:rsidRPr="00C55862" w:rsidRDefault="00C55862" w:rsidP="00C55862">
      <w:pPr>
        <w:pStyle w:val="NoSpacing"/>
      </w:pPr>
      <w:r w:rsidRPr="00C55862">
        <w:t xml:space="preserve">Telephone: </w:t>
      </w:r>
      <w:r w:rsidR="000E4EA3" w:rsidRPr="000E4EA3">
        <w:t>+61 2 6289 1512</w:t>
      </w:r>
      <w:r w:rsidRPr="00C55862">
        <w:t>.</w:t>
      </w:r>
    </w:p>
    <w:p w14:paraId="753765CB" w14:textId="66C6429C" w:rsidR="00C55862" w:rsidRDefault="00C55862" w:rsidP="00C55862">
      <w:pPr>
        <w:pStyle w:val="NoSpacing"/>
        <w:rPr>
          <w:b/>
          <w:bCs/>
        </w:rPr>
      </w:pPr>
      <w:r w:rsidRPr="00C55862">
        <w:t xml:space="preserve">Email: </w:t>
      </w:r>
      <w:hyperlink r:id="rId14" w:history="1">
        <w:r w:rsidRPr="00E902C9">
          <w:rPr>
            <w:rStyle w:val="Hyperlink"/>
          </w:rPr>
          <w:t>epi.coronavirus@health.gov.au</w:t>
        </w:r>
      </w:hyperlink>
    </w:p>
    <w:p w14:paraId="69491275" w14:textId="77777777" w:rsidR="00C55862" w:rsidRDefault="00C55862" w:rsidP="00C55862">
      <w:pPr>
        <w:pStyle w:val="Heading1"/>
        <w:rPr>
          <w:rFonts w:asciiTheme="minorHAnsi" w:eastAsiaTheme="minorEastAsia" w:hAnsiTheme="minorHAnsi" w:cstheme="minorBidi"/>
          <w:b w:val="0"/>
          <w:bCs w:val="0"/>
          <w:sz w:val="22"/>
          <w:szCs w:val="22"/>
        </w:rPr>
      </w:pPr>
    </w:p>
    <w:p w14:paraId="3355FA21" w14:textId="77777777" w:rsidR="00B0445D" w:rsidRPr="00B0445D" w:rsidRDefault="00B0445D" w:rsidP="00C55862">
      <w:pPr>
        <w:pStyle w:val="Heading1"/>
      </w:pPr>
      <w:r w:rsidRPr="00B0445D">
        <w:t xml:space="preserve">References </w:t>
      </w:r>
    </w:p>
    <w:p w14:paraId="0469A5D9"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World Health Organization (WHO). Novel coronavirus (2019-nCoV) situational report-12: 1 February 2020. Geneva: WHO; 2020. [Accessed on 1 February 2020.] Available from: https://www.who.int/docs/default-source/coronaviruse/situation-reports/20200201-sitrep-12-ncov.pdf?sfvrsn=273c5d35_2.</w:t>
      </w:r>
    </w:p>
    <w:p w14:paraId="640C31D9"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 xml:space="preserve">WHO. Statement on the second meeting of the International Health Regulations (2005) Emergency Committee regarding the outbreak of novel coronavirus (2019-nCoV). [Internet.] Geneva: WHO; 2020. [Accessed on 31 January 2020.] Available from: https://www.who.int/news-room/detail/30-01-2020-statement-on-the-second-meeting-of-the-international-health-regulations-(2005)-emergency-committee-regarding-the-outbreak-of-novel-coronavirus-(2019-ncov). </w:t>
      </w:r>
    </w:p>
    <w:p w14:paraId="42E13EA1" w14:textId="77777777" w:rsidR="00B0445D" w:rsidRDefault="00B0445D" w:rsidP="00B0445D">
      <w:pPr>
        <w:numPr>
          <w:ilvl w:val="0"/>
          <w:numId w:val="9"/>
        </w:numPr>
        <w:spacing w:before="100" w:beforeAutospacing="1" w:after="100" w:afterAutospacing="1" w:line="240" w:lineRule="auto"/>
        <w:rPr>
          <w:rFonts w:eastAsia="Times New Roman"/>
        </w:rPr>
      </w:pPr>
      <w:proofErr w:type="spellStart"/>
      <w:r>
        <w:rPr>
          <w:rFonts w:eastAsia="Times New Roman"/>
        </w:rPr>
        <w:t>Rothe</w:t>
      </w:r>
      <w:proofErr w:type="spellEnd"/>
      <w:r>
        <w:rPr>
          <w:rFonts w:eastAsia="Times New Roman"/>
        </w:rPr>
        <w:t xml:space="preserve"> C, Schunk M, </w:t>
      </w:r>
      <w:proofErr w:type="spellStart"/>
      <w:r>
        <w:rPr>
          <w:rFonts w:eastAsia="Times New Roman"/>
        </w:rPr>
        <w:t>Sothmann</w:t>
      </w:r>
      <w:proofErr w:type="spellEnd"/>
      <w:r>
        <w:rPr>
          <w:rFonts w:eastAsia="Times New Roman"/>
        </w:rPr>
        <w:t xml:space="preserve"> P, </w:t>
      </w:r>
      <w:proofErr w:type="spellStart"/>
      <w:r>
        <w:rPr>
          <w:rFonts w:eastAsia="Times New Roman"/>
        </w:rPr>
        <w:t>Bretzel</w:t>
      </w:r>
      <w:proofErr w:type="spellEnd"/>
      <w:r>
        <w:rPr>
          <w:rFonts w:eastAsia="Times New Roman"/>
        </w:rPr>
        <w:t xml:space="preserve"> G, </w:t>
      </w:r>
      <w:proofErr w:type="spellStart"/>
      <w:r>
        <w:rPr>
          <w:rFonts w:eastAsia="Times New Roman"/>
        </w:rPr>
        <w:t>Froeschl</w:t>
      </w:r>
      <w:proofErr w:type="spellEnd"/>
      <w:r>
        <w:rPr>
          <w:rFonts w:eastAsia="Times New Roman"/>
        </w:rPr>
        <w:t xml:space="preserve"> G, </w:t>
      </w:r>
      <w:proofErr w:type="spellStart"/>
      <w:r>
        <w:rPr>
          <w:rFonts w:eastAsia="Times New Roman"/>
        </w:rPr>
        <w:t>Wallrauch</w:t>
      </w:r>
      <w:proofErr w:type="spellEnd"/>
      <w:r>
        <w:rPr>
          <w:rFonts w:eastAsia="Times New Roman"/>
        </w:rPr>
        <w:t xml:space="preserve"> C et al. Transmission of 2019-nCoV infection from an asymptomatic contact in Germany. </w:t>
      </w:r>
      <w:r w:rsidRPr="00622DC7">
        <w:rPr>
          <w:rStyle w:val="Emphasis"/>
          <w:rFonts w:eastAsia="Times New Roman"/>
          <w:b w:val="0"/>
        </w:rPr>
        <w:t>N Engl J Med</w:t>
      </w:r>
      <w:r>
        <w:rPr>
          <w:rFonts w:eastAsia="Times New Roman"/>
        </w:rPr>
        <w:t xml:space="preserve">. 2020. https://doi.org/10.1056/NEJMc2001468. </w:t>
      </w:r>
    </w:p>
    <w:p w14:paraId="562C7670"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 xml:space="preserve">Phan LT, Nguyen TV, Luong QC, Nguyen TV, Nguyen HT, Le HQ et al. Importation and human-to-human transmission of a novel coronavirus in Vietnam. </w:t>
      </w:r>
      <w:r w:rsidRPr="00622DC7">
        <w:rPr>
          <w:rStyle w:val="Emphasis"/>
          <w:rFonts w:eastAsia="Times New Roman"/>
          <w:b w:val="0"/>
        </w:rPr>
        <w:t>N Engl J Med</w:t>
      </w:r>
      <w:r>
        <w:rPr>
          <w:rFonts w:eastAsia="Times New Roman"/>
        </w:rPr>
        <w:t xml:space="preserve">. 2020. https://doi.org/10.1056/nejmc2001272. </w:t>
      </w:r>
    </w:p>
    <w:p w14:paraId="02C87943"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National Health Commission, China. Update on pneumonia of new coronavirus infection as of 21:00 on January 31</w:t>
      </w:r>
      <w:proofErr w:type="gramStart"/>
      <w:r>
        <w:rPr>
          <w:rFonts w:eastAsia="Times New Roman"/>
        </w:rPr>
        <w:t xml:space="preserve"> 2020</w:t>
      </w:r>
      <w:proofErr w:type="gramEnd"/>
      <w:r>
        <w:rPr>
          <w:rFonts w:eastAsia="Times New Roman"/>
        </w:rPr>
        <w:t>. [Internet.] Beijing, China: National Health Commission; 2020. [Accessed on 1 February 2020.] Available from: http://www.nhc.gov.cn/yjb/s7860/202002/84faf71e096446fdb1ae44939ba5c528.shtml.</w:t>
      </w:r>
    </w:p>
    <w:p w14:paraId="5FE0B942"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WHO. Novel coronavirus (2019-nCoV) situational report-8: 28 January 2020. Geneva: WHO; 2020. [Accessed on 29 January 2020.] Available from: https://www.who.int/docs/default-source/coronaviruse/situation-reports/20200128-sitrep-8-ncov-cleared.pdf?sfvrsn=8b671ce5_2.</w:t>
      </w:r>
    </w:p>
    <w:p w14:paraId="4B30027A"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WHO. Novel coronavirus (2019-nCoV) situational report-7: 27 January 2020. Geneva: WHO; 2020. [Accessed on 28 January 2020.] Available from: https://www.who.int/docs/default-source/coronaviruse/situation-reports/20200127-sitrep-7-2019--ncov.pdf?sfvrsn=98ef79f5_2.</w:t>
      </w:r>
    </w:p>
    <w:p w14:paraId="0BDBE993"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WHO. Statement on the meeting of the International Health Regulations (2005) Emergency Committee regarding the outbreak of novel coronavirus (2019-nCoV). [Internet.] Geneva: WHO; 2020. [Accessed on 24 January 2020.] Available from: https://www.who.int/news-room/detail/23-01-2020-statement-on-the-meeting-of-the-international-health-regulations-(2005)-emergency-committee-regarding-the-outbreak-of-novel-coronavirus-(2019-ncov).</w:t>
      </w:r>
    </w:p>
    <w:p w14:paraId="0E9C6B6C"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lastRenderedPageBreak/>
        <w:t>Department of Disease Control, Ministry of Public Health, Thailand. Ministry of Public Health reports that group of experts confirm five additional cases and invites people to carry surgical masks to protect themselves. [Internet.] Mueang Nonthaburi, Thailand: Department of Disease Control, Ministry of Public Health; 2020. [Accessed on 1 February 2020</w:t>
      </w:r>
      <w:r w:rsidR="008C6B7C">
        <w:rPr>
          <w:rFonts w:eastAsia="Times New Roman"/>
        </w:rPr>
        <w:t>.</w:t>
      </w:r>
      <w:r>
        <w:rPr>
          <w:rFonts w:eastAsia="Times New Roman"/>
        </w:rPr>
        <w:t xml:space="preserve">] Available from: https://ddc.moph.go.th/viralpneumonia/eng/file/news/news_no8_310163_1.pdf. </w:t>
      </w:r>
    </w:p>
    <w:p w14:paraId="21D1B87F"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 xml:space="preserve">Li Q, Guan X, Wu P, Wang X, Zhou L, Tong Y et al. Early transmission dynamics in Wuhan, China, of novel coronavirus-infected pneumonia. </w:t>
      </w:r>
      <w:r w:rsidRPr="00622DC7">
        <w:rPr>
          <w:rStyle w:val="Emphasis"/>
          <w:rFonts w:eastAsia="Times New Roman"/>
          <w:b w:val="0"/>
        </w:rPr>
        <w:t>N Engl J Med</w:t>
      </w:r>
      <w:r>
        <w:rPr>
          <w:rFonts w:eastAsia="Times New Roman"/>
        </w:rPr>
        <w:t xml:space="preserve">. 2020. https://doi.org/10.1056/NEJMoa2001316. </w:t>
      </w:r>
    </w:p>
    <w:p w14:paraId="059FA4B3" w14:textId="77777777" w:rsidR="00B0445D" w:rsidRDefault="00B0445D" w:rsidP="00B0445D">
      <w:pPr>
        <w:numPr>
          <w:ilvl w:val="0"/>
          <w:numId w:val="9"/>
        </w:numPr>
        <w:spacing w:before="100" w:beforeAutospacing="1" w:after="100" w:afterAutospacing="1" w:line="240" w:lineRule="auto"/>
        <w:rPr>
          <w:rFonts w:eastAsia="Times New Roman"/>
        </w:rPr>
      </w:pPr>
      <w:r>
        <w:rPr>
          <w:rFonts w:eastAsia="Times New Roman"/>
        </w:rPr>
        <w:t xml:space="preserve">Paules CI, Marston HD, Fauci AS. Coronavirus infections—more than just the common cold. </w:t>
      </w:r>
      <w:r w:rsidRPr="00622DC7">
        <w:rPr>
          <w:rStyle w:val="Emphasis"/>
          <w:rFonts w:eastAsia="Times New Roman"/>
          <w:b w:val="0"/>
        </w:rPr>
        <w:t>JAMA</w:t>
      </w:r>
      <w:r>
        <w:rPr>
          <w:rFonts w:eastAsia="Times New Roman"/>
        </w:rPr>
        <w:t xml:space="preserve">. 2020. https://doi.org/10.1001/jama.2020.0757. </w:t>
      </w:r>
    </w:p>
    <w:p w14:paraId="587E2238" w14:textId="77777777" w:rsidR="008B5348" w:rsidRDefault="00B0445D" w:rsidP="0080570B">
      <w:pPr>
        <w:numPr>
          <w:ilvl w:val="0"/>
          <w:numId w:val="9"/>
        </w:numPr>
        <w:spacing w:before="100" w:beforeAutospacing="1" w:after="100" w:afterAutospacing="1" w:line="240" w:lineRule="auto"/>
        <w:rPr>
          <w:rStyle w:val="A10"/>
        </w:rPr>
      </w:pPr>
      <w:r>
        <w:rPr>
          <w:rFonts w:eastAsia="Times New Roman"/>
        </w:rPr>
        <w:t>Australian Government Department of Health. Novel coronavirus 2019 (2019-nCoV) - CDNA national guidelines for public health units 2020. [Internet.] Canberra: Australian Government Department of Health; 2020. [Accessed</w:t>
      </w:r>
      <w:r w:rsidR="000D67C0">
        <w:rPr>
          <w:rFonts w:eastAsia="Times New Roman"/>
        </w:rPr>
        <w:t xml:space="preserve"> on 1 February 2020.] Available </w:t>
      </w:r>
      <w:r>
        <w:rPr>
          <w:rFonts w:eastAsia="Times New Roman"/>
        </w:rPr>
        <w:t>from:https://www1.health.gov.au/internet/main/publishing.nsf/Content/</w:t>
      </w:r>
      <w:r w:rsidR="0080570B">
        <w:rPr>
          <w:rFonts w:eastAsia="Times New Roman"/>
        </w:rPr>
        <w:t>cdna-song-novel-coronavirus.htm</w:t>
      </w:r>
      <w:r>
        <w:rPr>
          <w:rFonts w:eastAsia="Times New Roman"/>
        </w:rPr>
        <w:t>.</w:t>
      </w:r>
      <w:r w:rsidR="0080570B">
        <w:rPr>
          <w:rStyle w:val="A10"/>
        </w:rPr>
        <w:t xml:space="preserve"> </w:t>
      </w:r>
    </w:p>
    <w:p w14:paraId="79F3AB36" w14:textId="77777777" w:rsidR="008B5348" w:rsidRDefault="008B5348">
      <w:pPr>
        <w:rPr>
          <w:rStyle w:val="A10"/>
        </w:rPr>
      </w:pPr>
    </w:p>
    <w:p w14:paraId="13FC33E6"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4D5FCD0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F48800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B6425CB" w14:textId="77777777" w:rsidR="000A5F42" w:rsidRPr="000606CC" w:rsidRDefault="000A5F42" w:rsidP="000A5F42">
      <w:pPr>
        <w:pStyle w:val="NoSpacing"/>
        <w:rPr>
          <w:rStyle w:val="URI"/>
          <w:rFonts w:cstheme="minorHAnsi"/>
          <w:sz w:val="20"/>
          <w:szCs w:val="18"/>
        </w:rPr>
      </w:pPr>
    </w:p>
    <w:p w14:paraId="5C0ABED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23479BF1" w14:textId="77777777" w:rsidR="000A5F42" w:rsidRPr="000606CC" w:rsidRDefault="000A5F42" w:rsidP="000A5F42">
      <w:pPr>
        <w:pStyle w:val="NoSpacing"/>
        <w:rPr>
          <w:rStyle w:val="Strong"/>
          <w:rFonts w:cstheme="minorHAnsi"/>
          <w:sz w:val="20"/>
          <w:szCs w:val="18"/>
        </w:rPr>
      </w:pPr>
    </w:p>
    <w:p w14:paraId="0D3626A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717472D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B6643C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D41E5A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24142DC2" w14:textId="77777777" w:rsidR="000A5F42" w:rsidRPr="000606CC" w:rsidRDefault="000A5F42" w:rsidP="000A5F42">
      <w:pPr>
        <w:pStyle w:val="NoSpacing"/>
        <w:rPr>
          <w:rStyle w:val="Strong"/>
          <w:rFonts w:cstheme="minorHAnsi"/>
          <w:sz w:val="20"/>
          <w:szCs w:val="18"/>
        </w:rPr>
      </w:pPr>
    </w:p>
    <w:p w14:paraId="352C2925" w14:textId="3260A7D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A3336B9" w14:textId="77777777" w:rsidR="000A5F42" w:rsidRPr="000606CC" w:rsidRDefault="000A5F42" w:rsidP="000A5F42">
      <w:pPr>
        <w:pStyle w:val="NoSpacing"/>
        <w:rPr>
          <w:rStyle w:val="Strong"/>
          <w:rFonts w:cstheme="minorHAnsi"/>
          <w:sz w:val="20"/>
          <w:szCs w:val="18"/>
        </w:rPr>
      </w:pPr>
    </w:p>
    <w:p w14:paraId="19C73F9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BDF1205" w14:textId="77777777" w:rsidR="000A5F42" w:rsidRPr="000606CC" w:rsidRDefault="000A5F42" w:rsidP="000A5F42">
      <w:pPr>
        <w:pStyle w:val="NoSpacing"/>
        <w:rPr>
          <w:rStyle w:val="Strong"/>
          <w:rFonts w:cstheme="minorHAnsi"/>
          <w:sz w:val="20"/>
          <w:szCs w:val="18"/>
        </w:rPr>
      </w:pPr>
    </w:p>
    <w:p w14:paraId="07C309F5" w14:textId="7CF1FDF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061C20F" w14:textId="77777777" w:rsidR="000A5F42" w:rsidRPr="000606CC" w:rsidRDefault="000A5F42" w:rsidP="000A5F42">
      <w:pPr>
        <w:pStyle w:val="NoSpacing"/>
        <w:rPr>
          <w:rStyle w:val="Strong"/>
          <w:rFonts w:cstheme="minorHAnsi"/>
          <w:sz w:val="20"/>
          <w:szCs w:val="18"/>
        </w:rPr>
      </w:pPr>
    </w:p>
    <w:p w14:paraId="215EB349" w14:textId="5356E40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910B855" w14:textId="3D01CC0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217C734A" w14:textId="77777777" w:rsidR="000A5F42" w:rsidRPr="000606CC" w:rsidRDefault="000A5F42" w:rsidP="000A5F42">
      <w:pPr>
        <w:pStyle w:val="NoSpacing"/>
        <w:pBdr>
          <w:bottom w:val="single" w:sz="6" w:space="1" w:color="auto"/>
        </w:pBdr>
        <w:rPr>
          <w:rStyle w:val="Strong"/>
          <w:rFonts w:cstheme="minorHAnsi"/>
          <w:sz w:val="12"/>
          <w:szCs w:val="18"/>
        </w:rPr>
      </w:pPr>
    </w:p>
    <w:p w14:paraId="3E5FB2A1" w14:textId="77777777" w:rsidR="000A5F42" w:rsidRPr="000606CC" w:rsidRDefault="000A5F42" w:rsidP="000A5F42">
      <w:pPr>
        <w:pStyle w:val="NoSpacing"/>
        <w:rPr>
          <w:rFonts w:cstheme="minorHAnsi"/>
          <w:sz w:val="20"/>
          <w:szCs w:val="18"/>
        </w:rPr>
      </w:pPr>
    </w:p>
    <w:p w14:paraId="78548EA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EF24190" w14:textId="77777777" w:rsidR="000A5F42" w:rsidRPr="000606CC" w:rsidRDefault="000A5F42" w:rsidP="000A5F42">
      <w:pPr>
        <w:pStyle w:val="NoSpacing"/>
        <w:rPr>
          <w:rFonts w:cstheme="minorHAnsi"/>
          <w:sz w:val="20"/>
          <w:szCs w:val="18"/>
        </w:rPr>
      </w:pPr>
    </w:p>
    <w:p w14:paraId="0ECA0C8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84E6682"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2BF8B86" w14:textId="15969FD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9588F16" w14:textId="77777777" w:rsidR="000A5F42" w:rsidRPr="000606CC" w:rsidRDefault="000A5F42" w:rsidP="000A5F42">
      <w:pPr>
        <w:pStyle w:val="NoSpacing"/>
        <w:rPr>
          <w:rFonts w:cstheme="minorHAnsi"/>
          <w:sz w:val="20"/>
          <w:szCs w:val="18"/>
        </w:rPr>
      </w:pPr>
    </w:p>
    <w:p w14:paraId="15761F2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F94EA2F" w14:textId="60FEDAE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EE90BE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D7B70D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3A5D27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B87BC3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14CE239" w14:textId="77777777" w:rsidR="000A5F42" w:rsidRPr="000606CC" w:rsidRDefault="000A5F42" w:rsidP="000A5F42">
      <w:pPr>
        <w:pStyle w:val="NoSpacing"/>
        <w:rPr>
          <w:rStyle w:val="Strong"/>
          <w:rFonts w:cstheme="minorHAnsi"/>
          <w:sz w:val="20"/>
          <w:szCs w:val="18"/>
        </w:rPr>
      </w:pPr>
    </w:p>
    <w:p w14:paraId="3D8F86C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632C44E" w14:textId="77777777" w:rsidR="000A5F42" w:rsidRPr="000606CC" w:rsidRDefault="000A5F42" w:rsidP="000A5F42">
      <w:pPr>
        <w:pStyle w:val="NoSpacing"/>
        <w:rPr>
          <w:rStyle w:val="Strong"/>
          <w:rFonts w:cstheme="minorHAnsi"/>
          <w:sz w:val="20"/>
          <w:szCs w:val="18"/>
        </w:rPr>
      </w:pPr>
    </w:p>
    <w:p w14:paraId="24A1C4C5" w14:textId="184E515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D068AA3" w14:textId="77777777" w:rsidR="000A5F42" w:rsidRPr="000606CC" w:rsidRDefault="000A5F42" w:rsidP="000A5F42">
      <w:pPr>
        <w:pStyle w:val="NoSpacing"/>
        <w:rPr>
          <w:rStyle w:val="URI"/>
          <w:rFonts w:cstheme="minorHAnsi"/>
          <w:sz w:val="20"/>
          <w:szCs w:val="18"/>
        </w:rPr>
      </w:pPr>
    </w:p>
    <w:p w14:paraId="2F017D96" w14:textId="73700CF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673BAC65"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BB3C" w14:textId="77777777" w:rsidR="00DC194D" w:rsidRDefault="00DC194D" w:rsidP="00E54DBA">
      <w:r>
        <w:separator/>
      </w:r>
    </w:p>
    <w:p w14:paraId="3E31CBBB" w14:textId="77777777" w:rsidR="00DC194D" w:rsidRDefault="00DC194D"/>
    <w:p w14:paraId="1761A418" w14:textId="77777777" w:rsidR="00DC194D" w:rsidRDefault="00DC194D" w:rsidP="008714B0"/>
  </w:endnote>
  <w:endnote w:type="continuationSeparator" w:id="0">
    <w:p w14:paraId="2CF3C293" w14:textId="77777777" w:rsidR="00DC194D" w:rsidRDefault="00DC194D" w:rsidP="00E54DBA">
      <w:r>
        <w:continuationSeparator/>
      </w:r>
    </w:p>
    <w:p w14:paraId="1E7C43DE" w14:textId="77777777" w:rsidR="00DC194D" w:rsidRDefault="00DC194D"/>
    <w:p w14:paraId="2044538C" w14:textId="77777777" w:rsidR="00DC194D" w:rsidRDefault="00DC194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6A97"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40FAE">
      <w:rPr>
        <w:noProof/>
        <w:sz w:val="18"/>
      </w:rPr>
      <w:t>9</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40FAE">
      <w:rPr>
        <w:noProof/>
        <w:sz w:val="18"/>
      </w:rPr>
      <w:t>10</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622DC7">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053AA">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053AA">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12650">
      <w:rPr>
        <w:sz w:val="18"/>
      </w:rPr>
      <w:t>https://doi.org/10.33321/cdi.2020.44.13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12650">
      <w:rPr>
        <w:sz w:val="18"/>
      </w:rPr>
      <w:t>6/2/2020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0B8F"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40FAE">
      <w:rPr>
        <w:noProof/>
        <w:sz w:val="18"/>
      </w:rPr>
      <w:t>5</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40FAE">
      <w:rPr>
        <w:noProof/>
        <w:sz w:val="18"/>
      </w:rPr>
      <w:t>10</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622DC7">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053AA">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053AA">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12650">
      <w:rPr>
        <w:sz w:val="18"/>
      </w:rPr>
      <w:t>https://doi.org/10.33321/cdi.2020.44.13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12650">
      <w:rPr>
        <w:sz w:val="18"/>
      </w:rPr>
      <w:t>6/2/2020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D291" w14:textId="77777777" w:rsidR="00DC194D" w:rsidRDefault="00DC194D" w:rsidP="00E54DBA">
      <w:r>
        <w:separator/>
      </w:r>
    </w:p>
  </w:footnote>
  <w:footnote w:type="continuationSeparator" w:id="0">
    <w:p w14:paraId="3EA142D8" w14:textId="77777777" w:rsidR="00DC194D" w:rsidRDefault="00DC194D" w:rsidP="00E54DBA">
      <w:r>
        <w:continuationSeparator/>
      </w:r>
    </w:p>
  </w:footnote>
  <w:footnote w:type="continuationNotice" w:id="1">
    <w:p w14:paraId="264CF37B" w14:textId="77777777" w:rsidR="00DC194D" w:rsidRPr="00224EFF" w:rsidRDefault="00DC194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B48D" w14:textId="77777777" w:rsidR="00257484" w:rsidRPr="00A153B6" w:rsidRDefault="00CC23F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53503">
          <w:t>Weekly epidemiological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C762"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09F3AF8"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4EE1"/>
    <w:multiLevelType w:val="hybridMultilevel"/>
    <w:tmpl w:val="C8CA9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740320"/>
    <w:multiLevelType w:val="hybridMultilevel"/>
    <w:tmpl w:val="1C4C0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750C9E"/>
    <w:multiLevelType w:val="hybridMultilevel"/>
    <w:tmpl w:val="69484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20F17"/>
    <w:multiLevelType w:val="multilevel"/>
    <w:tmpl w:val="1B54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26A41"/>
    <w:multiLevelType w:val="hybridMultilevel"/>
    <w:tmpl w:val="17B61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320EC4"/>
    <w:multiLevelType w:val="multilevel"/>
    <w:tmpl w:val="6F68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3C1EE2"/>
    <w:multiLevelType w:val="multilevel"/>
    <w:tmpl w:val="F192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A4905"/>
    <w:multiLevelType w:val="hybridMultilevel"/>
    <w:tmpl w:val="1B84D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4818060">
    <w:abstractNumId w:val="2"/>
  </w:num>
  <w:num w:numId="2" w16cid:durableId="680667504">
    <w:abstractNumId w:val="4"/>
  </w:num>
  <w:num w:numId="3" w16cid:durableId="1109736641">
    <w:abstractNumId w:val="5"/>
  </w:num>
  <w:num w:numId="4" w16cid:durableId="985235126">
    <w:abstractNumId w:val="1"/>
  </w:num>
  <w:num w:numId="5" w16cid:durableId="2061440235">
    <w:abstractNumId w:val="9"/>
  </w:num>
  <w:num w:numId="6" w16cid:durableId="1291087516">
    <w:abstractNumId w:val="10"/>
  </w:num>
  <w:num w:numId="7" w16cid:durableId="1664505245">
    <w:abstractNumId w:val="12"/>
  </w:num>
  <w:num w:numId="8" w16cid:durableId="81805137">
    <w:abstractNumId w:val="7"/>
  </w:num>
  <w:num w:numId="9" w16cid:durableId="81341024">
    <w:abstractNumId w:val="11"/>
  </w:num>
  <w:num w:numId="10" w16cid:durableId="1649243498">
    <w:abstractNumId w:val="13"/>
  </w:num>
  <w:num w:numId="11" w16cid:durableId="1642229081">
    <w:abstractNumId w:val="0"/>
  </w:num>
  <w:num w:numId="12" w16cid:durableId="2032225422">
    <w:abstractNumId w:val="6"/>
  </w:num>
  <w:num w:numId="13" w16cid:durableId="1437870504">
    <w:abstractNumId w:val="8"/>
  </w:num>
  <w:num w:numId="14" w16cid:durableId="814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AA"/>
    <w:rsid w:val="00000B5B"/>
    <w:rsid w:val="00001611"/>
    <w:rsid w:val="000104A8"/>
    <w:rsid w:val="0001246E"/>
    <w:rsid w:val="000124B1"/>
    <w:rsid w:val="00016FE6"/>
    <w:rsid w:val="00031064"/>
    <w:rsid w:val="00031692"/>
    <w:rsid w:val="00032531"/>
    <w:rsid w:val="000330FE"/>
    <w:rsid w:val="000471BF"/>
    <w:rsid w:val="00047B68"/>
    <w:rsid w:val="00052600"/>
    <w:rsid w:val="0005643C"/>
    <w:rsid w:val="0006133D"/>
    <w:rsid w:val="0006264A"/>
    <w:rsid w:val="00073D77"/>
    <w:rsid w:val="00081655"/>
    <w:rsid w:val="000828A2"/>
    <w:rsid w:val="000864E0"/>
    <w:rsid w:val="000969B3"/>
    <w:rsid w:val="000A5F42"/>
    <w:rsid w:val="000C12BA"/>
    <w:rsid w:val="000C5526"/>
    <w:rsid w:val="000D4B4D"/>
    <w:rsid w:val="000D67C0"/>
    <w:rsid w:val="000E4EA3"/>
    <w:rsid w:val="00113D58"/>
    <w:rsid w:val="001378A3"/>
    <w:rsid w:val="00155582"/>
    <w:rsid w:val="001579BD"/>
    <w:rsid w:val="00161590"/>
    <w:rsid w:val="00170104"/>
    <w:rsid w:val="00171CC0"/>
    <w:rsid w:val="00175494"/>
    <w:rsid w:val="0017557F"/>
    <w:rsid w:val="00175629"/>
    <w:rsid w:val="001830EC"/>
    <w:rsid w:val="00183534"/>
    <w:rsid w:val="001A4A96"/>
    <w:rsid w:val="001A5D05"/>
    <w:rsid w:val="001A796C"/>
    <w:rsid w:val="001B2614"/>
    <w:rsid w:val="001B37B8"/>
    <w:rsid w:val="001B552F"/>
    <w:rsid w:val="001C0893"/>
    <w:rsid w:val="001C1303"/>
    <w:rsid w:val="001C55B0"/>
    <w:rsid w:val="001C70B2"/>
    <w:rsid w:val="001D37C7"/>
    <w:rsid w:val="001D6888"/>
    <w:rsid w:val="001F1F23"/>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07723"/>
    <w:rsid w:val="00307E0C"/>
    <w:rsid w:val="00316CCD"/>
    <w:rsid w:val="003209C4"/>
    <w:rsid w:val="00322075"/>
    <w:rsid w:val="00324F7E"/>
    <w:rsid w:val="003323BC"/>
    <w:rsid w:val="00346D42"/>
    <w:rsid w:val="00346E11"/>
    <w:rsid w:val="003601C0"/>
    <w:rsid w:val="003635F5"/>
    <w:rsid w:val="00372A88"/>
    <w:rsid w:val="00381A0F"/>
    <w:rsid w:val="00391205"/>
    <w:rsid w:val="00397764"/>
    <w:rsid w:val="003A1B3A"/>
    <w:rsid w:val="003A40F5"/>
    <w:rsid w:val="003B5B8C"/>
    <w:rsid w:val="003D6591"/>
    <w:rsid w:val="003D79B1"/>
    <w:rsid w:val="003E4B91"/>
    <w:rsid w:val="003E74EE"/>
    <w:rsid w:val="003F0552"/>
    <w:rsid w:val="003F3BC2"/>
    <w:rsid w:val="00401ED1"/>
    <w:rsid w:val="0040224C"/>
    <w:rsid w:val="004053AA"/>
    <w:rsid w:val="00413EE1"/>
    <w:rsid w:val="004164BB"/>
    <w:rsid w:val="00421ECE"/>
    <w:rsid w:val="00422FEB"/>
    <w:rsid w:val="0042435E"/>
    <w:rsid w:val="004315F5"/>
    <w:rsid w:val="00433456"/>
    <w:rsid w:val="00433DFA"/>
    <w:rsid w:val="00435D67"/>
    <w:rsid w:val="00450F4A"/>
    <w:rsid w:val="00464A58"/>
    <w:rsid w:val="00473D2D"/>
    <w:rsid w:val="004A2125"/>
    <w:rsid w:val="004A38F6"/>
    <w:rsid w:val="004A44E1"/>
    <w:rsid w:val="004A751B"/>
    <w:rsid w:val="004B4EB6"/>
    <w:rsid w:val="004C083C"/>
    <w:rsid w:val="004C67C6"/>
    <w:rsid w:val="004D0C9E"/>
    <w:rsid w:val="004D29DE"/>
    <w:rsid w:val="00510EAC"/>
    <w:rsid w:val="00522511"/>
    <w:rsid w:val="00542A57"/>
    <w:rsid w:val="00565974"/>
    <w:rsid w:val="00571B22"/>
    <w:rsid w:val="005732C0"/>
    <w:rsid w:val="0057336D"/>
    <w:rsid w:val="0057489A"/>
    <w:rsid w:val="00574ACF"/>
    <w:rsid w:val="00581588"/>
    <w:rsid w:val="0058540B"/>
    <w:rsid w:val="00587C87"/>
    <w:rsid w:val="00590B80"/>
    <w:rsid w:val="005A2C71"/>
    <w:rsid w:val="005A3973"/>
    <w:rsid w:val="005B3134"/>
    <w:rsid w:val="005B4E61"/>
    <w:rsid w:val="005B595A"/>
    <w:rsid w:val="005B66C2"/>
    <w:rsid w:val="005D2465"/>
    <w:rsid w:val="005E33DD"/>
    <w:rsid w:val="005E4229"/>
    <w:rsid w:val="005E540E"/>
    <w:rsid w:val="005E55FB"/>
    <w:rsid w:val="005E5EFD"/>
    <w:rsid w:val="005F16BB"/>
    <w:rsid w:val="00607115"/>
    <w:rsid w:val="0061193C"/>
    <w:rsid w:val="00612EC0"/>
    <w:rsid w:val="006158ED"/>
    <w:rsid w:val="00620768"/>
    <w:rsid w:val="006212FB"/>
    <w:rsid w:val="00622DC7"/>
    <w:rsid w:val="0062594B"/>
    <w:rsid w:val="00631406"/>
    <w:rsid w:val="006324FF"/>
    <w:rsid w:val="006351D6"/>
    <w:rsid w:val="006369CE"/>
    <w:rsid w:val="00636E0D"/>
    <w:rsid w:val="0064142F"/>
    <w:rsid w:val="00643CB4"/>
    <w:rsid w:val="00653503"/>
    <w:rsid w:val="00656427"/>
    <w:rsid w:val="00660255"/>
    <w:rsid w:val="00664963"/>
    <w:rsid w:val="006708AD"/>
    <w:rsid w:val="006971F3"/>
    <w:rsid w:val="006C74A3"/>
    <w:rsid w:val="006D1381"/>
    <w:rsid w:val="006D31BC"/>
    <w:rsid w:val="006E3A4D"/>
    <w:rsid w:val="006E7943"/>
    <w:rsid w:val="006F24EA"/>
    <w:rsid w:val="006F53C9"/>
    <w:rsid w:val="00704CA9"/>
    <w:rsid w:val="0071048D"/>
    <w:rsid w:val="00710F86"/>
    <w:rsid w:val="007111A8"/>
    <w:rsid w:val="00731BC3"/>
    <w:rsid w:val="00740FAE"/>
    <w:rsid w:val="00741192"/>
    <w:rsid w:val="00743A33"/>
    <w:rsid w:val="00746080"/>
    <w:rsid w:val="0075144A"/>
    <w:rsid w:val="00761307"/>
    <w:rsid w:val="00774A25"/>
    <w:rsid w:val="00783D7A"/>
    <w:rsid w:val="00786329"/>
    <w:rsid w:val="00792C7D"/>
    <w:rsid w:val="00794A4D"/>
    <w:rsid w:val="007A299F"/>
    <w:rsid w:val="007A5234"/>
    <w:rsid w:val="007B7854"/>
    <w:rsid w:val="007C56A1"/>
    <w:rsid w:val="007C6454"/>
    <w:rsid w:val="007E01E0"/>
    <w:rsid w:val="007E195B"/>
    <w:rsid w:val="007F0B93"/>
    <w:rsid w:val="007F2ECA"/>
    <w:rsid w:val="007F663C"/>
    <w:rsid w:val="0080570B"/>
    <w:rsid w:val="00811708"/>
    <w:rsid w:val="00816B90"/>
    <w:rsid w:val="00817799"/>
    <w:rsid w:val="00822F5F"/>
    <w:rsid w:val="00822FD9"/>
    <w:rsid w:val="00824FD3"/>
    <w:rsid w:val="00826589"/>
    <w:rsid w:val="008278BB"/>
    <w:rsid w:val="00834BCC"/>
    <w:rsid w:val="00850D54"/>
    <w:rsid w:val="00867825"/>
    <w:rsid w:val="008714B0"/>
    <w:rsid w:val="00876331"/>
    <w:rsid w:val="00880168"/>
    <w:rsid w:val="00880726"/>
    <w:rsid w:val="008977B4"/>
    <w:rsid w:val="008A245C"/>
    <w:rsid w:val="008A3544"/>
    <w:rsid w:val="008A4506"/>
    <w:rsid w:val="008B48B8"/>
    <w:rsid w:val="008B5348"/>
    <w:rsid w:val="008B58F8"/>
    <w:rsid w:val="008C0712"/>
    <w:rsid w:val="008C4520"/>
    <w:rsid w:val="008C5F09"/>
    <w:rsid w:val="008C6B7C"/>
    <w:rsid w:val="008C6DD3"/>
    <w:rsid w:val="008D470F"/>
    <w:rsid w:val="008E1F8F"/>
    <w:rsid w:val="008E4768"/>
    <w:rsid w:val="008E761E"/>
    <w:rsid w:val="008F77B3"/>
    <w:rsid w:val="009008F5"/>
    <w:rsid w:val="00904CC1"/>
    <w:rsid w:val="009066AF"/>
    <w:rsid w:val="00912050"/>
    <w:rsid w:val="0091294A"/>
    <w:rsid w:val="00912E48"/>
    <w:rsid w:val="0092746F"/>
    <w:rsid w:val="00935DC9"/>
    <w:rsid w:val="009446C0"/>
    <w:rsid w:val="0096082E"/>
    <w:rsid w:val="00961347"/>
    <w:rsid w:val="00967410"/>
    <w:rsid w:val="00967D73"/>
    <w:rsid w:val="00974AB8"/>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02FF5"/>
    <w:rsid w:val="00A10458"/>
    <w:rsid w:val="00A12650"/>
    <w:rsid w:val="00A1492F"/>
    <w:rsid w:val="00A153B6"/>
    <w:rsid w:val="00A164D5"/>
    <w:rsid w:val="00A273C3"/>
    <w:rsid w:val="00A30850"/>
    <w:rsid w:val="00A30C37"/>
    <w:rsid w:val="00A36C65"/>
    <w:rsid w:val="00A41170"/>
    <w:rsid w:val="00A41BBE"/>
    <w:rsid w:val="00A45BDD"/>
    <w:rsid w:val="00A46A0A"/>
    <w:rsid w:val="00A553F8"/>
    <w:rsid w:val="00A6708F"/>
    <w:rsid w:val="00A71BF6"/>
    <w:rsid w:val="00A86F9A"/>
    <w:rsid w:val="00AA35E6"/>
    <w:rsid w:val="00AA50B6"/>
    <w:rsid w:val="00AB3472"/>
    <w:rsid w:val="00AB6F27"/>
    <w:rsid w:val="00AD0762"/>
    <w:rsid w:val="00AE4452"/>
    <w:rsid w:val="00AE7C38"/>
    <w:rsid w:val="00B01F99"/>
    <w:rsid w:val="00B02B37"/>
    <w:rsid w:val="00B0445D"/>
    <w:rsid w:val="00B05276"/>
    <w:rsid w:val="00B105E6"/>
    <w:rsid w:val="00B132DB"/>
    <w:rsid w:val="00B31427"/>
    <w:rsid w:val="00B33861"/>
    <w:rsid w:val="00B40DE2"/>
    <w:rsid w:val="00B50210"/>
    <w:rsid w:val="00B50379"/>
    <w:rsid w:val="00B51EA8"/>
    <w:rsid w:val="00B53955"/>
    <w:rsid w:val="00B6408A"/>
    <w:rsid w:val="00B70066"/>
    <w:rsid w:val="00B714B8"/>
    <w:rsid w:val="00B82C2C"/>
    <w:rsid w:val="00B8720B"/>
    <w:rsid w:val="00B876EF"/>
    <w:rsid w:val="00BA4697"/>
    <w:rsid w:val="00BB5378"/>
    <w:rsid w:val="00BC0BD3"/>
    <w:rsid w:val="00BC356E"/>
    <w:rsid w:val="00BD0107"/>
    <w:rsid w:val="00BD29E7"/>
    <w:rsid w:val="00BD6843"/>
    <w:rsid w:val="00BE0C33"/>
    <w:rsid w:val="00BE262C"/>
    <w:rsid w:val="00BE6C3D"/>
    <w:rsid w:val="00BF7D9A"/>
    <w:rsid w:val="00C02664"/>
    <w:rsid w:val="00C07606"/>
    <w:rsid w:val="00C12542"/>
    <w:rsid w:val="00C24725"/>
    <w:rsid w:val="00C30BA9"/>
    <w:rsid w:val="00C3541E"/>
    <w:rsid w:val="00C36A8F"/>
    <w:rsid w:val="00C42FFA"/>
    <w:rsid w:val="00C507D8"/>
    <w:rsid w:val="00C5267D"/>
    <w:rsid w:val="00C55862"/>
    <w:rsid w:val="00C62EAC"/>
    <w:rsid w:val="00C63F9F"/>
    <w:rsid w:val="00C7723C"/>
    <w:rsid w:val="00C838F5"/>
    <w:rsid w:val="00CA1AF4"/>
    <w:rsid w:val="00CA6068"/>
    <w:rsid w:val="00CB15E1"/>
    <w:rsid w:val="00CB3D46"/>
    <w:rsid w:val="00CC23F2"/>
    <w:rsid w:val="00CD1A87"/>
    <w:rsid w:val="00CD35F3"/>
    <w:rsid w:val="00CD5C93"/>
    <w:rsid w:val="00CE342B"/>
    <w:rsid w:val="00CF26DC"/>
    <w:rsid w:val="00CF320C"/>
    <w:rsid w:val="00CF3A4B"/>
    <w:rsid w:val="00CF4001"/>
    <w:rsid w:val="00D05837"/>
    <w:rsid w:val="00D12D8A"/>
    <w:rsid w:val="00D13E0C"/>
    <w:rsid w:val="00D1789A"/>
    <w:rsid w:val="00D25896"/>
    <w:rsid w:val="00D373A1"/>
    <w:rsid w:val="00D37C0F"/>
    <w:rsid w:val="00D42A59"/>
    <w:rsid w:val="00D45661"/>
    <w:rsid w:val="00D45943"/>
    <w:rsid w:val="00D47D22"/>
    <w:rsid w:val="00D50FAF"/>
    <w:rsid w:val="00D51865"/>
    <w:rsid w:val="00D51D0C"/>
    <w:rsid w:val="00D74140"/>
    <w:rsid w:val="00D955B8"/>
    <w:rsid w:val="00DA14E4"/>
    <w:rsid w:val="00DA6E56"/>
    <w:rsid w:val="00DC194D"/>
    <w:rsid w:val="00DC6705"/>
    <w:rsid w:val="00DD2DE8"/>
    <w:rsid w:val="00DE38B4"/>
    <w:rsid w:val="00DE5D02"/>
    <w:rsid w:val="00DF0984"/>
    <w:rsid w:val="00E005A9"/>
    <w:rsid w:val="00E1166E"/>
    <w:rsid w:val="00E24DC0"/>
    <w:rsid w:val="00E2519C"/>
    <w:rsid w:val="00E25F2A"/>
    <w:rsid w:val="00E37A7E"/>
    <w:rsid w:val="00E41455"/>
    <w:rsid w:val="00E42AD2"/>
    <w:rsid w:val="00E50856"/>
    <w:rsid w:val="00E52F99"/>
    <w:rsid w:val="00E538CC"/>
    <w:rsid w:val="00E54DBA"/>
    <w:rsid w:val="00E63D7C"/>
    <w:rsid w:val="00E640D5"/>
    <w:rsid w:val="00E66E2E"/>
    <w:rsid w:val="00E67691"/>
    <w:rsid w:val="00E83B0B"/>
    <w:rsid w:val="00E92237"/>
    <w:rsid w:val="00E951EF"/>
    <w:rsid w:val="00EA3D54"/>
    <w:rsid w:val="00EA56D9"/>
    <w:rsid w:val="00EA5CE3"/>
    <w:rsid w:val="00EB51C1"/>
    <w:rsid w:val="00EB5AE1"/>
    <w:rsid w:val="00EB5E0B"/>
    <w:rsid w:val="00EC1308"/>
    <w:rsid w:val="00EC2171"/>
    <w:rsid w:val="00ED442D"/>
    <w:rsid w:val="00ED5176"/>
    <w:rsid w:val="00ED70C2"/>
    <w:rsid w:val="00EE18FF"/>
    <w:rsid w:val="00EE489F"/>
    <w:rsid w:val="00F0647F"/>
    <w:rsid w:val="00F10CE3"/>
    <w:rsid w:val="00F14F3B"/>
    <w:rsid w:val="00F16362"/>
    <w:rsid w:val="00F207C7"/>
    <w:rsid w:val="00F223A4"/>
    <w:rsid w:val="00F36B6D"/>
    <w:rsid w:val="00F43FA3"/>
    <w:rsid w:val="00F505DA"/>
    <w:rsid w:val="00F52C5F"/>
    <w:rsid w:val="00F55648"/>
    <w:rsid w:val="00F643FF"/>
    <w:rsid w:val="00F70046"/>
    <w:rsid w:val="00F748C2"/>
    <w:rsid w:val="00F76C5C"/>
    <w:rsid w:val="00F81EF3"/>
    <w:rsid w:val="00F84496"/>
    <w:rsid w:val="00F85DCB"/>
    <w:rsid w:val="00F86F9C"/>
    <w:rsid w:val="00F90D76"/>
    <w:rsid w:val="00F91EC4"/>
    <w:rsid w:val="00F927B2"/>
    <w:rsid w:val="00F967A4"/>
    <w:rsid w:val="00FA03C4"/>
    <w:rsid w:val="00FC002E"/>
    <w:rsid w:val="00FC159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C6A5A4"/>
  <w15:docId w15:val="{241562E6-7916-460D-AB63-B9F5239E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8C6B7C"/>
    <w:rPr>
      <w:sz w:val="16"/>
      <w:szCs w:val="16"/>
    </w:rPr>
  </w:style>
  <w:style w:type="paragraph" w:styleId="CommentText">
    <w:name w:val="annotation text"/>
    <w:basedOn w:val="Normal"/>
    <w:link w:val="CommentTextChar"/>
    <w:uiPriority w:val="99"/>
    <w:semiHidden/>
    <w:unhideWhenUsed/>
    <w:rsid w:val="008C6B7C"/>
    <w:pPr>
      <w:spacing w:line="240" w:lineRule="auto"/>
    </w:pPr>
    <w:rPr>
      <w:sz w:val="20"/>
      <w:szCs w:val="20"/>
    </w:rPr>
  </w:style>
  <w:style w:type="character" w:customStyle="1" w:styleId="CommentTextChar">
    <w:name w:val="Comment Text Char"/>
    <w:basedOn w:val="DefaultParagraphFont"/>
    <w:link w:val="CommentText"/>
    <w:uiPriority w:val="99"/>
    <w:semiHidden/>
    <w:rsid w:val="008C6B7C"/>
    <w:rPr>
      <w:sz w:val="20"/>
      <w:szCs w:val="20"/>
    </w:rPr>
  </w:style>
  <w:style w:type="paragraph" w:styleId="CommentSubject">
    <w:name w:val="annotation subject"/>
    <w:basedOn w:val="CommentText"/>
    <w:next w:val="CommentText"/>
    <w:link w:val="CommentSubjectChar"/>
    <w:uiPriority w:val="99"/>
    <w:semiHidden/>
    <w:unhideWhenUsed/>
    <w:rsid w:val="008C6B7C"/>
    <w:rPr>
      <w:b/>
      <w:bCs/>
    </w:rPr>
  </w:style>
  <w:style w:type="character" w:customStyle="1" w:styleId="CommentSubjectChar">
    <w:name w:val="Comment Subject Char"/>
    <w:basedOn w:val="CommentTextChar"/>
    <w:link w:val="CommentSubject"/>
    <w:uiPriority w:val="99"/>
    <w:semiHidden/>
    <w:rsid w:val="008C6B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epi.coronavirus@health.gov.au" TargetMode="Externa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72CF4-A299-4CF0-8AF7-DBEFD5E8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2388</Words>
  <Characters>15390</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Communicable Diseases Intelligence 2020 -  2019-nCoV acute respiratory disease - Epidemiology Report #1 - Reporting week (26 January 2020 – 1 February 2020)</vt:lpstr>
    </vt:vector>
  </TitlesOfParts>
  <Company>Australian Government, Department of Health</Company>
  <LinksUpToDate>false</LinksUpToDate>
  <CharactersWithSpaces>17743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2019-nCoV acute respiratory disease - Epidemiology Report #1 - Reporting week (26 January 2020 – 1 February 2020)</dc:title>
  <dc:subject>This is the first epidemiological report of novel coronavirus (2019-nCoV) acute respiratory disease infections reported in Australia at 19:00 Australian Eastern Daylight Time [AEDT] 1 February 2020. It includes data on Australian cases notified this week (26 January to 1 February 2020) and in the previous week (19 to 25 January 2020), the international situation and current information on the severity, transmission and spread of the 2019-nCoV infection.</dc:subject>
  <dc:creator>2019-nCoV National Incident Room Surveillance Team</dc:creator>
  <cp:keywords>novel coronavirus (2019-nCoV); respiratory disease; case definition; epidemiology; Australia</cp:keywords>
  <dc:description>© Commonwealth of Australia CC BY-NC-ND ISSN: 2209-6051 (Online)</dc:description>
  <cp:lastPrinted>2018-05-10T02:19:00Z</cp:lastPrinted>
  <dcterms:created xsi:type="dcterms:W3CDTF">2024-08-28T07:52:00Z</dcterms:created>
  <dcterms:modified xsi:type="dcterms:W3CDTF">2024-08-28T07:52:00Z</dcterms:modified>
  <cp:category>Weekly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6/2/2020</vt:lpwstr>
  </property>
  <property fmtid="{D5CDD505-2E9C-101B-9397-08002B2CF9AE}" pid="5" name="DOI">
    <vt:lpwstr>https://doi.org/10.33321/cdi.2020.44.13</vt:lpwstr>
  </property>
</Properties>
</file>