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E7227" w14:textId="59EC61F0" w:rsidR="00B50D8D" w:rsidRPr="00341720" w:rsidRDefault="00282B56" w:rsidP="00341720">
      <w:pPr>
        <w:pStyle w:val="CDIDOIInformation"/>
      </w:pPr>
      <w:r>
        <w:fldChar w:fldCharType="begin"/>
      </w:r>
      <w:r>
        <w:instrText xml:space="preserve"> DOCPROPERTY  Year  \* MERGEFORMAT </w:instrText>
      </w:r>
      <w:r>
        <w:fldChar w:fldCharType="separate"/>
      </w:r>
      <w:r w:rsidR="00DA7907">
        <w:t>2024</w:t>
      </w:r>
      <w:r>
        <w:fldChar w:fldCharType="end"/>
      </w:r>
      <w:r w:rsidR="00A623E8" w:rsidRPr="00341720">
        <w:t xml:space="preserve"> • </w:t>
      </w:r>
      <w:r w:rsidR="00B50D8D" w:rsidRPr="00341720">
        <w:t xml:space="preserve">Volume </w:t>
      </w:r>
      <w:r w:rsidR="00C337BD">
        <w:fldChar w:fldCharType="begin"/>
      </w:r>
      <w:r w:rsidR="00C337BD">
        <w:instrText xml:space="preserve"> DOCPROPERTY  Vol  \* MERGEFORMAT </w:instrText>
      </w:r>
      <w:r w:rsidR="00C337BD">
        <w:fldChar w:fldCharType="separate"/>
      </w:r>
      <w:r w:rsidR="00DA7907">
        <w:t>48</w:t>
      </w:r>
      <w:r w:rsidR="00C337BD">
        <w:fldChar w:fldCharType="end"/>
      </w:r>
      <w:r w:rsidR="00725C33" w:rsidRPr="00341720">
        <w:t xml:space="preserve"> </w:t>
      </w:r>
      <w:r w:rsidR="008E3F81" w:rsidRPr="00341720">
        <w:t>•</w:t>
      </w:r>
      <w:r w:rsidR="00725C33" w:rsidRPr="00341720">
        <w:t xml:space="preserve"> </w:t>
      </w:r>
      <w:r w:rsidR="00C337BD">
        <w:fldChar w:fldCharType="begin"/>
      </w:r>
      <w:r w:rsidR="00C337BD">
        <w:instrText xml:space="preserve"> DOCPROPERTY  DOI  \* MERGEFORMAT </w:instrText>
      </w:r>
      <w:r w:rsidR="00C337BD">
        <w:fldChar w:fldCharType="separate"/>
      </w:r>
      <w:r w:rsidR="00DA7907">
        <w:t>https://doi.org/10.33321/cdi.2024.48.51</w:t>
      </w:r>
      <w:r w:rsidR="00C337BD">
        <w:fldChar w:fldCharType="end"/>
      </w:r>
      <w:r w:rsidR="00725C33" w:rsidRPr="00341720">
        <w:t xml:space="preserve"> </w:t>
      </w:r>
      <w:r w:rsidR="00D20FB5" w:rsidRPr="00341720">
        <w:t>•</w:t>
      </w:r>
      <w:r w:rsidR="00D20FB5">
        <w:t xml:space="preserve"> </w:t>
      </w:r>
      <w:r w:rsidR="00D20FB5" w:rsidRPr="00341720">
        <w:t xml:space="preserve">Electronic publication date: </w:t>
      </w:r>
      <w:r w:rsidR="00C337BD">
        <w:fldChar w:fldCharType="begin"/>
      </w:r>
      <w:r w:rsidR="00C337BD">
        <w:instrText xml:space="preserve"> DOCPROPERTY  ePubDate  \* MERGEFORMAT </w:instrText>
      </w:r>
      <w:r w:rsidR="00C337BD">
        <w:fldChar w:fldCharType="separate"/>
      </w:r>
      <w:r w:rsidR="00DA7907">
        <w:t>23/10/2024</w:t>
      </w:r>
      <w:r w:rsidR="00C337BD">
        <w:fldChar w:fldCharType="end"/>
      </w:r>
    </w:p>
    <w:p w14:paraId="623E1470" w14:textId="29D326BC" w:rsidR="00E30C30" w:rsidRPr="0037146D" w:rsidRDefault="00DA7907" w:rsidP="0037146D">
      <w:pPr>
        <w:pStyle w:val="Title"/>
        <w:divId w:val="935526654"/>
      </w:pPr>
      <w:r w:rsidRPr="00DA7907">
        <w:t>Gonococcal infections and risk factors for reinfection: a descriptive and case-case analysis of notifications in the Australian</w:t>
      </w:r>
      <w:r>
        <w:t> C</w:t>
      </w:r>
      <w:r w:rsidRPr="00DA7907">
        <w:t>apital Territory, 2017–2022</w:t>
      </w:r>
    </w:p>
    <w:p w14:paraId="02A2F777" w14:textId="3CA747AE" w:rsidR="007A33B9" w:rsidRPr="0037146D" w:rsidRDefault="00DA7907" w:rsidP="0037146D">
      <w:pPr>
        <w:pStyle w:val="Subtitle"/>
        <w:divId w:val="935526654"/>
      </w:pPr>
      <w:r w:rsidRPr="00DA7907">
        <w:t>Jill Padrotta, Alexandra Marmor, Nevada Pingault, Davoud Pourmarzi</w:t>
      </w:r>
    </w:p>
    <w:p w14:paraId="40FC3D7D" w14:textId="77777777" w:rsidR="0037146D" w:rsidRDefault="0037146D" w:rsidP="0037146D">
      <w:pPr>
        <w:pStyle w:val="Heading1"/>
        <w:divId w:val="935526654"/>
        <w:rPr>
          <w:lang w:val="en-GB"/>
        </w:rPr>
      </w:pPr>
      <w:r>
        <w:rPr>
          <w:lang w:val="en-GB"/>
        </w:rPr>
        <w:t>Abstract</w:t>
      </w:r>
    </w:p>
    <w:p w14:paraId="27CFB32A" w14:textId="36D13F57" w:rsidR="00065A6B" w:rsidRDefault="00DA7907" w:rsidP="00065A6B">
      <w:pPr>
        <w:pStyle w:val="CDIBoxHeadingGreen"/>
        <w:divId w:val="935526654"/>
        <w:rPr>
          <w:lang w:val="en-GB"/>
        </w:rPr>
      </w:pPr>
      <w:r>
        <w:rPr>
          <w:lang w:val="en-GB"/>
        </w:rPr>
        <w:t>Background</w:t>
      </w:r>
    </w:p>
    <w:p w14:paraId="2C4301A3" w14:textId="77777777" w:rsidR="00DA7907" w:rsidRPr="00DA7907" w:rsidRDefault="00DA7907" w:rsidP="00DA7907">
      <w:pPr>
        <w:pStyle w:val="CDIBoxTextGreen"/>
        <w:divId w:val="935526654"/>
        <w:rPr>
          <w:lang w:val="en-GB"/>
        </w:rPr>
      </w:pPr>
      <w:r w:rsidRPr="00DA7907">
        <w:rPr>
          <w:lang w:val="en-GB"/>
        </w:rPr>
        <w:t>In Australia, gonococcal infection notification rates are increasing with reinfections representing a substantial proportion of infections. Understanding the local epidemiology of gonococcal infections and reinfections and the risk factors for reinfection can assist with the design of targeted interventions. This study aimed to describe the epidemiology of gonococcal infections and reinfections between 2017 and 2022 in the Australian Capital Territory (ACT</w:t>
      </w:r>
      <w:proofErr w:type="gramStart"/>
      <w:r w:rsidRPr="00DA7907">
        <w:rPr>
          <w:lang w:val="en-GB"/>
        </w:rPr>
        <w:t>), and</w:t>
      </w:r>
      <w:proofErr w:type="gramEnd"/>
      <w:r w:rsidRPr="00DA7907">
        <w:rPr>
          <w:lang w:val="en-GB"/>
        </w:rPr>
        <w:t xml:space="preserve"> examine the risk factors for reinfection.</w:t>
      </w:r>
    </w:p>
    <w:p w14:paraId="52EACABD" w14:textId="760861EF" w:rsidR="00DA7907" w:rsidRDefault="00DA7907" w:rsidP="00DA7907">
      <w:pPr>
        <w:pStyle w:val="CDIBoxHeadingGreen"/>
        <w:divId w:val="935526654"/>
        <w:rPr>
          <w:lang w:val="en-GB"/>
        </w:rPr>
      </w:pPr>
      <w:r>
        <w:rPr>
          <w:lang w:val="en-GB"/>
        </w:rPr>
        <w:t>Methods</w:t>
      </w:r>
    </w:p>
    <w:p w14:paraId="708B2C81" w14:textId="77777777" w:rsidR="00DA7907" w:rsidRPr="00DA7907" w:rsidRDefault="00DA7907" w:rsidP="00DA7907">
      <w:pPr>
        <w:pStyle w:val="CDIBoxTextGreen"/>
        <w:divId w:val="935526654"/>
        <w:rPr>
          <w:lang w:val="en-GB"/>
        </w:rPr>
      </w:pPr>
      <w:r w:rsidRPr="00DA7907">
        <w:rPr>
          <w:lang w:val="en-GB"/>
        </w:rPr>
        <w:t>Data for gonococcal infections notified in the ACT between 2017 and 2022 were described. The epidemiological characteristics of individuals with a single infection and reinfection were compared using a case-case study design.</w:t>
      </w:r>
    </w:p>
    <w:p w14:paraId="396B4D0F" w14:textId="1C462102" w:rsidR="00DA7907" w:rsidRDefault="00DA7907" w:rsidP="00DA7907">
      <w:pPr>
        <w:pStyle w:val="CDIBoxHeadingGreen"/>
        <w:divId w:val="935526654"/>
        <w:rPr>
          <w:lang w:val="en-GB"/>
        </w:rPr>
      </w:pPr>
      <w:r>
        <w:rPr>
          <w:lang w:val="en-GB"/>
        </w:rPr>
        <w:t>Results</w:t>
      </w:r>
    </w:p>
    <w:p w14:paraId="1A0DA766" w14:textId="29586FD4" w:rsidR="00DA7907" w:rsidRDefault="00DA7907" w:rsidP="00DA7907">
      <w:pPr>
        <w:pStyle w:val="CDIBoxTextGreen"/>
        <w:divId w:val="935526654"/>
        <w:rPr>
          <w:lang w:val="en-GB"/>
        </w:rPr>
      </w:pPr>
      <w:r w:rsidRPr="00DA7907">
        <w:rPr>
          <w:lang w:val="en-GB"/>
        </w:rPr>
        <w:t xml:space="preserve">There were 1,886 gonococcal infection notifications during the study period. Of these, 20.4% were reinfections (n = 385). Of 1,501 individuals, 1,254 (83.5%) had a single infection and 247 (16.5%) had a reinfection. Between 2017 and 2022, the annual gonococcal infection notification rate per 100,000 population increased from 59.98 to 80.14 and the proportion of reinfections from 4.0% to 26.8%. </w:t>
      </w:r>
    </w:p>
    <w:p w14:paraId="40C6D562" w14:textId="77777777" w:rsidR="00DA7907" w:rsidRPr="00DA7907" w:rsidRDefault="00DA7907" w:rsidP="00DA7907">
      <w:r>
        <w:rPr>
          <w:lang w:val="en-GB"/>
        </w:rPr>
        <w:br w:type="page"/>
      </w:r>
    </w:p>
    <w:p w14:paraId="6AAA58CE" w14:textId="0B821FE1" w:rsidR="00DA7907" w:rsidRPr="00DA7907" w:rsidRDefault="00DA7907" w:rsidP="00DA7907">
      <w:pPr>
        <w:pStyle w:val="CDIBoxTextGreen"/>
        <w:divId w:val="935526654"/>
        <w:rPr>
          <w:lang w:val="en-GB"/>
        </w:rPr>
      </w:pPr>
      <w:r w:rsidRPr="00DA7907">
        <w:rPr>
          <w:lang w:val="en-GB"/>
        </w:rPr>
        <w:lastRenderedPageBreak/>
        <w:t>Compared with those with a single infection, individuals with a reinfection had significantly greater odds of being male, having a same-sex sexual exposure, using HIV pre-exposure prophylaxis at diagnosis, and having been diagnosed at a sexual health/family planning clinic. Individuals with a reinfection had significantly greater odds of being in the 25–34, 35–44 and 45–54 years age groups than the 14–24 years age group. The odds of anatomical site of first infection being only the rectum, only the throat, or at more than one site, compared with urogenital only, were significantly greater for those with a reinfection.</w:t>
      </w:r>
    </w:p>
    <w:p w14:paraId="75B62000" w14:textId="38E68D98" w:rsidR="00DA7907" w:rsidRDefault="00DA7907" w:rsidP="00DA7907">
      <w:pPr>
        <w:pStyle w:val="CDIBoxHeadingGreen"/>
        <w:divId w:val="935526654"/>
        <w:rPr>
          <w:lang w:val="en-GB"/>
        </w:rPr>
      </w:pPr>
      <w:r>
        <w:rPr>
          <w:lang w:val="en-GB"/>
        </w:rPr>
        <w:t>Conclusion</w:t>
      </w:r>
    </w:p>
    <w:p w14:paraId="1ACC4656" w14:textId="1576D12A" w:rsidR="00DA7907" w:rsidRDefault="00DA7907" w:rsidP="00065A6B">
      <w:pPr>
        <w:pStyle w:val="CDIBoxTextGreen"/>
        <w:divId w:val="935526654"/>
        <w:rPr>
          <w:lang w:val="en-GB"/>
        </w:rPr>
      </w:pPr>
      <w:r w:rsidRPr="00DA7907">
        <w:rPr>
          <w:lang w:val="en-GB"/>
        </w:rPr>
        <w:t>Gonococcal reinfections contribute substantially to gonococcal infection notifications in the ACT. Targeted interventions are needed to prevent gonococcal reinfections among at-risk groups, particularly men who have sex with men, people who use HIV pre-exposure prophylaxis, and individuals accessing sexual health/family planning services.</w:t>
      </w:r>
    </w:p>
    <w:p w14:paraId="3E020CA9" w14:textId="56B62048" w:rsidR="00620509" w:rsidRPr="006D508B" w:rsidRDefault="00620509" w:rsidP="00DA7907">
      <w:pPr>
        <w:divId w:val="935526654"/>
        <w:rPr>
          <w:lang w:val="en-GB"/>
        </w:rPr>
      </w:pPr>
      <w:r w:rsidRPr="0037146D">
        <w:rPr>
          <w:lang w:val="en-GB"/>
        </w:rPr>
        <w:t xml:space="preserve">Keywords: </w:t>
      </w:r>
      <w:r w:rsidR="00DA7907" w:rsidRPr="00DA7907">
        <w:rPr>
          <w:lang w:val="en-GB"/>
        </w:rPr>
        <w:t>sexually transmissible infection; gonococcal infection; reinfection; risk factor; notifications; Australian Capital Territory</w:t>
      </w:r>
    </w:p>
    <w:p w14:paraId="50BE2047" w14:textId="77777777" w:rsidR="00DA7907" w:rsidRDefault="00DA7907" w:rsidP="00DA7907">
      <w:pPr>
        <w:pStyle w:val="Heading1"/>
        <w:divId w:val="935526654"/>
      </w:pPr>
      <w:r>
        <w:t>Introduction</w:t>
      </w:r>
    </w:p>
    <w:p w14:paraId="46BD1068" w14:textId="77777777" w:rsidR="00DA7907" w:rsidRPr="00DA7907" w:rsidRDefault="00DA7907" w:rsidP="00DA7907">
      <w:pPr>
        <w:divId w:val="935526654"/>
        <w:rPr>
          <w:lang w:val="en-GB"/>
        </w:rPr>
      </w:pPr>
      <w:r w:rsidRPr="00DA7907">
        <w:rPr>
          <w:lang w:val="en-GB"/>
        </w:rPr>
        <w:t>Worldwide, there were an estimated 82.3 million new gonococcal infections diagnosed among people aged 15–49 years during 2020, making it the second most commonly diagnosed bacterial sexually transmissible infection (STI).</w:t>
      </w:r>
      <w:r w:rsidRPr="00DA7907">
        <w:rPr>
          <w:vertAlign w:val="superscript"/>
          <w:lang w:val="en-GB"/>
        </w:rPr>
        <w:t>1</w:t>
      </w:r>
      <w:r w:rsidRPr="00DA7907">
        <w:rPr>
          <w:lang w:val="en-GB"/>
        </w:rPr>
        <w:t xml:space="preserve"> Reducing transmission remains a global public health priority, owing to the emergence of antimicrobial-resistant lineages limiting effective treatment options.</w:t>
      </w:r>
      <w:r w:rsidRPr="00DA7907">
        <w:rPr>
          <w:vertAlign w:val="superscript"/>
          <w:lang w:val="en-GB"/>
        </w:rPr>
        <w:t>1,2</w:t>
      </w:r>
      <w:r w:rsidRPr="00DA7907">
        <w:rPr>
          <w:lang w:val="en-GB"/>
        </w:rPr>
        <w:t xml:space="preserve"> Untreated, gonococcal infections can lead to adverse reproductive and perinatal outcomes and to enhanced transmission of human immunodeficiency virus (HIV).</w:t>
      </w:r>
      <w:r w:rsidRPr="00DA7907">
        <w:rPr>
          <w:vertAlign w:val="superscript"/>
          <w:lang w:val="en-GB"/>
        </w:rPr>
        <w:t>1,3,4,5,6</w:t>
      </w:r>
    </w:p>
    <w:p w14:paraId="5E2B4E01" w14:textId="77777777" w:rsidR="00DA7907" w:rsidRPr="00DA7907" w:rsidRDefault="00DA7907" w:rsidP="00DA7907">
      <w:pPr>
        <w:divId w:val="935526654"/>
        <w:rPr>
          <w:lang w:val="en-GB"/>
        </w:rPr>
      </w:pPr>
      <w:r w:rsidRPr="00DA7907">
        <w:rPr>
          <w:lang w:val="en-GB"/>
        </w:rPr>
        <w:t>In Australia, laboratory-confirmed gonococcal infections are nationally notifiable.</w:t>
      </w:r>
      <w:r w:rsidRPr="00DA7907">
        <w:rPr>
          <w:vertAlign w:val="superscript"/>
          <w:lang w:val="en-GB"/>
        </w:rPr>
        <w:t>7,8</w:t>
      </w:r>
      <w:r w:rsidRPr="00DA7907">
        <w:rPr>
          <w:lang w:val="en-GB"/>
        </w:rPr>
        <w:t xml:space="preserve"> Notification rates have risen over the past decade, peaking at 141.4 per 100,000 population per year in 2019 before declining to 109.4 in 2021 during the coronavirus disease 2019 (COVID-19) pandemic.</w:t>
      </w:r>
      <w:r w:rsidRPr="00DA7907">
        <w:rPr>
          <w:vertAlign w:val="superscript"/>
          <w:lang w:val="en-GB"/>
        </w:rPr>
        <w:t>9</w:t>
      </w:r>
      <w:r w:rsidRPr="00DA7907">
        <w:rPr>
          <w:lang w:val="en-GB"/>
        </w:rPr>
        <w:t xml:space="preserve"> In the Australian Capital Territory (ACT), notification rates have followed a similar pattern to those in other Australian states and territories, increasing from 22.0 to 66.9 per 100,000 population per year from 2012 to 2021.</w:t>
      </w:r>
      <w:r w:rsidRPr="00DA7907">
        <w:rPr>
          <w:vertAlign w:val="superscript"/>
          <w:lang w:val="en-GB"/>
        </w:rPr>
        <w:t>10</w:t>
      </w:r>
      <w:r w:rsidRPr="00DA7907">
        <w:rPr>
          <w:lang w:val="en-GB"/>
        </w:rPr>
        <w:t xml:space="preserve"> People aged 15–29 years; Aboriginal and/or Torres Strait Islander people; gay, bisexual, and other men who have sex with men (GBMSM); and sex workers are among priority populations who may be disproportionately affected.</w:t>
      </w:r>
      <w:r w:rsidRPr="00DA7907">
        <w:rPr>
          <w:vertAlign w:val="superscript"/>
          <w:lang w:val="en-GB"/>
        </w:rPr>
        <w:t>11</w:t>
      </w:r>
      <w:r w:rsidRPr="00DA7907">
        <w:rPr>
          <w:lang w:val="en-GB"/>
        </w:rPr>
        <w:t xml:space="preserve"> </w:t>
      </w:r>
    </w:p>
    <w:p w14:paraId="3E5C6F9A" w14:textId="77777777" w:rsidR="00DA7907" w:rsidRPr="00DA7907" w:rsidRDefault="00DA7907" w:rsidP="00DA7907">
      <w:pPr>
        <w:divId w:val="935526654"/>
        <w:rPr>
          <w:lang w:val="en-GB"/>
        </w:rPr>
      </w:pPr>
      <w:r w:rsidRPr="00DA7907">
        <w:rPr>
          <w:lang w:val="en-GB"/>
        </w:rPr>
        <w:t>Testing is recommended for symptomatic and exposed body sites.</w:t>
      </w:r>
      <w:r w:rsidRPr="00DA7907">
        <w:rPr>
          <w:vertAlign w:val="superscript"/>
          <w:lang w:val="en-GB"/>
        </w:rPr>
        <w:t>12</w:t>
      </w:r>
      <w:r w:rsidRPr="00DA7907">
        <w:rPr>
          <w:lang w:val="en-GB"/>
        </w:rPr>
        <w:t xml:space="preserve"> Three-monthly asymptomatic testing is recommended at all three sites (oropharyngeal, anorectal, and first pass urine) for men who have engaged in any type of sex with another man in the past three months.</w:t>
      </w:r>
      <w:r w:rsidRPr="00DA7907">
        <w:rPr>
          <w:vertAlign w:val="superscript"/>
          <w:lang w:val="en-GB"/>
        </w:rPr>
        <w:t>12</w:t>
      </w:r>
      <w:r w:rsidRPr="00DA7907">
        <w:rPr>
          <w:lang w:val="en-GB"/>
        </w:rPr>
        <w:t xml:space="preserve"> Clinicians should also screen for STIs, including gonococcal infection, at commencement of HIV pre-exposure prophylaxis (PrEP) and every 90 days while PrEP is used.</w:t>
      </w:r>
      <w:r w:rsidRPr="00DA7907">
        <w:rPr>
          <w:vertAlign w:val="superscript"/>
          <w:lang w:val="en-GB"/>
        </w:rPr>
        <w:t>12,13</w:t>
      </w:r>
      <w:r w:rsidRPr="00DA7907">
        <w:rPr>
          <w:lang w:val="en-GB"/>
        </w:rPr>
        <w:t xml:space="preserve"> After diagnosis, clinicians should provide education about preventing future infections and should initiate discussion about contact tracing for all partners for at least the past two months. Cases are followed up after one week and a test of cure performed for each site of infection (pharyngeal, anal and/or cervical) two weeks after treatment. Testing for reinfection is recommended at three months.</w:t>
      </w:r>
      <w:r w:rsidRPr="00DA7907">
        <w:rPr>
          <w:vertAlign w:val="superscript"/>
          <w:lang w:val="en-GB"/>
        </w:rPr>
        <w:t>12</w:t>
      </w:r>
    </w:p>
    <w:p w14:paraId="7B324EB8" w14:textId="77777777" w:rsidR="00DA7907" w:rsidRPr="00DA7907" w:rsidRDefault="00DA7907" w:rsidP="00DA7907">
      <w:pPr>
        <w:divId w:val="935526654"/>
        <w:rPr>
          <w:lang w:val="en-GB"/>
        </w:rPr>
      </w:pPr>
      <w:r w:rsidRPr="00DA7907">
        <w:rPr>
          <w:lang w:val="en-GB"/>
        </w:rPr>
        <w:lastRenderedPageBreak/>
        <w:t>Although evidence on the contribution of reinfections to total gonococcal infections is limited, reinfections have been shown to represent a substantial proportion: approximately 18% in defined study populations.</w:t>
      </w:r>
      <w:r w:rsidRPr="00DA7907">
        <w:rPr>
          <w:vertAlign w:val="superscript"/>
          <w:lang w:val="en-GB"/>
        </w:rPr>
        <w:t>14,15</w:t>
      </w:r>
      <w:r w:rsidRPr="00DA7907">
        <w:rPr>
          <w:lang w:val="en-GB"/>
        </w:rPr>
        <w:t xml:space="preserve"> Definitions of ‘reinfection’ after treatment for a prior infection reported in the literature range from two weeks to two months.</w:t>
      </w:r>
      <w:r w:rsidRPr="00DA7907">
        <w:rPr>
          <w:vertAlign w:val="superscript"/>
          <w:lang w:val="en-GB"/>
        </w:rPr>
        <w:t>14,16,17,18,19</w:t>
      </w:r>
      <w:r w:rsidRPr="00DA7907">
        <w:rPr>
          <w:lang w:val="en-GB"/>
        </w:rPr>
        <w:t xml:space="preserve"> The lack of a universally agreed definition prohibits accurate estimation of the true burden of reinfection and presents a barrier to identifying the risk factors, as findings from research studies may not be comparable. Relatively few studies have investigated the risk factors for gonococcal reinfections. International evidence suggests people of male sex, young adults, GBMSM, those with a previous history of STI, and those co-infected with another STI at diagnosis of initial gonococcal infection, may be at increased risk of gonococcal reinfection.</w:t>
      </w:r>
      <w:r w:rsidRPr="00DA7907">
        <w:rPr>
          <w:vertAlign w:val="superscript"/>
          <w:lang w:val="en-GB"/>
        </w:rPr>
        <w:t>14,16,18,20</w:t>
      </w:r>
      <w:r w:rsidRPr="00DA7907">
        <w:rPr>
          <w:lang w:val="en-GB"/>
        </w:rPr>
        <w:t xml:space="preserve"> Lower socioeconomic status (SES), engaging in sex work, inconsistent condom use, having had more than one sexual partner in the past six months, or having a partner who had another partner in the recent past, have also been shown to increase the risk.</w:t>
      </w:r>
      <w:r w:rsidRPr="00DA7907">
        <w:rPr>
          <w:vertAlign w:val="superscript"/>
          <w:lang w:val="en-GB"/>
        </w:rPr>
        <w:t>14–16,18,20</w:t>
      </w:r>
      <w:r w:rsidRPr="00DA7907">
        <w:rPr>
          <w:lang w:val="en-GB"/>
        </w:rPr>
        <w:t xml:space="preserve"> Recent Australian studies are lacking; however, a 2020 study in Adelaide, South Australia, identified GBMSM, people living in low SES areas, and older age groups as having a higher risk of reinfection.</w:t>
      </w:r>
      <w:r w:rsidRPr="00DA7907">
        <w:rPr>
          <w:vertAlign w:val="superscript"/>
          <w:lang w:val="en-GB"/>
        </w:rPr>
        <w:t>15</w:t>
      </w:r>
      <w:r w:rsidRPr="00DA7907">
        <w:rPr>
          <w:lang w:val="en-GB"/>
        </w:rPr>
        <w:t xml:space="preserve"> Understanding the local epidemiology of gonococcal infections and reinfections, and risk factors for reinfection, can help with the design of effective interventions to reduce the disease burden. This study aimed to describe the epidemiology of gonococcal infections and reinfections in the ACT between 2017 and 2022 and examine the risk factors for reinfection during this period.</w:t>
      </w:r>
    </w:p>
    <w:p w14:paraId="12FFF792" w14:textId="77777777" w:rsidR="00DA7907" w:rsidRDefault="00DA7907" w:rsidP="00DA7907">
      <w:pPr>
        <w:pStyle w:val="Heading1"/>
        <w:divId w:val="935526654"/>
        <w:rPr>
          <w:lang w:val="en-GB"/>
        </w:rPr>
      </w:pPr>
      <w:r>
        <w:rPr>
          <w:lang w:val="en-GB"/>
        </w:rPr>
        <w:t>Methods</w:t>
      </w:r>
    </w:p>
    <w:p w14:paraId="00C944A8" w14:textId="4AC9BAEF" w:rsidR="00DA7907" w:rsidRDefault="009A74C6" w:rsidP="009A74C6">
      <w:pPr>
        <w:pStyle w:val="Heading2"/>
        <w:divId w:val="935526654"/>
        <w:rPr>
          <w:lang w:val="en-GB"/>
        </w:rPr>
      </w:pPr>
      <w:r>
        <w:rPr>
          <w:lang w:val="en-GB"/>
        </w:rPr>
        <w:t xml:space="preserve">Study design and </w:t>
      </w:r>
      <w:proofErr w:type="gramStart"/>
      <w:r>
        <w:rPr>
          <w:lang w:val="en-GB"/>
        </w:rPr>
        <w:t>population</w:t>
      </w:r>
      <w:proofErr w:type="gramEnd"/>
    </w:p>
    <w:p w14:paraId="235D8B1C" w14:textId="77777777" w:rsidR="009A74C6" w:rsidRPr="009A74C6" w:rsidRDefault="009A74C6" w:rsidP="009A74C6">
      <w:pPr>
        <w:divId w:val="935526654"/>
        <w:rPr>
          <w:lang w:val="en-GB"/>
        </w:rPr>
      </w:pPr>
      <w:r w:rsidRPr="009A74C6">
        <w:rPr>
          <w:lang w:val="en-GB"/>
        </w:rPr>
        <w:t>In the ACT, laboratory-confirmed gonococcal infections are notified to the ACT Health Directorate. Public health officers (PHO) conduct routine case follow-up through interviews with clinical staff and/or the case to collect enhanced surveillance data, which is entered into the ACT notifiable diseases databases. Where a positive result is received within 28 days of a previous gonococcal infection notification for the same individual, PHO investigate (in consultation with the clinician) whether the notification represents a persistent or new infection. Infections deemed new, such as where there was a negative test for that anatomical site in the intervening period, are classified as confirmed.</w:t>
      </w:r>
    </w:p>
    <w:p w14:paraId="56AE7CC6" w14:textId="699CECDE" w:rsidR="009A74C6" w:rsidRPr="009A74C6" w:rsidRDefault="009A74C6" w:rsidP="009A74C6">
      <w:pPr>
        <w:divId w:val="935526654"/>
        <w:rPr>
          <w:lang w:val="en-GB"/>
        </w:rPr>
      </w:pPr>
      <w:r w:rsidRPr="009A74C6">
        <w:rPr>
          <w:lang w:val="en-GB"/>
        </w:rPr>
        <w:t xml:space="preserve">A retrospective cross-sectional study was undertaken to describe the epidemiology of gonococcal infection notifications in the ACT. The study population included ACT residents with a gonococcal infection notification with specimen collection between 1 January 2017 and 31 December 2022. Sex at diagnosis was used for analyses, as data for gender were not available for the entire study period. A reinfection was defined as a subsequent notification for an individual who had a prior gonococcal infection notification during 2017–2022. </w:t>
      </w:r>
    </w:p>
    <w:p w14:paraId="7EF59C55" w14:textId="77777777" w:rsidR="009A74C6" w:rsidRPr="009A74C6" w:rsidRDefault="009A74C6" w:rsidP="009A74C6">
      <w:pPr>
        <w:divId w:val="935526654"/>
        <w:rPr>
          <w:lang w:val="en-GB"/>
        </w:rPr>
      </w:pPr>
      <w:r w:rsidRPr="009A74C6">
        <w:rPr>
          <w:lang w:val="en-GB"/>
        </w:rPr>
        <w:t>A case-case study design was used to investigate the risk factors for reinfection. Cases of interest were defined as individuals with more than one notification during the study period (Reinfection group). Cases with a single notification during the study period served as comparison cases (Single Infection group). To reduce misclassification bias, individuals with an additional gonococcal infection notified during 2014–2016 were excluded from comparisons between the Single Infection and Reinfection groups. Prior to 2014, the gonococcal infection notification rate in the ACT was low (&lt; 30 per 100,000 population), so notifications for this period were not explored.</w:t>
      </w:r>
      <w:r w:rsidRPr="009A74C6">
        <w:rPr>
          <w:vertAlign w:val="superscript"/>
          <w:lang w:val="en-GB"/>
        </w:rPr>
        <w:t>10</w:t>
      </w:r>
    </w:p>
    <w:p w14:paraId="040125B5" w14:textId="335525E6" w:rsidR="009A74C6" w:rsidRDefault="009A74C6" w:rsidP="009A74C6">
      <w:pPr>
        <w:pStyle w:val="Heading2"/>
        <w:divId w:val="935526654"/>
        <w:rPr>
          <w:lang w:val="en-GB"/>
        </w:rPr>
      </w:pPr>
      <w:r>
        <w:rPr>
          <w:lang w:val="en-GB"/>
        </w:rPr>
        <w:lastRenderedPageBreak/>
        <w:t>Data sources</w:t>
      </w:r>
    </w:p>
    <w:p w14:paraId="426CDD2E" w14:textId="77777777" w:rsidR="009A74C6" w:rsidRPr="009A74C6" w:rsidRDefault="009A74C6" w:rsidP="009A74C6">
      <w:pPr>
        <w:divId w:val="935526654"/>
        <w:rPr>
          <w:lang w:val="en-GB"/>
        </w:rPr>
      </w:pPr>
      <w:r w:rsidRPr="009A74C6">
        <w:rPr>
          <w:lang w:val="en-GB"/>
        </w:rPr>
        <w:t>Demographic and clinical data were exported from ACT notifiable diseases databases. Enhanced data fields included self-reported sexual exposure type for this infection (opposite sex, same sex, both sexes, or unknown) and sex worker status during the past 12 months. Data for use of PrEP at diagnosis were available for notifications from October 2018. For the Reinfection group, epidemiological data from the first infection during the study period (or first infection at which data were available) were used for comparisons with the Single Infection group. Notifications for individuals aged less than 14 years were excluded due to very low numbers and to prevent re-identification. Duplicate entries and notifications with a postcode outside the ACT were also excluded.</w:t>
      </w:r>
    </w:p>
    <w:p w14:paraId="79EB3F0B" w14:textId="1716E6F9" w:rsidR="009A74C6" w:rsidRDefault="009A74C6" w:rsidP="009A74C6">
      <w:pPr>
        <w:pStyle w:val="Heading2"/>
        <w:divId w:val="935526654"/>
        <w:rPr>
          <w:lang w:val="en-GB"/>
        </w:rPr>
      </w:pPr>
      <w:r>
        <w:rPr>
          <w:lang w:val="en-GB"/>
        </w:rPr>
        <w:t>Statistical analyses</w:t>
      </w:r>
    </w:p>
    <w:p w14:paraId="0EFD4850" w14:textId="77777777" w:rsidR="009A74C6" w:rsidRPr="009A74C6" w:rsidRDefault="009A74C6" w:rsidP="009A74C6">
      <w:pPr>
        <w:divId w:val="935526654"/>
        <w:rPr>
          <w:vertAlign w:val="superscript"/>
          <w:lang w:val="en-GB"/>
        </w:rPr>
      </w:pPr>
      <w:r w:rsidRPr="009A74C6">
        <w:rPr>
          <w:lang w:val="en-GB"/>
        </w:rPr>
        <w:t xml:space="preserve">Analyses were undertaken with Microsoft Excel (2016) and Stata (Version 17). Counts and proportions were used to describe epidemiological characteristics. To prevent potential re-identification, where numbers for a variable were low (n &lt; 5) or where the number of notifications in a category could be easily added to reveal the number of notifications for a sub-group, categories were </w:t>
      </w:r>
      <w:proofErr w:type="gramStart"/>
      <w:r w:rsidRPr="009A74C6">
        <w:rPr>
          <w:lang w:val="en-GB"/>
        </w:rPr>
        <w:t>combined</w:t>
      </w:r>
      <w:proofErr w:type="gramEnd"/>
      <w:r w:rsidRPr="009A74C6">
        <w:rPr>
          <w:lang w:val="en-GB"/>
        </w:rPr>
        <w:t xml:space="preserve"> or the exact numbers concealed using ‘&lt; n’. Trends were described in the number and rate (per 100,000 population per year) of gonococcal infection and reinfection notifications during the study period. Annual population rates were calculated using Australian Bureau of Statistics mid-year ACT estimated resident population data.</w:t>
      </w:r>
      <w:r w:rsidRPr="009A74C6">
        <w:rPr>
          <w:vertAlign w:val="superscript"/>
          <w:lang w:val="en-GB"/>
        </w:rPr>
        <w:t>21</w:t>
      </w:r>
    </w:p>
    <w:p w14:paraId="3A2C96CB" w14:textId="77777777" w:rsidR="009A74C6" w:rsidRPr="009A74C6" w:rsidRDefault="009A74C6" w:rsidP="009A74C6">
      <w:pPr>
        <w:divId w:val="935526654"/>
        <w:rPr>
          <w:lang w:val="en-GB"/>
        </w:rPr>
      </w:pPr>
      <w:r w:rsidRPr="009A74C6">
        <w:rPr>
          <w:lang w:val="en-GB"/>
        </w:rPr>
        <w:t xml:space="preserve">To identify risk factors for reinfection, epidemiological data for the Reinfection and Single Infection groups were compared univariately. Odds ratios (OR) and 95% confidence intervals (95% CI) were calculated to identify factors associated with reinfection. </w:t>
      </w:r>
      <w:r w:rsidRPr="009A74C6">
        <w:rPr>
          <w:i/>
          <w:iCs/>
          <w:lang w:val="en-GB"/>
        </w:rPr>
        <w:t>P</w:t>
      </w:r>
      <w:r w:rsidRPr="009A74C6">
        <w:rPr>
          <w:lang w:val="en-GB"/>
        </w:rPr>
        <w:t xml:space="preserve"> values &lt; 0.05 were considered statistically significant. Pearson’s Chi-squared test was used for categorical variables and Mann-Whitney U test was used for median age. Records with indeterminate/non-binary sex, anatomical site of infection of ‘other’, and unknown or not reported Aboriginal and/or Torres Strait Islander status, sexual exposure type, PrEP use, and sex worker status, were excluded from comparisons based on these variables.</w:t>
      </w:r>
    </w:p>
    <w:p w14:paraId="4872734A" w14:textId="41DDD62C" w:rsidR="009A74C6" w:rsidRDefault="00F77351" w:rsidP="00F77351">
      <w:pPr>
        <w:pStyle w:val="Heading2"/>
        <w:divId w:val="935526654"/>
        <w:rPr>
          <w:lang w:val="en-GB"/>
        </w:rPr>
      </w:pPr>
      <w:r>
        <w:rPr>
          <w:lang w:val="en-GB"/>
        </w:rPr>
        <w:t>Ethics</w:t>
      </w:r>
    </w:p>
    <w:p w14:paraId="562B75EB" w14:textId="6024D2D0" w:rsidR="005402F5" w:rsidRDefault="00F77351" w:rsidP="005402F5">
      <w:pPr>
        <w:rPr>
          <w:lang w:val="en-GB"/>
        </w:rPr>
      </w:pPr>
      <w:r w:rsidRPr="00F77351">
        <w:rPr>
          <w:lang w:val="en-GB"/>
        </w:rPr>
        <w:t>The protocol for the study was approved by the ACT Health Human Research Ethics Committee (HREC) Low-Risk Sub-Committee and acknowledged by the Australian National University HREC.</w:t>
      </w:r>
      <w:r w:rsidR="005402F5">
        <w:rPr>
          <w:lang w:val="en-GB"/>
        </w:rPr>
        <w:br w:type="page"/>
      </w:r>
    </w:p>
    <w:p w14:paraId="445B7F61" w14:textId="77777777" w:rsidR="00DA7907" w:rsidRDefault="00DA7907" w:rsidP="00DA7907">
      <w:pPr>
        <w:pStyle w:val="Heading1"/>
        <w:divId w:val="935526654"/>
        <w:rPr>
          <w:lang w:val="en-GB"/>
        </w:rPr>
      </w:pPr>
      <w:r>
        <w:rPr>
          <w:lang w:val="en-GB"/>
        </w:rPr>
        <w:lastRenderedPageBreak/>
        <w:t>Results</w:t>
      </w:r>
    </w:p>
    <w:p w14:paraId="05327560" w14:textId="19AA4E30" w:rsidR="00DA7907" w:rsidRDefault="00F77351" w:rsidP="00F77351">
      <w:pPr>
        <w:pStyle w:val="Heading2"/>
        <w:divId w:val="935526654"/>
      </w:pPr>
      <w:r>
        <w:t>Descriptive analysis</w:t>
      </w:r>
    </w:p>
    <w:p w14:paraId="5DC76397" w14:textId="77777777" w:rsidR="00F77351" w:rsidRPr="00F77351" w:rsidRDefault="00F77351" w:rsidP="00F77351">
      <w:pPr>
        <w:divId w:val="935526654"/>
        <w:rPr>
          <w:lang w:val="en-GB"/>
        </w:rPr>
      </w:pPr>
      <w:r w:rsidRPr="00F77351">
        <w:rPr>
          <w:lang w:val="en-GB"/>
        </w:rPr>
        <w:t>After exclusions (n = 13), a total of 1,886 gonococcal infection notifications were included in the study for 1,501 unique individuals. For all notifications, data completeness (with ‘unknown’ responses considered missing) was 100% for age, sex, diagnosing clinical facility, and anatomical site of infection and &gt; 95.0% for Aboriginal and/or Torres Strait Islander status, sexual exposure type, and sex worker status. Data completeness, among 1,385 notifications from October 2018 onwards, was &gt; 95.0% for use of PrEP.</w:t>
      </w:r>
    </w:p>
    <w:p w14:paraId="45447152" w14:textId="77777777" w:rsidR="00F77351" w:rsidRDefault="00F77351" w:rsidP="00F77351">
      <w:pPr>
        <w:divId w:val="935526654"/>
        <w:rPr>
          <w:lang w:val="en-GB"/>
        </w:rPr>
      </w:pPr>
      <w:r w:rsidRPr="00F77351">
        <w:rPr>
          <w:lang w:val="en-GB"/>
        </w:rPr>
        <w:t>There were 1,485 notifications (78.7%) for males, 391 (20.7%) for females and 10 (0.5%) for individuals with indeterminate/non-binary sex. The median age was 30 years (range: 14–75; interquartile range [IQR]: 13). Table 1 shows the number and percentage of notifications within each variable category, by sex.</w:t>
      </w:r>
    </w:p>
    <w:p w14:paraId="58DD2FD9" w14:textId="3DFC990A" w:rsidR="00F77351" w:rsidRDefault="00F77351" w:rsidP="00F77351">
      <w:pPr>
        <w:pStyle w:val="CDIFigure-Table-Title"/>
        <w:divId w:val="935526654"/>
      </w:pPr>
      <w:r w:rsidRPr="00F77351">
        <w:t>Table 1: Case characteristics of gonococcal infection notifications in the ACT, by demographic, behavioural, and clinical variables, 2017–2022</w:t>
      </w:r>
    </w:p>
    <w:tbl>
      <w:tblPr>
        <w:tblW w:w="0" w:type="auto"/>
        <w:tblLayout w:type="fixed"/>
        <w:tblCellMar>
          <w:left w:w="0" w:type="dxa"/>
          <w:right w:w="0" w:type="dxa"/>
        </w:tblCellMar>
        <w:tblLook w:val="0000" w:firstRow="0" w:lastRow="0" w:firstColumn="0" w:lastColumn="0" w:noHBand="0" w:noVBand="0"/>
        <w:tblCaption w:val="Table 1: Case characteristics of gonococcal infection notifications in the ACT, by demographic, behavioural, and clinical variables, 2017–2022"/>
        <w:tblDescription w:val="This is a table which shows the number and percentage of gonococcal infection notifications for males and females in the ACT between 2017 and 2022, broken down by variables examined in the study. The variables include demographic factors, sexual exposure type, use of HIV pre-exposure prophylaxis at diagnosis, sex worker status, diagnosing clinical facility, and anatomical site of infection."/>
      </w:tblPr>
      <w:tblGrid>
        <w:gridCol w:w="2409"/>
        <w:gridCol w:w="4026"/>
        <w:gridCol w:w="1601"/>
        <w:gridCol w:w="1602"/>
      </w:tblGrid>
      <w:tr w:rsidR="00723426" w:rsidRPr="00723426" w14:paraId="0A7D9E47" w14:textId="77777777" w:rsidTr="00C337BD">
        <w:tblPrEx>
          <w:tblCellMar>
            <w:top w:w="0" w:type="dxa"/>
            <w:left w:w="0" w:type="dxa"/>
            <w:bottom w:w="0" w:type="dxa"/>
            <w:right w:w="0" w:type="dxa"/>
          </w:tblCellMar>
        </w:tblPrEx>
        <w:trPr>
          <w:divId w:val="935526654"/>
          <w:trHeight w:val="20"/>
          <w:tblHeader/>
        </w:trPr>
        <w:tc>
          <w:tcPr>
            <w:tcW w:w="2409" w:type="dxa"/>
            <w:vMerge w:val="restart"/>
            <w:shd w:val="clear" w:color="auto" w:fill="033636" w:themeFill="text2"/>
            <w:tcMar>
              <w:top w:w="113" w:type="dxa"/>
              <w:left w:w="113" w:type="dxa"/>
              <w:bottom w:w="113" w:type="dxa"/>
              <w:right w:w="113" w:type="dxa"/>
            </w:tcMar>
            <w:vAlign w:val="bottom"/>
          </w:tcPr>
          <w:p w14:paraId="7FD02E89" w14:textId="77777777" w:rsidR="00723426" w:rsidRPr="00723426" w:rsidRDefault="00723426" w:rsidP="005402F5">
            <w:pPr>
              <w:pStyle w:val="CDIFigure-Table-H1Left"/>
            </w:pPr>
            <w:r w:rsidRPr="00723426">
              <w:t>Variable</w:t>
            </w:r>
          </w:p>
        </w:tc>
        <w:tc>
          <w:tcPr>
            <w:tcW w:w="4026" w:type="dxa"/>
            <w:vMerge w:val="restart"/>
            <w:shd w:val="clear" w:color="auto" w:fill="033636" w:themeFill="text2"/>
            <w:tcMar>
              <w:top w:w="113" w:type="dxa"/>
              <w:left w:w="113" w:type="dxa"/>
              <w:bottom w:w="113" w:type="dxa"/>
              <w:right w:w="113" w:type="dxa"/>
            </w:tcMar>
            <w:vAlign w:val="bottom"/>
          </w:tcPr>
          <w:p w14:paraId="709631C2" w14:textId="77777777" w:rsidR="00723426" w:rsidRPr="00723426" w:rsidRDefault="00723426" w:rsidP="005402F5">
            <w:pPr>
              <w:pStyle w:val="CDIFigure-Table-H1Left"/>
            </w:pPr>
            <w:r w:rsidRPr="00723426">
              <w:t>Variable category</w:t>
            </w:r>
          </w:p>
        </w:tc>
        <w:tc>
          <w:tcPr>
            <w:tcW w:w="3203" w:type="dxa"/>
            <w:gridSpan w:val="2"/>
            <w:tcBorders>
              <w:bottom w:val="single" w:sz="4" w:space="0" w:color="FFFFFF" w:themeColor="background1"/>
            </w:tcBorders>
            <w:shd w:val="clear" w:color="auto" w:fill="033636" w:themeFill="text2"/>
            <w:tcMar>
              <w:top w:w="113" w:type="dxa"/>
              <w:left w:w="113" w:type="dxa"/>
              <w:bottom w:w="113" w:type="dxa"/>
              <w:right w:w="113" w:type="dxa"/>
            </w:tcMar>
            <w:vAlign w:val="bottom"/>
          </w:tcPr>
          <w:p w14:paraId="4CFFC035" w14:textId="77777777" w:rsidR="00723426" w:rsidRPr="00723426" w:rsidRDefault="00723426" w:rsidP="005402F5">
            <w:pPr>
              <w:pStyle w:val="CDIFigure-Table-H1"/>
            </w:pPr>
            <w:r w:rsidRPr="00723426">
              <w:t>Number (</w:t>
            </w:r>
            <w:proofErr w:type="gramStart"/>
            <w:r w:rsidRPr="00723426">
              <w:t>%)</w:t>
            </w:r>
            <w:r w:rsidRPr="005402F5">
              <w:rPr>
                <w:vertAlign w:val="superscript"/>
              </w:rPr>
              <w:t>a</w:t>
            </w:r>
            <w:proofErr w:type="gramEnd"/>
          </w:p>
        </w:tc>
      </w:tr>
      <w:tr w:rsidR="00723426" w:rsidRPr="00723426" w14:paraId="4E4E4246" w14:textId="77777777" w:rsidTr="00C337BD">
        <w:tblPrEx>
          <w:tblCellMar>
            <w:top w:w="0" w:type="dxa"/>
            <w:left w:w="0" w:type="dxa"/>
            <w:bottom w:w="0" w:type="dxa"/>
            <w:right w:w="0" w:type="dxa"/>
          </w:tblCellMar>
        </w:tblPrEx>
        <w:trPr>
          <w:divId w:val="935526654"/>
          <w:trHeight w:val="20"/>
          <w:tblHeader/>
        </w:trPr>
        <w:tc>
          <w:tcPr>
            <w:tcW w:w="2409" w:type="dxa"/>
            <w:vMerge/>
            <w:shd w:val="clear" w:color="auto" w:fill="033636" w:themeFill="text2"/>
          </w:tcPr>
          <w:p w14:paraId="102DC849" w14:textId="77777777" w:rsidR="00723426" w:rsidRPr="00723426" w:rsidRDefault="00723426" w:rsidP="00723426"/>
        </w:tc>
        <w:tc>
          <w:tcPr>
            <w:tcW w:w="4026" w:type="dxa"/>
            <w:vMerge/>
            <w:shd w:val="clear" w:color="auto" w:fill="033636" w:themeFill="text2"/>
          </w:tcPr>
          <w:p w14:paraId="47695EBA" w14:textId="77777777" w:rsidR="00723426" w:rsidRPr="00723426" w:rsidRDefault="00723426" w:rsidP="00723426"/>
        </w:tc>
        <w:tc>
          <w:tcPr>
            <w:tcW w:w="1601"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3063E6FA" w14:textId="77777777" w:rsidR="00723426" w:rsidRPr="00723426" w:rsidRDefault="00723426" w:rsidP="005402F5">
            <w:pPr>
              <w:pStyle w:val="CDIFigure-Table-H1"/>
            </w:pPr>
            <w:r w:rsidRPr="00723426">
              <w:t>Males</w:t>
            </w:r>
          </w:p>
        </w:tc>
        <w:tc>
          <w:tcPr>
            <w:tcW w:w="1602"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03A0E3C2" w14:textId="77777777" w:rsidR="00723426" w:rsidRPr="00723426" w:rsidRDefault="00723426" w:rsidP="005402F5">
            <w:pPr>
              <w:pStyle w:val="CDIFigure-Table-H1"/>
            </w:pPr>
            <w:r w:rsidRPr="00723426">
              <w:t>Females</w:t>
            </w:r>
          </w:p>
        </w:tc>
      </w:tr>
      <w:tr w:rsidR="00723426" w:rsidRPr="00723426" w14:paraId="46C22141" w14:textId="77777777" w:rsidTr="005402F5">
        <w:tblPrEx>
          <w:tblCellMar>
            <w:top w:w="0" w:type="dxa"/>
            <w:left w:w="0" w:type="dxa"/>
            <w:bottom w:w="0" w:type="dxa"/>
            <w:right w:w="0" w:type="dxa"/>
          </w:tblCellMar>
        </w:tblPrEx>
        <w:trPr>
          <w:divId w:val="935526654"/>
          <w:trHeight w:val="20"/>
        </w:trPr>
        <w:tc>
          <w:tcPr>
            <w:tcW w:w="2409" w:type="dxa"/>
            <w:vMerge w:val="restart"/>
            <w:tcBorders>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2B514522" w14:textId="77777777" w:rsidR="00723426" w:rsidRPr="00723426" w:rsidRDefault="00723426" w:rsidP="005402F5">
            <w:pPr>
              <w:pStyle w:val="CDIFigure-Table-BodyTextLeft"/>
            </w:pPr>
            <w:r w:rsidRPr="00723426">
              <w:t>Age at onset (years)</w:t>
            </w:r>
          </w:p>
        </w:tc>
        <w:tc>
          <w:tcPr>
            <w:tcW w:w="4026" w:type="dxa"/>
            <w:shd w:val="clear" w:color="auto" w:fill="F2F2F2" w:themeFill="background1" w:themeFillShade="F2"/>
            <w:tcMar>
              <w:top w:w="113" w:type="dxa"/>
              <w:left w:w="113" w:type="dxa"/>
              <w:bottom w:w="113" w:type="dxa"/>
              <w:right w:w="113" w:type="dxa"/>
            </w:tcMar>
            <w:vAlign w:val="center"/>
          </w:tcPr>
          <w:p w14:paraId="67D5EAB0" w14:textId="77777777" w:rsidR="00723426" w:rsidRPr="00723426" w:rsidRDefault="00723426" w:rsidP="005402F5">
            <w:pPr>
              <w:pStyle w:val="CDIFigure-Table-BodyTextLeft"/>
            </w:pPr>
            <w:r w:rsidRPr="00723426">
              <w:t>14–24</w:t>
            </w:r>
          </w:p>
        </w:tc>
        <w:tc>
          <w:tcPr>
            <w:tcW w:w="1601" w:type="dxa"/>
            <w:shd w:val="clear" w:color="auto" w:fill="F2F2F2" w:themeFill="background1" w:themeFillShade="F2"/>
            <w:tcMar>
              <w:top w:w="113" w:type="dxa"/>
              <w:left w:w="113" w:type="dxa"/>
              <w:bottom w:w="113" w:type="dxa"/>
              <w:right w:w="113" w:type="dxa"/>
            </w:tcMar>
            <w:vAlign w:val="center"/>
          </w:tcPr>
          <w:p w14:paraId="14994AC4" w14:textId="77777777" w:rsidR="00723426" w:rsidRPr="00723426" w:rsidRDefault="00723426" w:rsidP="005402F5">
            <w:pPr>
              <w:pStyle w:val="CDIFigure-Table-BodyTextCentre"/>
            </w:pPr>
            <w:r w:rsidRPr="00723426">
              <w:t>319 (21.5)</w:t>
            </w:r>
          </w:p>
        </w:tc>
        <w:tc>
          <w:tcPr>
            <w:tcW w:w="1602" w:type="dxa"/>
            <w:shd w:val="clear" w:color="auto" w:fill="F2F2F2" w:themeFill="background1" w:themeFillShade="F2"/>
            <w:tcMar>
              <w:top w:w="113" w:type="dxa"/>
              <w:left w:w="113" w:type="dxa"/>
              <w:bottom w:w="113" w:type="dxa"/>
              <w:right w:w="113" w:type="dxa"/>
            </w:tcMar>
            <w:vAlign w:val="center"/>
          </w:tcPr>
          <w:p w14:paraId="57D5F919" w14:textId="77777777" w:rsidR="00723426" w:rsidRPr="00723426" w:rsidRDefault="00723426" w:rsidP="005402F5">
            <w:pPr>
              <w:pStyle w:val="CDIFigure-Table-BodyTextCentre"/>
            </w:pPr>
            <w:r w:rsidRPr="00723426">
              <w:t>155 (39.6)</w:t>
            </w:r>
          </w:p>
        </w:tc>
      </w:tr>
      <w:tr w:rsidR="00723426" w:rsidRPr="00723426" w14:paraId="3AB3965A" w14:textId="77777777" w:rsidTr="005402F5">
        <w:tblPrEx>
          <w:tblCellMar>
            <w:top w:w="0" w:type="dxa"/>
            <w:left w:w="0" w:type="dxa"/>
            <w:bottom w:w="0" w:type="dxa"/>
            <w:right w:w="0" w:type="dxa"/>
          </w:tblCellMar>
        </w:tblPrEx>
        <w:trPr>
          <w:divId w:val="935526654"/>
          <w:trHeight w:val="20"/>
        </w:trPr>
        <w:tc>
          <w:tcPr>
            <w:tcW w:w="2409" w:type="dxa"/>
            <w:vMerge/>
            <w:tcBorders>
              <w:bottom w:val="single" w:sz="4" w:space="0" w:color="033636" w:themeColor="text2"/>
            </w:tcBorders>
            <w:shd w:val="clear" w:color="auto" w:fill="C5FFEF" w:themeFill="background2" w:themeFillTint="33"/>
          </w:tcPr>
          <w:p w14:paraId="2082870B" w14:textId="77777777" w:rsidR="00723426" w:rsidRPr="00723426" w:rsidRDefault="00723426" w:rsidP="005402F5">
            <w:pPr>
              <w:pStyle w:val="CDIFigure-Table-BodyTextLeft"/>
            </w:pPr>
          </w:p>
        </w:tc>
        <w:tc>
          <w:tcPr>
            <w:tcW w:w="4026" w:type="dxa"/>
            <w:tcMar>
              <w:top w:w="113" w:type="dxa"/>
              <w:left w:w="113" w:type="dxa"/>
              <w:bottom w:w="113" w:type="dxa"/>
              <w:right w:w="113" w:type="dxa"/>
            </w:tcMar>
            <w:vAlign w:val="center"/>
          </w:tcPr>
          <w:p w14:paraId="4A836EF6" w14:textId="77777777" w:rsidR="00723426" w:rsidRPr="00723426" w:rsidRDefault="00723426" w:rsidP="005402F5">
            <w:pPr>
              <w:pStyle w:val="CDIFigure-Table-BodyTextLeft"/>
            </w:pPr>
            <w:r w:rsidRPr="00723426">
              <w:t>25–34</w:t>
            </w:r>
          </w:p>
        </w:tc>
        <w:tc>
          <w:tcPr>
            <w:tcW w:w="1601" w:type="dxa"/>
            <w:tcMar>
              <w:top w:w="113" w:type="dxa"/>
              <w:left w:w="113" w:type="dxa"/>
              <w:bottom w:w="113" w:type="dxa"/>
              <w:right w:w="113" w:type="dxa"/>
            </w:tcMar>
            <w:vAlign w:val="center"/>
          </w:tcPr>
          <w:p w14:paraId="2F44B586" w14:textId="77777777" w:rsidR="00723426" w:rsidRPr="00723426" w:rsidRDefault="00723426" w:rsidP="005402F5">
            <w:pPr>
              <w:pStyle w:val="CDIFigure-Table-BodyTextCentre"/>
            </w:pPr>
            <w:r w:rsidRPr="00723426">
              <w:t>649 (43.7)</w:t>
            </w:r>
          </w:p>
        </w:tc>
        <w:tc>
          <w:tcPr>
            <w:tcW w:w="1602" w:type="dxa"/>
            <w:tcMar>
              <w:top w:w="113" w:type="dxa"/>
              <w:left w:w="113" w:type="dxa"/>
              <w:bottom w:w="113" w:type="dxa"/>
              <w:right w:w="113" w:type="dxa"/>
            </w:tcMar>
            <w:vAlign w:val="center"/>
          </w:tcPr>
          <w:p w14:paraId="79F4AD91" w14:textId="77777777" w:rsidR="00723426" w:rsidRPr="00723426" w:rsidRDefault="00723426" w:rsidP="005402F5">
            <w:pPr>
              <w:pStyle w:val="CDIFigure-Table-BodyTextCentre"/>
            </w:pPr>
            <w:r w:rsidRPr="00723426">
              <w:t>152 (38.9)</w:t>
            </w:r>
          </w:p>
        </w:tc>
      </w:tr>
      <w:tr w:rsidR="00723426" w:rsidRPr="00723426" w14:paraId="0F549818" w14:textId="77777777" w:rsidTr="005402F5">
        <w:tblPrEx>
          <w:tblCellMar>
            <w:top w:w="0" w:type="dxa"/>
            <w:left w:w="0" w:type="dxa"/>
            <w:bottom w:w="0" w:type="dxa"/>
            <w:right w:w="0" w:type="dxa"/>
          </w:tblCellMar>
        </w:tblPrEx>
        <w:trPr>
          <w:divId w:val="935526654"/>
          <w:trHeight w:val="20"/>
        </w:trPr>
        <w:tc>
          <w:tcPr>
            <w:tcW w:w="2409" w:type="dxa"/>
            <w:vMerge/>
            <w:tcBorders>
              <w:bottom w:val="single" w:sz="4" w:space="0" w:color="033636" w:themeColor="text2"/>
            </w:tcBorders>
            <w:shd w:val="clear" w:color="auto" w:fill="C5FFEF" w:themeFill="background2" w:themeFillTint="33"/>
          </w:tcPr>
          <w:p w14:paraId="169BCC25" w14:textId="77777777" w:rsidR="00723426" w:rsidRPr="00723426" w:rsidRDefault="00723426" w:rsidP="005402F5">
            <w:pPr>
              <w:pStyle w:val="CDIFigure-Table-BodyTextLeft"/>
            </w:pPr>
          </w:p>
        </w:tc>
        <w:tc>
          <w:tcPr>
            <w:tcW w:w="4026" w:type="dxa"/>
            <w:shd w:val="clear" w:color="auto" w:fill="F2F2F2" w:themeFill="background1" w:themeFillShade="F2"/>
            <w:tcMar>
              <w:top w:w="113" w:type="dxa"/>
              <w:left w:w="113" w:type="dxa"/>
              <w:bottom w:w="113" w:type="dxa"/>
              <w:right w:w="113" w:type="dxa"/>
            </w:tcMar>
            <w:vAlign w:val="center"/>
          </w:tcPr>
          <w:p w14:paraId="71F36BEC" w14:textId="77777777" w:rsidR="00723426" w:rsidRPr="00723426" w:rsidRDefault="00723426" w:rsidP="005402F5">
            <w:pPr>
              <w:pStyle w:val="CDIFigure-Table-BodyTextLeft"/>
            </w:pPr>
            <w:r w:rsidRPr="00723426">
              <w:t>35–44</w:t>
            </w:r>
          </w:p>
        </w:tc>
        <w:tc>
          <w:tcPr>
            <w:tcW w:w="1601" w:type="dxa"/>
            <w:shd w:val="clear" w:color="auto" w:fill="F2F2F2" w:themeFill="background1" w:themeFillShade="F2"/>
            <w:tcMar>
              <w:top w:w="113" w:type="dxa"/>
              <w:left w:w="113" w:type="dxa"/>
              <w:bottom w:w="113" w:type="dxa"/>
              <w:right w:w="113" w:type="dxa"/>
            </w:tcMar>
            <w:vAlign w:val="center"/>
          </w:tcPr>
          <w:p w14:paraId="22803DB0" w14:textId="77777777" w:rsidR="00723426" w:rsidRPr="00723426" w:rsidRDefault="00723426" w:rsidP="005402F5">
            <w:pPr>
              <w:pStyle w:val="CDIFigure-Table-BodyTextCentre"/>
            </w:pPr>
            <w:r w:rsidRPr="00723426">
              <w:t>306 (20.6)</w:t>
            </w:r>
          </w:p>
        </w:tc>
        <w:tc>
          <w:tcPr>
            <w:tcW w:w="1602" w:type="dxa"/>
            <w:shd w:val="clear" w:color="auto" w:fill="F2F2F2" w:themeFill="background1" w:themeFillShade="F2"/>
            <w:tcMar>
              <w:top w:w="113" w:type="dxa"/>
              <w:left w:w="113" w:type="dxa"/>
              <w:bottom w:w="113" w:type="dxa"/>
              <w:right w:w="113" w:type="dxa"/>
            </w:tcMar>
            <w:vAlign w:val="center"/>
          </w:tcPr>
          <w:p w14:paraId="2CCB53A4" w14:textId="77777777" w:rsidR="00723426" w:rsidRPr="00723426" w:rsidRDefault="00723426" w:rsidP="005402F5">
            <w:pPr>
              <w:pStyle w:val="CDIFigure-Table-BodyTextCentre"/>
            </w:pPr>
            <w:r w:rsidRPr="00723426">
              <w:t>56 (14.3)</w:t>
            </w:r>
          </w:p>
        </w:tc>
      </w:tr>
      <w:tr w:rsidR="00723426" w:rsidRPr="00723426" w14:paraId="12F4BE7B" w14:textId="77777777" w:rsidTr="005402F5">
        <w:tblPrEx>
          <w:tblCellMar>
            <w:top w:w="0" w:type="dxa"/>
            <w:left w:w="0" w:type="dxa"/>
            <w:bottom w:w="0" w:type="dxa"/>
            <w:right w:w="0" w:type="dxa"/>
          </w:tblCellMar>
        </w:tblPrEx>
        <w:trPr>
          <w:divId w:val="935526654"/>
          <w:trHeight w:val="20"/>
        </w:trPr>
        <w:tc>
          <w:tcPr>
            <w:tcW w:w="2409" w:type="dxa"/>
            <w:vMerge/>
            <w:tcBorders>
              <w:bottom w:val="single" w:sz="4" w:space="0" w:color="033636" w:themeColor="text2"/>
            </w:tcBorders>
            <w:shd w:val="clear" w:color="auto" w:fill="C5FFEF" w:themeFill="background2" w:themeFillTint="33"/>
          </w:tcPr>
          <w:p w14:paraId="3B5B7835" w14:textId="77777777" w:rsidR="00723426" w:rsidRPr="00723426" w:rsidRDefault="00723426" w:rsidP="005402F5">
            <w:pPr>
              <w:pStyle w:val="CDIFigure-Table-BodyTextLeft"/>
            </w:pPr>
          </w:p>
        </w:tc>
        <w:tc>
          <w:tcPr>
            <w:tcW w:w="4026" w:type="dxa"/>
            <w:tcMar>
              <w:top w:w="113" w:type="dxa"/>
              <w:left w:w="113" w:type="dxa"/>
              <w:bottom w:w="113" w:type="dxa"/>
              <w:right w:w="113" w:type="dxa"/>
            </w:tcMar>
            <w:vAlign w:val="center"/>
          </w:tcPr>
          <w:p w14:paraId="3F1F5887" w14:textId="77777777" w:rsidR="00723426" w:rsidRPr="00723426" w:rsidRDefault="00723426" w:rsidP="005402F5">
            <w:pPr>
              <w:pStyle w:val="CDIFigure-Table-BodyTextLeft"/>
            </w:pPr>
            <w:r w:rsidRPr="00723426">
              <w:t>45–54</w:t>
            </w:r>
          </w:p>
        </w:tc>
        <w:tc>
          <w:tcPr>
            <w:tcW w:w="1601" w:type="dxa"/>
            <w:tcMar>
              <w:top w:w="113" w:type="dxa"/>
              <w:left w:w="113" w:type="dxa"/>
              <w:bottom w:w="113" w:type="dxa"/>
              <w:right w:w="113" w:type="dxa"/>
            </w:tcMar>
            <w:vAlign w:val="center"/>
          </w:tcPr>
          <w:p w14:paraId="309413A0" w14:textId="77777777" w:rsidR="00723426" w:rsidRPr="00723426" w:rsidRDefault="00723426" w:rsidP="005402F5">
            <w:pPr>
              <w:pStyle w:val="CDIFigure-Table-BodyTextCentre"/>
            </w:pPr>
            <w:r w:rsidRPr="00723426">
              <w:t>136 (9.2)</w:t>
            </w:r>
          </w:p>
        </w:tc>
        <w:tc>
          <w:tcPr>
            <w:tcW w:w="1602" w:type="dxa"/>
            <w:tcMar>
              <w:top w:w="113" w:type="dxa"/>
              <w:left w:w="113" w:type="dxa"/>
              <w:bottom w:w="113" w:type="dxa"/>
              <w:right w:w="113" w:type="dxa"/>
            </w:tcMar>
            <w:vAlign w:val="center"/>
          </w:tcPr>
          <w:p w14:paraId="3BC1C022" w14:textId="77777777" w:rsidR="00723426" w:rsidRPr="00723426" w:rsidRDefault="00723426" w:rsidP="005402F5">
            <w:pPr>
              <w:pStyle w:val="CDIFigure-Table-BodyTextCentre"/>
            </w:pPr>
            <w:r w:rsidRPr="00723426">
              <w:t>22 (5.6)</w:t>
            </w:r>
          </w:p>
        </w:tc>
      </w:tr>
      <w:tr w:rsidR="00723426" w:rsidRPr="00723426" w14:paraId="0C91C507" w14:textId="77777777" w:rsidTr="005402F5">
        <w:tblPrEx>
          <w:tblCellMar>
            <w:top w:w="0" w:type="dxa"/>
            <w:left w:w="0" w:type="dxa"/>
            <w:bottom w:w="0" w:type="dxa"/>
            <w:right w:w="0" w:type="dxa"/>
          </w:tblCellMar>
        </w:tblPrEx>
        <w:trPr>
          <w:divId w:val="935526654"/>
          <w:trHeight w:val="20"/>
        </w:trPr>
        <w:tc>
          <w:tcPr>
            <w:tcW w:w="2409" w:type="dxa"/>
            <w:vMerge/>
            <w:tcBorders>
              <w:bottom w:val="single" w:sz="4" w:space="0" w:color="033636" w:themeColor="text2"/>
            </w:tcBorders>
            <w:shd w:val="clear" w:color="auto" w:fill="C5FFEF" w:themeFill="background2" w:themeFillTint="33"/>
          </w:tcPr>
          <w:p w14:paraId="523C3E43" w14:textId="77777777" w:rsidR="00723426" w:rsidRPr="00723426" w:rsidRDefault="00723426" w:rsidP="005402F5">
            <w:pPr>
              <w:pStyle w:val="CDIFigure-Table-BodyTextLeft"/>
            </w:pPr>
          </w:p>
        </w:tc>
        <w:tc>
          <w:tcPr>
            <w:tcW w:w="4026"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C2D786A" w14:textId="77777777" w:rsidR="00723426" w:rsidRPr="00723426" w:rsidRDefault="00723426" w:rsidP="005402F5">
            <w:pPr>
              <w:pStyle w:val="CDIFigure-Table-BodyTextLeft"/>
            </w:pPr>
            <w:r w:rsidRPr="00723426">
              <w:t>55 and over</w:t>
            </w:r>
          </w:p>
        </w:tc>
        <w:tc>
          <w:tcPr>
            <w:tcW w:w="160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7715FD0" w14:textId="77777777" w:rsidR="00723426" w:rsidRPr="00723426" w:rsidRDefault="00723426" w:rsidP="005402F5">
            <w:pPr>
              <w:pStyle w:val="CDIFigure-Table-BodyTextCentre"/>
            </w:pPr>
            <w:r w:rsidRPr="00723426">
              <w:t>75 (5.1)</w:t>
            </w:r>
          </w:p>
        </w:tc>
        <w:tc>
          <w:tcPr>
            <w:tcW w:w="1602"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3757838" w14:textId="77777777" w:rsidR="00723426" w:rsidRPr="00723426" w:rsidRDefault="00723426" w:rsidP="005402F5">
            <w:pPr>
              <w:pStyle w:val="CDIFigure-Table-BodyTextCentre"/>
            </w:pPr>
            <w:r w:rsidRPr="00723426">
              <w:t>6 (1.5)</w:t>
            </w:r>
          </w:p>
        </w:tc>
      </w:tr>
      <w:tr w:rsidR="00723426" w:rsidRPr="00723426" w14:paraId="5924C8D0" w14:textId="77777777" w:rsidTr="005402F5">
        <w:tblPrEx>
          <w:tblCellMar>
            <w:top w:w="0" w:type="dxa"/>
            <w:left w:w="0" w:type="dxa"/>
            <w:bottom w:w="0" w:type="dxa"/>
            <w:right w:w="0" w:type="dxa"/>
          </w:tblCellMar>
        </w:tblPrEx>
        <w:trPr>
          <w:divId w:val="935526654"/>
          <w:trHeight w:val="20"/>
        </w:trPr>
        <w:tc>
          <w:tcPr>
            <w:tcW w:w="2409"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4F40585C" w14:textId="77777777" w:rsidR="00723426" w:rsidRPr="00723426" w:rsidRDefault="00723426" w:rsidP="005402F5">
            <w:pPr>
              <w:pStyle w:val="CDIFigure-Table-BodyTextLeft"/>
            </w:pPr>
            <w:r w:rsidRPr="00723426">
              <w:t>Aboriginal and/or Torres Strait Islander status</w:t>
            </w:r>
          </w:p>
        </w:tc>
        <w:tc>
          <w:tcPr>
            <w:tcW w:w="4026" w:type="dxa"/>
            <w:tcBorders>
              <w:top w:val="single" w:sz="4" w:space="0" w:color="033636" w:themeColor="text2"/>
            </w:tcBorders>
            <w:tcMar>
              <w:top w:w="113" w:type="dxa"/>
              <w:left w:w="113" w:type="dxa"/>
              <w:bottom w:w="113" w:type="dxa"/>
              <w:right w:w="113" w:type="dxa"/>
            </w:tcMar>
            <w:vAlign w:val="center"/>
          </w:tcPr>
          <w:p w14:paraId="728AB1D0" w14:textId="77777777" w:rsidR="00723426" w:rsidRPr="00723426" w:rsidRDefault="00723426" w:rsidP="005402F5">
            <w:pPr>
              <w:pStyle w:val="CDIFigure-Table-BodyTextLeft"/>
            </w:pPr>
            <w:r w:rsidRPr="00723426">
              <w:t xml:space="preserve">Neither Aboriginal nor Torres Strait Islander </w:t>
            </w:r>
          </w:p>
        </w:tc>
        <w:tc>
          <w:tcPr>
            <w:tcW w:w="1601" w:type="dxa"/>
            <w:tcBorders>
              <w:top w:val="single" w:sz="4" w:space="0" w:color="033636" w:themeColor="text2"/>
            </w:tcBorders>
            <w:tcMar>
              <w:top w:w="113" w:type="dxa"/>
              <w:left w:w="113" w:type="dxa"/>
              <w:bottom w:w="113" w:type="dxa"/>
              <w:right w:w="113" w:type="dxa"/>
            </w:tcMar>
            <w:vAlign w:val="center"/>
          </w:tcPr>
          <w:p w14:paraId="4DD46416" w14:textId="77777777" w:rsidR="00723426" w:rsidRPr="00723426" w:rsidRDefault="00723426" w:rsidP="005402F5">
            <w:pPr>
              <w:pStyle w:val="CDIFigure-Table-BodyTextCentre"/>
            </w:pPr>
            <w:r w:rsidRPr="00723426">
              <w:t>1,375 (92.6)</w:t>
            </w:r>
          </w:p>
        </w:tc>
        <w:tc>
          <w:tcPr>
            <w:tcW w:w="1602" w:type="dxa"/>
            <w:tcBorders>
              <w:top w:val="single" w:sz="4" w:space="0" w:color="033636" w:themeColor="text2"/>
            </w:tcBorders>
            <w:tcMar>
              <w:top w:w="113" w:type="dxa"/>
              <w:left w:w="113" w:type="dxa"/>
              <w:bottom w:w="113" w:type="dxa"/>
              <w:right w:w="113" w:type="dxa"/>
            </w:tcMar>
            <w:vAlign w:val="center"/>
          </w:tcPr>
          <w:p w14:paraId="68106CA4" w14:textId="77777777" w:rsidR="00723426" w:rsidRPr="00723426" w:rsidRDefault="00723426" w:rsidP="005402F5">
            <w:pPr>
              <w:pStyle w:val="CDIFigure-Table-BodyTextCentre"/>
            </w:pPr>
            <w:r w:rsidRPr="00723426">
              <w:t>323 (82.6)</w:t>
            </w:r>
          </w:p>
        </w:tc>
      </w:tr>
      <w:tr w:rsidR="00723426" w:rsidRPr="00723426" w14:paraId="21D0E2DD" w14:textId="77777777" w:rsidTr="005402F5">
        <w:tblPrEx>
          <w:tblCellMar>
            <w:top w:w="0" w:type="dxa"/>
            <w:left w:w="0" w:type="dxa"/>
            <w:bottom w:w="0" w:type="dxa"/>
            <w:right w:w="0" w:type="dxa"/>
          </w:tblCellMar>
        </w:tblPrEx>
        <w:trPr>
          <w:divId w:val="935526654"/>
          <w:trHeight w:val="20"/>
        </w:trPr>
        <w:tc>
          <w:tcPr>
            <w:tcW w:w="2409" w:type="dxa"/>
            <w:vMerge/>
            <w:tcBorders>
              <w:bottom w:val="single" w:sz="4" w:space="0" w:color="033636" w:themeColor="text2"/>
            </w:tcBorders>
            <w:shd w:val="clear" w:color="auto" w:fill="C5FFEF" w:themeFill="background2" w:themeFillTint="33"/>
          </w:tcPr>
          <w:p w14:paraId="7338A95A" w14:textId="77777777" w:rsidR="00723426" w:rsidRPr="00723426" w:rsidRDefault="00723426" w:rsidP="005402F5">
            <w:pPr>
              <w:pStyle w:val="CDIFigure-Table-BodyTextLeft"/>
            </w:pPr>
          </w:p>
        </w:tc>
        <w:tc>
          <w:tcPr>
            <w:tcW w:w="4026" w:type="dxa"/>
            <w:shd w:val="clear" w:color="auto" w:fill="F2F2F2" w:themeFill="background1" w:themeFillShade="F2"/>
            <w:tcMar>
              <w:top w:w="113" w:type="dxa"/>
              <w:left w:w="113" w:type="dxa"/>
              <w:bottom w:w="113" w:type="dxa"/>
              <w:right w:w="113" w:type="dxa"/>
            </w:tcMar>
            <w:vAlign w:val="center"/>
          </w:tcPr>
          <w:p w14:paraId="5FC5E112" w14:textId="77777777" w:rsidR="00723426" w:rsidRPr="00723426" w:rsidRDefault="00723426" w:rsidP="005402F5">
            <w:pPr>
              <w:pStyle w:val="CDIFigure-Table-BodyTextLeft"/>
            </w:pPr>
            <w:r w:rsidRPr="00723426">
              <w:t>Aboriginal and/or Torres Strait Islander</w:t>
            </w:r>
          </w:p>
        </w:tc>
        <w:tc>
          <w:tcPr>
            <w:tcW w:w="1601" w:type="dxa"/>
            <w:shd w:val="clear" w:color="auto" w:fill="F2F2F2" w:themeFill="background1" w:themeFillShade="F2"/>
            <w:tcMar>
              <w:top w:w="113" w:type="dxa"/>
              <w:left w:w="113" w:type="dxa"/>
              <w:bottom w:w="113" w:type="dxa"/>
              <w:right w:w="113" w:type="dxa"/>
            </w:tcMar>
            <w:vAlign w:val="center"/>
          </w:tcPr>
          <w:p w14:paraId="455867A6" w14:textId="77777777" w:rsidR="00723426" w:rsidRPr="00723426" w:rsidRDefault="00723426" w:rsidP="005402F5">
            <w:pPr>
              <w:pStyle w:val="CDIFigure-Table-BodyTextCentre"/>
            </w:pPr>
            <w:r w:rsidRPr="00723426">
              <w:t>46 (3.1)</w:t>
            </w:r>
          </w:p>
        </w:tc>
        <w:tc>
          <w:tcPr>
            <w:tcW w:w="1602" w:type="dxa"/>
            <w:shd w:val="clear" w:color="auto" w:fill="F2F2F2" w:themeFill="background1" w:themeFillShade="F2"/>
            <w:tcMar>
              <w:top w:w="113" w:type="dxa"/>
              <w:left w:w="113" w:type="dxa"/>
              <w:bottom w:w="113" w:type="dxa"/>
              <w:right w:w="113" w:type="dxa"/>
            </w:tcMar>
            <w:vAlign w:val="center"/>
          </w:tcPr>
          <w:p w14:paraId="6B8D2BA9" w14:textId="77777777" w:rsidR="00723426" w:rsidRPr="00723426" w:rsidRDefault="00723426" w:rsidP="005402F5">
            <w:pPr>
              <w:pStyle w:val="CDIFigure-Table-BodyTextCentre"/>
            </w:pPr>
            <w:r w:rsidRPr="00723426">
              <w:t>41 (10.5)</w:t>
            </w:r>
          </w:p>
        </w:tc>
      </w:tr>
      <w:tr w:rsidR="00723426" w:rsidRPr="00723426" w14:paraId="7DB0DDAA" w14:textId="77777777" w:rsidTr="005402F5">
        <w:tblPrEx>
          <w:tblCellMar>
            <w:top w:w="0" w:type="dxa"/>
            <w:left w:w="0" w:type="dxa"/>
            <w:bottom w:w="0" w:type="dxa"/>
            <w:right w:w="0" w:type="dxa"/>
          </w:tblCellMar>
        </w:tblPrEx>
        <w:trPr>
          <w:divId w:val="935526654"/>
          <w:trHeight w:val="20"/>
        </w:trPr>
        <w:tc>
          <w:tcPr>
            <w:tcW w:w="2409" w:type="dxa"/>
            <w:vMerge/>
            <w:tcBorders>
              <w:bottom w:val="single" w:sz="4" w:space="0" w:color="033636" w:themeColor="text2"/>
            </w:tcBorders>
            <w:shd w:val="clear" w:color="auto" w:fill="C5FFEF" w:themeFill="background2" w:themeFillTint="33"/>
          </w:tcPr>
          <w:p w14:paraId="659C047C" w14:textId="77777777" w:rsidR="00723426" w:rsidRPr="00723426" w:rsidRDefault="00723426" w:rsidP="005402F5">
            <w:pPr>
              <w:pStyle w:val="CDIFigure-Table-BodyTextLeft"/>
            </w:pPr>
          </w:p>
        </w:tc>
        <w:tc>
          <w:tcPr>
            <w:tcW w:w="4026" w:type="dxa"/>
            <w:tcBorders>
              <w:bottom w:val="single" w:sz="4" w:space="0" w:color="033636" w:themeColor="text2"/>
            </w:tcBorders>
            <w:tcMar>
              <w:top w:w="113" w:type="dxa"/>
              <w:left w:w="113" w:type="dxa"/>
              <w:bottom w:w="113" w:type="dxa"/>
              <w:right w:w="113" w:type="dxa"/>
            </w:tcMar>
            <w:vAlign w:val="center"/>
          </w:tcPr>
          <w:p w14:paraId="2D64FED6" w14:textId="77777777" w:rsidR="00723426" w:rsidRPr="00723426" w:rsidRDefault="00723426" w:rsidP="005402F5">
            <w:pPr>
              <w:pStyle w:val="CDIFigure-Table-BodyTextLeft"/>
            </w:pPr>
            <w:r w:rsidRPr="00723426">
              <w:t>Unknown/not reported/inadequately described</w:t>
            </w:r>
          </w:p>
        </w:tc>
        <w:tc>
          <w:tcPr>
            <w:tcW w:w="1601" w:type="dxa"/>
            <w:tcBorders>
              <w:bottom w:val="single" w:sz="4" w:space="0" w:color="033636" w:themeColor="text2"/>
            </w:tcBorders>
            <w:tcMar>
              <w:top w:w="113" w:type="dxa"/>
              <w:left w:w="113" w:type="dxa"/>
              <w:bottom w:w="113" w:type="dxa"/>
              <w:right w:w="113" w:type="dxa"/>
            </w:tcMar>
            <w:vAlign w:val="center"/>
          </w:tcPr>
          <w:p w14:paraId="16911FE7" w14:textId="77777777" w:rsidR="00723426" w:rsidRPr="00723426" w:rsidRDefault="00723426" w:rsidP="005402F5">
            <w:pPr>
              <w:pStyle w:val="CDIFigure-Table-BodyTextCentre"/>
            </w:pPr>
            <w:r w:rsidRPr="00723426">
              <w:t>64 (4.3)</w:t>
            </w:r>
          </w:p>
        </w:tc>
        <w:tc>
          <w:tcPr>
            <w:tcW w:w="1602" w:type="dxa"/>
            <w:tcBorders>
              <w:bottom w:val="single" w:sz="4" w:space="0" w:color="033636" w:themeColor="text2"/>
            </w:tcBorders>
            <w:tcMar>
              <w:top w:w="113" w:type="dxa"/>
              <w:left w:w="113" w:type="dxa"/>
              <w:bottom w:w="113" w:type="dxa"/>
              <w:right w:w="113" w:type="dxa"/>
            </w:tcMar>
            <w:vAlign w:val="center"/>
          </w:tcPr>
          <w:p w14:paraId="58819152" w14:textId="77777777" w:rsidR="00723426" w:rsidRPr="00723426" w:rsidRDefault="00723426" w:rsidP="005402F5">
            <w:pPr>
              <w:pStyle w:val="CDIFigure-Table-BodyTextCentre"/>
            </w:pPr>
            <w:r w:rsidRPr="00723426">
              <w:t>27 (6.9)</w:t>
            </w:r>
          </w:p>
        </w:tc>
      </w:tr>
      <w:tr w:rsidR="00723426" w:rsidRPr="00723426" w14:paraId="7732CFC6" w14:textId="77777777" w:rsidTr="005402F5">
        <w:tblPrEx>
          <w:tblCellMar>
            <w:top w:w="0" w:type="dxa"/>
            <w:left w:w="0" w:type="dxa"/>
            <w:bottom w:w="0" w:type="dxa"/>
            <w:right w:w="0" w:type="dxa"/>
          </w:tblCellMar>
        </w:tblPrEx>
        <w:trPr>
          <w:divId w:val="935526654"/>
          <w:trHeight w:val="20"/>
        </w:trPr>
        <w:tc>
          <w:tcPr>
            <w:tcW w:w="2409"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0534ABA9" w14:textId="77777777" w:rsidR="00723426" w:rsidRPr="00723426" w:rsidRDefault="00723426" w:rsidP="005402F5">
            <w:pPr>
              <w:pStyle w:val="CDIFigure-Table-BodyTextLeft"/>
            </w:pPr>
            <w:r w:rsidRPr="00723426">
              <w:t>Sexual exposure type</w:t>
            </w:r>
          </w:p>
        </w:tc>
        <w:tc>
          <w:tcPr>
            <w:tcW w:w="4026"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0AA3142" w14:textId="77777777" w:rsidR="00723426" w:rsidRPr="00723426" w:rsidRDefault="00723426" w:rsidP="005402F5">
            <w:pPr>
              <w:pStyle w:val="CDIFigure-Table-BodyTextLeft"/>
            </w:pPr>
            <w:r w:rsidRPr="00723426">
              <w:t>Same sex</w:t>
            </w:r>
          </w:p>
        </w:tc>
        <w:tc>
          <w:tcPr>
            <w:tcW w:w="160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C309A07" w14:textId="77777777" w:rsidR="00723426" w:rsidRPr="00723426" w:rsidRDefault="00723426" w:rsidP="005402F5">
            <w:pPr>
              <w:pStyle w:val="CDIFigure-Table-BodyTextCentre"/>
            </w:pPr>
            <w:r w:rsidRPr="00723426">
              <w:t>1,072 (72.2)</w:t>
            </w:r>
          </w:p>
        </w:tc>
        <w:tc>
          <w:tcPr>
            <w:tcW w:w="1602"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F91CB58" w14:textId="77777777" w:rsidR="00723426" w:rsidRPr="00723426" w:rsidRDefault="00723426" w:rsidP="005402F5">
            <w:pPr>
              <w:pStyle w:val="CDIFigure-Table-BodyTextCentre"/>
            </w:pPr>
            <w:r w:rsidRPr="00723426">
              <w:t>&lt; 5 (&lt; 1.3)</w:t>
            </w:r>
          </w:p>
        </w:tc>
      </w:tr>
      <w:tr w:rsidR="00723426" w:rsidRPr="00723426" w14:paraId="4D42E909" w14:textId="77777777" w:rsidTr="005402F5">
        <w:tblPrEx>
          <w:tblCellMar>
            <w:top w:w="0" w:type="dxa"/>
            <w:left w:w="0" w:type="dxa"/>
            <w:bottom w:w="0" w:type="dxa"/>
            <w:right w:w="0" w:type="dxa"/>
          </w:tblCellMar>
        </w:tblPrEx>
        <w:trPr>
          <w:divId w:val="935526654"/>
          <w:trHeight w:val="20"/>
        </w:trPr>
        <w:tc>
          <w:tcPr>
            <w:tcW w:w="2409" w:type="dxa"/>
            <w:vMerge/>
            <w:tcBorders>
              <w:bottom w:val="single" w:sz="4" w:space="0" w:color="033636" w:themeColor="text2"/>
            </w:tcBorders>
            <w:shd w:val="clear" w:color="auto" w:fill="C5FFEF" w:themeFill="background2" w:themeFillTint="33"/>
          </w:tcPr>
          <w:p w14:paraId="7359D2D7" w14:textId="77777777" w:rsidR="00723426" w:rsidRPr="00723426" w:rsidRDefault="00723426" w:rsidP="005402F5">
            <w:pPr>
              <w:pStyle w:val="CDIFigure-Table-BodyTextLeft"/>
            </w:pPr>
          </w:p>
        </w:tc>
        <w:tc>
          <w:tcPr>
            <w:tcW w:w="4026" w:type="dxa"/>
            <w:tcMar>
              <w:top w:w="113" w:type="dxa"/>
              <w:left w:w="113" w:type="dxa"/>
              <w:bottom w:w="113" w:type="dxa"/>
              <w:right w:w="113" w:type="dxa"/>
            </w:tcMar>
            <w:vAlign w:val="center"/>
          </w:tcPr>
          <w:p w14:paraId="57FA824F" w14:textId="77777777" w:rsidR="00723426" w:rsidRPr="00723426" w:rsidRDefault="00723426" w:rsidP="005402F5">
            <w:pPr>
              <w:pStyle w:val="CDIFigure-Table-BodyTextLeft"/>
            </w:pPr>
            <w:r w:rsidRPr="00723426">
              <w:t>Opposite sex</w:t>
            </w:r>
          </w:p>
        </w:tc>
        <w:tc>
          <w:tcPr>
            <w:tcW w:w="1601" w:type="dxa"/>
            <w:tcMar>
              <w:top w:w="113" w:type="dxa"/>
              <w:left w:w="113" w:type="dxa"/>
              <w:bottom w:w="113" w:type="dxa"/>
              <w:right w:w="113" w:type="dxa"/>
            </w:tcMar>
            <w:vAlign w:val="center"/>
          </w:tcPr>
          <w:p w14:paraId="4065E272" w14:textId="77777777" w:rsidR="00723426" w:rsidRPr="00723426" w:rsidRDefault="00723426" w:rsidP="005402F5">
            <w:pPr>
              <w:pStyle w:val="CDIFigure-Table-BodyTextCentre"/>
            </w:pPr>
            <w:r w:rsidRPr="00723426">
              <w:t>325 (21.9)</w:t>
            </w:r>
          </w:p>
        </w:tc>
        <w:tc>
          <w:tcPr>
            <w:tcW w:w="1602" w:type="dxa"/>
            <w:tcMar>
              <w:top w:w="113" w:type="dxa"/>
              <w:left w:w="113" w:type="dxa"/>
              <w:bottom w:w="113" w:type="dxa"/>
              <w:right w:w="113" w:type="dxa"/>
            </w:tcMar>
            <w:vAlign w:val="center"/>
          </w:tcPr>
          <w:p w14:paraId="1FAD0FC6" w14:textId="77777777" w:rsidR="00723426" w:rsidRPr="00723426" w:rsidRDefault="00723426" w:rsidP="005402F5">
            <w:pPr>
              <w:pStyle w:val="CDIFigure-Table-BodyTextCentre"/>
            </w:pPr>
            <w:r w:rsidRPr="00723426">
              <w:t>363 (92.8)</w:t>
            </w:r>
          </w:p>
        </w:tc>
      </w:tr>
      <w:tr w:rsidR="00723426" w:rsidRPr="00723426" w14:paraId="4A15CCC6" w14:textId="77777777" w:rsidTr="005402F5">
        <w:tblPrEx>
          <w:tblCellMar>
            <w:top w:w="0" w:type="dxa"/>
            <w:left w:w="0" w:type="dxa"/>
            <w:bottom w:w="0" w:type="dxa"/>
            <w:right w:w="0" w:type="dxa"/>
          </w:tblCellMar>
        </w:tblPrEx>
        <w:trPr>
          <w:divId w:val="935526654"/>
          <w:trHeight w:val="20"/>
        </w:trPr>
        <w:tc>
          <w:tcPr>
            <w:tcW w:w="2409" w:type="dxa"/>
            <w:vMerge/>
            <w:tcBorders>
              <w:bottom w:val="single" w:sz="4" w:space="0" w:color="033636" w:themeColor="text2"/>
            </w:tcBorders>
            <w:shd w:val="clear" w:color="auto" w:fill="C5FFEF" w:themeFill="background2" w:themeFillTint="33"/>
          </w:tcPr>
          <w:p w14:paraId="1AF2CA66" w14:textId="77777777" w:rsidR="00723426" w:rsidRPr="00723426" w:rsidRDefault="00723426" w:rsidP="005402F5">
            <w:pPr>
              <w:pStyle w:val="CDIFigure-Table-BodyTextLeft"/>
            </w:pPr>
          </w:p>
        </w:tc>
        <w:tc>
          <w:tcPr>
            <w:tcW w:w="4026" w:type="dxa"/>
            <w:shd w:val="clear" w:color="auto" w:fill="F2F2F2" w:themeFill="background1" w:themeFillShade="F2"/>
            <w:tcMar>
              <w:top w:w="113" w:type="dxa"/>
              <w:left w:w="113" w:type="dxa"/>
              <w:bottom w:w="113" w:type="dxa"/>
              <w:right w:w="113" w:type="dxa"/>
            </w:tcMar>
            <w:vAlign w:val="center"/>
          </w:tcPr>
          <w:p w14:paraId="6F4B7382" w14:textId="77777777" w:rsidR="00723426" w:rsidRPr="00723426" w:rsidRDefault="00723426" w:rsidP="005402F5">
            <w:pPr>
              <w:pStyle w:val="CDIFigure-Table-BodyTextLeft"/>
            </w:pPr>
            <w:r w:rsidRPr="00723426">
              <w:t>Both sexes</w:t>
            </w:r>
          </w:p>
        </w:tc>
        <w:tc>
          <w:tcPr>
            <w:tcW w:w="1601" w:type="dxa"/>
            <w:shd w:val="clear" w:color="auto" w:fill="F2F2F2" w:themeFill="background1" w:themeFillShade="F2"/>
            <w:tcMar>
              <w:top w:w="113" w:type="dxa"/>
              <w:left w:w="113" w:type="dxa"/>
              <w:bottom w:w="113" w:type="dxa"/>
              <w:right w:w="113" w:type="dxa"/>
            </w:tcMar>
            <w:vAlign w:val="center"/>
          </w:tcPr>
          <w:p w14:paraId="3C9B34DE" w14:textId="77777777" w:rsidR="00723426" w:rsidRPr="00723426" w:rsidRDefault="00723426" w:rsidP="005402F5">
            <w:pPr>
              <w:pStyle w:val="CDIFigure-Table-BodyTextCentre"/>
            </w:pPr>
            <w:r w:rsidRPr="00723426">
              <w:t>58 (3.9)</w:t>
            </w:r>
          </w:p>
        </w:tc>
        <w:tc>
          <w:tcPr>
            <w:tcW w:w="1602" w:type="dxa"/>
            <w:shd w:val="clear" w:color="auto" w:fill="F2F2F2" w:themeFill="background1" w:themeFillShade="F2"/>
            <w:tcMar>
              <w:top w:w="113" w:type="dxa"/>
              <w:left w:w="113" w:type="dxa"/>
              <w:bottom w:w="113" w:type="dxa"/>
              <w:right w:w="113" w:type="dxa"/>
            </w:tcMar>
            <w:vAlign w:val="center"/>
          </w:tcPr>
          <w:p w14:paraId="2947FF31" w14:textId="77777777" w:rsidR="00723426" w:rsidRPr="00723426" w:rsidRDefault="00723426" w:rsidP="005402F5">
            <w:pPr>
              <w:pStyle w:val="CDIFigure-Table-BodyTextCentre"/>
            </w:pPr>
            <w:r w:rsidRPr="00723426">
              <w:t>16 (4.1)</w:t>
            </w:r>
          </w:p>
        </w:tc>
      </w:tr>
      <w:tr w:rsidR="00723426" w:rsidRPr="00723426" w14:paraId="7540CFCE" w14:textId="77777777" w:rsidTr="005402F5">
        <w:tblPrEx>
          <w:tblCellMar>
            <w:top w:w="0" w:type="dxa"/>
            <w:left w:w="0" w:type="dxa"/>
            <w:bottom w:w="0" w:type="dxa"/>
            <w:right w:w="0" w:type="dxa"/>
          </w:tblCellMar>
        </w:tblPrEx>
        <w:trPr>
          <w:divId w:val="935526654"/>
          <w:trHeight w:val="20"/>
        </w:trPr>
        <w:tc>
          <w:tcPr>
            <w:tcW w:w="2409" w:type="dxa"/>
            <w:vMerge/>
            <w:tcBorders>
              <w:bottom w:val="single" w:sz="4" w:space="0" w:color="033636" w:themeColor="text2"/>
            </w:tcBorders>
            <w:shd w:val="clear" w:color="auto" w:fill="C5FFEF" w:themeFill="background2" w:themeFillTint="33"/>
          </w:tcPr>
          <w:p w14:paraId="415D96D4" w14:textId="77777777" w:rsidR="00723426" w:rsidRPr="00723426" w:rsidRDefault="00723426" w:rsidP="005402F5">
            <w:pPr>
              <w:pStyle w:val="CDIFigure-Table-BodyTextLeft"/>
            </w:pPr>
          </w:p>
        </w:tc>
        <w:tc>
          <w:tcPr>
            <w:tcW w:w="4026" w:type="dxa"/>
            <w:tcBorders>
              <w:bottom w:val="single" w:sz="4" w:space="0" w:color="033636" w:themeColor="text2"/>
            </w:tcBorders>
            <w:tcMar>
              <w:top w:w="113" w:type="dxa"/>
              <w:left w:w="113" w:type="dxa"/>
              <w:bottom w:w="113" w:type="dxa"/>
              <w:right w:w="113" w:type="dxa"/>
            </w:tcMar>
            <w:vAlign w:val="center"/>
          </w:tcPr>
          <w:p w14:paraId="3E70271F" w14:textId="77777777" w:rsidR="00723426" w:rsidRPr="00723426" w:rsidRDefault="00723426" w:rsidP="005402F5">
            <w:pPr>
              <w:pStyle w:val="CDIFigure-Table-BodyTextLeft"/>
            </w:pPr>
            <w:r w:rsidRPr="00723426">
              <w:t>Unknown/not reported</w:t>
            </w:r>
          </w:p>
        </w:tc>
        <w:tc>
          <w:tcPr>
            <w:tcW w:w="1601" w:type="dxa"/>
            <w:tcBorders>
              <w:bottom w:val="single" w:sz="4" w:space="0" w:color="033636" w:themeColor="text2"/>
            </w:tcBorders>
            <w:tcMar>
              <w:top w:w="113" w:type="dxa"/>
              <w:left w:w="113" w:type="dxa"/>
              <w:bottom w:w="113" w:type="dxa"/>
              <w:right w:w="113" w:type="dxa"/>
            </w:tcMar>
            <w:vAlign w:val="center"/>
          </w:tcPr>
          <w:p w14:paraId="6F999D83" w14:textId="77777777" w:rsidR="00723426" w:rsidRPr="00723426" w:rsidRDefault="00723426" w:rsidP="005402F5">
            <w:pPr>
              <w:pStyle w:val="CDIFigure-Table-BodyTextCentre"/>
            </w:pPr>
            <w:r w:rsidRPr="00723426">
              <w:t>30 (2.0)</w:t>
            </w:r>
          </w:p>
        </w:tc>
        <w:tc>
          <w:tcPr>
            <w:tcW w:w="1602" w:type="dxa"/>
            <w:tcBorders>
              <w:bottom w:val="single" w:sz="4" w:space="0" w:color="033636" w:themeColor="text2"/>
            </w:tcBorders>
            <w:tcMar>
              <w:top w:w="113" w:type="dxa"/>
              <w:left w:w="113" w:type="dxa"/>
              <w:bottom w:w="113" w:type="dxa"/>
              <w:right w:w="113" w:type="dxa"/>
            </w:tcMar>
            <w:vAlign w:val="center"/>
          </w:tcPr>
          <w:p w14:paraId="733C8ED7" w14:textId="77777777" w:rsidR="00723426" w:rsidRPr="00723426" w:rsidRDefault="00723426" w:rsidP="005402F5">
            <w:pPr>
              <w:pStyle w:val="CDIFigure-Table-BodyTextCentre"/>
            </w:pPr>
            <w:r w:rsidRPr="00723426">
              <w:t>&lt; 10 (&lt; 2.6)</w:t>
            </w:r>
          </w:p>
        </w:tc>
      </w:tr>
      <w:tr w:rsidR="00723426" w:rsidRPr="00723426" w14:paraId="7C7959D7" w14:textId="77777777" w:rsidTr="005402F5">
        <w:tblPrEx>
          <w:tblCellMar>
            <w:top w:w="0" w:type="dxa"/>
            <w:left w:w="0" w:type="dxa"/>
            <w:bottom w:w="0" w:type="dxa"/>
            <w:right w:w="0" w:type="dxa"/>
          </w:tblCellMar>
        </w:tblPrEx>
        <w:trPr>
          <w:divId w:val="935526654"/>
          <w:trHeight w:val="20"/>
        </w:trPr>
        <w:tc>
          <w:tcPr>
            <w:tcW w:w="2409"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5270FBDC" w14:textId="77777777" w:rsidR="00723426" w:rsidRPr="00723426" w:rsidRDefault="00723426" w:rsidP="005402F5">
            <w:pPr>
              <w:pStyle w:val="CDIFigure-Table-BodyTextLeft"/>
            </w:pPr>
            <w:r w:rsidRPr="00723426">
              <w:t>HIV PrEP at diagnosis</w:t>
            </w:r>
            <w:r w:rsidRPr="005402F5">
              <w:rPr>
                <w:vertAlign w:val="superscript"/>
              </w:rPr>
              <w:t>b</w:t>
            </w:r>
          </w:p>
        </w:tc>
        <w:tc>
          <w:tcPr>
            <w:tcW w:w="4026"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37B01A9" w14:textId="77777777" w:rsidR="00723426" w:rsidRPr="00723426" w:rsidRDefault="00723426" w:rsidP="005402F5">
            <w:pPr>
              <w:pStyle w:val="CDIFigure-Table-BodyTextLeft"/>
            </w:pPr>
            <w:r w:rsidRPr="00723426">
              <w:t>No</w:t>
            </w:r>
          </w:p>
        </w:tc>
        <w:tc>
          <w:tcPr>
            <w:tcW w:w="160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0FB88F6" w14:textId="77777777" w:rsidR="00723426" w:rsidRPr="00723426" w:rsidRDefault="00723426" w:rsidP="005402F5">
            <w:pPr>
              <w:pStyle w:val="CDIFigure-Table-BodyTextCentre"/>
            </w:pPr>
            <w:r w:rsidRPr="00723426">
              <w:t>555 (51.9)</w:t>
            </w:r>
          </w:p>
        </w:tc>
        <w:tc>
          <w:tcPr>
            <w:tcW w:w="1602"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CC213AB" w14:textId="77777777" w:rsidR="00723426" w:rsidRPr="00723426" w:rsidRDefault="00723426" w:rsidP="005402F5">
            <w:pPr>
              <w:pStyle w:val="CDIFigure-Table-BodyTextCentre"/>
            </w:pPr>
            <w:r w:rsidRPr="00723426">
              <w:t>299 (94.6)</w:t>
            </w:r>
          </w:p>
        </w:tc>
      </w:tr>
      <w:tr w:rsidR="00723426" w:rsidRPr="00723426" w14:paraId="3F7CDCD7" w14:textId="77777777" w:rsidTr="005402F5">
        <w:tblPrEx>
          <w:tblCellMar>
            <w:top w:w="0" w:type="dxa"/>
            <w:left w:w="0" w:type="dxa"/>
            <w:bottom w:w="0" w:type="dxa"/>
            <w:right w:w="0" w:type="dxa"/>
          </w:tblCellMar>
        </w:tblPrEx>
        <w:trPr>
          <w:divId w:val="935526654"/>
          <w:trHeight w:val="20"/>
        </w:trPr>
        <w:tc>
          <w:tcPr>
            <w:tcW w:w="2409" w:type="dxa"/>
            <w:vMerge/>
            <w:tcBorders>
              <w:bottom w:val="single" w:sz="4" w:space="0" w:color="033636" w:themeColor="text2"/>
            </w:tcBorders>
            <w:shd w:val="clear" w:color="auto" w:fill="C5FFEF" w:themeFill="background2" w:themeFillTint="33"/>
          </w:tcPr>
          <w:p w14:paraId="56787B53" w14:textId="77777777" w:rsidR="00723426" w:rsidRPr="00723426" w:rsidRDefault="00723426" w:rsidP="00723426"/>
        </w:tc>
        <w:tc>
          <w:tcPr>
            <w:tcW w:w="4026" w:type="dxa"/>
            <w:tcMar>
              <w:top w:w="113" w:type="dxa"/>
              <w:left w:w="113" w:type="dxa"/>
              <w:bottom w:w="113" w:type="dxa"/>
              <w:right w:w="113" w:type="dxa"/>
            </w:tcMar>
            <w:vAlign w:val="center"/>
          </w:tcPr>
          <w:p w14:paraId="6720007B" w14:textId="77777777" w:rsidR="00723426" w:rsidRPr="00723426" w:rsidRDefault="00723426" w:rsidP="005402F5">
            <w:pPr>
              <w:pStyle w:val="CDIFigure-Table-BodyTextLeft"/>
            </w:pPr>
            <w:r w:rsidRPr="00723426">
              <w:t>Yes</w:t>
            </w:r>
          </w:p>
        </w:tc>
        <w:tc>
          <w:tcPr>
            <w:tcW w:w="1601" w:type="dxa"/>
            <w:tcMar>
              <w:top w:w="113" w:type="dxa"/>
              <w:left w:w="113" w:type="dxa"/>
              <w:bottom w:w="113" w:type="dxa"/>
              <w:right w:w="113" w:type="dxa"/>
            </w:tcMar>
            <w:vAlign w:val="center"/>
          </w:tcPr>
          <w:p w14:paraId="51BF6D03" w14:textId="77777777" w:rsidR="00723426" w:rsidRPr="00723426" w:rsidRDefault="00723426" w:rsidP="005402F5">
            <w:pPr>
              <w:pStyle w:val="CDIFigure-Table-BodyTextCentre"/>
            </w:pPr>
            <w:r w:rsidRPr="00723426">
              <w:t>475 (44.4)</w:t>
            </w:r>
          </w:p>
        </w:tc>
        <w:tc>
          <w:tcPr>
            <w:tcW w:w="1602" w:type="dxa"/>
            <w:tcMar>
              <w:top w:w="113" w:type="dxa"/>
              <w:left w:w="113" w:type="dxa"/>
              <w:bottom w:w="113" w:type="dxa"/>
              <w:right w:w="113" w:type="dxa"/>
            </w:tcMar>
            <w:vAlign w:val="center"/>
          </w:tcPr>
          <w:p w14:paraId="37C5EF5F" w14:textId="77777777" w:rsidR="00723426" w:rsidRPr="00723426" w:rsidRDefault="00723426" w:rsidP="005402F5">
            <w:pPr>
              <w:pStyle w:val="CDIFigure-Table-BodyTextCentre"/>
            </w:pPr>
            <w:r w:rsidRPr="00723426">
              <w:t>&lt; 5 (&lt; 1.6)</w:t>
            </w:r>
          </w:p>
        </w:tc>
      </w:tr>
      <w:tr w:rsidR="00723426" w:rsidRPr="00723426" w14:paraId="19D46FF4" w14:textId="77777777" w:rsidTr="005402F5">
        <w:tblPrEx>
          <w:tblCellMar>
            <w:top w:w="0" w:type="dxa"/>
            <w:left w:w="0" w:type="dxa"/>
            <w:bottom w:w="0" w:type="dxa"/>
            <w:right w:w="0" w:type="dxa"/>
          </w:tblCellMar>
        </w:tblPrEx>
        <w:trPr>
          <w:divId w:val="935526654"/>
          <w:trHeight w:val="20"/>
        </w:trPr>
        <w:tc>
          <w:tcPr>
            <w:tcW w:w="2409" w:type="dxa"/>
            <w:vMerge/>
            <w:tcBorders>
              <w:bottom w:val="single" w:sz="4" w:space="0" w:color="033636" w:themeColor="text2"/>
            </w:tcBorders>
            <w:shd w:val="clear" w:color="auto" w:fill="C5FFEF" w:themeFill="background2" w:themeFillTint="33"/>
          </w:tcPr>
          <w:p w14:paraId="3430E8F7" w14:textId="77777777" w:rsidR="00723426" w:rsidRPr="00723426" w:rsidRDefault="00723426" w:rsidP="00723426"/>
        </w:tc>
        <w:tc>
          <w:tcPr>
            <w:tcW w:w="4026"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36622CC" w14:textId="77777777" w:rsidR="00723426" w:rsidRPr="00723426" w:rsidRDefault="00723426" w:rsidP="005402F5">
            <w:pPr>
              <w:pStyle w:val="CDIFigure-Table-BodyTextLeft"/>
            </w:pPr>
            <w:r w:rsidRPr="00723426">
              <w:t>Unknown</w:t>
            </w:r>
          </w:p>
        </w:tc>
        <w:tc>
          <w:tcPr>
            <w:tcW w:w="160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051C880" w14:textId="77777777" w:rsidR="00723426" w:rsidRPr="00723426" w:rsidRDefault="00723426" w:rsidP="005402F5">
            <w:pPr>
              <w:pStyle w:val="CDIFigure-Table-BodyTextCentre"/>
            </w:pPr>
            <w:r w:rsidRPr="00723426">
              <w:t>39 (3.6)</w:t>
            </w:r>
          </w:p>
        </w:tc>
        <w:tc>
          <w:tcPr>
            <w:tcW w:w="1602"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C85888E" w14:textId="77777777" w:rsidR="00723426" w:rsidRPr="00723426" w:rsidRDefault="00723426" w:rsidP="005402F5">
            <w:pPr>
              <w:pStyle w:val="CDIFigure-Table-BodyTextCentre"/>
            </w:pPr>
            <w:r w:rsidRPr="00723426">
              <w:t>&lt; 20 (&lt; 6.3)</w:t>
            </w:r>
          </w:p>
        </w:tc>
      </w:tr>
      <w:tr w:rsidR="00723426" w:rsidRPr="00723426" w14:paraId="49505EBA" w14:textId="77777777" w:rsidTr="005402F5">
        <w:tblPrEx>
          <w:tblCellMar>
            <w:top w:w="0" w:type="dxa"/>
            <w:left w:w="0" w:type="dxa"/>
            <w:bottom w:w="0" w:type="dxa"/>
            <w:right w:w="0" w:type="dxa"/>
          </w:tblCellMar>
        </w:tblPrEx>
        <w:trPr>
          <w:divId w:val="935526654"/>
          <w:trHeight w:val="20"/>
        </w:trPr>
        <w:tc>
          <w:tcPr>
            <w:tcW w:w="2409"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05D7983F" w14:textId="77777777" w:rsidR="00723426" w:rsidRPr="00723426" w:rsidRDefault="00723426" w:rsidP="005402F5">
            <w:pPr>
              <w:pStyle w:val="CDIFigure-Table-BodyTextLeft"/>
            </w:pPr>
            <w:r w:rsidRPr="00723426">
              <w:t>Sex worker</w:t>
            </w:r>
          </w:p>
        </w:tc>
        <w:tc>
          <w:tcPr>
            <w:tcW w:w="4026" w:type="dxa"/>
            <w:tcBorders>
              <w:top w:val="single" w:sz="4" w:space="0" w:color="033636" w:themeColor="text2"/>
            </w:tcBorders>
            <w:tcMar>
              <w:top w:w="113" w:type="dxa"/>
              <w:left w:w="113" w:type="dxa"/>
              <w:bottom w:w="113" w:type="dxa"/>
              <w:right w:w="113" w:type="dxa"/>
            </w:tcMar>
            <w:vAlign w:val="center"/>
          </w:tcPr>
          <w:p w14:paraId="3AF849A2" w14:textId="77777777" w:rsidR="00723426" w:rsidRPr="00723426" w:rsidRDefault="00723426" w:rsidP="005402F5">
            <w:pPr>
              <w:pStyle w:val="CDIFigure-Table-BodyTextLeft"/>
            </w:pPr>
            <w:r w:rsidRPr="00723426">
              <w:t>No</w:t>
            </w:r>
          </w:p>
        </w:tc>
        <w:tc>
          <w:tcPr>
            <w:tcW w:w="1601" w:type="dxa"/>
            <w:tcBorders>
              <w:top w:val="single" w:sz="4" w:space="0" w:color="033636" w:themeColor="text2"/>
            </w:tcBorders>
            <w:tcMar>
              <w:top w:w="113" w:type="dxa"/>
              <w:left w:w="113" w:type="dxa"/>
              <w:bottom w:w="113" w:type="dxa"/>
              <w:right w:w="113" w:type="dxa"/>
            </w:tcMar>
            <w:vAlign w:val="center"/>
          </w:tcPr>
          <w:p w14:paraId="622D8DC9" w14:textId="77777777" w:rsidR="00723426" w:rsidRPr="00723426" w:rsidRDefault="00723426" w:rsidP="005402F5">
            <w:pPr>
              <w:pStyle w:val="CDIFigure-Table-BodyTextCentre"/>
            </w:pPr>
            <w:r w:rsidRPr="00723426">
              <w:t>1,426 (96.0)</w:t>
            </w:r>
          </w:p>
        </w:tc>
        <w:tc>
          <w:tcPr>
            <w:tcW w:w="1602" w:type="dxa"/>
            <w:tcBorders>
              <w:top w:val="single" w:sz="4" w:space="0" w:color="033636" w:themeColor="text2"/>
            </w:tcBorders>
            <w:tcMar>
              <w:top w:w="113" w:type="dxa"/>
              <w:left w:w="113" w:type="dxa"/>
              <w:bottom w:w="113" w:type="dxa"/>
              <w:right w:w="113" w:type="dxa"/>
            </w:tcMar>
            <w:vAlign w:val="center"/>
          </w:tcPr>
          <w:p w14:paraId="08A5523B" w14:textId="77777777" w:rsidR="00723426" w:rsidRPr="00723426" w:rsidRDefault="00723426" w:rsidP="005402F5">
            <w:pPr>
              <w:pStyle w:val="CDIFigure-Table-BodyTextCentre"/>
            </w:pPr>
            <w:r w:rsidRPr="00723426">
              <w:t>337 (86.2)</w:t>
            </w:r>
          </w:p>
        </w:tc>
      </w:tr>
      <w:tr w:rsidR="00723426" w:rsidRPr="00723426" w14:paraId="26C7E975" w14:textId="77777777" w:rsidTr="005402F5">
        <w:tblPrEx>
          <w:tblCellMar>
            <w:top w:w="0" w:type="dxa"/>
            <w:left w:w="0" w:type="dxa"/>
            <w:bottom w:w="0" w:type="dxa"/>
            <w:right w:w="0" w:type="dxa"/>
          </w:tblCellMar>
        </w:tblPrEx>
        <w:trPr>
          <w:divId w:val="935526654"/>
          <w:trHeight w:val="20"/>
        </w:trPr>
        <w:tc>
          <w:tcPr>
            <w:tcW w:w="2409" w:type="dxa"/>
            <w:vMerge/>
            <w:tcBorders>
              <w:bottom w:val="single" w:sz="4" w:space="0" w:color="033636" w:themeColor="text2"/>
            </w:tcBorders>
            <w:shd w:val="clear" w:color="auto" w:fill="C5FFEF" w:themeFill="background2" w:themeFillTint="33"/>
          </w:tcPr>
          <w:p w14:paraId="2B4ECF60" w14:textId="77777777" w:rsidR="00723426" w:rsidRPr="00723426" w:rsidRDefault="00723426" w:rsidP="005402F5">
            <w:pPr>
              <w:pStyle w:val="CDIFigure-Table-BodyTextLeft"/>
            </w:pPr>
          </w:p>
        </w:tc>
        <w:tc>
          <w:tcPr>
            <w:tcW w:w="4026" w:type="dxa"/>
            <w:shd w:val="clear" w:color="auto" w:fill="F2F2F2" w:themeFill="background1" w:themeFillShade="F2"/>
            <w:tcMar>
              <w:top w:w="113" w:type="dxa"/>
              <w:left w:w="113" w:type="dxa"/>
              <w:bottom w:w="113" w:type="dxa"/>
              <w:right w:w="113" w:type="dxa"/>
            </w:tcMar>
            <w:vAlign w:val="center"/>
          </w:tcPr>
          <w:p w14:paraId="09766C7F" w14:textId="77777777" w:rsidR="00723426" w:rsidRPr="00723426" w:rsidRDefault="00723426" w:rsidP="005402F5">
            <w:pPr>
              <w:pStyle w:val="CDIFigure-Table-BodyTextLeft"/>
            </w:pPr>
            <w:r w:rsidRPr="00723426">
              <w:t>Yes</w:t>
            </w:r>
          </w:p>
        </w:tc>
        <w:tc>
          <w:tcPr>
            <w:tcW w:w="1601" w:type="dxa"/>
            <w:shd w:val="clear" w:color="auto" w:fill="F2F2F2" w:themeFill="background1" w:themeFillShade="F2"/>
            <w:tcMar>
              <w:top w:w="113" w:type="dxa"/>
              <w:left w:w="113" w:type="dxa"/>
              <w:bottom w:w="113" w:type="dxa"/>
              <w:right w:w="113" w:type="dxa"/>
            </w:tcMar>
            <w:vAlign w:val="center"/>
          </w:tcPr>
          <w:p w14:paraId="1F2CF6B7" w14:textId="77777777" w:rsidR="00723426" w:rsidRPr="00723426" w:rsidRDefault="00723426" w:rsidP="005402F5">
            <w:pPr>
              <w:pStyle w:val="CDIFigure-Table-BodyTextCentre"/>
            </w:pPr>
            <w:r w:rsidRPr="00723426">
              <w:t>8 (0.5)</w:t>
            </w:r>
          </w:p>
        </w:tc>
        <w:tc>
          <w:tcPr>
            <w:tcW w:w="1602" w:type="dxa"/>
            <w:shd w:val="clear" w:color="auto" w:fill="F2F2F2" w:themeFill="background1" w:themeFillShade="F2"/>
            <w:tcMar>
              <w:top w:w="113" w:type="dxa"/>
              <w:left w:w="113" w:type="dxa"/>
              <w:bottom w:w="113" w:type="dxa"/>
              <w:right w:w="113" w:type="dxa"/>
            </w:tcMar>
            <w:vAlign w:val="center"/>
          </w:tcPr>
          <w:p w14:paraId="1B019543" w14:textId="77777777" w:rsidR="00723426" w:rsidRPr="00723426" w:rsidRDefault="00723426" w:rsidP="005402F5">
            <w:pPr>
              <w:pStyle w:val="CDIFigure-Table-BodyTextCentre"/>
            </w:pPr>
            <w:r w:rsidRPr="00723426">
              <w:t>34 (8.7)</w:t>
            </w:r>
          </w:p>
        </w:tc>
      </w:tr>
      <w:tr w:rsidR="00723426" w:rsidRPr="00723426" w14:paraId="37CDD535" w14:textId="77777777" w:rsidTr="005402F5">
        <w:tblPrEx>
          <w:tblCellMar>
            <w:top w:w="0" w:type="dxa"/>
            <w:left w:w="0" w:type="dxa"/>
            <w:bottom w:w="0" w:type="dxa"/>
            <w:right w:w="0" w:type="dxa"/>
          </w:tblCellMar>
        </w:tblPrEx>
        <w:trPr>
          <w:divId w:val="935526654"/>
          <w:trHeight w:val="20"/>
        </w:trPr>
        <w:tc>
          <w:tcPr>
            <w:tcW w:w="2409" w:type="dxa"/>
            <w:vMerge/>
            <w:tcBorders>
              <w:bottom w:val="single" w:sz="4" w:space="0" w:color="033636" w:themeColor="text2"/>
            </w:tcBorders>
            <w:shd w:val="clear" w:color="auto" w:fill="C5FFEF" w:themeFill="background2" w:themeFillTint="33"/>
          </w:tcPr>
          <w:p w14:paraId="5E53F73B" w14:textId="77777777" w:rsidR="00723426" w:rsidRPr="00723426" w:rsidRDefault="00723426" w:rsidP="005402F5">
            <w:pPr>
              <w:pStyle w:val="CDIFigure-Table-BodyTextLeft"/>
            </w:pPr>
          </w:p>
        </w:tc>
        <w:tc>
          <w:tcPr>
            <w:tcW w:w="4026" w:type="dxa"/>
            <w:tcBorders>
              <w:bottom w:val="single" w:sz="4" w:space="0" w:color="033636" w:themeColor="text2"/>
            </w:tcBorders>
            <w:tcMar>
              <w:top w:w="113" w:type="dxa"/>
              <w:left w:w="113" w:type="dxa"/>
              <w:bottom w:w="113" w:type="dxa"/>
              <w:right w:w="113" w:type="dxa"/>
            </w:tcMar>
            <w:vAlign w:val="center"/>
          </w:tcPr>
          <w:p w14:paraId="56408872" w14:textId="77777777" w:rsidR="00723426" w:rsidRPr="00723426" w:rsidRDefault="00723426" w:rsidP="005402F5">
            <w:pPr>
              <w:pStyle w:val="CDIFigure-Table-BodyTextLeft"/>
            </w:pPr>
            <w:r w:rsidRPr="00723426">
              <w:t>Unknown/not reported</w:t>
            </w:r>
          </w:p>
        </w:tc>
        <w:tc>
          <w:tcPr>
            <w:tcW w:w="1601" w:type="dxa"/>
            <w:tcBorders>
              <w:bottom w:val="single" w:sz="4" w:space="0" w:color="033636" w:themeColor="text2"/>
            </w:tcBorders>
            <w:tcMar>
              <w:top w:w="113" w:type="dxa"/>
              <w:left w:w="113" w:type="dxa"/>
              <w:bottom w:w="113" w:type="dxa"/>
              <w:right w:w="113" w:type="dxa"/>
            </w:tcMar>
            <w:vAlign w:val="center"/>
          </w:tcPr>
          <w:p w14:paraId="04BF5A7B" w14:textId="77777777" w:rsidR="00723426" w:rsidRPr="00723426" w:rsidRDefault="00723426" w:rsidP="005402F5">
            <w:pPr>
              <w:pStyle w:val="CDIFigure-Table-BodyTextCentre"/>
            </w:pPr>
            <w:r w:rsidRPr="00723426">
              <w:t>51 (3.4)</w:t>
            </w:r>
          </w:p>
        </w:tc>
        <w:tc>
          <w:tcPr>
            <w:tcW w:w="1602" w:type="dxa"/>
            <w:tcBorders>
              <w:bottom w:val="single" w:sz="4" w:space="0" w:color="033636" w:themeColor="text2"/>
            </w:tcBorders>
            <w:tcMar>
              <w:top w:w="113" w:type="dxa"/>
              <w:left w:w="113" w:type="dxa"/>
              <w:bottom w:w="113" w:type="dxa"/>
              <w:right w:w="113" w:type="dxa"/>
            </w:tcMar>
            <w:vAlign w:val="center"/>
          </w:tcPr>
          <w:p w14:paraId="3BFEC4BA" w14:textId="77777777" w:rsidR="00723426" w:rsidRPr="00723426" w:rsidRDefault="00723426" w:rsidP="005402F5">
            <w:pPr>
              <w:pStyle w:val="CDIFigure-Table-BodyTextCentre"/>
            </w:pPr>
            <w:r w:rsidRPr="00723426">
              <w:t>20 (5.1)</w:t>
            </w:r>
          </w:p>
        </w:tc>
      </w:tr>
      <w:tr w:rsidR="00723426" w:rsidRPr="00723426" w14:paraId="4B3E4436" w14:textId="77777777" w:rsidTr="005402F5">
        <w:tblPrEx>
          <w:tblCellMar>
            <w:top w:w="0" w:type="dxa"/>
            <w:left w:w="0" w:type="dxa"/>
            <w:bottom w:w="0" w:type="dxa"/>
            <w:right w:w="0" w:type="dxa"/>
          </w:tblCellMar>
        </w:tblPrEx>
        <w:trPr>
          <w:divId w:val="935526654"/>
          <w:trHeight w:val="20"/>
        </w:trPr>
        <w:tc>
          <w:tcPr>
            <w:tcW w:w="2409"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6E793096" w14:textId="77777777" w:rsidR="00723426" w:rsidRPr="00723426" w:rsidRDefault="00723426" w:rsidP="005402F5">
            <w:pPr>
              <w:pStyle w:val="CDIFigure-Table-BodyTextLeft"/>
            </w:pPr>
            <w:r w:rsidRPr="00723426">
              <w:lastRenderedPageBreak/>
              <w:t>Diagnosing clinical facility</w:t>
            </w:r>
          </w:p>
        </w:tc>
        <w:tc>
          <w:tcPr>
            <w:tcW w:w="4026"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A49DEA2" w14:textId="77777777" w:rsidR="00723426" w:rsidRPr="00723426" w:rsidRDefault="00723426" w:rsidP="005402F5">
            <w:pPr>
              <w:pStyle w:val="CDIFigure-Table-BodyTextLeft"/>
            </w:pPr>
            <w:r w:rsidRPr="00723426">
              <w:t>Sexual health/family planning clinic</w:t>
            </w:r>
          </w:p>
        </w:tc>
        <w:tc>
          <w:tcPr>
            <w:tcW w:w="160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EEEB54F" w14:textId="77777777" w:rsidR="00723426" w:rsidRPr="00723426" w:rsidRDefault="00723426" w:rsidP="005402F5">
            <w:pPr>
              <w:pStyle w:val="CDIFigure-Table-BodyTextCentre"/>
            </w:pPr>
            <w:r w:rsidRPr="00723426">
              <w:t>1,046 (70.5)</w:t>
            </w:r>
          </w:p>
        </w:tc>
        <w:tc>
          <w:tcPr>
            <w:tcW w:w="1602"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6AE63F9" w14:textId="77777777" w:rsidR="00723426" w:rsidRPr="00723426" w:rsidRDefault="00723426" w:rsidP="005402F5">
            <w:pPr>
              <w:pStyle w:val="CDIFigure-Table-BodyTextCentre"/>
            </w:pPr>
            <w:r w:rsidRPr="00723426">
              <w:t>131 (33.5)</w:t>
            </w:r>
          </w:p>
        </w:tc>
      </w:tr>
      <w:tr w:rsidR="00723426" w:rsidRPr="00723426" w14:paraId="5E2262C4" w14:textId="77777777" w:rsidTr="005402F5">
        <w:tblPrEx>
          <w:tblCellMar>
            <w:top w:w="0" w:type="dxa"/>
            <w:left w:w="0" w:type="dxa"/>
            <w:bottom w:w="0" w:type="dxa"/>
            <w:right w:w="0" w:type="dxa"/>
          </w:tblCellMar>
        </w:tblPrEx>
        <w:trPr>
          <w:divId w:val="935526654"/>
          <w:trHeight w:val="20"/>
        </w:trPr>
        <w:tc>
          <w:tcPr>
            <w:tcW w:w="2409" w:type="dxa"/>
            <w:vMerge/>
            <w:tcBorders>
              <w:bottom w:val="single" w:sz="4" w:space="0" w:color="033636" w:themeColor="text2"/>
            </w:tcBorders>
            <w:shd w:val="clear" w:color="auto" w:fill="C5FFEF" w:themeFill="background2" w:themeFillTint="33"/>
          </w:tcPr>
          <w:p w14:paraId="2ECBB604" w14:textId="77777777" w:rsidR="00723426" w:rsidRPr="00723426" w:rsidRDefault="00723426" w:rsidP="00723426"/>
        </w:tc>
        <w:tc>
          <w:tcPr>
            <w:tcW w:w="4026" w:type="dxa"/>
            <w:tcMar>
              <w:top w:w="113" w:type="dxa"/>
              <w:left w:w="113" w:type="dxa"/>
              <w:bottom w:w="113" w:type="dxa"/>
              <w:right w:w="113" w:type="dxa"/>
            </w:tcMar>
            <w:vAlign w:val="center"/>
          </w:tcPr>
          <w:p w14:paraId="58128E98" w14:textId="77777777" w:rsidR="00723426" w:rsidRPr="00723426" w:rsidRDefault="00723426" w:rsidP="005402F5">
            <w:pPr>
              <w:pStyle w:val="CDIFigure-Table-BodyTextLeft"/>
            </w:pPr>
            <w:r w:rsidRPr="00723426">
              <w:t>General practice</w:t>
            </w:r>
          </w:p>
        </w:tc>
        <w:tc>
          <w:tcPr>
            <w:tcW w:w="1601" w:type="dxa"/>
            <w:tcMar>
              <w:top w:w="113" w:type="dxa"/>
              <w:left w:w="113" w:type="dxa"/>
              <w:bottom w:w="113" w:type="dxa"/>
              <w:right w:w="113" w:type="dxa"/>
            </w:tcMar>
            <w:vAlign w:val="center"/>
          </w:tcPr>
          <w:p w14:paraId="5AF54093" w14:textId="77777777" w:rsidR="00723426" w:rsidRPr="00723426" w:rsidRDefault="00723426" w:rsidP="005402F5">
            <w:pPr>
              <w:pStyle w:val="CDIFigure-Table-BodyTextCentre"/>
            </w:pPr>
            <w:r w:rsidRPr="00723426">
              <w:t>373 (25.1)</w:t>
            </w:r>
          </w:p>
        </w:tc>
        <w:tc>
          <w:tcPr>
            <w:tcW w:w="1602" w:type="dxa"/>
            <w:tcMar>
              <w:top w:w="113" w:type="dxa"/>
              <w:left w:w="113" w:type="dxa"/>
              <w:bottom w:w="113" w:type="dxa"/>
              <w:right w:w="113" w:type="dxa"/>
            </w:tcMar>
            <w:vAlign w:val="center"/>
          </w:tcPr>
          <w:p w14:paraId="0DBB1BB3" w14:textId="77777777" w:rsidR="00723426" w:rsidRPr="00723426" w:rsidRDefault="00723426" w:rsidP="005402F5">
            <w:pPr>
              <w:pStyle w:val="CDIFigure-Table-BodyTextCentre"/>
            </w:pPr>
            <w:r w:rsidRPr="00723426">
              <w:t>181 (46.3)</w:t>
            </w:r>
          </w:p>
        </w:tc>
      </w:tr>
      <w:tr w:rsidR="00723426" w:rsidRPr="00723426" w14:paraId="27521BDF" w14:textId="77777777" w:rsidTr="005402F5">
        <w:tblPrEx>
          <w:tblCellMar>
            <w:top w:w="0" w:type="dxa"/>
            <w:left w:w="0" w:type="dxa"/>
            <w:bottom w:w="0" w:type="dxa"/>
            <w:right w:w="0" w:type="dxa"/>
          </w:tblCellMar>
        </w:tblPrEx>
        <w:trPr>
          <w:divId w:val="935526654"/>
          <w:trHeight w:val="20"/>
        </w:trPr>
        <w:tc>
          <w:tcPr>
            <w:tcW w:w="2409" w:type="dxa"/>
            <w:vMerge/>
            <w:tcBorders>
              <w:bottom w:val="single" w:sz="4" w:space="0" w:color="033636" w:themeColor="text2"/>
            </w:tcBorders>
            <w:shd w:val="clear" w:color="auto" w:fill="C5FFEF" w:themeFill="background2" w:themeFillTint="33"/>
          </w:tcPr>
          <w:p w14:paraId="6833D0A4" w14:textId="77777777" w:rsidR="00723426" w:rsidRPr="00723426" w:rsidRDefault="00723426" w:rsidP="00723426"/>
        </w:tc>
        <w:tc>
          <w:tcPr>
            <w:tcW w:w="4026" w:type="dxa"/>
            <w:shd w:val="clear" w:color="auto" w:fill="F2F2F2" w:themeFill="background1" w:themeFillShade="F2"/>
            <w:tcMar>
              <w:top w:w="113" w:type="dxa"/>
              <w:left w:w="113" w:type="dxa"/>
              <w:bottom w:w="113" w:type="dxa"/>
              <w:right w:w="113" w:type="dxa"/>
            </w:tcMar>
            <w:vAlign w:val="center"/>
          </w:tcPr>
          <w:p w14:paraId="26D822CF" w14:textId="77777777" w:rsidR="00723426" w:rsidRPr="00723426" w:rsidRDefault="00723426" w:rsidP="005402F5">
            <w:pPr>
              <w:pStyle w:val="CDIFigure-Table-BodyTextLeft"/>
            </w:pPr>
            <w:r w:rsidRPr="00723426">
              <w:t>Hospital</w:t>
            </w:r>
          </w:p>
        </w:tc>
        <w:tc>
          <w:tcPr>
            <w:tcW w:w="1601" w:type="dxa"/>
            <w:shd w:val="clear" w:color="auto" w:fill="F2F2F2" w:themeFill="background1" w:themeFillShade="F2"/>
            <w:tcMar>
              <w:top w:w="113" w:type="dxa"/>
              <w:left w:w="113" w:type="dxa"/>
              <w:bottom w:w="113" w:type="dxa"/>
              <w:right w:w="113" w:type="dxa"/>
            </w:tcMar>
            <w:vAlign w:val="center"/>
          </w:tcPr>
          <w:p w14:paraId="4CBC2302" w14:textId="77777777" w:rsidR="00723426" w:rsidRPr="00723426" w:rsidRDefault="00723426" w:rsidP="005402F5">
            <w:pPr>
              <w:pStyle w:val="CDIFigure-Table-BodyTextCentre"/>
            </w:pPr>
            <w:r w:rsidRPr="00723426">
              <w:t>25 (1.7)</w:t>
            </w:r>
          </w:p>
        </w:tc>
        <w:tc>
          <w:tcPr>
            <w:tcW w:w="1602" w:type="dxa"/>
            <w:shd w:val="clear" w:color="auto" w:fill="F2F2F2" w:themeFill="background1" w:themeFillShade="F2"/>
            <w:tcMar>
              <w:top w:w="113" w:type="dxa"/>
              <w:left w:w="113" w:type="dxa"/>
              <w:bottom w:w="113" w:type="dxa"/>
              <w:right w:w="113" w:type="dxa"/>
            </w:tcMar>
            <w:vAlign w:val="center"/>
          </w:tcPr>
          <w:p w14:paraId="6897EC53" w14:textId="77777777" w:rsidR="00723426" w:rsidRPr="00723426" w:rsidRDefault="00723426" w:rsidP="005402F5">
            <w:pPr>
              <w:pStyle w:val="CDIFigure-Table-BodyTextCentre"/>
            </w:pPr>
            <w:r w:rsidRPr="00723426">
              <w:t>43 (11.0)</w:t>
            </w:r>
          </w:p>
        </w:tc>
      </w:tr>
      <w:tr w:rsidR="00723426" w:rsidRPr="00723426" w14:paraId="25FA59D6" w14:textId="77777777" w:rsidTr="005402F5">
        <w:tblPrEx>
          <w:tblCellMar>
            <w:top w:w="0" w:type="dxa"/>
            <w:left w:w="0" w:type="dxa"/>
            <w:bottom w:w="0" w:type="dxa"/>
            <w:right w:w="0" w:type="dxa"/>
          </w:tblCellMar>
        </w:tblPrEx>
        <w:trPr>
          <w:divId w:val="935526654"/>
          <w:trHeight w:val="20"/>
        </w:trPr>
        <w:tc>
          <w:tcPr>
            <w:tcW w:w="2409" w:type="dxa"/>
            <w:vMerge/>
            <w:tcBorders>
              <w:bottom w:val="single" w:sz="4" w:space="0" w:color="033636" w:themeColor="text2"/>
            </w:tcBorders>
            <w:shd w:val="clear" w:color="auto" w:fill="C5FFEF" w:themeFill="background2" w:themeFillTint="33"/>
          </w:tcPr>
          <w:p w14:paraId="14040D2F" w14:textId="77777777" w:rsidR="00723426" w:rsidRPr="00723426" w:rsidRDefault="00723426" w:rsidP="00723426"/>
        </w:tc>
        <w:tc>
          <w:tcPr>
            <w:tcW w:w="4026" w:type="dxa"/>
            <w:tcBorders>
              <w:bottom w:val="single" w:sz="4" w:space="0" w:color="033636" w:themeColor="text2"/>
            </w:tcBorders>
            <w:tcMar>
              <w:top w:w="113" w:type="dxa"/>
              <w:left w:w="113" w:type="dxa"/>
              <w:bottom w:w="113" w:type="dxa"/>
              <w:right w:w="113" w:type="dxa"/>
            </w:tcMar>
            <w:vAlign w:val="center"/>
          </w:tcPr>
          <w:p w14:paraId="7A7A8F60" w14:textId="77777777" w:rsidR="00723426" w:rsidRPr="00723426" w:rsidRDefault="00723426" w:rsidP="005402F5">
            <w:pPr>
              <w:pStyle w:val="CDIFigure-Table-BodyTextLeft"/>
            </w:pPr>
            <w:r w:rsidRPr="00723426">
              <w:t>Other</w:t>
            </w:r>
          </w:p>
        </w:tc>
        <w:tc>
          <w:tcPr>
            <w:tcW w:w="1601" w:type="dxa"/>
            <w:tcBorders>
              <w:bottom w:val="single" w:sz="4" w:space="0" w:color="033636" w:themeColor="text2"/>
            </w:tcBorders>
            <w:tcMar>
              <w:top w:w="113" w:type="dxa"/>
              <w:left w:w="113" w:type="dxa"/>
              <w:bottom w:w="113" w:type="dxa"/>
              <w:right w:w="113" w:type="dxa"/>
            </w:tcMar>
            <w:vAlign w:val="center"/>
          </w:tcPr>
          <w:p w14:paraId="4ADB44C5" w14:textId="77777777" w:rsidR="00723426" w:rsidRPr="00723426" w:rsidRDefault="00723426" w:rsidP="005402F5">
            <w:pPr>
              <w:pStyle w:val="CDIFigure-Table-BodyTextCentre"/>
            </w:pPr>
            <w:r w:rsidRPr="00723426">
              <w:t>41 (2.8)</w:t>
            </w:r>
          </w:p>
        </w:tc>
        <w:tc>
          <w:tcPr>
            <w:tcW w:w="1602" w:type="dxa"/>
            <w:tcBorders>
              <w:bottom w:val="single" w:sz="4" w:space="0" w:color="033636" w:themeColor="text2"/>
            </w:tcBorders>
            <w:tcMar>
              <w:top w:w="113" w:type="dxa"/>
              <w:left w:w="113" w:type="dxa"/>
              <w:bottom w:w="113" w:type="dxa"/>
              <w:right w:w="113" w:type="dxa"/>
            </w:tcMar>
            <w:vAlign w:val="center"/>
          </w:tcPr>
          <w:p w14:paraId="58EA0CCF" w14:textId="77777777" w:rsidR="00723426" w:rsidRPr="00723426" w:rsidRDefault="00723426" w:rsidP="005402F5">
            <w:pPr>
              <w:pStyle w:val="CDIFigure-Table-BodyTextCentre"/>
            </w:pPr>
            <w:r w:rsidRPr="00723426">
              <w:t>36 (9.2)</w:t>
            </w:r>
          </w:p>
        </w:tc>
      </w:tr>
      <w:tr w:rsidR="00723426" w:rsidRPr="00723426" w14:paraId="30595FF6" w14:textId="77777777" w:rsidTr="005402F5">
        <w:tblPrEx>
          <w:tblCellMar>
            <w:top w:w="0" w:type="dxa"/>
            <w:left w:w="0" w:type="dxa"/>
            <w:bottom w:w="0" w:type="dxa"/>
            <w:right w:w="0" w:type="dxa"/>
          </w:tblCellMar>
        </w:tblPrEx>
        <w:trPr>
          <w:divId w:val="935526654"/>
          <w:trHeight w:val="20"/>
        </w:trPr>
        <w:tc>
          <w:tcPr>
            <w:tcW w:w="2409"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10552B28" w14:textId="77777777" w:rsidR="00723426" w:rsidRPr="00723426" w:rsidRDefault="00723426" w:rsidP="005402F5">
            <w:pPr>
              <w:pStyle w:val="CDIFigure-Table-BodyTextLeft"/>
            </w:pPr>
            <w:r w:rsidRPr="00723426">
              <w:t>Anatomical site of infection</w:t>
            </w:r>
            <w:r w:rsidRPr="005402F5">
              <w:rPr>
                <w:vertAlign w:val="superscript"/>
              </w:rPr>
              <w:t>c</w:t>
            </w:r>
          </w:p>
        </w:tc>
        <w:tc>
          <w:tcPr>
            <w:tcW w:w="4026"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E654ACA" w14:textId="77777777" w:rsidR="00723426" w:rsidRPr="00723426" w:rsidRDefault="00723426" w:rsidP="005402F5">
            <w:pPr>
              <w:pStyle w:val="CDIFigure-Table-BodyTextLeft"/>
            </w:pPr>
            <w:r w:rsidRPr="00723426">
              <w:t>Urogenital only</w:t>
            </w:r>
          </w:p>
        </w:tc>
        <w:tc>
          <w:tcPr>
            <w:tcW w:w="160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EF2F621" w14:textId="77777777" w:rsidR="00723426" w:rsidRPr="00723426" w:rsidRDefault="00723426" w:rsidP="005402F5">
            <w:pPr>
              <w:pStyle w:val="CDIFigure-Table-BodyTextCentre"/>
            </w:pPr>
            <w:r w:rsidRPr="00723426">
              <w:t>473 (31.9)</w:t>
            </w:r>
          </w:p>
        </w:tc>
        <w:tc>
          <w:tcPr>
            <w:tcW w:w="1602"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9D94C85" w14:textId="77777777" w:rsidR="00723426" w:rsidRPr="00723426" w:rsidRDefault="00723426" w:rsidP="005402F5">
            <w:pPr>
              <w:pStyle w:val="CDIFigure-Table-BodyTextCentre"/>
            </w:pPr>
            <w:r w:rsidRPr="00723426">
              <w:t>277 (70.7)</w:t>
            </w:r>
          </w:p>
        </w:tc>
      </w:tr>
      <w:tr w:rsidR="00723426" w:rsidRPr="00723426" w14:paraId="18C2D52B" w14:textId="77777777" w:rsidTr="005402F5">
        <w:tblPrEx>
          <w:tblCellMar>
            <w:top w:w="0" w:type="dxa"/>
            <w:left w:w="0" w:type="dxa"/>
            <w:bottom w:w="0" w:type="dxa"/>
            <w:right w:w="0" w:type="dxa"/>
          </w:tblCellMar>
        </w:tblPrEx>
        <w:trPr>
          <w:divId w:val="935526654"/>
          <w:trHeight w:val="20"/>
        </w:trPr>
        <w:tc>
          <w:tcPr>
            <w:tcW w:w="2409" w:type="dxa"/>
            <w:vMerge/>
            <w:tcBorders>
              <w:bottom w:val="single" w:sz="4" w:space="0" w:color="033636" w:themeColor="text2"/>
            </w:tcBorders>
            <w:shd w:val="clear" w:color="auto" w:fill="C5FFEF" w:themeFill="background2" w:themeFillTint="33"/>
          </w:tcPr>
          <w:p w14:paraId="6FC32B71" w14:textId="77777777" w:rsidR="00723426" w:rsidRPr="00723426" w:rsidRDefault="00723426" w:rsidP="00723426"/>
        </w:tc>
        <w:tc>
          <w:tcPr>
            <w:tcW w:w="4026" w:type="dxa"/>
            <w:tcMar>
              <w:top w:w="113" w:type="dxa"/>
              <w:left w:w="113" w:type="dxa"/>
              <w:bottom w:w="113" w:type="dxa"/>
              <w:right w:w="113" w:type="dxa"/>
            </w:tcMar>
            <w:vAlign w:val="center"/>
          </w:tcPr>
          <w:p w14:paraId="2D668E68" w14:textId="77777777" w:rsidR="00723426" w:rsidRPr="00723426" w:rsidRDefault="00723426" w:rsidP="005402F5">
            <w:pPr>
              <w:pStyle w:val="CDIFigure-Table-BodyTextLeft"/>
            </w:pPr>
            <w:r w:rsidRPr="00723426">
              <w:t>Throat only</w:t>
            </w:r>
          </w:p>
        </w:tc>
        <w:tc>
          <w:tcPr>
            <w:tcW w:w="1601" w:type="dxa"/>
            <w:tcMar>
              <w:top w:w="113" w:type="dxa"/>
              <w:left w:w="113" w:type="dxa"/>
              <w:bottom w:w="113" w:type="dxa"/>
              <w:right w:w="113" w:type="dxa"/>
            </w:tcMar>
            <w:vAlign w:val="center"/>
          </w:tcPr>
          <w:p w14:paraId="5271E51A" w14:textId="77777777" w:rsidR="00723426" w:rsidRPr="00723426" w:rsidRDefault="00723426" w:rsidP="005402F5">
            <w:pPr>
              <w:pStyle w:val="CDIFigure-Table-BodyTextCentre"/>
            </w:pPr>
            <w:r w:rsidRPr="00723426">
              <w:t>385 (26.0)</w:t>
            </w:r>
          </w:p>
        </w:tc>
        <w:tc>
          <w:tcPr>
            <w:tcW w:w="1602" w:type="dxa"/>
            <w:tcMar>
              <w:top w:w="113" w:type="dxa"/>
              <w:left w:w="113" w:type="dxa"/>
              <w:bottom w:w="113" w:type="dxa"/>
              <w:right w:w="113" w:type="dxa"/>
            </w:tcMar>
            <w:vAlign w:val="center"/>
          </w:tcPr>
          <w:p w14:paraId="766EEE8F" w14:textId="77777777" w:rsidR="00723426" w:rsidRPr="00723426" w:rsidRDefault="00723426" w:rsidP="005402F5">
            <w:pPr>
              <w:pStyle w:val="CDIFigure-Table-BodyTextCentre"/>
            </w:pPr>
            <w:r w:rsidRPr="00723426">
              <w:t>37 (9.4)</w:t>
            </w:r>
          </w:p>
        </w:tc>
      </w:tr>
      <w:tr w:rsidR="00723426" w:rsidRPr="00723426" w14:paraId="5997430F" w14:textId="77777777" w:rsidTr="005402F5">
        <w:tblPrEx>
          <w:tblCellMar>
            <w:top w:w="0" w:type="dxa"/>
            <w:left w:w="0" w:type="dxa"/>
            <w:bottom w:w="0" w:type="dxa"/>
            <w:right w:w="0" w:type="dxa"/>
          </w:tblCellMar>
        </w:tblPrEx>
        <w:trPr>
          <w:divId w:val="935526654"/>
          <w:trHeight w:val="20"/>
        </w:trPr>
        <w:tc>
          <w:tcPr>
            <w:tcW w:w="2409" w:type="dxa"/>
            <w:vMerge/>
            <w:tcBorders>
              <w:bottom w:val="single" w:sz="4" w:space="0" w:color="033636" w:themeColor="text2"/>
            </w:tcBorders>
            <w:shd w:val="clear" w:color="auto" w:fill="C5FFEF" w:themeFill="background2" w:themeFillTint="33"/>
          </w:tcPr>
          <w:p w14:paraId="057897C9" w14:textId="77777777" w:rsidR="00723426" w:rsidRPr="00723426" w:rsidRDefault="00723426" w:rsidP="00723426"/>
        </w:tc>
        <w:tc>
          <w:tcPr>
            <w:tcW w:w="4026" w:type="dxa"/>
            <w:shd w:val="clear" w:color="auto" w:fill="F2F2F2" w:themeFill="background1" w:themeFillShade="F2"/>
            <w:tcMar>
              <w:top w:w="113" w:type="dxa"/>
              <w:left w:w="113" w:type="dxa"/>
              <w:bottom w:w="113" w:type="dxa"/>
              <w:right w:w="113" w:type="dxa"/>
            </w:tcMar>
            <w:vAlign w:val="center"/>
          </w:tcPr>
          <w:p w14:paraId="7E63A03B" w14:textId="77777777" w:rsidR="00723426" w:rsidRPr="00723426" w:rsidRDefault="00723426" w:rsidP="005402F5">
            <w:pPr>
              <w:pStyle w:val="CDIFigure-Table-BodyTextLeft"/>
            </w:pPr>
            <w:r w:rsidRPr="00723426">
              <w:t>Rectum only</w:t>
            </w:r>
          </w:p>
        </w:tc>
        <w:tc>
          <w:tcPr>
            <w:tcW w:w="1601" w:type="dxa"/>
            <w:shd w:val="clear" w:color="auto" w:fill="F2F2F2" w:themeFill="background1" w:themeFillShade="F2"/>
            <w:tcMar>
              <w:top w:w="113" w:type="dxa"/>
              <w:left w:w="113" w:type="dxa"/>
              <w:bottom w:w="113" w:type="dxa"/>
              <w:right w:w="113" w:type="dxa"/>
            </w:tcMar>
            <w:vAlign w:val="center"/>
          </w:tcPr>
          <w:p w14:paraId="4F06E9B3" w14:textId="77777777" w:rsidR="00723426" w:rsidRPr="00723426" w:rsidRDefault="00723426" w:rsidP="005402F5">
            <w:pPr>
              <w:pStyle w:val="CDIFigure-Table-BodyTextCentre"/>
            </w:pPr>
            <w:r w:rsidRPr="00723426">
              <w:t>294 (19.8)</w:t>
            </w:r>
          </w:p>
        </w:tc>
        <w:tc>
          <w:tcPr>
            <w:tcW w:w="1602" w:type="dxa"/>
            <w:shd w:val="clear" w:color="auto" w:fill="F2F2F2" w:themeFill="background1" w:themeFillShade="F2"/>
            <w:tcMar>
              <w:top w:w="113" w:type="dxa"/>
              <w:left w:w="113" w:type="dxa"/>
              <w:bottom w:w="113" w:type="dxa"/>
              <w:right w:w="113" w:type="dxa"/>
            </w:tcMar>
            <w:vAlign w:val="center"/>
          </w:tcPr>
          <w:p w14:paraId="57405204" w14:textId="77777777" w:rsidR="00723426" w:rsidRPr="00723426" w:rsidRDefault="00723426" w:rsidP="005402F5">
            <w:pPr>
              <w:pStyle w:val="CDIFigure-Table-BodyTextCentre"/>
            </w:pPr>
            <w:r w:rsidRPr="00723426">
              <w:t>6 (1.5)</w:t>
            </w:r>
          </w:p>
        </w:tc>
      </w:tr>
      <w:tr w:rsidR="00723426" w:rsidRPr="00723426" w14:paraId="5A1EE73C" w14:textId="77777777" w:rsidTr="005402F5">
        <w:tblPrEx>
          <w:tblCellMar>
            <w:top w:w="0" w:type="dxa"/>
            <w:left w:w="0" w:type="dxa"/>
            <w:bottom w:w="0" w:type="dxa"/>
            <w:right w:w="0" w:type="dxa"/>
          </w:tblCellMar>
        </w:tblPrEx>
        <w:trPr>
          <w:divId w:val="935526654"/>
          <w:trHeight w:val="20"/>
        </w:trPr>
        <w:tc>
          <w:tcPr>
            <w:tcW w:w="2409" w:type="dxa"/>
            <w:vMerge/>
            <w:tcBorders>
              <w:bottom w:val="single" w:sz="4" w:space="0" w:color="033636" w:themeColor="text2"/>
            </w:tcBorders>
            <w:shd w:val="clear" w:color="auto" w:fill="C5FFEF" w:themeFill="background2" w:themeFillTint="33"/>
          </w:tcPr>
          <w:p w14:paraId="1AF48DF6" w14:textId="77777777" w:rsidR="00723426" w:rsidRPr="00723426" w:rsidRDefault="00723426" w:rsidP="00723426"/>
        </w:tc>
        <w:tc>
          <w:tcPr>
            <w:tcW w:w="4026" w:type="dxa"/>
            <w:tcMar>
              <w:top w:w="113" w:type="dxa"/>
              <w:left w:w="113" w:type="dxa"/>
              <w:bottom w:w="113" w:type="dxa"/>
              <w:right w:w="113" w:type="dxa"/>
            </w:tcMar>
            <w:vAlign w:val="center"/>
          </w:tcPr>
          <w:p w14:paraId="32F6E558" w14:textId="77777777" w:rsidR="00723426" w:rsidRPr="00723426" w:rsidRDefault="00723426" w:rsidP="005402F5">
            <w:pPr>
              <w:pStyle w:val="CDIFigure-Table-BodyTextLeft"/>
            </w:pPr>
            <w:r w:rsidRPr="00723426">
              <w:t>Rectum and throat</w:t>
            </w:r>
          </w:p>
        </w:tc>
        <w:tc>
          <w:tcPr>
            <w:tcW w:w="1601" w:type="dxa"/>
            <w:tcMar>
              <w:top w:w="113" w:type="dxa"/>
              <w:left w:w="113" w:type="dxa"/>
              <w:bottom w:w="113" w:type="dxa"/>
              <w:right w:w="113" w:type="dxa"/>
            </w:tcMar>
            <w:vAlign w:val="center"/>
          </w:tcPr>
          <w:p w14:paraId="44C925AE" w14:textId="77777777" w:rsidR="00723426" w:rsidRPr="00723426" w:rsidRDefault="00723426" w:rsidP="005402F5">
            <w:pPr>
              <w:pStyle w:val="CDIFigure-Table-BodyTextCentre"/>
            </w:pPr>
            <w:r w:rsidRPr="00723426">
              <w:t>181 (12.2)</w:t>
            </w:r>
          </w:p>
        </w:tc>
        <w:tc>
          <w:tcPr>
            <w:tcW w:w="1602" w:type="dxa"/>
            <w:tcMar>
              <w:top w:w="113" w:type="dxa"/>
              <w:left w:w="113" w:type="dxa"/>
              <w:bottom w:w="113" w:type="dxa"/>
              <w:right w:w="113" w:type="dxa"/>
            </w:tcMar>
            <w:vAlign w:val="center"/>
          </w:tcPr>
          <w:p w14:paraId="73B74D57" w14:textId="77777777" w:rsidR="00723426" w:rsidRPr="00723426" w:rsidRDefault="00723426" w:rsidP="005402F5">
            <w:pPr>
              <w:pStyle w:val="CDIFigure-Table-BodyTextCentre"/>
            </w:pPr>
            <w:r w:rsidRPr="00723426">
              <w:t>&lt; 5 (&lt; 1.3)</w:t>
            </w:r>
          </w:p>
        </w:tc>
      </w:tr>
      <w:tr w:rsidR="00723426" w:rsidRPr="00723426" w14:paraId="5A011038" w14:textId="77777777" w:rsidTr="005402F5">
        <w:tblPrEx>
          <w:tblCellMar>
            <w:top w:w="0" w:type="dxa"/>
            <w:left w:w="0" w:type="dxa"/>
            <w:bottom w:w="0" w:type="dxa"/>
            <w:right w:w="0" w:type="dxa"/>
          </w:tblCellMar>
        </w:tblPrEx>
        <w:trPr>
          <w:divId w:val="935526654"/>
          <w:trHeight w:val="20"/>
        </w:trPr>
        <w:tc>
          <w:tcPr>
            <w:tcW w:w="2409" w:type="dxa"/>
            <w:vMerge/>
            <w:tcBorders>
              <w:bottom w:val="single" w:sz="4" w:space="0" w:color="033636" w:themeColor="text2"/>
            </w:tcBorders>
            <w:shd w:val="clear" w:color="auto" w:fill="C5FFEF" w:themeFill="background2" w:themeFillTint="33"/>
          </w:tcPr>
          <w:p w14:paraId="6E99C089" w14:textId="77777777" w:rsidR="00723426" w:rsidRPr="00723426" w:rsidRDefault="00723426" w:rsidP="00723426"/>
        </w:tc>
        <w:tc>
          <w:tcPr>
            <w:tcW w:w="4026" w:type="dxa"/>
            <w:shd w:val="clear" w:color="auto" w:fill="F2F2F2" w:themeFill="background1" w:themeFillShade="F2"/>
            <w:tcMar>
              <w:top w:w="113" w:type="dxa"/>
              <w:left w:w="113" w:type="dxa"/>
              <w:bottom w:w="113" w:type="dxa"/>
              <w:right w:w="113" w:type="dxa"/>
            </w:tcMar>
            <w:vAlign w:val="center"/>
          </w:tcPr>
          <w:p w14:paraId="1B7C3C83" w14:textId="77777777" w:rsidR="00723426" w:rsidRPr="00723426" w:rsidRDefault="00723426" w:rsidP="005402F5">
            <w:pPr>
              <w:pStyle w:val="CDIFigure-Table-BodyTextLeft"/>
            </w:pPr>
            <w:r w:rsidRPr="00723426">
              <w:t>Urogenital and throat</w:t>
            </w:r>
          </w:p>
        </w:tc>
        <w:tc>
          <w:tcPr>
            <w:tcW w:w="1601" w:type="dxa"/>
            <w:shd w:val="clear" w:color="auto" w:fill="F2F2F2" w:themeFill="background1" w:themeFillShade="F2"/>
            <w:tcMar>
              <w:top w:w="113" w:type="dxa"/>
              <w:left w:w="113" w:type="dxa"/>
              <w:bottom w:w="113" w:type="dxa"/>
              <w:right w:w="113" w:type="dxa"/>
            </w:tcMar>
            <w:vAlign w:val="center"/>
          </w:tcPr>
          <w:p w14:paraId="082A2112" w14:textId="77777777" w:rsidR="00723426" w:rsidRPr="00723426" w:rsidRDefault="00723426" w:rsidP="005402F5">
            <w:pPr>
              <w:pStyle w:val="CDIFigure-Table-BodyTextCentre"/>
            </w:pPr>
            <w:r w:rsidRPr="00723426">
              <w:t>48 (3.2)</w:t>
            </w:r>
          </w:p>
        </w:tc>
        <w:tc>
          <w:tcPr>
            <w:tcW w:w="1602" w:type="dxa"/>
            <w:shd w:val="clear" w:color="auto" w:fill="F2F2F2" w:themeFill="background1" w:themeFillShade="F2"/>
            <w:tcMar>
              <w:top w:w="113" w:type="dxa"/>
              <w:left w:w="113" w:type="dxa"/>
              <w:bottom w:w="113" w:type="dxa"/>
              <w:right w:w="113" w:type="dxa"/>
            </w:tcMar>
            <w:vAlign w:val="center"/>
          </w:tcPr>
          <w:p w14:paraId="53435AD9" w14:textId="77777777" w:rsidR="00723426" w:rsidRPr="00723426" w:rsidRDefault="00723426" w:rsidP="005402F5">
            <w:pPr>
              <w:pStyle w:val="CDIFigure-Table-BodyTextCentre"/>
            </w:pPr>
            <w:r w:rsidRPr="00723426">
              <w:t>33 (8.4)</w:t>
            </w:r>
          </w:p>
        </w:tc>
      </w:tr>
      <w:tr w:rsidR="00723426" w:rsidRPr="00723426" w14:paraId="355F9832" w14:textId="77777777" w:rsidTr="005402F5">
        <w:tblPrEx>
          <w:tblCellMar>
            <w:top w:w="0" w:type="dxa"/>
            <w:left w:w="0" w:type="dxa"/>
            <w:bottom w:w="0" w:type="dxa"/>
            <w:right w:w="0" w:type="dxa"/>
          </w:tblCellMar>
        </w:tblPrEx>
        <w:trPr>
          <w:divId w:val="935526654"/>
          <w:trHeight w:val="20"/>
        </w:trPr>
        <w:tc>
          <w:tcPr>
            <w:tcW w:w="2409" w:type="dxa"/>
            <w:vMerge/>
            <w:tcBorders>
              <w:bottom w:val="single" w:sz="4" w:space="0" w:color="033636" w:themeColor="text2"/>
            </w:tcBorders>
            <w:shd w:val="clear" w:color="auto" w:fill="C5FFEF" w:themeFill="background2" w:themeFillTint="33"/>
          </w:tcPr>
          <w:p w14:paraId="75D828EE" w14:textId="77777777" w:rsidR="00723426" w:rsidRPr="00723426" w:rsidRDefault="00723426" w:rsidP="00723426"/>
        </w:tc>
        <w:tc>
          <w:tcPr>
            <w:tcW w:w="4026" w:type="dxa"/>
            <w:tcMar>
              <w:top w:w="113" w:type="dxa"/>
              <w:left w:w="113" w:type="dxa"/>
              <w:bottom w:w="113" w:type="dxa"/>
              <w:right w:w="113" w:type="dxa"/>
            </w:tcMar>
            <w:vAlign w:val="center"/>
          </w:tcPr>
          <w:p w14:paraId="00A72495" w14:textId="77777777" w:rsidR="00723426" w:rsidRPr="00723426" w:rsidRDefault="00723426" w:rsidP="005402F5">
            <w:pPr>
              <w:pStyle w:val="CDIFigure-Table-BodyTextLeft"/>
            </w:pPr>
            <w:r w:rsidRPr="00723426">
              <w:t xml:space="preserve">Urogenital and rectum </w:t>
            </w:r>
          </w:p>
        </w:tc>
        <w:tc>
          <w:tcPr>
            <w:tcW w:w="1601" w:type="dxa"/>
            <w:tcMar>
              <w:top w:w="113" w:type="dxa"/>
              <w:left w:w="113" w:type="dxa"/>
              <w:bottom w:w="113" w:type="dxa"/>
              <w:right w:w="113" w:type="dxa"/>
            </w:tcMar>
            <w:vAlign w:val="center"/>
          </w:tcPr>
          <w:p w14:paraId="27330DD2" w14:textId="77777777" w:rsidR="00723426" w:rsidRPr="00723426" w:rsidRDefault="00723426" w:rsidP="005402F5">
            <w:pPr>
              <w:pStyle w:val="CDIFigure-Table-BodyTextCentre"/>
            </w:pPr>
            <w:r w:rsidRPr="00723426">
              <w:t>59 (4.0)</w:t>
            </w:r>
          </w:p>
        </w:tc>
        <w:tc>
          <w:tcPr>
            <w:tcW w:w="1602" w:type="dxa"/>
            <w:tcMar>
              <w:top w:w="113" w:type="dxa"/>
              <w:left w:w="113" w:type="dxa"/>
              <w:bottom w:w="113" w:type="dxa"/>
              <w:right w:w="113" w:type="dxa"/>
            </w:tcMar>
            <w:vAlign w:val="center"/>
          </w:tcPr>
          <w:p w14:paraId="6CA5F2C6" w14:textId="77777777" w:rsidR="00723426" w:rsidRPr="00723426" w:rsidRDefault="00723426" w:rsidP="005402F5">
            <w:pPr>
              <w:pStyle w:val="CDIFigure-Table-BodyTextCentre"/>
            </w:pPr>
            <w:r w:rsidRPr="00723426">
              <w:t>14 (3.6)</w:t>
            </w:r>
          </w:p>
        </w:tc>
      </w:tr>
      <w:tr w:rsidR="00723426" w:rsidRPr="00723426" w14:paraId="77245D75" w14:textId="77777777" w:rsidTr="005402F5">
        <w:tblPrEx>
          <w:tblCellMar>
            <w:top w:w="0" w:type="dxa"/>
            <w:left w:w="0" w:type="dxa"/>
            <w:bottom w:w="0" w:type="dxa"/>
            <w:right w:w="0" w:type="dxa"/>
          </w:tblCellMar>
        </w:tblPrEx>
        <w:trPr>
          <w:divId w:val="935526654"/>
          <w:trHeight w:val="20"/>
        </w:trPr>
        <w:tc>
          <w:tcPr>
            <w:tcW w:w="2409" w:type="dxa"/>
            <w:vMerge/>
            <w:tcBorders>
              <w:bottom w:val="single" w:sz="4" w:space="0" w:color="033636" w:themeColor="text2"/>
            </w:tcBorders>
            <w:shd w:val="clear" w:color="auto" w:fill="C5FFEF" w:themeFill="background2" w:themeFillTint="33"/>
          </w:tcPr>
          <w:p w14:paraId="2F5E7495" w14:textId="77777777" w:rsidR="00723426" w:rsidRPr="00723426" w:rsidRDefault="00723426" w:rsidP="00723426"/>
        </w:tc>
        <w:tc>
          <w:tcPr>
            <w:tcW w:w="4026"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5AB375E" w14:textId="77777777" w:rsidR="00723426" w:rsidRPr="00723426" w:rsidRDefault="00723426" w:rsidP="005402F5">
            <w:pPr>
              <w:pStyle w:val="CDIFigure-Table-BodyTextLeft"/>
            </w:pPr>
            <w:r w:rsidRPr="00723426">
              <w:t>Urogenital, rectum and throat</w:t>
            </w:r>
          </w:p>
        </w:tc>
        <w:tc>
          <w:tcPr>
            <w:tcW w:w="160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477F6AE" w14:textId="77777777" w:rsidR="00723426" w:rsidRPr="00723426" w:rsidRDefault="00723426" w:rsidP="005402F5">
            <w:pPr>
              <w:pStyle w:val="CDIFigure-Table-BodyTextCentre"/>
            </w:pPr>
            <w:r w:rsidRPr="00723426">
              <w:t>43 (2.9)</w:t>
            </w:r>
          </w:p>
        </w:tc>
        <w:tc>
          <w:tcPr>
            <w:tcW w:w="1602"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93F2969" w14:textId="77777777" w:rsidR="00723426" w:rsidRPr="00723426" w:rsidRDefault="00723426" w:rsidP="005402F5">
            <w:pPr>
              <w:pStyle w:val="CDIFigure-Table-BodyTextCentre"/>
            </w:pPr>
            <w:r w:rsidRPr="00723426">
              <w:t>20 (5.1)</w:t>
            </w:r>
          </w:p>
        </w:tc>
      </w:tr>
    </w:tbl>
    <w:p w14:paraId="38246BF7" w14:textId="77777777" w:rsidR="00F77351" w:rsidRDefault="00F77351" w:rsidP="00F77351">
      <w:pPr>
        <w:pStyle w:val="CDIFigure-Table-FirstFootnote"/>
        <w:divId w:val="935526654"/>
      </w:pPr>
      <w:r>
        <w:t>a</w:t>
      </w:r>
      <w:r>
        <w:tab/>
        <w:t>Excludes sex of indeterminate/non-binary (n = 10).</w:t>
      </w:r>
    </w:p>
    <w:p w14:paraId="684EB081" w14:textId="77777777" w:rsidR="00F77351" w:rsidRDefault="00F77351" w:rsidP="00F77351">
      <w:pPr>
        <w:pStyle w:val="CDIFigure-Table-Footnote"/>
        <w:divId w:val="935526654"/>
      </w:pPr>
      <w:r>
        <w:t>b</w:t>
      </w:r>
      <w:r>
        <w:tab/>
      </w:r>
      <w:proofErr w:type="gramStart"/>
      <w:r>
        <w:t>For</w:t>
      </w:r>
      <w:proofErr w:type="gramEnd"/>
      <w:r>
        <w:t xml:space="preserve"> 1,385 notifications from October 2018 to December 2022.</w:t>
      </w:r>
    </w:p>
    <w:p w14:paraId="47217389" w14:textId="2DD63389" w:rsidR="00F77351" w:rsidRPr="00F77351" w:rsidRDefault="00F77351" w:rsidP="00F77351">
      <w:pPr>
        <w:pStyle w:val="CDIFigure-Table-Footnote"/>
        <w:divId w:val="935526654"/>
      </w:pPr>
      <w:r>
        <w:t>c</w:t>
      </w:r>
      <w:r>
        <w:tab/>
        <w:t>Excludes ‘other’ (n &lt; 5).</w:t>
      </w:r>
    </w:p>
    <w:p w14:paraId="6DBC3A5E" w14:textId="77777777" w:rsidR="00F77351" w:rsidRPr="00F77351" w:rsidRDefault="00F77351" w:rsidP="00F77351">
      <w:pPr>
        <w:divId w:val="935526654"/>
        <w:rPr>
          <w:lang w:val="en-GB"/>
        </w:rPr>
      </w:pPr>
      <w:r w:rsidRPr="00F77351">
        <w:rPr>
          <w:lang w:val="en-GB"/>
        </w:rPr>
        <w:t>Males with a same-sex or both-sexes sexual exposure represented 59.9% of all notifications (n = 1,130) and &gt; 99.0% (n = 475) where PrEP was used at diagnosis. The majority of those diagnosed at a sexual health/family planning clinic (78.7%, n = 926) were also males with a same-sex or both-sexes sexual exposure. For site of infection, approximately half of notifications (n = 967) included a urogenital infection; 40.0% included throat; and 33.0% included rectum (Table 1).</w:t>
      </w:r>
    </w:p>
    <w:p w14:paraId="625F803B" w14:textId="2BD5E181" w:rsidR="00F77351" w:rsidRDefault="00F77351" w:rsidP="00F77351">
      <w:pPr>
        <w:pStyle w:val="Heading2"/>
        <w:divId w:val="935526654"/>
      </w:pPr>
      <w:r>
        <w:t>Reinfections</w:t>
      </w:r>
    </w:p>
    <w:p w14:paraId="411CC472" w14:textId="77777777" w:rsidR="00F77351" w:rsidRPr="00F77351" w:rsidRDefault="00F77351" w:rsidP="00F77351">
      <w:pPr>
        <w:divId w:val="935526654"/>
        <w:rPr>
          <w:lang w:val="en-GB"/>
        </w:rPr>
      </w:pPr>
      <w:r w:rsidRPr="00F77351">
        <w:rPr>
          <w:lang w:val="en-GB"/>
        </w:rPr>
        <w:t xml:space="preserve">There were 385 notifications classified as reinfections, amounting to 20.4% of total notifications. Of 1,501 unique individuals, one gonococcal infection was notified for 1,254 individuals (83.5%) and more than one for 247 individuals (16.5%). Of those with one infection notified during the study period, 37 were excluded as they had at least one notification reported during 2014–2016, resulting in 1,217 individuals in the Single Infection group. Of the 247 individuals in the Reinfection group, 169 (68.4%) had two infections, 42 (17.0%) had three infections, 21 (8.5%) had four infections, 10 (4.0%) had five infections, and five (2.0%) had six or more infections. </w:t>
      </w:r>
    </w:p>
    <w:p w14:paraId="692DDE4F" w14:textId="2C2281E3" w:rsidR="00F77351" w:rsidRDefault="001F1F92" w:rsidP="001F1F92">
      <w:pPr>
        <w:pStyle w:val="Heading2"/>
        <w:divId w:val="935526654"/>
      </w:pPr>
      <w:r>
        <w:t>Trends</w:t>
      </w:r>
    </w:p>
    <w:p w14:paraId="6C63ED5B" w14:textId="77777777" w:rsidR="001F1F92" w:rsidRPr="001F1F92" w:rsidRDefault="001F1F92" w:rsidP="001F1F92">
      <w:pPr>
        <w:divId w:val="935526654"/>
        <w:rPr>
          <w:lang w:val="en-GB"/>
        </w:rPr>
      </w:pPr>
      <w:r w:rsidRPr="001F1F92">
        <w:rPr>
          <w:lang w:val="en-GB"/>
        </w:rPr>
        <w:t xml:space="preserve">Between 2017 and 2019, the proportion of notifications which were reinfections increased from 4.0% to 28.9%, before reducing in 2020 and 2021 and increasing again to 26.8% in 2022 (Figure 1). The overall rate of gonococcal infection notifications per 100,000 population per year increased from 59.98 in 2017 to 80.14 </w:t>
      </w:r>
      <w:r w:rsidRPr="001F1F92">
        <w:rPr>
          <w:lang w:val="en-GB"/>
        </w:rPr>
        <w:lastRenderedPageBreak/>
        <w:t xml:space="preserve">in 2022, with a dip in 2020 before increasing again in 2021 and 2022. The rate of reinfections per 100,000 population, which increased from 2.40 in 2017 to 21.46 in 2022, also saw a dip in 2020 and 2021. </w:t>
      </w:r>
    </w:p>
    <w:p w14:paraId="5095A375" w14:textId="77777777" w:rsidR="001F1F92" w:rsidRPr="001F1F92" w:rsidRDefault="001F1F92" w:rsidP="001F1F92">
      <w:pPr>
        <w:divId w:val="935526654"/>
        <w:rPr>
          <w:lang w:val="en-GB"/>
        </w:rPr>
      </w:pPr>
      <w:r w:rsidRPr="001F1F92">
        <w:rPr>
          <w:lang w:val="en-GB"/>
        </w:rPr>
        <w:t>Prior to 2020, the rate of first infections was declining while both the rate and proportion of reinfections increased between 2017 and 2019 (Figure 1). Although the rate of both first infections and reinfections decreased in 2020, there was a greater increase in the rate of reinfections than first infections between 2021 and 2022.</w:t>
      </w:r>
    </w:p>
    <w:p w14:paraId="335BE433" w14:textId="4A7B435F" w:rsidR="00F77351" w:rsidRPr="00F77351" w:rsidRDefault="001F1F92" w:rsidP="001F1F92">
      <w:pPr>
        <w:pStyle w:val="CDIFigure-Table-Title"/>
        <w:divId w:val="935526654"/>
      </w:pPr>
      <w:r w:rsidRPr="001F1F92">
        <w:t>Figure 1: Proportions of gonococcal notifications for reinfections and first infections, by year of specimen collection and ACT notification rates per 100,000 population for first gonococcal infections, gonococcal reinfections, and total gonococcal infections, 2017–2022</w:t>
      </w:r>
    </w:p>
    <w:p w14:paraId="694F9560" w14:textId="1801B5C2" w:rsidR="00F77351" w:rsidRDefault="005402F5" w:rsidP="001F1F92">
      <w:pPr>
        <w:pStyle w:val="CDIFigure-Table-ImagePlaceholder"/>
        <w:divId w:val="935526654"/>
      </w:pPr>
      <w:r>
        <w:rPr>
          <w:noProof/>
          <w14:ligatures w14:val="none"/>
        </w:rPr>
        <w:drawing>
          <wp:inline distT="0" distB="0" distL="0" distR="0" wp14:anchorId="14A69BDC" wp14:editId="6767206C">
            <wp:extent cx="6104408" cy="4046742"/>
            <wp:effectExtent l="0" t="0" r="0" b="0"/>
            <wp:docPr id="673415654" name="Picture 1" descr="This is a combined line and column graph. The columns show the proportion of gonococcal infection notifications (as a percentage) in the Australian Capital Territory which were for a first infection and for a reinfection between 2017 and 2022. It shows that in 2017, 4% of gonococcal infection notifications were for reinfections, increasing to 18% in 2018 and 29% in 2019. The proportion of reinfections then decreased to 21% in 2020 and 2021 and then increased to 27% in 2022. The lines show the notification rates per 100,000 population for total gonococcal infections, first gonococcal infections, and gonococcal reinfections between 2017 and 2022. The total gonococcal infection notification rate increased from 60 in 2017 to 80 in 2022. The first gonococcal infection notification rate increased from 58 in 2017 to 59 in 2022. The gonococcal reinfection notification rate increased from 2 in 2017 to 21 in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415654" name="Picture 1" descr="This is a combined line and column graph. The columns show the proportion of gonococcal infection notifications (as a percentage) in the Australian Capital Territory which were for a first infection and for a reinfection between 2017 and 2022. It shows that in 2017, 4% of gonococcal infection notifications were for reinfections, increasing to 18% in 2018 and 29% in 2019. The proportion of reinfections then decreased to 21% in 2020 and 2021 and then increased to 27% in 2022. The lines show the notification rates per 100,000 population for total gonococcal infections, first gonococcal infections, and gonococcal reinfections between 2017 and 2022. The total gonococcal infection notification rate increased from 60 in 2017 to 80 in 2022. The first gonococcal infection notification rate increased from 58 in 2017 to 59 in 2022. The gonococcal reinfection notification rate increased from 2 in 2017 to 21 in 2022."/>
                    <pic:cNvPicPr/>
                  </pic:nvPicPr>
                  <pic:blipFill>
                    <a:blip r:embed="rId9">
                      <a:extLst>
                        <a:ext uri="{28A0092B-C50C-407E-A947-70E740481C1C}">
                          <a14:useLocalDpi xmlns:a14="http://schemas.microsoft.com/office/drawing/2010/main" val="0"/>
                        </a:ext>
                      </a:extLst>
                    </a:blip>
                    <a:stretch>
                      <a:fillRect/>
                    </a:stretch>
                  </pic:blipFill>
                  <pic:spPr>
                    <a:xfrm>
                      <a:off x="0" y="0"/>
                      <a:ext cx="6104408" cy="4046742"/>
                    </a:xfrm>
                    <a:prstGeom prst="rect">
                      <a:avLst/>
                    </a:prstGeom>
                  </pic:spPr>
                </pic:pic>
              </a:graphicData>
            </a:graphic>
          </wp:inline>
        </w:drawing>
      </w:r>
    </w:p>
    <w:p w14:paraId="4891A716" w14:textId="541D31D9" w:rsidR="001F1F92" w:rsidRDefault="001F1F92" w:rsidP="001F1F92">
      <w:pPr>
        <w:pStyle w:val="Heading2"/>
        <w:divId w:val="935526654"/>
      </w:pPr>
      <w:r>
        <w:t>Case-case analysis</w:t>
      </w:r>
    </w:p>
    <w:p w14:paraId="615D0CBC" w14:textId="303D61F3" w:rsidR="001F1F92" w:rsidRPr="001F1F92" w:rsidRDefault="001F1F92" w:rsidP="001F1F92">
      <w:pPr>
        <w:divId w:val="935526654"/>
        <w:rPr>
          <w:lang w:val="en-GB"/>
        </w:rPr>
      </w:pPr>
      <w:r w:rsidRPr="001F1F92">
        <w:rPr>
          <w:lang w:val="en-GB"/>
        </w:rPr>
        <w:t>The median age at first infection for the Reinfection and Single Infection groups were 30 years (range: 16–61; IQR: 13) and 28 years (range: 14–75; IQR: 53), respectively (</w:t>
      </w:r>
      <w:r w:rsidRPr="001F1F92">
        <w:rPr>
          <w:i/>
          <w:iCs/>
          <w:lang w:val="en-GB"/>
        </w:rPr>
        <w:t>p</w:t>
      </w:r>
      <w:r w:rsidRPr="001F1F92">
        <w:rPr>
          <w:lang w:val="en-GB"/>
        </w:rPr>
        <w:t xml:space="preserve"> = 0.050). Univariate analysis showed that compared with the Single Infection group, the Reinfection group had significantly greater odds of being male, having a same-sex (compared with opposite-sex) sexual exposure, having used PrEP at diagnosis, and having been diagnosed at a sexual health/family planning clinic (compared with a general practice). Based on age at first infection, the Reinfection group had significantly greater odds of being in the 25–34, 35–44, and 45–54 years age groups than the 14–24 years age group (Table 2). The odds of anatomical site of first infection being only the rectum, only the throat, or at more than one site (compared with urogenital only) were significantly greater for the Reinfection group. No statistically significant differences were found between the two groups for Aboriginal and/or Torres Strait Islander status or sex worker status (Table 2).</w:t>
      </w:r>
    </w:p>
    <w:p w14:paraId="73CFEEC9" w14:textId="21B4E2DE" w:rsidR="001F1F92" w:rsidRDefault="001F1F92" w:rsidP="001F1F92">
      <w:pPr>
        <w:pStyle w:val="CDIFigure-Table-Title"/>
        <w:divId w:val="935526654"/>
      </w:pPr>
      <w:r w:rsidRPr="001F1F92">
        <w:lastRenderedPageBreak/>
        <w:t>Table 2: Number and proportion of individuals with a gonococcal infection notification in the ACT allocated to the ‘Reinfection’ and ‘Single Infection’ groups, by epidemiological characteristics, with univariate analyses of association, 2017–</w:t>
      </w:r>
      <w:proofErr w:type="gramStart"/>
      <w:r w:rsidRPr="001F1F92">
        <w:t>2022</w:t>
      </w:r>
      <w:proofErr w:type="gramEnd"/>
    </w:p>
    <w:tbl>
      <w:tblPr>
        <w:tblW w:w="0" w:type="auto"/>
        <w:tblLayout w:type="fixed"/>
        <w:tblCellMar>
          <w:left w:w="0" w:type="dxa"/>
          <w:right w:w="0" w:type="dxa"/>
        </w:tblCellMar>
        <w:tblLook w:val="0000" w:firstRow="0" w:lastRow="0" w:firstColumn="0" w:lastColumn="0" w:noHBand="0" w:noVBand="0"/>
        <w:tblCaption w:val="Table 2: Number and proportion of individuals with a gonococcal infection notification in the ACT allocated to the ‘Reinfection’ and ‘Single Infection’ groups, by epidemiological characteristics, with univariate analyses of association, 2017–2022"/>
        <w:tblDescription w:val="This is a table showing the number and percentage of individuals in the reinfection and single infection groups, broken down by variables examined in the study. It also shows the unadjusted odds ratio, 95% confidence interval, and p value for each variable. "/>
      </w:tblPr>
      <w:tblGrid>
        <w:gridCol w:w="2211"/>
        <w:gridCol w:w="2211"/>
        <w:gridCol w:w="1304"/>
        <w:gridCol w:w="1304"/>
        <w:gridCol w:w="1304"/>
        <w:gridCol w:w="1304"/>
      </w:tblGrid>
      <w:tr w:rsidR="00527BEF" w:rsidRPr="00092394" w14:paraId="7E1A043A" w14:textId="77777777" w:rsidTr="006F3EB4">
        <w:tblPrEx>
          <w:tblCellMar>
            <w:top w:w="0" w:type="dxa"/>
            <w:left w:w="0" w:type="dxa"/>
            <w:bottom w:w="0" w:type="dxa"/>
            <w:right w:w="0" w:type="dxa"/>
          </w:tblCellMar>
        </w:tblPrEx>
        <w:trPr>
          <w:divId w:val="935526654"/>
          <w:trHeight w:val="20"/>
          <w:tblHeader/>
        </w:trPr>
        <w:tc>
          <w:tcPr>
            <w:tcW w:w="2211" w:type="dxa"/>
            <w:shd w:val="clear" w:color="auto" w:fill="033636" w:themeFill="text2"/>
            <w:tcMar>
              <w:top w:w="113" w:type="dxa"/>
              <w:left w:w="113" w:type="dxa"/>
              <w:bottom w:w="113" w:type="dxa"/>
              <w:right w:w="113" w:type="dxa"/>
            </w:tcMar>
            <w:vAlign w:val="bottom"/>
          </w:tcPr>
          <w:p w14:paraId="77F5837A" w14:textId="77777777" w:rsidR="00527BEF" w:rsidRPr="00092394" w:rsidRDefault="00527BEF" w:rsidP="00092394">
            <w:pPr>
              <w:pStyle w:val="CDIFigure-Table-H1Left"/>
            </w:pPr>
            <w:r w:rsidRPr="00092394">
              <w:t>Variable</w:t>
            </w:r>
          </w:p>
        </w:tc>
        <w:tc>
          <w:tcPr>
            <w:tcW w:w="2211" w:type="dxa"/>
            <w:shd w:val="clear" w:color="auto" w:fill="033636" w:themeFill="text2"/>
            <w:tcMar>
              <w:top w:w="113" w:type="dxa"/>
              <w:left w:w="113" w:type="dxa"/>
              <w:bottom w:w="113" w:type="dxa"/>
              <w:right w:w="113" w:type="dxa"/>
            </w:tcMar>
            <w:vAlign w:val="bottom"/>
          </w:tcPr>
          <w:p w14:paraId="20C1C526" w14:textId="77777777" w:rsidR="00527BEF" w:rsidRPr="00092394" w:rsidRDefault="00527BEF" w:rsidP="00092394">
            <w:pPr>
              <w:pStyle w:val="CDIFigure-Table-H1Left"/>
            </w:pPr>
            <w:r w:rsidRPr="00092394">
              <w:t>Variable category</w:t>
            </w:r>
          </w:p>
        </w:tc>
        <w:tc>
          <w:tcPr>
            <w:tcW w:w="1304" w:type="dxa"/>
            <w:shd w:val="clear" w:color="auto" w:fill="033636" w:themeFill="text2"/>
            <w:tcMar>
              <w:top w:w="113" w:type="dxa"/>
              <w:left w:w="113" w:type="dxa"/>
              <w:bottom w:w="113" w:type="dxa"/>
              <w:right w:w="113" w:type="dxa"/>
            </w:tcMar>
            <w:vAlign w:val="bottom"/>
          </w:tcPr>
          <w:p w14:paraId="44B516F3" w14:textId="77777777" w:rsidR="00527BEF" w:rsidRPr="00092394" w:rsidRDefault="00527BEF" w:rsidP="00092394">
            <w:pPr>
              <w:pStyle w:val="CDIFigure-Table-H1"/>
            </w:pPr>
            <w:r w:rsidRPr="00092394">
              <w:t>Reinfection (%)</w:t>
            </w:r>
          </w:p>
        </w:tc>
        <w:tc>
          <w:tcPr>
            <w:tcW w:w="1304" w:type="dxa"/>
            <w:shd w:val="clear" w:color="auto" w:fill="033636" w:themeFill="text2"/>
            <w:tcMar>
              <w:top w:w="113" w:type="dxa"/>
              <w:left w:w="113" w:type="dxa"/>
              <w:bottom w:w="113" w:type="dxa"/>
              <w:right w:w="113" w:type="dxa"/>
            </w:tcMar>
            <w:vAlign w:val="bottom"/>
          </w:tcPr>
          <w:p w14:paraId="723E4170" w14:textId="77777777" w:rsidR="00527BEF" w:rsidRPr="00092394" w:rsidRDefault="00527BEF" w:rsidP="00092394">
            <w:pPr>
              <w:pStyle w:val="CDIFigure-Table-H1"/>
            </w:pPr>
            <w:r w:rsidRPr="00092394">
              <w:t>Single Infection</w:t>
            </w:r>
            <w:r w:rsidRPr="00092394">
              <w:br/>
              <w:t>(%)</w:t>
            </w:r>
          </w:p>
        </w:tc>
        <w:tc>
          <w:tcPr>
            <w:tcW w:w="1304" w:type="dxa"/>
            <w:shd w:val="clear" w:color="auto" w:fill="033636" w:themeFill="text2"/>
            <w:tcMar>
              <w:top w:w="113" w:type="dxa"/>
              <w:left w:w="113" w:type="dxa"/>
              <w:bottom w:w="113" w:type="dxa"/>
              <w:right w:w="113" w:type="dxa"/>
            </w:tcMar>
            <w:vAlign w:val="bottom"/>
          </w:tcPr>
          <w:p w14:paraId="59616BBC" w14:textId="77777777" w:rsidR="00527BEF" w:rsidRPr="00092394" w:rsidRDefault="00527BEF" w:rsidP="00092394">
            <w:pPr>
              <w:pStyle w:val="CDIFigure-Table-H1"/>
            </w:pPr>
            <w:r w:rsidRPr="00092394">
              <w:t>Unadjusted OR</w:t>
            </w:r>
            <w:r w:rsidRPr="00092394">
              <w:br/>
              <w:t xml:space="preserve">(95% </w:t>
            </w:r>
            <w:proofErr w:type="gramStart"/>
            <w:r w:rsidRPr="00092394">
              <w:t>CI)</w:t>
            </w:r>
            <w:r w:rsidRPr="00092394">
              <w:rPr>
                <w:vertAlign w:val="superscript"/>
              </w:rPr>
              <w:t>a</w:t>
            </w:r>
            <w:proofErr w:type="gramEnd"/>
          </w:p>
        </w:tc>
        <w:tc>
          <w:tcPr>
            <w:tcW w:w="1304" w:type="dxa"/>
            <w:shd w:val="clear" w:color="auto" w:fill="033636" w:themeFill="text2"/>
            <w:tcMar>
              <w:top w:w="113" w:type="dxa"/>
              <w:left w:w="113" w:type="dxa"/>
              <w:bottom w:w="113" w:type="dxa"/>
              <w:right w:w="113" w:type="dxa"/>
            </w:tcMar>
            <w:vAlign w:val="bottom"/>
          </w:tcPr>
          <w:p w14:paraId="096EE37E" w14:textId="77777777" w:rsidR="00527BEF" w:rsidRPr="00092394" w:rsidRDefault="00527BEF" w:rsidP="00092394">
            <w:pPr>
              <w:pStyle w:val="CDIFigure-Table-H1"/>
            </w:pPr>
            <w:r w:rsidRPr="00C337BD">
              <w:rPr>
                <w:i/>
                <w:iCs/>
              </w:rPr>
              <w:t>p</w:t>
            </w:r>
            <w:r w:rsidRPr="00092394">
              <w:t xml:space="preserve"> value</w:t>
            </w:r>
            <w:r w:rsidRPr="00092394">
              <w:br/>
              <w:t>(χ</w:t>
            </w:r>
            <w:r w:rsidRPr="00092394">
              <w:rPr>
                <w:vertAlign w:val="superscript"/>
              </w:rPr>
              <w:t>2</w:t>
            </w:r>
            <w:r w:rsidRPr="00092394">
              <w:t>)</w:t>
            </w:r>
          </w:p>
        </w:tc>
      </w:tr>
      <w:tr w:rsidR="00527BEF" w:rsidRPr="00092394" w14:paraId="04B3EACB" w14:textId="77777777" w:rsidTr="006F3EB4">
        <w:tblPrEx>
          <w:tblCellMar>
            <w:top w:w="0" w:type="dxa"/>
            <w:left w:w="0" w:type="dxa"/>
            <w:bottom w:w="0" w:type="dxa"/>
            <w:right w:w="0" w:type="dxa"/>
          </w:tblCellMar>
        </w:tblPrEx>
        <w:trPr>
          <w:divId w:val="935526654"/>
          <w:trHeight w:val="20"/>
        </w:trPr>
        <w:tc>
          <w:tcPr>
            <w:tcW w:w="2211" w:type="dxa"/>
            <w:vMerge w:val="restart"/>
            <w:tcBorders>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472132C2" w14:textId="77777777" w:rsidR="00527BEF" w:rsidRPr="00092394" w:rsidRDefault="00527BEF" w:rsidP="00092394">
            <w:pPr>
              <w:pStyle w:val="CDIFigure-Table-BodyTextLeft"/>
            </w:pPr>
            <w:r w:rsidRPr="00092394">
              <w:t>Age (years)</w:t>
            </w:r>
          </w:p>
        </w:tc>
        <w:tc>
          <w:tcPr>
            <w:tcW w:w="2211" w:type="dxa"/>
            <w:shd w:val="clear" w:color="auto" w:fill="F2F2F2" w:themeFill="background1" w:themeFillShade="F2"/>
            <w:tcMar>
              <w:top w:w="113" w:type="dxa"/>
              <w:left w:w="113" w:type="dxa"/>
              <w:bottom w:w="113" w:type="dxa"/>
              <w:right w:w="113" w:type="dxa"/>
            </w:tcMar>
            <w:vAlign w:val="center"/>
          </w:tcPr>
          <w:p w14:paraId="5FA528E5" w14:textId="77777777" w:rsidR="00527BEF" w:rsidRPr="00092394" w:rsidRDefault="00527BEF" w:rsidP="00092394">
            <w:pPr>
              <w:pStyle w:val="CDIFigure-Table-BodyTextLeft"/>
            </w:pPr>
            <w:r w:rsidRPr="00092394">
              <w:t>14–24</w:t>
            </w:r>
          </w:p>
        </w:tc>
        <w:tc>
          <w:tcPr>
            <w:tcW w:w="1304" w:type="dxa"/>
            <w:shd w:val="clear" w:color="auto" w:fill="F2F2F2" w:themeFill="background1" w:themeFillShade="F2"/>
            <w:tcMar>
              <w:top w:w="113" w:type="dxa"/>
              <w:left w:w="113" w:type="dxa"/>
              <w:bottom w:w="113" w:type="dxa"/>
              <w:right w:w="113" w:type="dxa"/>
            </w:tcMar>
            <w:vAlign w:val="center"/>
          </w:tcPr>
          <w:p w14:paraId="5E1ED306" w14:textId="77777777" w:rsidR="00527BEF" w:rsidRPr="00092394" w:rsidRDefault="00527BEF" w:rsidP="00092394">
            <w:pPr>
              <w:pStyle w:val="CDIFigure-Table-BodyTextCentre"/>
            </w:pPr>
            <w:r w:rsidRPr="00092394">
              <w:t>51</w:t>
            </w:r>
            <w:r w:rsidRPr="00092394">
              <w:br/>
              <w:t>(20.6)</w:t>
            </w:r>
          </w:p>
        </w:tc>
        <w:tc>
          <w:tcPr>
            <w:tcW w:w="1304" w:type="dxa"/>
            <w:shd w:val="clear" w:color="auto" w:fill="F2F2F2" w:themeFill="background1" w:themeFillShade="F2"/>
            <w:tcMar>
              <w:top w:w="113" w:type="dxa"/>
              <w:left w:w="113" w:type="dxa"/>
              <w:bottom w:w="113" w:type="dxa"/>
              <w:right w:w="113" w:type="dxa"/>
            </w:tcMar>
            <w:vAlign w:val="center"/>
          </w:tcPr>
          <w:p w14:paraId="5F92745B" w14:textId="77777777" w:rsidR="00527BEF" w:rsidRPr="00092394" w:rsidRDefault="00527BEF" w:rsidP="00092394">
            <w:pPr>
              <w:pStyle w:val="CDIFigure-Table-BodyTextCentre"/>
            </w:pPr>
            <w:r w:rsidRPr="00092394">
              <w:t>373</w:t>
            </w:r>
            <w:r w:rsidRPr="00092394">
              <w:br/>
              <w:t>(30.6)</w:t>
            </w:r>
          </w:p>
        </w:tc>
        <w:tc>
          <w:tcPr>
            <w:tcW w:w="1304" w:type="dxa"/>
            <w:shd w:val="clear" w:color="auto" w:fill="F2F2F2" w:themeFill="background1" w:themeFillShade="F2"/>
            <w:tcMar>
              <w:top w:w="113" w:type="dxa"/>
              <w:left w:w="113" w:type="dxa"/>
              <w:bottom w:w="113" w:type="dxa"/>
              <w:right w:w="113" w:type="dxa"/>
            </w:tcMar>
            <w:vAlign w:val="center"/>
          </w:tcPr>
          <w:p w14:paraId="1086A579" w14:textId="77777777" w:rsidR="00527BEF" w:rsidRPr="00092394" w:rsidRDefault="00527BEF" w:rsidP="00092394">
            <w:pPr>
              <w:pStyle w:val="CDIFigure-Table-BodyTextCentre"/>
            </w:pPr>
            <w:r w:rsidRPr="00092394">
              <w:t>Ref.</w:t>
            </w:r>
          </w:p>
        </w:tc>
        <w:tc>
          <w:tcPr>
            <w:tcW w:w="1304" w:type="dxa"/>
            <w:shd w:val="clear" w:color="auto" w:fill="F2F2F2" w:themeFill="background1" w:themeFillShade="F2"/>
            <w:tcMar>
              <w:top w:w="113" w:type="dxa"/>
              <w:left w:w="113" w:type="dxa"/>
              <w:bottom w:w="113" w:type="dxa"/>
              <w:right w:w="113" w:type="dxa"/>
            </w:tcMar>
            <w:vAlign w:val="center"/>
          </w:tcPr>
          <w:p w14:paraId="1886C157" w14:textId="77777777" w:rsidR="00527BEF" w:rsidRPr="00092394" w:rsidRDefault="00527BEF" w:rsidP="00092394">
            <w:pPr>
              <w:pStyle w:val="CDIFigure-Table-BodyTextCentre"/>
            </w:pPr>
            <w:r w:rsidRPr="00092394">
              <w:t>—</w:t>
            </w:r>
          </w:p>
        </w:tc>
      </w:tr>
      <w:tr w:rsidR="00527BEF" w:rsidRPr="00092394" w14:paraId="0A717E43" w14:textId="77777777" w:rsidTr="006F3EB4">
        <w:tblPrEx>
          <w:tblCellMar>
            <w:top w:w="0" w:type="dxa"/>
            <w:left w:w="0" w:type="dxa"/>
            <w:bottom w:w="0" w:type="dxa"/>
            <w:right w:w="0" w:type="dxa"/>
          </w:tblCellMar>
        </w:tblPrEx>
        <w:trPr>
          <w:divId w:val="935526654"/>
          <w:trHeight w:val="20"/>
        </w:trPr>
        <w:tc>
          <w:tcPr>
            <w:tcW w:w="2211" w:type="dxa"/>
            <w:vMerge/>
            <w:tcBorders>
              <w:bottom w:val="single" w:sz="4" w:space="0" w:color="033636" w:themeColor="text2"/>
            </w:tcBorders>
            <w:shd w:val="clear" w:color="auto" w:fill="C5FFEF" w:themeFill="background2" w:themeFillTint="33"/>
          </w:tcPr>
          <w:p w14:paraId="05432C77" w14:textId="77777777" w:rsidR="00527BEF" w:rsidRPr="00092394" w:rsidRDefault="00527BEF" w:rsidP="00092394">
            <w:pPr>
              <w:pStyle w:val="CDIFigure-Table-BodyTextLeft"/>
            </w:pPr>
          </w:p>
        </w:tc>
        <w:tc>
          <w:tcPr>
            <w:tcW w:w="2211" w:type="dxa"/>
            <w:tcMar>
              <w:top w:w="113" w:type="dxa"/>
              <w:left w:w="113" w:type="dxa"/>
              <w:bottom w:w="113" w:type="dxa"/>
              <w:right w:w="113" w:type="dxa"/>
            </w:tcMar>
            <w:vAlign w:val="center"/>
          </w:tcPr>
          <w:p w14:paraId="7D0D85FA" w14:textId="77777777" w:rsidR="00527BEF" w:rsidRPr="00092394" w:rsidRDefault="00527BEF" w:rsidP="00092394">
            <w:pPr>
              <w:pStyle w:val="CDIFigure-Table-BodyTextLeft"/>
            </w:pPr>
            <w:r w:rsidRPr="00092394">
              <w:t>25–34</w:t>
            </w:r>
          </w:p>
        </w:tc>
        <w:tc>
          <w:tcPr>
            <w:tcW w:w="1304" w:type="dxa"/>
            <w:tcMar>
              <w:top w:w="113" w:type="dxa"/>
              <w:left w:w="113" w:type="dxa"/>
              <w:bottom w:w="113" w:type="dxa"/>
              <w:right w:w="113" w:type="dxa"/>
            </w:tcMar>
            <w:vAlign w:val="center"/>
          </w:tcPr>
          <w:p w14:paraId="0AD9C33B" w14:textId="77777777" w:rsidR="00527BEF" w:rsidRPr="00092394" w:rsidRDefault="00527BEF" w:rsidP="00092394">
            <w:pPr>
              <w:pStyle w:val="CDIFigure-Table-BodyTextCentre"/>
            </w:pPr>
            <w:r w:rsidRPr="00092394">
              <w:t>115</w:t>
            </w:r>
            <w:r w:rsidRPr="00092394">
              <w:br/>
              <w:t>(46.6)</w:t>
            </w:r>
          </w:p>
        </w:tc>
        <w:tc>
          <w:tcPr>
            <w:tcW w:w="1304" w:type="dxa"/>
            <w:tcMar>
              <w:top w:w="113" w:type="dxa"/>
              <w:left w:w="113" w:type="dxa"/>
              <w:bottom w:w="113" w:type="dxa"/>
              <w:right w:w="113" w:type="dxa"/>
            </w:tcMar>
            <w:vAlign w:val="center"/>
          </w:tcPr>
          <w:p w14:paraId="5F236834" w14:textId="77777777" w:rsidR="00527BEF" w:rsidRPr="00092394" w:rsidRDefault="00527BEF" w:rsidP="00092394">
            <w:pPr>
              <w:pStyle w:val="CDIFigure-Table-BodyTextCentre"/>
            </w:pPr>
            <w:r w:rsidRPr="00092394">
              <w:t>487</w:t>
            </w:r>
            <w:r w:rsidRPr="00092394">
              <w:br/>
              <w:t>(40.0)</w:t>
            </w:r>
          </w:p>
        </w:tc>
        <w:tc>
          <w:tcPr>
            <w:tcW w:w="1304" w:type="dxa"/>
            <w:tcMar>
              <w:top w:w="113" w:type="dxa"/>
              <w:left w:w="113" w:type="dxa"/>
              <w:bottom w:w="113" w:type="dxa"/>
              <w:right w:w="113" w:type="dxa"/>
            </w:tcMar>
            <w:vAlign w:val="center"/>
          </w:tcPr>
          <w:p w14:paraId="6C616E73" w14:textId="7E4F3802" w:rsidR="00527BEF" w:rsidRPr="00092394" w:rsidRDefault="00527BEF" w:rsidP="00092394">
            <w:pPr>
              <w:pStyle w:val="CDIFigure-Table-BodyTextCentre"/>
            </w:pPr>
            <w:r w:rsidRPr="00092394">
              <w:t>1.73</w:t>
            </w:r>
            <w:r w:rsidR="00C337BD">
              <w:br/>
            </w:r>
            <w:r w:rsidRPr="00092394">
              <w:t>(1.21–2.47)</w:t>
            </w:r>
          </w:p>
        </w:tc>
        <w:tc>
          <w:tcPr>
            <w:tcW w:w="1304" w:type="dxa"/>
            <w:tcMar>
              <w:top w:w="113" w:type="dxa"/>
              <w:left w:w="113" w:type="dxa"/>
              <w:bottom w:w="113" w:type="dxa"/>
              <w:right w:w="113" w:type="dxa"/>
            </w:tcMar>
            <w:vAlign w:val="center"/>
          </w:tcPr>
          <w:p w14:paraId="70D730A1" w14:textId="77777777" w:rsidR="00527BEF" w:rsidRPr="00092394" w:rsidRDefault="00527BEF" w:rsidP="00092394">
            <w:pPr>
              <w:pStyle w:val="CDIFigure-Table-BodyTextCentre"/>
            </w:pPr>
            <w:r w:rsidRPr="00092394">
              <w:t>0.003</w:t>
            </w:r>
          </w:p>
        </w:tc>
      </w:tr>
      <w:tr w:rsidR="00527BEF" w:rsidRPr="00092394" w14:paraId="4C6C3FFF" w14:textId="77777777" w:rsidTr="006F3EB4">
        <w:tblPrEx>
          <w:tblCellMar>
            <w:top w:w="0" w:type="dxa"/>
            <w:left w:w="0" w:type="dxa"/>
            <w:bottom w:w="0" w:type="dxa"/>
            <w:right w:w="0" w:type="dxa"/>
          </w:tblCellMar>
        </w:tblPrEx>
        <w:trPr>
          <w:divId w:val="935526654"/>
          <w:trHeight w:val="20"/>
        </w:trPr>
        <w:tc>
          <w:tcPr>
            <w:tcW w:w="2211" w:type="dxa"/>
            <w:vMerge/>
            <w:tcBorders>
              <w:bottom w:val="single" w:sz="4" w:space="0" w:color="033636" w:themeColor="text2"/>
            </w:tcBorders>
            <w:shd w:val="clear" w:color="auto" w:fill="C5FFEF" w:themeFill="background2" w:themeFillTint="33"/>
          </w:tcPr>
          <w:p w14:paraId="3F0587DD" w14:textId="77777777" w:rsidR="00527BEF" w:rsidRPr="00092394" w:rsidRDefault="00527BEF" w:rsidP="00092394">
            <w:pPr>
              <w:pStyle w:val="CDIFigure-Table-BodyTextLeft"/>
            </w:pPr>
          </w:p>
        </w:tc>
        <w:tc>
          <w:tcPr>
            <w:tcW w:w="2211" w:type="dxa"/>
            <w:shd w:val="clear" w:color="auto" w:fill="F2F2F2" w:themeFill="background1" w:themeFillShade="F2"/>
            <w:tcMar>
              <w:top w:w="113" w:type="dxa"/>
              <w:left w:w="113" w:type="dxa"/>
              <w:bottom w:w="113" w:type="dxa"/>
              <w:right w:w="113" w:type="dxa"/>
            </w:tcMar>
            <w:vAlign w:val="center"/>
          </w:tcPr>
          <w:p w14:paraId="5239F39D" w14:textId="77777777" w:rsidR="00527BEF" w:rsidRPr="00092394" w:rsidRDefault="00527BEF" w:rsidP="00092394">
            <w:pPr>
              <w:pStyle w:val="CDIFigure-Table-BodyTextLeft"/>
            </w:pPr>
            <w:r w:rsidRPr="00092394">
              <w:t>35–44</w:t>
            </w:r>
          </w:p>
        </w:tc>
        <w:tc>
          <w:tcPr>
            <w:tcW w:w="1304" w:type="dxa"/>
            <w:shd w:val="clear" w:color="auto" w:fill="F2F2F2" w:themeFill="background1" w:themeFillShade="F2"/>
            <w:tcMar>
              <w:top w:w="113" w:type="dxa"/>
              <w:left w:w="113" w:type="dxa"/>
              <w:bottom w:w="113" w:type="dxa"/>
              <w:right w:w="113" w:type="dxa"/>
            </w:tcMar>
            <w:vAlign w:val="center"/>
          </w:tcPr>
          <w:p w14:paraId="1443AF12" w14:textId="77777777" w:rsidR="00527BEF" w:rsidRPr="00092394" w:rsidRDefault="00527BEF" w:rsidP="00092394">
            <w:pPr>
              <w:pStyle w:val="CDIFigure-Table-BodyTextCentre"/>
            </w:pPr>
            <w:r w:rsidRPr="00092394">
              <w:t>49</w:t>
            </w:r>
            <w:r w:rsidRPr="00092394">
              <w:br/>
              <w:t>(19.8)</w:t>
            </w:r>
          </w:p>
        </w:tc>
        <w:tc>
          <w:tcPr>
            <w:tcW w:w="1304" w:type="dxa"/>
            <w:shd w:val="clear" w:color="auto" w:fill="F2F2F2" w:themeFill="background1" w:themeFillShade="F2"/>
            <w:tcMar>
              <w:top w:w="113" w:type="dxa"/>
              <w:left w:w="113" w:type="dxa"/>
              <w:bottom w:w="113" w:type="dxa"/>
              <w:right w:w="113" w:type="dxa"/>
            </w:tcMar>
            <w:vAlign w:val="center"/>
          </w:tcPr>
          <w:p w14:paraId="03A001A3" w14:textId="77777777" w:rsidR="00527BEF" w:rsidRPr="00092394" w:rsidRDefault="00527BEF" w:rsidP="00092394">
            <w:pPr>
              <w:pStyle w:val="CDIFigure-Table-BodyTextCentre"/>
            </w:pPr>
            <w:r w:rsidRPr="00092394">
              <w:t>209</w:t>
            </w:r>
            <w:r w:rsidRPr="00092394">
              <w:br/>
              <w:t>(17.2)</w:t>
            </w:r>
          </w:p>
        </w:tc>
        <w:tc>
          <w:tcPr>
            <w:tcW w:w="1304" w:type="dxa"/>
            <w:shd w:val="clear" w:color="auto" w:fill="F2F2F2" w:themeFill="background1" w:themeFillShade="F2"/>
            <w:tcMar>
              <w:top w:w="113" w:type="dxa"/>
              <w:left w:w="113" w:type="dxa"/>
              <w:bottom w:w="113" w:type="dxa"/>
              <w:right w:w="113" w:type="dxa"/>
            </w:tcMar>
            <w:vAlign w:val="center"/>
          </w:tcPr>
          <w:p w14:paraId="2C6B7141" w14:textId="59AFA695" w:rsidR="00527BEF" w:rsidRPr="00092394" w:rsidRDefault="00527BEF" w:rsidP="00092394">
            <w:pPr>
              <w:pStyle w:val="CDIFigure-Table-BodyTextCentre"/>
            </w:pPr>
            <w:r w:rsidRPr="00092394">
              <w:t>1.71</w:t>
            </w:r>
            <w:r w:rsidR="00C337BD">
              <w:br/>
            </w:r>
            <w:r w:rsidRPr="00092394">
              <w:t>(1.12–2.63)</w:t>
            </w:r>
          </w:p>
        </w:tc>
        <w:tc>
          <w:tcPr>
            <w:tcW w:w="1304" w:type="dxa"/>
            <w:shd w:val="clear" w:color="auto" w:fill="F2F2F2" w:themeFill="background1" w:themeFillShade="F2"/>
            <w:tcMar>
              <w:top w:w="113" w:type="dxa"/>
              <w:left w:w="113" w:type="dxa"/>
              <w:bottom w:w="113" w:type="dxa"/>
              <w:right w:w="113" w:type="dxa"/>
            </w:tcMar>
            <w:vAlign w:val="center"/>
          </w:tcPr>
          <w:p w14:paraId="30E49671" w14:textId="77777777" w:rsidR="00527BEF" w:rsidRPr="00092394" w:rsidRDefault="00527BEF" w:rsidP="00092394">
            <w:pPr>
              <w:pStyle w:val="CDIFigure-Table-BodyTextCentre"/>
            </w:pPr>
            <w:r w:rsidRPr="00092394">
              <w:t>0.013</w:t>
            </w:r>
          </w:p>
        </w:tc>
      </w:tr>
      <w:tr w:rsidR="00527BEF" w:rsidRPr="00092394" w14:paraId="0EFD5CC2" w14:textId="77777777" w:rsidTr="006F3EB4">
        <w:tblPrEx>
          <w:tblCellMar>
            <w:top w:w="0" w:type="dxa"/>
            <w:left w:w="0" w:type="dxa"/>
            <w:bottom w:w="0" w:type="dxa"/>
            <w:right w:w="0" w:type="dxa"/>
          </w:tblCellMar>
        </w:tblPrEx>
        <w:trPr>
          <w:divId w:val="935526654"/>
          <w:trHeight w:val="20"/>
        </w:trPr>
        <w:tc>
          <w:tcPr>
            <w:tcW w:w="2211" w:type="dxa"/>
            <w:vMerge/>
            <w:tcBorders>
              <w:bottom w:val="single" w:sz="4" w:space="0" w:color="033636" w:themeColor="text2"/>
            </w:tcBorders>
            <w:shd w:val="clear" w:color="auto" w:fill="C5FFEF" w:themeFill="background2" w:themeFillTint="33"/>
          </w:tcPr>
          <w:p w14:paraId="6FDFF665" w14:textId="77777777" w:rsidR="00527BEF" w:rsidRPr="00092394" w:rsidRDefault="00527BEF" w:rsidP="00092394">
            <w:pPr>
              <w:pStyle w:val="CDIFigure-Table-BodyTextLeft"/>
            </w:pPr>
          </w:p>
        </w:tc>
        <w:tc>
          <w:tcPr>
            <w:tcW w:w="2211" w:type="dxa"/>
            <w:tcMar>
              <w:top w:w="113" w:type="dxa"/>
              <w:left w:w="113" w:type="dxa"/>
              <w:bottom w:w="113" w:type="dxa"/>
              <w:right w:w="113" w:type="dxa"/>
            </w:tcMar>
            <w:vAlign w:val="center"/>
          </w:tcPr>
          <w:p w14:paraId="7DFC7BF2" w14:textId="77777777" w:rsidR="00527BEF" w:rsidRPr="00092394" w:rsidRDefault="00527BEF" w:rsidP="00092394">
            <w:pPr>
              <w:pStyle w:val="CDIFigure-Table-BodyTextLeft"/>
            </w:pPr>
            <w:r w:rsidRPr="00092394">
              <w:t>45–54</w:t>
            </w:r>
          </w:p>
        </w:tc>
        <w:tc>
          <w:tcPr>
            <w:tcW w:w="1304" w:type="dxa"/>
            <w:tcMar>
              <w:top w:w="113" w:type="dxa"/>
              <w:left w:w="113" w:type="dxa"/>
              <w:bottom w:w="113" w:type="dxa"/>
              <w:right w:w="113" w:type="dxa"/>
            </w:tcMar>
            <w:vAlign w:val="center"/>
          </w:tcPr>
          <w:p w14:paraId="5A2BEB79" w14:textId="77777777" w:rsidR="00527BEF" w:rsidRPr="00092394" w:rsidRDefault="00527BEF" w:rsidP="00092394">
            <w:pPr>
              <w:pStyle w:val="CDIFigure-Table-BodyTextCentre"/>
            </w:pPr>
            <w:r w:rsidRPr="00092394">
              <w:t>23</w:t>
            </w:r>
            <w:r w:rsidRPr="00092394">
              <w:br/>
              <w:t>(9.3)</w:t>
            </w:r>
          </w:p>
        </w:tc>
        <w:tc>
          <w:tcPr>
            <w:tcW w:w="1304" w:type="dxa"/>
            <w:tcMar>
              <w:top w:w="113" w:type="dxa"/>
              <w:left w:w="113" w:type="dxa"/>
              <w:bottom w:w="113" w:type="dxa"/>
              <w:right w:w="113" w:type="dxa"/>
            </w:tcMar>
            <w:vAlign w:val="center"/>
          </w:tcPr>
          <w:p w14:paraId="61F564D6" w14:textId="77777777" w:rsidR="00527BEF" w:rsidRPr="00092394" w:rsidRDefault="00527BEF" w:rsidP="00092394">
            <w:pPr>
              <w:pStyle w:val="CDIFigure-Table-BodyTextCentre"/>
            </w:pPr>
            <w:r w:rsidRPr="00092394">
              <w:t>96</w:t>
            </w:r>
            <w:r w:rsidRPr="00092394">
              <w:br/>
              <w:t>(7.9)</w:t>
            </w:r>
          </w:p>
        </w:tc>
        <w:tc>
          <w:tcPr>
            <w:tcW w:w="1304" w:type="dxa"/>
            <w:tcMar>
              <w:top w:w="113" w:type="dxa"/>
              <w:left w:w="113" w:type="dxa"/>
              <w:bottom w:w="113" w:type="dxa"/>
              <w:right w:w="113" w:type="dxa"/>
            </w:tcMar>
            <w:vAlign w:val="center"/>
          </w:tcPr>
          <w:p w14:paraId="1E2A4474" w14:textId="23D0B73D" w:rsidR="00527BEF" w:rsidRPr="00092394" w:rsidRDefault="00527BEF" w:rsidP="00092394">
            <w:pPr>
              <w:pStyle w:val="CDIFigure-Table-BodyTextCentre"/>
            </w:pPr>
            <w:r w:rsidRPr="00092394">
              <w:t>1.75</w:t>
            </w:r>
            <w:r w:rsidR="00C337BD">
              <w:br/>
            </w:r>
            <w:r w:rsidRPr="00092394">
              <w:t>(1.02–3.02)</w:t>
            </w:r>
          </w:p>
        </w:tc>
        <w:tc>
          <w:tcPr>
            <w:tcW w:w="1304" w:type="dxa"/>
            <w:tcMar>
              <w:top w:w="113" w:type="dxa"/>
              <w:left w:w="113" w:type="dxa"/>
              <w:bottom w:w="113" w:type="dxa"/>
              <w:right w:w="113" w:type="dxa"/>
            </w:tcMar>
            <w:vAlign w:val="center"/>
          </w:tcPr>
          <w:p w14:paraId="5690E065" w14:textId="77777777" w:rsidR="00527BEF" w:rsidRPr="00092394" w:rsidRDefault="00527BEF" w:rsidP="00092394">
            <w:pPr>
              <w:pStyle w:val="CDIFigure-Table-BodyTextCentre"/>
            </w:pPr>
            <w:r w:rsidRPr="00092394">
              <w:t>0.041</w:t>
            </w:r>
          </w:p>
        </w:tc>
      </w:tr>
      <w:tr w:rsidR="00527BEF" w:rsidRPr="00092394" w14:paraId="3178A334" w14:textId="77777777" w:rsidTr="006F3EB4">
        <w:tblPrEx>
          <w:tblCellMar>
            <w:top w:w="0" w:type="dxa"/>
            <w:left w:w="0" w:type="dxa"/>
            <w:bottom w:w="0" w:type="dxa"/>
            <w:right w:w="0" w:type="dxa"/>
          </w:tblCellMar>
        </w:tblPrEx>
        <w:trPr>
          <w:divId w:val="935526654"/>
          <w:trHeight w:val="20"/>
        </w:trPr>
        <w:tc>
          <w:tcPr>
            <w:tcW w:w="2211" w:type="dxa"/>
            <w:vMerge/>
            <w:tcBorders>
              <w:bottom w:val="single" w:sz="4" w:space="0" w:color="033636" w:themeColor="text2"/>
            </w:tcBorders>
            <w:shd w:val="clear" w:color="auto" w:fill="C5FFEF" w:themeFill="background2" w:themeFillTint="33"/>
          </w:tcPr>
          <w:p w14:paraId="28DC3EB1" w14:textId="77777777" w:rsidR="00527BEF" w:rsidRPr="00092394" w:rsidRDefault="00527BEF" w:rsidP="00092394">
            <w:pPr>
              <w:pStyle w:val="CDIFigure-Table-BodyTextLeft"/>
            </w:pPr>
          </w:p>
        </w:tc>
        <w:tc>
          <w:tcPr>
            <w:tcW w:w="221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45DD954" w14:textId="77777777" w:rsidR="00527BEF" w:rsidRPr="00092394" w:rsidRDefault="00527BEF" w:rsidP="00092394">
            <w:pPr>
              <w:pStyle w:val="CDIFigure-Table-BodyTextLeft"/>
            </w:pPr>
            <w:r w:rsidRPr="00092394">
              <w:t>55 and over</w:t>
            </w:r>
          </w:p>
        </w:tc>
        <w:tc>
          <w:tcPr>
            <w:tcW w:w="130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F673ADD" w14:textId="77777777" w:rsidR="00527BEF" w:rsidRPr="00092394" w:rsidRDefault="00527BEF" w:rsidP="00092394">
            <w:pPr>
              <w:pStyle w:val="CDIFigure-Table-BodyTextCentre"/>
            </w:pPr>
            <w:r w:rsidRPr="00092394">
              <w:t>9</w:t>
            </w:r>
            <w:r w:rsidRPr="00092394">
              <w:br/>
              <w:t>(3.6)</w:t>
            </w:r>
          </w:p>
        </w:tc>
        <w:tc>
          <w:tcPr>
            <w:tcW w:w="130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64A17D5" w14:textId="77777777" w:rsidR="00527BEF" w:rsidRPr="00092394" w:rsidRDefault="00527BEF" w:rsidP="00092394">
            <w:pPr>
              <w:pStyle w:val="CDIFigure-Table-BodyTextCentre"/>
            </w:pPr>
            <w:r w:rsidRPr="00092394">
              <w:t>52</w:t>
            </w:r>
            <w:r w:rsidRPr="00092394">
              <w:br/>
              <w:t>(4.3)</w:t>
            </w:r>
          </w:p>
        </w:tc>
        <w:tc>
          <w:tcPr>
            <w:tcW w:w="130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38147A2" w14:textId="7362B60F" w:rsidR="00527BEF" w:rsidRPr="00092394" w:rsidRDefault="00527BEF" w:rsidP="00092394">
            <w:pPr>
              <w:pStyle w:val="CDIFigure-Table-BodyTextCentre"/>
            </w:pPr>
            <w:r w:rsidRPr="00092394">
              <w:t>1.27</w:t>
            </w:r>
            <w:r w:rsidR="00C337BD">
              <w:br/>
            </w:r>
            <w:r w:rsidRPr="00092394">
              <w:t>(0.59–2.73)</w:t>
            </w:r>
          </w:p>
        </w:tc>
        <w:tc>
          <w:tcPr>
            <w:tcW w:w="130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1A5D210" w14:textId="77777777" w:rsidR="00527BEF" w:rsidRPr="00092394" w:rsidRDefault="00527BEF" w:rsidP="00092394">
            <w:pPr>
              <w:pStyle w:val="CDIFigure-Table-BodyTextCentre"/>
            </w:pPr>
            <w:r w:rsidRPr="00092394">
              <w:t>0.546</w:t>
            </w:r>
          </w:p>
        </w:tc>
      </w:tr>
      <w:tr w:rsidR="00527BEF" w:rsidRPr="00092394" w14:paraId="36F1069F" w14:textId="77777777" w:rsidTr="006F3EB4">
        <w:tblPrEx>
          <w:tblCellMar>
            <w:top w:w="0" w:type="dxa"/>
            <w:left w:w="0" w:type="dxa"/>
            <w:bottom w:w="0" w:type="dxa"/>
            <w:right w:w="0" w:type="dxa"/>
          </w:tblCellMar>
        </w:tblPrEx>
        <w:trPr>
          <w:divId w:val="935526654"/>
          <w:trHeight w:val="20"/>
        </w:trPr>
        <w:tc>
          <w:tcPr>
            <w:tcW w:w="2211"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7C19D13D" w14:textId="77777777" w:rsidR="00527BEF" w:rsidRPr="00092394" w:rsidRDefault="00527BEF" w:rsidP="00092394">
            <w:pPr>
              <w:pStyle w:val="CDIFigure-Table-BodyTextLeft"/>
            </w:pPr>
            <w:proofErr w:type="spellStart"/>
            <w:r w:rsidRPr="00092394">
              <w:t>Sex</w:t>
            </w:r>
            <w:r w:rsidRPr="00092394">
              <w:rPr>
                <w:vertAlign w:val="superscript"/>
              </w:rPr>
              <w:t>b</w:t>
            </w:r>
            <w:proofErr w:type="spellEnd"/>
          </w:p>
        </w:tc>
        <w:tc>
          <w:tcPr>
            <w:tcW w:w="2211" w:type="dxa"/>
            <w:tcBorders>
              <w:top w:val="single" w:sz="4" w:space="0" w:color="033636" w:themeColor="text2"/>
            </w:tcBorders>
            <w:tcMar>
              <w:top w:w="113" w:type="dxa"/>
              <w:left w:w="113" w:type="dxa"/>
              <w:bottom w:w="113" w:type="dxa"/>
              <w:right w:w="113" w:type="dxa"/>
            </w:tcMar>
            <w:vAlign w:val="center"/>
          </w:tcPr>
          <w:p w14:paraId="057CF8B7" w14:textId="77777777" w:rsidR="00527BEF" w:rsidRPr="00092394" w:rsidRDefault="00527BEF" w:rsidP="00092394">
            <w:pPr>
              <w:pStyle w:val="CDIFigure-Table-BodyTextLeft"/>
            </w:pPr>
            <w:r w:rsidRPr="00092394">
              <w:t>Female</w:t>
            </w:r>
          </w:p>
        </w:tc>
        <w:tc>
          <w:tcPr>
            <w:tcW w:w="1304" w:type="dxa"/>
            <w:tcBorders>
              <w:top w:val="single" w:sz="4" w:space="0" w:color="033636" w:themeColor="text2"/>
            </w:tcBorders>
            <w:tcMar>
              <w:top w:w="113" w:type="dxa"/>
              <w:left w:w="113" w:type="dxa"/>
              <w:bottom w:w="113" w:type="dxa"/>
              <w:right w:w="113" w:type="dxa"/>
            </w:tcMar>
            <w:vAlign w:val="center"/>
          </w:tcPr>
          <w:p w14:paraId="265E3928" w14:textId="77777777" w:rsidR="00527BEF" w:rsidRPr="00092394" w:rsidRDefault="00527BEF" w:rsidP="00092394">
            <w:pPr>
              <w:pStyle w:val="CDIFigure-Table-BodyTextCentre"/>
            </w:pPr>
            <w:r w:rsidRPr="00092394">
              <w:t xml:space="preserve">23 </w:t>
            </w:r>
            <w:r w:rsidRPr="00092394">
              <w:br/>
              <w:t>(9.3)</w:t>
            </w:r>
          </w:p>
        </w:tc>
        <w:tc>
          <w:tcPr>
            <w:tcW w:w="1304" w:type="dxa"/>
            <w:tcBorders>
              <w:top w:val="single" w:sz="4" w:space="0" w:color="033636" w:themeColor="text2"/>
            </w:tcBorders>
            <w:tcMar>
              <w:top w:w="113" w:type="dxa"/>
              <w:left w:w="113" w:type="dxa"/>
              <w:bottom w:w="113" w:type="dxa"/>
              <w:right w:w="113" w:type="dxa"/>
            </w:tcMar>
            <w:vAlign w:val="center"/>
          </w:tcPr>
          <w:p w14:paraId="07C3819C" w14:textId="77777777" w:rsidR="00527BEF" w:rsidRPr="00092394" w:rsidRDefault="00527BEF" w:rsidP="00092394">
            <w:pPr>
              <w:pStyle w:val="CDIFigure-Table-BodyTextCentre"/>
            </w:pPr>
            <w:r w:rsidRPr="00092394">
              <w:t>341</w:t>
            </w:r>
            <w:r w:rsidRPr="00092394">
              <w:br/>
              <w:t>(28.2)</w:t>
            </w:r>
          </w:p>
        </w:tc>
        <w:tc>
          <w:tcPr>
            <w:tcW w:w="1304" w:type="dxa"/>
            <w:tcBorders>
              <w:top w:val="single" w:sz="4" w:space="0" w:color="033636" w:themeColor="text2"/>
            </w:tcBorders>
            <w:tcMar>
              <w:top w:w="113" w:type="dxa"/>
              <w:left w:w="113" w:type="dxa"/>
              <w:bottom w:w="113" w:type="dxa"/>
              <w:right w:w="113" w:type="dxa"/>
            </w:tcMar>
            <w:vAlign w:val="center"/>
          </w:tcPr>
          <w:p w14:paraId="724FFB7C" w14:textId="77777777" w:rsidR="00527BEF" w:rsidRPr="00092394" w:rsidRDefault="00527BEF" w:rsidP="00092394">
            <w:pPr>
              <w:pStyle w:val="CDIFigure-Table-BodyTextCentre"/>
            </w:pPr>
            <w:r w:rsidRPr="00092394">
              <w:t>Ref.</w:t>
            </w:r>
          </w:p>
        </w:tc>
        <w:tc>
          <w:tcPr>
            <w:tcW w:w="1304" w:type="dxa"/>
            <w:tcBorders>
              <w:top w:val="single" w:sz="4" w:space="0" w:color="033636" w:themeColor="text2"/>
            </w:tcBorders>
            <w:tcMar>
              <w:top w:w="113" w:type="dxa"/>
              <w:left w:w="113" w:type="dxa"/>
              <w:bottom w:w="113" w:type="dxa"/>
              <w:right w:w="113" w:type="dxa"/>
            </w:tcMar>
            <w:vAlign w:val="center"/>
          </w:tcPr>
          <w:p w14:paraId="016FBEA2" w14:textId="77777777" w:rsidR="00527BEF" w:rsidRPr="00092394" w:rsidRDefault="00527BEF" w:rsidP="00092394">
            <w:pPr>
              <w:pStyle w:val="CDIFigure-Table-BodyTextCentre"/>
            </w:pPr>
            <w:r w:rsidRPr="00092394">
              <w:t>—</w:t>
            </w:r>
          </w:p>
        </w:tc>
      </w:tr>
      <w:tr w:rsidR="00527BEF" w:rsidRPr="00092394" w14:paraId="30A4949E" w14:textId="77777777" w:rsidTr="006F3EB4">
        <w:tblPrEx>
          <w:tblCellMar>
            <w:top w:w="0" w:type="dxa"/>
            <w:left w:w="0" w:type="dxa"/>
            <w:bottom w:w="0" w:type="dxa"/>
            <w:right w:w="0" w:type="dxa"/>
          </w:tblCellMar>
        </w:tblPrEx>
        <w:trPr>
          <w:divId w:val="935526654"/>
          <w:trHeight w:val="20"/>
        </w:trPr>
        <w:tc>
          <w:tcPr>
            <w:tcW w:w="2211" w:type="dxa"/>
            <w:vMerge/>
            <w:tcBorders>
              <w:bottom w:val="single" w:sz="4" w:space="0" w:color="033636" w:themeColor="text2"/>
            </w:tcBorders>
            <w:shd w:val="clear" w:color="auto" w:fill="C5FFEF" w:themeFill="background2" w:themeFillTint="33"/>
          </w:tcPr>
          <w:p w14:paraId="5797DD53" w14:textId="77777777" w:rsidR="00527BEF" w:rsidRPr="00092394" w:rsidRDefault="00527BEF" w:rsidP="00092394">
            <w:pPr>
              <w:pStyle w:val="CDIFigure-Table-BodyTextLeft"/>
            </w:pPr>
          </w:p>
        </w:tc>
        <w:tc>
          <w:tcPr>
            <w:tcW w:w="221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8129D1B" w14:textId="77777777" w:rsidR="00527BEF" w:rsidRPr="00092394" w:rsidRDefault="00527BEF" w:rsidP="00092394">
            <w:pPr>
              <w:pStyle w:val="CDIFigure-Table-BodyTextLeft"/>
            </w:pPr>
            <w:r w:rsidRPr="00092394">
              <w:t>Male</w:t>
            </w:r>
          </w:p>
        </w:tc>
        <w:tc>
          <w:tcPr>
            <w:tcW w:w="130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D21FA7C" w14:textId="77777777" w:rsidR="00527BEF" w:rsidRPr="00092394" w:rsidRDefault="00527BEF" w:rsidP="00092394">
            <w:pPr>
              <w:pStyle w:val="CDIFigure-Table-BodyTextCentre"/>
            </w:pPr>
            <w:r w:rsidRPr="00092394">
              <w:t>223</w:t>
            </w:r>
            <w:r w:rsidRPr="00092394">
              <w:br/>
              <w:t>(90.7)</w:t>
            </w:r>
          </w:p>
        </w:tc>
        <w:tc>
          <w:tcPr>
            <w:tcW w:w="130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B93539F" w14:textId="77777777" w:rsidR="00527BEF" w:rsidRPr="00092394" w:rsidRDefault="00527BEF" w:rsidP="00092394">
            <w:pPr>
              <w:pStyle w:val="CDIFigure-Table-BodyTextCentre"/>
            </w:pPr>
            <w:r w:rsidRPr="00092394">
              <w:t>868</w:t>
            </w:r>
            <w:r w:rsidRPr="00092394">
              <w:br/>
              <w:t>(71.8)</w:t>
            </w:r>
          </w:p>
        </w:tc>
        <w:tc>
          <w:tcPr>
            <w:tcW w:w="130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DFBB5E0" w14:textId="7498509E" w:rsidR="00527BEF" w:rsidRPr="00092394" w:rsidRDefault="00527BEF" w:rsidP="00092394">
            <w:pPr>
              <w:pStyle w:val="CDIFigure-Table-BodyTextCentre"/>
            </w:pPr>
            <w:r w:rsidRPr="00092394">
              <w:t>3.81</w:t>
            </w:r>
            <w:r w:rsidR="00C337BD">
              <w:br/>
            </w:r>
            <w:r w:rsidRPr="00092394">
              <w:t>(2.42–5.99)</w:t>
            </w:r>
          </w:p>
        </w:tc>
        <w:tc>
          <w:tcPr>
            <w:tcW w:w="130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C7D5EA4" w14:textId="77777777" w:rsidR="00527BEF" w:rsidRPr="00092394" w:rsidRDefault="00527BEF" w:rsidP="00092394">
            <w:pPr>
              <w:pStyle w:val="CDIFigure-Table-BodyTextCentre"/>
            </w:pPr>
            <w:r w:rsidRPr="00092394">
              <w:t>&lt; 0.001</w:t>
            </w:r>
          </w:p>
        </w:tc>
      </w:tr>
      <w:tr w:rsidR="00527BEF" w:rsidRPr="00092394" w14:paraId="43A7A175" w14:textId="77777777" w:rsidTr="006F3EB4">
        <w:tblPrEx>
          <w:tblCellMar>
            <w:top w:w="0" w:type="dxa"/>
            <w:left w:w="0" w:type="dxa"/>
            <w:bottom w:w="0" w:type="dxa"/>
            <w:right w:w="0" w:type="dxa"/>
          </w:tblCellMar>
        </w:tblPrEx>
        <w:trPr>
          <w:divId w:val="935526654"/>
          <w:trHeight w:val="20"/>
        </w:trPr>
        <w:tc>
          <w:tcPr>
            <w:tcW w:w="2211"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34E63F7A" w14:textId="77777777" w:rsidR="00527BEF" w:rsidRPr="00092394" w:rsidRDefault="00527BEF" w:rsidP="00092394">
            <w:pPr>
              <w:pStyle w:val="CDIFigure-Table-BodyTextLeft"/>
            </w:pPr>
            <w:r w:rsidRPr="00092394">
              <w:t xml:space="preserve">Aboriginal and/or Torres Strait Islander </w:t>
            </w:r>
            <w:proofErr w:type="spellStart"/>
            <w:r w:rsidRPr="00092394">
              <w:t>status</w:t>
            </w:r>
            <w:r w:rsidRPr="00092394">
              <w:rPr>
                <w:vertAlign w:val="superscript"/>
              </w:rPr>
              <w:t>c</w:t>
            </w:r>
            <w:proofErr w:type="spellEnd"/>
          </w:p>
        </w:tc>
        <w:tc>
          <w:tcPr>
            <w:tcW w:w="2211" w:type="dxa"/>
            <w:tcBorders>
              <w:top w:val="single" w:sz="4" w:space="0" w:color="033636" w:themeColor="text2"/>
            </w:tcBorders>
            <w:tcMar>
              <w:top w:w="113" w:type="dxa"/>
              <w:left w:w="113" w:type="dxa"/>
              <w:bottom w:w="113" w:type="dxa"/>
              <w:right w:w="113" w:type="dxa"/>
            </w:tcMar>
            <w:vAlign w:val="center"/>
          </w:tcPr>
          <w:p w14:paraId="001DE924" w14:textId="77777777" w:rsidR="00527BEF" w:rsidRPr="00092394" w:rsidRDefault="00527BEF" w:rsidP="00092394">
            <w:pPr>
              <w:pStyle w:val="CDIFigure-Table-BodyTextLeft"/>
            </w:pPr>
            <w:r w:rsidRPr="00092394">
              <w:t xml:space="preserve">Neither Aboriginal nor Torres Strait Islander </w:t>
            </w:r>
          </w:p>
        </w:tc>
        <w:tc>
          <w:tcPr>
            <w:tcW w:w="1304" w:type="dxa"/>
            <w:tcBorders>
              <w:top w:val="single" w:sz="4" w:space="0" w:color="033636" w:themeColor="text2"/>
            </w:tcBorders>
            <w:tcMar>
              <w:top w:w="113" w:type="dxa"/>
              <w:left w:w="113" w:type="dxa"/>
              <w:bottom w:w="113" w:type="dxa"/>
              <w:right w:w="113" w:type="dxa"/>
            </w:tcMar>
            <w:vAlign w:val="center"/>
          </w:tcPr>
          <w:p w14:paraId="1685B7F0" w14:textId="77777777" w:rsidR="00527BEF" w:rsidRPr="00092394" w:rsidRDefault="00527BEF" w:rsidP="00092394">
            <w:pPr>
              <w:pStyle w:val="CDIFigure-Table-BodyTextCentre"/>
            </w:pPr>
            <w:r w:rsidRPr="00092394">
              <w:t>231</w:t>
            </w:r>
            <w:r w:rsidRPr="00092394">
              <w:br/>
              <w:t>(95.5)</w:t>
            </w:r>
          </w:p>
        </w:tc>
        <w:tc>
          <w:tcPr>
            <w:tcW w:w="1304" w:type="dxa"/>
            <w:tcBorders>
              <w:top w:val="single" w:sz="4" w:space="0" w:color="033636" w:themeColor="text2"/>
            </w:tcBorders>
            <w:tcMar>
              <w:top w:w="113" w:type="dxa"/>
              <w:left w:w="113" w:type="dxa"/>
              <w:bottom w:w="113" w:type="dxa"/>
              <w:right w:w="113" w:type="dxa"/>
            </w:tcMar>
            <w:vAlign w:val="center"/>
          </w:tcPr>
          <w:p w14:paraId="22EE2BF6" w14:textId="77777777" w:rsidR="00527BEF" w:rsidRPr="00092394" w:rsidRDefault="00527BEF" w:rsidP="00092394">
            <w:pPr>
              <w:pStyle w:val="CDIFigure-Table-BodyTextCentre"/>
            </w:pPr>
            <w:r w:rsidRPr="00092394">
              <w:t>1080</w:t>
            </w:r>
            <w:r w:rsidRPr="00092394">
              <w:br/>
              <w:t>(94.7)</w:t>
            </w:r>
          </w:p>
        </w:tc>
        <w:tc>
          <w:tcPr>
            <w:tcW w:w="1304" w:type="dxa"/>
            <w:tcBorders>
              <w:top w:val="single" w:sz="4" w:space="0" w:color="033636" w:themeColor="text2"/>
            </w:tcBorders>
            <w:tcMar>
              <w:top w:w="113" w:type="dxa"/>
              <w:left w:w="113" w:type="dxa"/>
              <w:bottom w:w="113" w:type="dxa"/>
              <w:right w:w="113" w:type="dxa"/>
            </w:tcMar>
            <w:vAlign w:val="center"/>
          </w:tcPr>
          <w:p w14:paraId="26193FF0" w14:textId="77777777" w:rsidR="00527BEF" w:rsidRPr="00092394" w:rsidRDefault="00527BEF" w:rsidP="00092394">
            <w:pPr>
              <w:pStyle w:val="CDIFigure-Table-BodyTextCentre"/>
            </w:pPr>
            <w:r w:rsidRPr="00092394">
              <w:t>Ref.</w:t>
            </w:r>
          </w:p>
        </w:tc>
        <w:tc>
          <w:tcPr>
            <w:tcW w:w="1304" w:type="dxa"/>
            <w:tcBorders>
              <w:top w:val="single" w:sz="4" w:space="0" w:color="033636" w:themeColor="text2"/>
            </w:tcBorders>
            <w:tcMar>
              <w:top w:w="113" w:type="dxa"/>
              <w:left w:w="113" w:type="dxa"/>
              <w:bottom w:w="113" w:type="dxa"/>
              <w:right w:w="113" w:type="dxa"/>
            </w:tcMar>
            <w:vAlign w:val="center"/>
          </w:tcPr>
          <w:p w14:paraId="31B68F63" w14:textId="77777777" w:rsidR="00527BEF" w:rsidRPr="00092394" w:rsidRDefault="00527BEF" w:rsidP="00092394">
            <w:pPr>
              <w:pStyle w:val="CDIFigure-Table-BodyTextCentre"/>
            </w:pPr>
            <w:r w:rsidRPr="00092394">
              <w:t>—</w:t>
            </w:r>
          </w:p>
        </w:tc>
      </w:tr>
      <w:tr w:rsidR="00527BEF" w:rsidRPr="00092394" w14:paraId="466C922B" w14:textId="77777777" w:rsidTr="006F3EB4">
        <w:tblPrEx>
          <w:tblCellMar>
            <w:top w:w="0" w:type="dxa"/>
            <w:left w:w="0" w:type="dxa"/>
            <w:bottom w:w="0" w:type="dxa"/>
            <w:right w:w="0" w:type="dxa"/>
          </w:tblCellMar>
        </w:tblPrEx>
        <w:trPr>
          <w:divId w:val="935526654"/>
          <w:trHeight w:val="20"/>
        </w:trPr>
        <w:tc>
          <w:tcPr>
            <w:tcW w:w="2211" w:type="dxa"/>
            <w:vMerge/>
            <w:tcBorders>
              <w:bottom w:val="single" w:sz="4" w:space="0" w:color="033636" w:themeColor="text2"/>
            </w:tcBorders>
            <w:shd w:val="clear" w:color="auto" w:fill="C5FFEF" w:themeFill="background2" w:themeFillTint="33"/>
          </w:tcPr>
          <w:p w14:paraId="10E9CCD7" w14:textId="77777777" w:rsidR="00527BEF" w:rsidRPr="00092394" w:rsidRDefault="00527BEF" w:rsidP="00092394">
            <w:pPr>
              <w:pStyle w:val="CDIFigure-Table-BodyTextLeft"/>
            </w:pPr>
          </w:p>
        </w:tc>
        <w:tc>
          <w:tcPr>
            <w:tcW w:w="221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4640495" w14:textId="77777777" w:rsidR="00527BEF" w:rsidRPr="00092394" w:rsidRDefault="00527BEF" w:rsidP="00092394">
            <w:pPr>
              <w:pStyle w:val="CDIFigure-Table-BodyTextLeft"/>
            </w:pPr>
            <w:r w:rsidRPr="00092394">
              <w:t>Aboriginal and/or Torres Strait Islander</w:t>
            </w:r>
          </w:p>
        </w:tc>
        <w:tc>
          <w:tcPr>
            <w:tcW w:w="130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C10B5F9" w14:textId="77777777" w:rsidR="00527BEF" w:rsidRPr="00092394" w:rsidRDefault="00527BEF" w:rsidP="00092394">
            <w:pPr>
              <w:pStyle w:val="CDIFigure-Table-BodyTextCentre"/>
            </w:pPr>
            <w:r w:rsidRPr="00092394">
              <w:t>11</w:t>
            </w:r>
            <w:r w:rsidRPr="00092394">
              <w:br/>
              <w:t>(4.5)</w:t>
            </w:r>
          </w:p>
        </w:tc>
        <w:tc>
          <w:tcPr>
            <w:tcW w:w="130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821F662" w14:textId="77777777" w:rsidR="00527BEF" w:rsidRPr="00092394" w:rsidRDefault="00527BEF" w:rsidP="00092394">
            <w:pPr>
              <w:pStyle w:val="CDIFigure-Table-BodyTextCentre"/>
            </w:pPr>
            <w:r w:rsidRPr="00092394">
              <w:t>61</w:t>
            </w:r>
            <w:r w:rsidRPr="00092394">
              <w:br/>
              <w:t>(5.3)</w:t>
            </w:r>
          </w:p>
        </w:tc>
        <w:tc>
          <w:tcPr>
            <w:tcW w:w="130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9F60123" w14:textId="1755B412" w:rsidR="00527BEF" w:rsidRPr="00092394" w:rsidRDefault="00527BEF" w:rsidP="00092394">
            <w:pPr>
              <w:pStyle w:val="CDIFigure-Table-BodyTextCentre"/>
            </w:pPr>
            <w:r w:rsidRPr="00092394">
              <w:t>0.84</w:t>
            </w:r>
            <w:r w:rsidR="00C337BD">
              <w:br/>
            </w:r>
            <w:r w:rsidRPr="00092394">
              <w:t>(0.44–1.63)</w:t>
            </w:r>
          </w:p>
        </w:tc>
        <w:tc>
          <w:tcPr>
            <w:tcW w:w="130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D969F5D" w14:textId="77777777" w:rsidR="00527BEF" w:rsidRPr="00092394" w:rsidRDefault="00527BEF" w:rsidP="00092394">
            <w:pPr>
              <w:pStyle w:val="CDIFigure-Table-BodyTextCentre"/>
            </w:pPr>
            <w:r w:rsidRPr="00092394">
              <w:t>0.611</w:t>
            </w:r>
          </w:p>
        </w:tc>
      </w:tr>
      <w:tr w:rsidR="00527BEF" w:rsidRPr="00092394" w14:paraId="3DD9D2FF" w14:textId="77777777" w:rsidTr="006F3EB4">
        <w:tblPrEx>
          <w:tblCellMar>
            <w:top w:w="0" w:type="dxa"/>
            <w:left w:w="0" w:type="dxa"/>
            <w:bottom w:w="0" w:type="dxa"/>
            <w:right w:w="0" w:type="dxa"/>
          </w:tblCellMar>
        </w:tblPrEx>
        <w:trPr>
          <w:divId w:val="935526654"/>
          <w:trHeight w:val="20"/>
        </w:trPr>
        <w:tc>
          <w:tcPr>
            <w:tcW w:w="2211"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4E305E4D" w14:textId="77777777" w:rsidR="00527BEF" w:rsidRPr="00092394" w:rsidRDefault="00527BEF" w:rsidP="00092394">
            <w:pPr>
              <w:pStyle w:val="CDIFigure-Table-BodyTextLeft"/>
            </w:pPr>
            <w:r w:rsidRPr="00092394">
              <w:t>Sexual exposure type</w:t>
            </w:r>
            <w:r w:rsidRPr="00092394">
              <w:rPr>
                <w:vertAlign w:val="superscript"/>
              </w:rPr>
              <w:t>d</w:t>
            </w:r>
          </w:p>
        </w:tc>
        <w:tc>
          <w:tcPr>
            <w:tcW w:w="2211" w:type="dxa"/>
            <w:tcBorders>
              <w:top w:val="single" w:sz="4" w:space="0" w:color="033636" w:themeColor="text2"/>
            </w:tcBorders>
            <w:tcMar>
              <w:top w:w="113" w:type="dxa"/>
              <w:left w:w="113" w:type="dxa"/>
              <w:bottom w:w="113" w:type="dxa"/>
              <w:right w:w="113" w:type="dxa"/>
            </w:tcMar>
            <w:vAlign w:val="center"/>
          </w:tcPr>
          <w:p w14:paraId="309E9248" w14:textId="77777777" w:rsidR="00527BEF" w:rsidRPr="00092394" w:rsidRDefault="00527BEF" w:rsidP="00092394">
            <w:pPr>
              <w:pStyle w:val="CDIFigure-Table-BodyTextLeft"/>
            </w:pPr>
            <w:r w:rsidRPr="00092394">
              <w:t>Opposite sex</w:t>
            </w:r>
          </w:p>
        </w:tc>
        <w:tc>
          <w:tcPr>
            <w:tcW w:w="1304" w:type="dxa"/>
            <w:tcBorders>
              <w:top w:val="single" w:sz="4" w:space="0" w:color="033636" w:themeColor="text2"/>
            </w:tcBorders>
            <w:tcMar>
              <w:top w:w="113" w:type="dxa"/>
              <w:left w:w="113" w:type="dxa"/>
              <w:bottom w:w="113" w:type="dxa"/>
              <w:right w:w="113" w:type="dxa"/>
            </w:tcMar>
            <w:vAlign w:val="center"/>
          </w:tcPr>
          <w:p w14:paraId="4E5E939F" w14:textId="77777777" w:rsidR="00527BEF" w:rsidRPr="00092394" w:rsidRDefault="00527BEF" w:rsidP="00092394">
            <w:pPr>
              <w:pStyle w:val="CDIFigure-Table-BodyTextCentre"/>
            </w:pPr>
            <w:r w:rsidRPr="00092394">
              <w:t>43</w:t>
            </w:r>
            <w:r w:rsidRPr="00092394">
              <w:br/>
              <w:t>(17.6)</w:t>
            </w:r>
          </w:p>
        </w:tc>
        <w:tc>
          <w:tcPr>
            <w:tcW w:w="1304" w:type="dxa"/>
            <w:tcBorders>
              <w:top w:val="single" w:sz="4" w:space="0" w:color="033636" w:themeColor="text2"/>
            </w:tcBorders>
            <w:tcMar>
              <w:top w:w="113" w:type="dxa"/>
              <w:left w:w="113" w:type="dxa"/>
              <w:bottom w:w="113" w:type="dxa"/>
              <w:right w:w="113" w:type="dxa"/>
            </w:tcMar>
            <w:vAlign w:val="center"/>
          </w:tcPr>
          <w:p w14:paraId="1D520ED5" w14:textId="77777777" w:rsidR="00527BEF" w:rsidRPr="00092394" w:rsidRDefault="00527BEF" w:rsidP="00092394">
            <w:pPr>
              <w:pStyle w:val="CDIFigure-Table-BodyTextCentre"/>
            </w:pPr>
            <w:r w:rsidRPr="00092394">
              <w:t>590</w:t>
            </w:r>
            <w:r w:rsidRPr="00092394">
              <w:br/>
              <w:t>(49.8)</w:t>
            </w:r>
          </w:p>
        </w:tc>
        <w:tc>
          <w:tcPr>
            <w:tcW w:w="1304" w:type="dxa"/>
            <w:tcBorders>
              <w:top w:val="single" w:sz="4" w:space="0" w:color="033636" w:themeColor="text2"/>
            </w:tcBorders>
            <w:tcMar>
              <w:top w:w="113" w:type="dxa"/>
              <w:left w:w="113" w:type="dxa"/>
              <w:bottom w:w="113" w:type="dxa"/>
              <w:right w:w="113" w:type="dxa"/>
            </w:tcMar>
            <w:vAlign w:val="center"/>
          </w:tcPr>
          <w:p w14:paraId="700FD393" w14:textId="77777777" w:rsidR="00527BEF" w:rsidRPr="00092394" w:rsidRDefault="00527BEF" w:rsidP="00092394">
            <w:pPr>
              <w:pStyle w:val="CDIFigure-Table-BodyTextCentre"/>
            </w:pPr>
            <w:r w:rsidRPr="00092394">
              <w:t>Ref.</w:t>
            </w:r>
          </w:p>
        </w:tc>
        <w:tc>
          <w:tcPr>
            <w:tcW w:w="1304" w:type="dxa"/>
            <w:tcBorders>
              <w:top w:val="single" w:sz="4" w:space="0" w:color="033636" w:themeColor="text2"/>
            </w:tcBorders>
            <w:tcMar>
              <w:top w:w="113" w:type="dxa"/>
              <w:left w:w="113" w:type="dxa"/>
              <w:bottom w:w="113" w:type="dxa"/>
              <w:right w:w="113" w:type="dxa"/>
            </w:tcMar>
            <w:vAlign w:val="center"/>
          </w:tcPr>
          <w:p w14:paraId="2A349235" w14:textId="77777777" w:rsidR="00527BEF" w:rsidRPr="00092394" w:rsidRDefault="00527BEF" w:rsidP="00092394">
            <w:pPr>
              <w:pStyle w:val="CDIFigure-Table-BodyTextCentre"/>
            </w:pPr>
            <w:r w:rsidRPr="00092394">
              <w:t>—</w:t>
            </w:r>
          </w:p>
        </w:tc>
      </w:tr>
      <w:tr w:rsidR="00527BEF" w:rsidRPr="00092394" w14:paraId="53DFE645" w14:textId="77777777" w:rsidTr="006F3EB4">
        <w:tblPrEx>
          <w:tblCellMar>
            <w:top w:w="0" w:type="dxa"/>
            <w:left w:w="0" w:type="dxa"/>
            <w:bottom w:w="0" w:type="dxa"/>
            <w:right w:w="0" w:type="dxa"/>
          </w:tblCellMar>
        </w:tblPrEx>
        <w:trPr>
          <w:divId w:val="935526654"/>
          <w:trHeight w:val="20"/>
        </w:trPr>
        <w:tc>
          <w:tcPr>
            <w:tcW w:w="2211" w:type="dxa"/>
            <w:vMerge/>
            <w:tcBorders>
              <w:bottom w:val="single" w:sz="4" w:space="0" w:color="033636" w:themeColor="text2"/>
            </w:tcBorders>
            <w:shd w:val="clear" w:color="auto" w:fill="C5FFEF" w:themeFill="background2" w:themeFillTint="33"/>
          </w:tcPr>
          <w:p w14:paraId="68804F02" w14:textId="77777777" w:rsidR="00527BEF" w:rsidRPr="00092394" w:rsidRDefault="00527BEF" w:rsidP="00092394"/>
        </w:tc>
        <w:tc>
          <w:tcPr>
            <w:tcW w:w="2211" w:type="dxa"/>
            <w:shd w:val="clear" w:color="auto" w:fill="F2F2F2" w:themeFill="background1" w:themeFillShade="F2"/>
            <w:tcMar>
              <w:top w:w="113" w:type="dxa"/>
              <w:left w:w="113" w:type="dxa"/>
              <w:bottom w:w="113" w:type="dxa"/>
              <w:right w:w="113" w:type="dxa"/>
            </w:tcMar>
            <w:vAlign w:val="center"/>
          </w:tcPr>
          <w:p w14:paraId="1D63FFC8" w14:textId="77777777" w:rsidR="00527BEF" w:rsidRPr="00092394" w:rsidRDefault="00527BEF" w:rsidP="00092394">
            <w:pPr>
              <w:pStyle w:val="CDIFigure-Table-BodyTextLeft"/>
            </w:pPr>
            <w:r w:rsidRPr="00092394">
              <w:t>Same sex</w:t>
            </w:r>
          </w:p>
        </w:tc>
        <w:tc>
          <w:tcPr>
            <w:tcW w:w="1304" w:type="dxa"/>
            <w:shd w:val="clear" w:color="auto" w:fill="F2F2F2" w:themeFill="background1" w:themeFillShade="F2"/>
            <w:tcMar>
              <w:top w:w="113" w:type="dxa"/>
              <w:left w:w="113" w:type="dxa"/>
              <w:bottom w:w="113" w:type="dxa"/>
              <w:right w:w="113" w:type="dxa"/>
            </w:tcMar>
            <w:vAlign w:val="center"/>
          </w:tcPr>
          <w:p w14:paraId="20585F65" w14:textId="77777777" w:rsidR="00527BEF" w:rsidRPr="00092394" w:rsidRDefault="00527BEF" w:rsidP="00092394">
            <w:pPr>
              <w:pStyle w:val="CDIFigure-Table-BodyTextCentre"/>
            </w:pPr>
            <w:r w:rsidRPr="00092394">
              <w:t>194</w:t>
            </w:r>
            <w:r w:rsidRPr="00092394">
              <w:br/>
              <w:t>(79.5)</w:t>
            </w:r>
          </w:p>
        </w:tc>
        <w:tc>
          <w:tcPr>
            <w:tcW w:w="1304" w:type="dxa"/>
            <w:shd w:val="clear" w:color="auto" w:fill="F2F2F2" w:themeFill="background1" w:themeFillShade="F2"/>
            <w:tcMar>
              <w:top w:w="113" w:type="dxa"/>
              <w:left w:w="113" w:type="dxa"/>
              <w:bottom w:w="113" w:type="dxa"/>
              <w:right w:w="113" w:type="dxa"/>
            </w:tcMar>
            <w:vAlign w:val="center"/>
          </w:tcPr>
          <w:p w14:paraId="795060F5" w14:textId="77777777" w:rsidR="00527BEF" w:rsidRPr="00092394" w:rsidRDefault="00527BEF" w:rsidP="00092394">
            <w:pPr>
              <w:pStyle w:val="CDIFigure-Table-BodyTextCentre"/>
            </w:pPr>
            <w:r w:rsidRPr="00092394">
              <w:t>535</w:t>
            </w:r>
            <w:r w:rsidRPr="00092394">
              <w:br/>
              <w:t>(45.1)</w:t>
            </w:r>
          </w:p>
        </w:tc>
        <w:tc>
          <w:tcPr>
            <w:tcW w:w="1304" w:type="dxa"/>
            <w:shd w:val="clear" w:color="auto" w:fill="F2F2F2" w:themeFill="background1" w:themeFillShade="F2"/>
            <w:tcMar>
              <w:top w:w="113" w:type="dxa"/>
              <w:left w:w="113" w:type="dxa"/>
              <w:bottom w:w="113" w:type="dxa"/>
              <w:right w:w="113" w:type="dxa"/>
            </w:tcMar>
            <w:vAlign w:val="center"/>
          </w:tcPr>
          <w:p w14:paraId="1BA48AD8" w14:textId="21503B14" w:rsidR="00527BEF" w:rsidRPr="00092394" w:rsidRDefault="00527BEF" w:rsidP="00092394">
            <w:pPr>
              <w:pStyle w:val="CDIFigure-Table-BodyTextCentre"/>
            </w:pPr>
            <w:r w:rsidRPr="00092394">
              <w:t>4.98</w:t>
            </w:r>
            <w:r w:rsidR="00C337BD">
              <w:br/>
            </w:r>
            <w:r w:rsidRPr="00092394">
              <w:t>(3.46–7.15)</w:t>
            </w:r>
          </w:p>
        </w:tc>
        <w:tc>
          <w:tcPr>
            <w:tcW w:w="1304" w:type="dxa"/>
            <w:shd w:val="clear" w:color="auto" w:fill="F2F2F2" w:themeFill="background1" w:themeFillShade="F2"/>
            <w:tcMar>
              <w:top w:w="113" w:type="dxa"/>
              <w:left w:w="113" w:type="dxa"/>
              <w:bottom w:w="113" w:type="dxa"/>
              <w:right w:w="113" w:type="dxa"/>
            </w:tcMar>
            <w:vAlign w:val="center"/>
          </w:tcPr>
          <w:p w14:paraId="126F536B" w14:textId="77777777" w:rsidR="00527BEF" w:rsidRPr="00092394" w:rsidRDefault="00527BEF" w:rsidP="00092394">
            <w:pPr>
              <w:pStyle w:val="CDIFigure-Table-BodyTextCentre"/>
            </w:pPr>
            <w:r w:rsidRPr="00092394">
              <w:t>&lt; 0.001</w:t>
            </w:r>
          </w:p>
        </w:tc>
      </w:tr>
      <w:tr w:rsidR="00527BEF" w:rsidRPr="00092394" w14:paraId="0BE6767E" w14:textId="77777777" w:rsidTr="006F3EB4">
        <w:tblPrEx>
          <w:tblCellMar>
            <w:top w:w="0" w:type="dxa"/>
            <w:left w:w="0" w:type="dxa"/>
            <w:bottom w:w="0" w:type="dxa"/>
            <w:right w:w="0" w:type="dxa"/>
          </w:tblCellMar>
        </w:tblPrEx>
        <w:trPr>
          <w:divId w:val="935526654"/>
          <w:trHeight w:val="20"/>
        </w:trPr>
        <w:tc>
          <w:tcPr>
            <w:tcW w:w="2211" w:type="dxa"/>
            <w:vMerge/>
            <w:tcBorders>
              <w:bottom w:val="single" w:sz="4" w:space="0" w:color="033636" w:themeColor="text2"/>
            </w:tcBorders>
            <w:shd w:val="clear" w:color="auto" w:fill="C5FFEF" w:themeFill="background2" w:themeFillTint="33"/>
          </w:tcPr>
          <w:p w14:paraId="4F91B9F6" w14:textId="77777777" w:rsidR="00527BEF" w:rsidRPr="00092394" w:rsidRDefault="00527BEF" w:rsidP="00092394"/>
        </w:tc>
        <w:tc>
          <w:tcPr>
            <w:tcW w:w="2211" w:type="dxa"/>
            <w:tcBorders>
              <w:bottom w:val="single" w:sz="4" w:space="0" w:color="033636" w:themeColor="text2"/>
            </w:tcBorders>
            <w:tcMar>
              <w:top w:w="113" w:type="dxa"/>
              <w:left w:w="113" w:type="dxa"/>
              <w:bottom w:w="113" w:type="dxa"/>
              <w:right w:w="113" w:type="dxa"/>
            </w:tcMar>
            <w:vAlign w:val="center"/>
          </w:tcPr>
          <w:p w14:paraId="2497E47E" w14:textId="77777777" w:rsidR="00527BEF" w:rsidRPr="00092394" w:rsidRDefault="00527BEF" w:rsidP="00092394">
            <w:pPr>
              <w:pStyle w:val="CDIFigure-Table-BodyTextLeft"/>
            </w:pPr>
            <w:r w:rsidRPr="00092394">
              <w:t>Both sexes</w:t>
            </w:r>
          </w:p>
        </w:tc>
        <w:tc>
          <w:tcPr>
            <w:tcW w:w="1304" w:type="dxa"/>
            <w:tcBorders>
              <w:bottom w:val="single" w:sz="4" w:space="0" w:color="033636" w:themeColor="text2"/>
            </w:tcBorders>
            <w:tcMar>
              <w:top w:w="113" w:type="dxa"/>
              <w:left w:w="113" w:type="dxa"/>
              <w:bottom w:w="113" w:type="dxa"/>
              <w:right w:w="113" w:type="dxa"/>
            </w:tcMar>
            <w:vAlign w:val="center"/>
          </w:tcPr>
          <w:p w14:paraId="72256C3E" w14:textId="77777777" w:rsidR="00527BEF" w:rsidRPr="00092394" w:rsidRDefault="00527BEF" w:rsidP="00092394">
            <w:pPr>
              <w:pStyle w:val="CDIFigure-Table-BodyTextCentre"/>
            </w:pPr>
            <w:r w:rsidRPr="00092394">
              <w:t>7</w:t>
            </w:r>
            <w:r w:rsidRPr="00092394">
              <w:br/>
              <w:t>(2.9)</w:t>
            </w:r>
          </w:p>
        </w:tc>
        <w:tc>
          <w:tcPr>
            <w:tcW w:w="1304" w:type="dxa"/>
            <w:tcBorders>
              <w:bottom w:val="single" w:sz="4" w:space="0" w:color="033636" w:themeColor="text2"/>
            </w:tcBorders>
            <w:tcMar>
              <w:top w:w="113" w:type="dxa"/>
              <w:left w:w="113" w:type="dxa"/>
              <w:bottom w:w="113" w:type="dxa"/>
              <w:right w:w="113" w:type="dxa"/>
            </w:tcMar>
            <w:vAlign w:val="center"/>
          </w:tcPr>
          <w:p w14:paraId="20B688C0" w14:textId="77777777" w:rsidR="00527BEF" w:rsidRPr="00092394" w:rsidRDefault="00527BEF" w:rsidP="00092394">
            <w:pPr>
              <w:pStyle w:val="CDIFigure-Table-BodyTextCentre"/>
            </w:pPr>
            <w:r w:rsidRPr="00092394">
              <w:t>60</w:t>
            </w:r>
            <w:r w:rsidRPr="00092394">
              <w:br/>
              <w:t>(5.1)</w:t>
            </w:r>
          </w:p>
        </w:tc>
        <w:tc>
          <w:tcPr>
            <w:tcW w:w="1304" w:type="dxa"/>
            <w:tcBorders>
              <w:bottom w:val="single" w:sz="4" w:space="0" w:color="033636" w:themeColor="text2"/>
            </w:tcBorders>
            <w:tcMar>
              <w:top w:w="113" w:type="dxa"/>
              <w:left w:w="113" w:type="dxa"/>
              <w:bottom w:w="113" w:type="dxa"/>
              <w:right w:w="113" w:type="dxa"/>
            </w:tcMar>
            <w:vAlign w:val="center"/>
          </w:tcPr>
          <w:p w14:paraId="15A8FBE7" w14:textId="2F3A8C26" w:rsidR="00527BEF" w:rsidRPr="00092394" w:rsidRDefault="00527BEF" w:rsidP="00092394">
            <w:pPr>
              <w:pStyle w:val="CDIFigure-Table-BodyTextCentre"/>
            </w:pPr>
            <w:r w:rsidRPr="00092394">
              <w:t>1.60</w:t>
            </w:r>
            <w:r w:rsidR="00C337BD">
              <w:br/>
            </w:r>
            <w:r w:rsidRPr="00092394">
              <w:t>(0.69–3.72)</w:t>
            </w:r>
          </w:p>
        </w:tc>
        <w:tc>
          <w:tcPr>
            <w:tcW w:w="1304" w:type="dxa"/>
            <w:tcBorders>
              <w:bottom w:val="single" w:sz="4" w:space="0" w:color="033636" w:themeColor="text2"/>
            </w:tcBorders>
            <w:tcMar>
              <w:top w:w="113" w:type="dxa"/>
              <w:left w:w="113" w:type="dxa"/>
              <w:bottom w:w="113" w:type="dxa"/>
              <w:right w:w="113" w:type="dxa"/>
            </w:tcMar>
            <w:vAlign w:val="center"/>
          </w:tcPr>
          <w:p w14:paraId="0ED491B5" w14:textId="77777777" w:rsidR="00527BEF" w:rsidRPr="00092394" w:rsidRDefault="00527BEF" w:rsidP="00092394">
            <w:pPr>
              <w:pStyle w:val="CDIFigure-Table-BodyTextCentre"/>
            </w:pPr>
            <w:r w:rsidRPr="00092394">
              <w:t>0.270</w:t>
            </w:r>
          </w:p>
        </w:tc>
      </w:tr>
      <w:tr w:rsidR="00527BEF" w:rsidRPr="00092394" w14:paraId="563B8122" w14:textId="77777777" w:rsidTr="006F3EB4">
        <w:tblPrEx>
          <w:tblCellMar>
            <w:top w:w="0" w:type="dxa"/>
            <w:left w:w="0" w:type="dxa"/>
            <w:bottom w:w="0" w:type="dxa"/>
            <w:right w:w="0" w:type="dxa"/>
          </w:tblCellMar>
        </w:tblPrEx>
        <w:trPr>
          <w:divId w:val="935526654"/>
          <w:trHeight w:val="20"/>
        </w:trPr>
        <w:tc>
          <w:tcPr>
            <w:tcW w:w="2211"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235C79EB" w14:textId="77777777" w:rsidR="00527BEF" w:rsidRPr="00092394" w:rsidRDefault="00527BEF" w:rsidP="00092394">
            <w:pPr>
              <w:pStyle w:val="CDIFigure-Table-BodyTextLeft"/>
            </w:pPr>
            <w:r w:rsidRPr="00092394">
              <w:t xml:space="preserve">HIV PrEP at </w:t>
            </w:r>
            <w:proofErr w:type="spellStart"/>
            <w:r w:rsidRPr="00092394">
              <w:t>diagnosis</w:t>
            </w:r>
            <w:r w:rsidRPr="00092394">
              <w:rPr>
                <w:vertAlign w:val="superscript"/>
              </w:rPr>
              <w:t>e</w:t>
            </w:r>
            <w:proofErr w:type="spellEnd"/>
          </w:p>
        </w:tc>
        <w:tc>
          <w:tcPr>
            <w:tcW w:w="221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DBE046A" w14:textId="77777777" w:rsidR="00527BEF" w:rsidRPr="00092394" w:rsidRDefault="00527BEF" w:rsidP="00092394">
            <w:pPr>
              <w:pStyle w:val="CDIFigure-Table-BodyTextLeft"/>
            </w:pPr>
            <w:r w:rsidRPr="00092394">
              <w:t>No</w:t>
            </w:r>
          </w:p>
        </w:tc>
        <w:tc>
          <w:tcPr>
            <w:tcW w:w="1304"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DBC1A64" w14:textId="77777777" w:rsidR="00527BEF" w:rsidRPr="00092394" w:rsidRDefault="00527BEF" w:rsidP="00092394">
            <w:pPr>
              <w:pStyle w:val="CDIFigure-Table-BodyTextCentre"/>
            </w:pPr>
            <w:r w:rsidRPr="00092394">
              <w:t>94</w:t>
            </w:r>
            <w:r w:rsidRPr="00092394">
              <w:br/>
              <w:t>(43.5)</w:t>
            </w:r>
          </w:p>
        </w:tc>
        <w:tc>
          <w:tcPr>
            <w:tcW w:w="1304"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44D5DE5" w14:textId="77777777" w:rsidR="00527BEF" w:rsidRPr="00092394" w:rsidRDefault="00527BEF" w:rsidP="00092394">
            <w:pPr>
              <w:pStyle w:val="CDIFigure-Table-BodyTextCentre"/>
            </w:pPr>
            <w:r w:rsidRPr="00092394">
              <w:t>685</w:t>
            </w:r>
            <w:r w:rsidRPr="00092394">
              <w:br/>
              <w:t>(78.1)</w:t>
            </w:r>
          </w:p>
        </w:tc>
        <w:tc>
          <w:tcPr>
            <w:tcW w:w="1304"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71805DE" w14:textId="77777777" w:rsidR="00527BEF" w:rsidRPr="00092394" w:rsidRDefault="00527BEF" w:rsidP="00092394">
            <w:pPr>
              <w:pStyle w:val="CDIFigure-Table-BodyTextCentre"/>
            </w:pPr>
            <w:r w:rsidRPr="00092394">
              <w:t>Ref.</w:t>
            </w:r>
          </w:p>
        </w:tc>
        <w:tc>
          <w:tcPr>
            <w:tcW w:w="1304"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FA5C9CD" w14:textId="77777777" w:rsidR="00527BEF" w:rsidRPr="00092394" w:rsidRDefault="00527BEF" w:rsidP="00092394">
            <w:pPr>
              <w:pStyle w:val="CDIFigure-Table-BodyTextCentre"/>
            </w:pPr>
            <w:r w:rsidRPr="00092394">
              <w:t>—</w:t>
            </w:r>
          </w:p>
        </w:tc>
      </w:tr>
      <w:tr w:rsidR="00527BEF" w:rsidRPr="00092394" w14:paraId="7E6555BA" w14:textId="77777777" w:rsidTr="006F3EB4">
        <w:tblPrEx>
          <w:tblCellMar>
            <w:top w:w="0" w:type="dxa"/>
            <w:left w:w="0" w:type="dxa"/>
            <w:bottom w:w="0" w:type="dxa"/>
            <w:right w:w="0" w:type="dxa"/>
          </w:tblCellMar>
        </w:tblPrEx>
        <w:trPr>
          <w:divId w:val="935526654"/>
          <w:trHeight w:val="20"/>
        </w:trPr>
        <w:tc>
          <w:tcPr>
            <w:tcW w:w="2211" w:type="dxa"/>
            <w:vMerge/>
            <w:tcBorders>
              <w:bottom w:val="single" w:sz="4" w:space="0" w:color="033636" w:themeColor="text2"/>
            </w:tcBorders>
            <w:shd w:val="clear" w:color="auto" w:fill="C5FFEF" w:themeFill="background2" w:themeFillTint="33"/>
          </w:tcPr>
          <w:p w14:paraId="43D5D004" w14:textId="77777777" w:rsidR="00527BEF" w:rsidRPr="00092394" w:rsidRDefault="00527BEF" w:rsidP="00092394">
            <w:pPr>
              <w:pStyle w:val="CDIFigure-Table-BodyTextLeft"/>
            </w:pPr>
          </w:p>
        </w:tc>
        <w:tc>
          <w:tcPr>
            <w:tcW w:w="2211" w:type="dxa"/>
            <w:tcBorders>
              <w:bottom w:val="single" w:sz="4" w:space="0" w:color="033636" w:themeColor="text2"/>
            </w:tcBorders>
            <w:tcMar>
              <w:top w:w="113" w:type="dxa"/>
              <w:left w:w="113" w:type="dxa"/>
              <w:bottom w:w="113" w:type="dxa"/>
              <w:right w:w="113" w:type="dxa"/>
            </w:tcMar>
            <w:vAlign w:val="center"/>
          </w:tcPr>
          <w:p w14:paraId="7C99FB0C" w14:textId="77777777" w:rsidR="00527BEF" w:rsidRPr="00092394" w:rsidRDefault="00527BEF" w:rsidP="00092394">
            <w:pPr>
              <w:pStyle w:val="CDIFigure-Table-BodyTextLeft"/>
            </w:pPr>
            <w:r w:rsidRPr="00092394">
              <w:t>Yes</w:t>
            </w:r>
          </w:p>
        </w:tc>
        <w:tc>
          <w:tcPr>
            <w:tcW w:w="1304" w:type="dxa"/>
            <w:tcBorders>
              <w:bottom w:val="single" w:sz="4" w:space="0" w:color="033636" w:themeColor="text2"/>
            </w:tcBorders>
            <w:tcMar>
              <w:top w:w="113" w:type="dxa"/>
              <w:left w:w="113" w:type="dxa"/>
              <w:bottom w:w="113" w:type="dxa"/>
              <w:right w:w="113" w:type="dxa"/>
            </w:tcMar>
            <w:vAlign w:val="center"/>
          </w:tcPr>
          <w:p w14:paraId="3A40F425" w14:textId="77777777" w:rsidR="00527BEF" w:rsidRPr="00092394" w:rsidRDefault="00527BEF" w:rsidP="00092394">
            <w:pPr>
              <w:pStyle w:val="CDIFigure-Table-BodyTextCentre"/>
            </w:pPr>
            <w:r w:rsidRPr="00092394">
              <w:t>122</w:t>
            </w:r>
            <w:r w:rsidRPr="00092394">
              <w:br/>
              <w:t>(56.5)</w:t>
            </w:r>
          </w:p>
        </w:tc>
        <w:tc>
          <w:tcPr>
            <w:tcW w:w="1304" w:type="dxa"/>
            <w:tcBorders>
              <w:bottom w:val="single" w:sz="4" w:space="0" w:color="033636" w:themeColor="text2"/>
            </w:tcBorders>
            <w:tcMar>
              <w:top w:w="113" w:type="dxa"/>
              <w:left w:w="113" w:type="dxa"/>
              <w:bottom w:w="113" w:type="dxa"/>
              <w:right w:w="113" w:type="dxa"/>
            </w:tcMar>
            <w:vAlign w:val="center"/>
          </w:tcPr>
          <w:p w14:paraId="68E301C9" w14:textId="77777777" w:rsidR="00527BEF" w:rsidRPr="00092394" w:rsidRDefault="00527BEF" w:rsidP="00092394">
            <w:pPr>
              <w:pStyle w:val="CDIFigure-Table-BodyTextCentre"/>
            </w:pPr>
            <w:r w:rsidRPr="00092394">
              <w:t>192</w:t>
            </w:r>
            <w:r w:rsidRPr="00092394">
              <w:br/>
              <w:t>(21.9)</w:t>
            </w:r>
          </w:p>
        </w:tc>
        <w:tc>
          <w:tcPr>
            <w:tcW w:w="1304" w:type="dxa"/>
            <w:tcBorders>
              <w:bottom w:val="single" w:sz="4" w:space="0" w:color="033636" w:themeColor="text2"/>
            </w:tcBorders>
            <w:tcMar>
              <w:top w:w="113" w:type="dxa"/>
              <w:left w:w="113" w:type="dxa"/>
              <w:bottom w:w="113" w:type="dxa"/>
              <w:right w:w="113" w:type="dxa"/>
            </w:tcMar>
            <w:vAlign w:val="center"/>
          </w:tcPr>
          <w:p w14:paraId="67C86DC2" w14:textId="74760F7F" w:rsidR="00527BEF" w:rsidRPr="00092394" w:rsidRDefault="00527BEF" w:rsidP="00092394">
            <w:pPr>
              <w:pStyle w:val="CDIFigure-Table-BodyTextCentre"/>
            </w:pPr>
            <w:r w:rsidRPr="00092394">
              <w:t>4.60</w:t>
            </w:r>
            <w:r w:rsidR="00C337BD">
              <w:br/>
            </w:r>
            <w:r w:rsidRPr="00092394">
              <w:t>(3.33–6.43)</w:t>
            </w:r>
          </w:p>
        </w:tc>
        <w:tc>
          <w:tcPr>
            <w:tcW w:w="1304" w:type="dxa"/>
            <w:tcBorders>
              <w:bottom w:val="single" w:sz="4" w:space="0" w:color="033636" w:themeColor="text2"/>
            </w:tcBorders>
            <w:tcMar>
              <w:top w:w="113" w:type="dxa"/>
              <w:left w:w="113" w:type="dxa"/>
              <w:bottom w:w="113" w:type="dxa"/>
              <w:right w:w="113" w:type="dxa"/>
            </w:tcMar>
            <w:vAlign w:val="center"/>
          </w:tcPr>
          <w:p w14:paraId="0F27A158" w14:textId="77777777" w:rsidR="00527BEF" w:rsidRPr="00092394" w:rsidRDefault="00527BEF" w:rsidP="00092394">
            <w:pPr>
              <w:pStyle w:val="CDIFigure-Table-BodyTextCentre"/>
            </w:pPr>
            <w:r w:rsidRPr="00092394">
              <w:t>&lt; 0.001</w:t>
            </w:r>
          </w:p>
        </w:tc>
      </w:tr>
      <w:tr w:rsidR="00527BEF" w:rsidRPr="00092394" w14:paraId="1B4B0CB7" w14:textId="77777777" w:rsidTr="006F3EB4">
        <w:tblPrEx>
          <w:tblCellMar>
            <w:top w:w="0" w:type="dxa"/>
            <w:left w:w="0" w:type="dxa"/>
            <w:bottom w:w="0" w:type="dxa"/>
            <w:right w:w="0" w:type="dxa"/>
          </w:tblCellMar>
        </w:tblPrEx>
        <w:trPr>
          <w:divId w:val="935526654"/>
          <w:trHeight w:val="20"/>
        </w:trPr>
        <w:tc>
          <w:tcPr>
            <w:tcW w:w="2211"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1096B995" w14:textId="77777777" w:rsidR="00527BEF" w:rsidRPr="00092394" w:rsidRDefault="00527BEF" w:rsidP="00092394">
            <w:pPr>
              <w:pStyle w:val="CDIFigure-Table-BodyTextLeft"/>
            </w:pPr>
            <w:r w:rsidRPr="00092394">
              <w:t xml:space="preserve">Sex </w:t>
            </w:r>
            <w:proofErr w:type="spellStart"/>
            <w:r w:rsidRPr="00092394">
              <w:t>worker</w:t>
            </w:r>
            <w:r w:rsidRPr="00092394">
              <w:rPr>
                <w:vertAlign w:val="superscript"/>
              </w:rPr>
              <w:t>f</w:t>
            </w:r>
            <w:proofErr w:type="spellEnd"/>
          </w:p>
        </w:tc>
        <w:tc>
          <w:tcPr>
            <w:tcW w:w="221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15A4A19" w14:textId="77777777" w:rsidR="00527BEF" w:rsidRPr="00092394" w:rsidRDefault="00527BEF" w:rsidP="00092394">
            <w:pPr>
              <w:pStyle w:val="CDIFigure-Table-BodyTextLeft"/>
            </w:pPr>
            <w:r w:rsidRPr="00092394">
              <w:t>No</w:t>
            </w:r>
          </w:p>
        </w:tc>
        <w:tc>
          <w:tcPr>
            <w:tcW w:w="1304"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FD940B3" w14:textId="77777777" w:rsidR="00527BEF" w:rsidRPr="00092394" w:rsidRDefault="00527BEF" w:rsidP="00092394">
            <w:pPr>
              <w:pStyle w:val="CDIFigure-Table-BodyTextCentre"/>
            </w:pPr>
            <w:r w:rsidRPr="00092394">
              <w:t>235</w:t>
            </w:r>
            <w:r w:rsidRPr="00092394">
              <w:br/>
              <w:t>(97.9)</w:t>
            </w:r>
          </w:p>
        </w:tc>
        <w:tc>
          <w:tcPr>
            <w:tcW w:w="1304"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C9405E5" w14:textId="77777777" w:rsidR="00527BEF" w:rsidRPr="00092394" w:rsidRDefault="00527BEF" w:rsidP="00092394">
            <w:pPr>
              <w:pStyle w:val="CDIFigure-Table-BodyTextCentre"/>
            </w:pPr>
            <w:r w:rsidRPr="00092394">
              <w:t>1,134</w:t>
            </w:r>
            <w:r w:rsidRPr="00092394">
              <w:br/>
              <w:t>(97.3)</w:t>
            </w:r>
          </w:p>
        </w:tc>
        <w:tc>
          <w:tcPr>
            <w:tcW w:w="1304"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5B2F2BD" w14:textId="77777777" w:rsidR="00527BEF" w:rsidRPr="00092394" w:rsidRDefault="00527BEF" w:rsidP="00092394">
            <w:pPr>
              <w:pStyle w:val="CDIFigure-Table-BodyTextCentre"/>
            </w:pPr>
            <w:r w:rsidRPr="00092394">
              <w:t>Ref.</w:t>
            </w:r>
          </w:p>
        </w:tc>
        <w:tc>
          <w:tcPr>
            <w:tcW w:w="1304"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D17209E" w14:textId="77777777" w:rsidR="00527BEF" w:rsidRPr="00092394" w:rsidRDefault="00527BEF" w:rsidP="00092394">
            <w:pPr>
              <w:pStyle w:val="CDIFigure-Table-BodyTextCentre"/>
            </w:pPr>
            <w:r w:rsidRPr="00092394">
              <w:t>—</w:t>
            </w:r>
          </w:p>
        </w:tc>
      </w:tr>
      <w:tr w:rsidR="00527BEF" w:rsidRPr="00092394" w14:paraId="600919A1" w14:textId="77777777" w:rsidTr="006F3EB4">
        <w:tblPrEx>
          <w:tblCellMar>
            <w:top w:w="0" w:type="dxa"/>
            <w:left w:w="0" w:type="dxa"/>
            <w:bottom w:w="0" w:type="dxa"/>
            <w:right w:w="0" w:type="dxa"/>
          </w:tblCellMar>
        </w:tblPrEx>
        <w:trPr>
          <w:divId w:val="935526654"/>
          <w:trHeight w:val="20"/>
        </w:trPr>
        <w:tc>
          <w:tcPr>
            <w:tcW w:w="2211" w:type="dxa"/>
            <w:vMerge/>
            <w:tcBorders>
              <w:bottom w:val="single" w:sz="4" w:space="0" w:color="033636" w:themeColor="text2"/>
            </w:tcBorders>
            <w:shd w:val="clear" w:color="auto" w:fill="C5FFEF" w:themeFill="background2" w:themeFillTint="33"/>
          </w:tcPr>
          <w:p w14:paraId="29338E9D" w14:textId="77777777" w:rsidR="00527BEF" w:rsidRPr="00092394" w:rsidRDefault="00527BEF" w:rsidP="00092394"/>
        </w:tc>
        <w:tc>
          <w:tcPr>
            <w:tcW w:w="2211" w:type="dxa"/>
            <w:tcBorders>
              <w:bottom w:val="single" w:sz="4" w:space="0" w:color="033636" w:themeColor="text2"/>
            </w:tcBorders>
            <w:tcMar>
              <w:top w:w="113" w:type="dxa"/>
              <w:left w:w="113" w:type="dxa"/>
              <w:bottom w:w="113" w:type="dxa"/>
              <w:right w:w="113" w:type="dxa"/>
            </w:tcMar>
            <w:vAlign w:val="center"/>
          </w:tcPr>
          <w:p w14:paraId="39F2F779" w14:textId="77777777" w:rsidR="00527BEF" w:rsidRPr="00092394" w:rsidRDefault="00527BEF" w:rsidP="00092394">
            <w:pPr>
              <w:pStyle w:val="CDIFigure-Table-BodyTextLeft"/>
            </w:pPr>
            <w:r w:rsidRPr="00092394">
              <w:t>Yes</w:t>
            </w:r>
          </w:p>
        </w:tc>
        <w:tc>
          <w:tcPr>
            <w:tcW w:w="1304" w:type="dxa"/>
            <w:tcBorders>
              <w:bottom w:val="single" w:sz="4" w:space="0" w:color="033636" w:themeColor="text2"/>
            </w:tcBorders>
            <w:tcMar>
              <w:top w:w="113" w:type="dxa"/>
              <w:left w:w="113" w:type="dxa"/>
              <w:bottom w:w="113" w:type="dxa"/>
              <w:right w:w="113" w:type="dxa"/>
            </w:tcMar>
            <w:vAlign w:val="center"/>
          </w:tcPr>
          <w:p w14:paraId="390CC003" w14:textId="77777777" w:rsidR="00527BEF" w:rsidRPr="00092394" w:rsidRDefault="00527BEF" w:rsidP="00092394">
            <w:pPr>
              <w:pStyle w:val="CDIFigure-Table-BodyTextCentre"/>
            </w:pPr>
            <w:r w:rsidRPr="00092394">
              <w:t>5</w:t>
            </w:r>
            <w:r w:rsidRPr="00092394">
              <w:br/>
              <w:t>(2.1)</w:t>
            </w:r>
          </w:p>
        </w:tc>
        <w:tc>
          <w:tcPr>
            <w:tcW w:w="1304" w:type="dxa"/>
            <w:tcBorders>
              <w:bottom w:val="single" w:sz="4" w:space="0" w:color="033636" w:themeColor="text2"/>
            </w:tcBorders>
            <w:tcMar>
              <w:top w:w="113" w:type="dxa"/>
              <w:left w:w="113" w:type="dxa"/>
              <w:bottom w:w="113" w:type="dxa"/>
              <w:right w:w="113" w:type="dxa"/>
            </w:tcMar>
            <w:vAlign w:val="center"/>
          </w:tcPr>
          <w:p w14:paraId="392F11E0" w14:textId="77777777" w:rsidR="00527BEF" w:rsidRPr="00092394" w:rsidRDefault="00527BEF" w:rsidP="00092394">
            <w:pPr>
              <w:pStyle w:val="CDIFigure-Table-BodyTextCentre"/>
            </w:pPr>
            <w:r w:rsidRPr="00092394">
              <w:t>32</w:t>
            </w:r>
            <w:r w:rsidRPr="00092394">
              <w:br/>
              <w:t>(2.7)</w:t>
            </w:r>
          </w:p>
        </w:tc>
        <w:tc>
          <w:tcPr>
            <w:tcW w:w="1304" w:type="dxa"/>
            <w:tcBorders>
              <w:bottom w:val="single" w:sz="4" w:space="0" w:color="033636" w:themeColor="text2"/>
            </w:tcBorders>
            <w:tcMar>
              <w:top w:w="113" w:type="dxa"/>
              <w:left w:w="113" w:type="dxa"/>
              <w:bottom w:w="113" w:type="dxa"/>
              <w:right w:w="113" w:type="dxa"/>
            </w:tcMar>
            <w:vAlign w:val="center"/>
          </w:tcPr>
          <w:p w14:paraId="5DCD8F99" w14:textId="022A44ED" w:rsidR="00527BEF" w:rsidRPr="00092394" w:rsidRDefault="00527BEF" w:rsidP="00092394">
            <w:pPr>
              <w:pStyle w:val="CDIFigure-Table-BodyTextCentre"/>
            </w:pPr>
            <w:r w:rsidRPr="00092394">
              <w:t>0.75</w:t>
            </w:r>
            <w:r w:rsidR="00C337BD">
              <w:br/>
            </w:r>
            <w:r w:rsidRPr="00092394">
              <w:t>(0.29–1.96)</w:t>
            </w:r>
          </w:p>
        </w:tc>
        <w:tc>
          <w:tcPr>
            <w:tcW w:w="1304" w:type="dxa"/>
            <w:tcBorders>
              <w:bottom w:val="single" w:sz="4" w:space="0" w:color="033636" w:themeColor="text2"/>
            </w:tcBorders>
            <w:tcMar>
              <w:top w:w="113" w:type="dxa"/>
              <w:left w:w="113" w:type="dxa"/>
              <w:bottom w:w="113" w:type="dxa"/>
              <w:right w:w="113" w:type="dxa"/>
            </w:tcMar>
            <w:vAlign w:val="center"/>
          </w:tcPr>
          <w:p w14:paraId="320AB687" w14:textId="77777777" w:rsidR="00527BEF" w:rsidRPr="00092394" w:rsidRDefault="00527BEF" w:rsidP="00092394">
            <w:pPr>
              <w:pStyle w:val="CDIFigure-Table-BodyTextCentre"/>
            </w:pPr>
            <w:r w:rsidRPr="00092394">
              <w:t>0.560</w:t>
            </w:r>
          </w:p>
        </w:tc>
      </w:tr>
      <w:tr w:rsidR="00527BEF" w:rsidRPr="00092394" w14:paraId="64C554BA" w14:textId="77777777" w:rsidTr="006F3EB4">
        <w:tblPrEx>
          <w:tblCellMar>
            <w:top w:w="0" w:type="dxa"/>
            <w:left w:w="0" w:type="dxa"/>
            <w:bottom w:w="0" w:type="dxa"/>
            <w:right w:w="0" w:type="dxa"/>
          </w:tblCellMar>
        </w:tblPrEx>
        <w:trPr>
          <w:divId w:val="935526654"/>
          <w:trHeight w:val="20"/>
        </w:trPr>
        <w:tc>
          <w:tcPr>
            <w:tcW w:w="2211"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5829255B" w14:textId="77777777" w:rsidR="00527BEF" w:rsidRPr="00092394" w:rsidRDefault="00527BEF" w:rsidP="006F3EB4">
            <w:pPr>
              <w:pStyle w:val="CDIFigure-Table-BodyTextLeft"/>
              <w:keepNext/>
              <w:keepLines/>
            </w:pPr>
            <w:r w:rsidRPr="00092394">
              <w:lastRenderedPageBreak/>
              <w:t xml:space="preserve">Diagnosing clinical </w:t>
            </w:r>
            <w:proofErr w:type="spellStart"/>
            <w:r w:rsidRPr="00092394">
              <w:t>facility</w:t>
            </w:r>
            <w:r w:rsidRPr="006F3EB4">
              <w:rPr>
                <w:vertAlign w:val="superscript"/>
              </w:rPr>
              <w:t>g</w:t>
            </w:r>
            <w:proofErr w:type="spellEnd"/>
          </w:p>
        </w:tc>
        <w:tc>
          <w:tcPr>
            <w:tcW w:w="221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D8AF52B" w14:textId="77777777" w:rsidR="00527BEF" w:rsidRPr="00092394" w:rsidRDefault="00527BEF" w:rsidP="006F3EB4">
            <w:pPr>
              <w:pStyle w:val="CDIFigure-Table-BodyTextLeft"/>
            </w:pPr>
            <w:r w:rsidRPr="00092394">
              <w:t>General practice</w:t>
            </w:r>
          </w:p>
        </w:tc>
        <w:tc>
          <w:tcPr>
            <w:tcW w:w="1304"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6EC35AF" w14:textId="77777777" w:rsidR="00527BEF" w:rsidRPr="00092394" w:rsidRDefault="00527BEF" w:rsidP="006F3EB4">
            <w:pPr>
              <w:pStyle w:val="CDIFigure-Table-BodyTextCentre"/>
            </w:pPr>
            <w:r w:rsidRPr="00092394">
              <w:t>40</w:t>
            </w:r>
            <w:r w:rsidRPr="00092394">
              <w:br/>
              <w:t>(16.6)</w:t>
            </w:r>
          </w:p>
        </w:tc>
        <w:tc>
          <w:tcPr>
            <w:tcW w:w="1304"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ED443DA" w14:textId="77777777" w:rsidR="00527BEF" w:rsidRPr="00092394" w:rsidRDefault="00527BEF" w:rsidP="006F3EB4">
            <w:pPr>
              <w:pStyle w:val="CDIFigure-Table-BodyTextCentre"/>
            </w:pPr>
            <w:r w:rsidRPr="00092394">
              <w:t>463</w:t>
            </w:r>
            <w:r w:rsidRPr="00092394">
              <w:br/>
              <w:t>(40.2)</w:t>
            </w:r>
          </w:p>
        </w:tc>
        <w:tc>
          <w:tcPr>
            <w:tcW w:w="1304"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03BF4C3" w14:textId="77777777" w:rsidR="00527BEF" w:rsidRPr="00092394" w:rsidRDefault="00527BEF" w:rsidP="006F3EB4">
            <w:pPr>
              <w:pStyle w:val="CDIFigure-Table-BodyTextCentre"/>
            </w:pPr>
            <w:r w:rsidRPr="00092394">
              <w:t>Ref.</w:t>
            </w:r>
          </w:p>
        </w:tc>
        <w:tc>
          <w:tcPr>
            <w:tcW w:w="1304"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729AC58" w14:textId="77777777" w:rsidR="00527BEF" w:rsidRPr="00092394" w:rsidRDefault="00527BEF" w:rsidP="006F3EB4">
            <w:pPr>
              <w:pStyle w:val="CDIFigure-Table-BodyTextCentre"/>
            </w:pPr>
            <w:r w:rsidRPr="00092394">
              <w:t>—</w:t>
            </w:r>
          </w:p>
        </w:tc>
      </w:tr>
      <w:tr w:rsidR="00527BEF" w:rsidRPr="00092394" w14:paraId="0FA62275" w14:textId="77777777" w:rsidTr="006F3EB4">
        <w:tblPrEx>
          <w:tblCellMar>
            <w:top w:w="0" w:type="dxa"/>
            <w:left w:w="0" w:type="dxa"/>
            <w:bottom w:w="0" w:type="dxa"/>
            <w:right w:w="0" w:type="dxa"/>
          </w:tblCellMar>
        </w:tblPrEx>
        <w:trPr>
          <w:divId w:val="935526654"/>
          <w:trHeight w:val="20"/>
        </w:trPr>
        <w:tc>
          <w:tcPr>
            <w:tcW w:w="2211" w:type="dxa"/>
            <w:vMerge/>
            <w:tcBorders>
              <w:bottom w:val="single" w:sz="4" w:space="0" w:color="033636" w:themeColor="text2"/>
            </w:tcBorders>
            <w:shd w:val="clear" w:color="auto" w:fill="C5FFEF" w:themeFill="background2" w:themeFillTint="33"/>
          </w:tcPr>
          <w:p w14:paraId="01505C95" w14:textId="77777777" w:rsidR="00527BEF" w:rsidRPr="00092394" w:rsidRDefault="00527BEF" w:rsidP="006F3EB4">
            <w:pPr>
              <w:pStyle w:val="CDIFigure-Table-BodyTextLeft"/>
              <w:keepNext/>
              <w:keepLines/>
            </w:pPr>
          </w:p>
        </w:tc>
        <w:tc>
          <w:tcPr>
            <w:tcW w:w="2211" w:type="dxa"/>
            <w:tcMar>
              <w:top w:w="113" w:type="dxa"/>
              <w:left w:w="113" w:type="dxa"/>
              <w:bottom w:w="113" w:type="dxa"/>
              <w:right w:w="113" w:type="dxa"/>
            </w:tcMar>
            <w:vAlign w:val="center"/>
          </w:tcPr>
          <w:p w14:paraId="02FC8105" w14:textId="77777777" w:rsidR="00527BEF" w:rsidRPr="00092394" w:rsidRDefault="00527BEF" w:rsidP="006F3EB4">
            <w:pPr>
              <w:pStyle w:val="CDIFigure-Table-BodyTextLeft"/>
            </w:pPr>
            <w:r w:rsidRPr="00092394">
              <w:t>Sexual health/family planning clinic</w:t>
            </w:r>
          </w:p>
        </w:tc>
        <w:tc>
          <w:tcPr>
            <w:tcW w:w="1304" w:type="dxa"/>
            <w:tcMar>
              <w:top w:w="113" w:type="dxa"/>
              <w:left w:w="113" w:type="dxa"/>
              <w:bottom w:w="113" w:type="dxa"/>
              <w:right w:w="113" w:type="dxa"/>
            </w:tcMar>
            <w:vAlign w:val="center"/>
          </w:tcPr>
          <w:p w14:paraId="2BEE5BD5" w14:textId="77777777" w:rsidR="00527BEF" w:rsidRPr="00092394" w:rsidRDefault="00527BEF" w:rsidP="006F3EB4">
            <w:pPr>
              <w:pStyle w:val="CDIFigure-Table-BodyTextCentre"/>
            </w:pPr>
            <w:r w:rsidRPr="00092394">
              <w:t>193</w:t>
            </w:r>
            <w:r w:rsidRPr="00092394">
              <w:br/>
              <w:t>(80.1)</w:t>
            </w:r>
          </w:p>
        </w:tc>
        <w:tc>
          <w:tcPr>
            <w:tcW w:w="1304" w:type="dxa"/>
            <w:tcMar>
              <w:top w:w="113" w:type="dxa"/>
              <w:left w:w="113" w:type="dxa"/>
              <w:bottom w:w="113" w:type="dxa"/>
              <w:right w:w="113" w:type="dxa"/>
            </w:tcMar>
            <w:vAlign w:val="center"/>
          </w:tcPr>
          <w:p w14:paraId="7245D680" w14:textId="77777777" w:rsidR="00527BEF" w:rsidRPr="00092394" w:rsidRDefault="00527BEF" w:rsidP="006F3EB4">
            <w:pPr>
              <w:pStyle w:val="CDIFigure-Table-BodyTextCentre"/>
            </w:pPr>
            <w:r w:rsidRPr="00092394">
              <w:t>635</w:t>
            </w:r>
            <w:r w:rsidRPr="00092394">
              <w:br/>
              <w:t>(55.2)</w:t>
            </w:r>
          </w:p>
        </w:tc>
        <w:tc>
          <w:tcPr>
            <w:tcW w:w="1304" w:type="dxa"/>
            <w:tcMar>
              <w:top w:w="113" w:type="dxa"/>
              <w:left w:w="113" w:type="dxa"/>
              <w:bottom w:w="113" w:type="dxa"/>
              <w:right w:w="113" w:type="dxa"/>
            </w:tcMar>
            <w:vAlign w:val="center"/>
          </w:tcPr>
          <w:p w14:paraId="7C42CF11" w14:textId="45400E94" w:rsidR="00527BEF" w:rsidRPr="00092394" w:rsidRDefault="00527BEF" w:rsidP="006F3EB4">
            <w:pPr>
              <w:pStyle w:val="CDIFigure-Table-BodyTextCentre"/>
            </w:pPr>
            <w:r w:rsidRPr="00092394">
              <w:t>3.52</w:t>
            </w:r>
            <w:r w:rsidR="00C337BD">
              <w:br/>
            </w:r>
            <w:r w:rsidRPr="00092394">
              <w:t>(2.43–5.08)</w:t>
            </w:r>
          </w:p>
        </w:tc>
        <w:tc>
          <w:tcPr>
            <w:tcW w:w="1304" w:type="dxa"/>
            <w:tcMar>
              <w:top w:w="113" w:type="dxa"/>
              <w:left w:w="113" w:type="dxa"/>
              <w:bottom w:w="113" w:type="dxa"/>
              <w:right w:w="113" w:type="dxa"/>
            </w:tcMar>
            <w:vAlign w:val="center"/>
          </w:tcPr>
          <w:p w14:paraId="2A0EAA40" w14:textId="77777777" w:rsidR="00527BEF" w:rsidRPr="00092394" w:rsidRDefault="00527BEF" w:rsidP="006F3EB4">
            <w:pPr>
              <w:pStyle w:val="CDIFigure-Table-BodyTextCentre"/>
            </w:pPr>
            <w:r w:rsidRPr="00092394">
              <w:t>&lt; 0.001</w:t>
            </w:r>
          </w:p>
        </w:tc>
      </w:tr>
      <w:tr w:rsidR="00527BEF" w:rsidRPr="00092394" w14:paraId="15DF59BC" w14:textId="77777777" w:rsidTr="006F3EB4">
        <w:tblPrEx>
          <w:tblCellMar>
            <w:top w:w="0" w:type="dxa"/>
            <w:left w:w="0" w:type="dxa"/>
            <w:bottom w:w="0" w:type="dxa"/>
            <w:right w:w="0" w:type="dxa"/>
          </w:tblCellMar>
        </w:tblPrEx>
        <w:trPr>
          <w:divId w:val="935526654"/>
          <w:trHeight w:val="20"/>
        </w:trPr>
        <w:tc>
          <w:tcPr>
            <w:tcW w:w="2211" w:type="dxa"/>
            <w:vMerge/>
            <w:tcBorders>
              <w:bottom w:val="single" w:sz="4" w:space="0" w:color="033636" w:themeColor="text2"/>
            </w:tcBorders>
            <w:shd w:val="clear" w:color="auto" w:fill="C5FFEF" w:themeFill="background2" w:themeFillTint="33"/>
          </w:tcPr>
          <w:p w14:paraId="7384A7BC" w14:textId="77777777" w:rsidR="00527BEF" w:rsidRPr="00092394" w:rsidRDefault="00527BEF" w:rsidP="006F3EB4">
            <w:pPr>
              <w:pStyle w:val="CDIFigure-Table-BodyTextLeft"/>
              <w:keepNext/>
              <w:keepLines/>
            </w:pPr>
          </w:p>
        </w:tc>
        <w:tc>
          <w:tcPr>
            <w:tcW w:w="221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323D135" w14:textId="77777777" w:rsidR="00527BEF" w:rsidRPr="00092394" w:rsidRDefault="00527BEF" w:rsidP="006F3EB4">
            <w:pPr>
              <w:pStyle w:val="CDIFigure-Table-BodyTextLeft"/>
            </w:pPr>
            <w:r w:rsidRPr="00092394">
              <w:t>Hospital</w:t>
            </w:r>
          </w:p>
        </w:tc>
        <w:tc>
          <w:tcPr>
            <w:tcW w:w="130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01DA61C" w14:textId="77777777" w:rsidR="00527BEF" w:rsidRPr="00092394" w:rsidRDefault="00527BEF" w:rsidP="006F3EB4">
            <w:pPr>
              <w:pStyle w:val="CDIFigure-Table-BodyTextCentre"/>
            </w:pPr>
            <w:r w:rsidRPr="00092394">
              <w:t>8</w:t>
            </w:r>
            <w:r w:rsidRPr="00092394">
              <w:br/>
              <w:t>(3.3)</w:t>
            </w:r>
          </w:p>
        </w:tc>
        <w:tc>
          <w:tcPr>
            <w:tcW w:w="130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C7A616E" w14:textId="77777777" w:rsidR="00527BEF" w:rsidRPr="00092394" w:rsidRDefault="00527BEF" w:rsidP="006F3EB4">
            <w:pPr>
              <w:pStyle w:val="CDIFigure-Table-BodyTextCentre"/>
            </w:pPr>
            <w:r w:rsidRPr="00092394">
              <w:t>53</w:t>
            </w:r>
            <w:r w:rsidRPr="00092394">
              <w:br/>
              <w:t>(4.6)</w:t>
            </w:r>
          </w:p>
        </w:tc>
        <w:tc>
          <w:tcPr>
            <w:tcW w:w="130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DF889F6" w14:textId="4723A27D" w:rsidR="00527BEF" w:rsidRPr="00092394" w:rsidRDefault="00527BEF" w:rsidP="006F3EB4">
            <w:pPr>
              <w:pStyle w:val="CDIFigure-Table-BodyTextCentre"/>
            </w:pPr>
            <w:r w:rsidRPr="00092394">
              <w:t>1.75</w:t>
            </w:r>
            <w:r w:rsidR="00C337BD">
              <w:br/>
            </w:r>
            <w:r w:rsidRPr="00092394">
              <w:t>(0.78–3.94)</w:t>
            </w:r>
          </w:p>
        </w:tc>
        <w:tc>
          <w:tcPr>
            <w:tcW w:w="130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2D16367" w14:textId="77777777" w:rsidR="00527BEF" w:rsidRPr="00092394" w:rsidRDefault="00527BEF" w:rsidP="006F3EB4">
            <w:pPr>
              <w:pStyle w:val="CDIFigure-Table-BodyTextCentre"/>
            </w:pPr>
            <w:r w:rsidRPr="00092394">
              <w:t>0.173</w:t>
            </w:r>
          </w:p>
        </w:tc>
      </w:tr>
      <w:tr w:rsidR="00527BEF" w:rsidRPr="00092394" w14:paraId="6DEC3A6A" w14:textId="77777777" w:rsidTr="006F3EB4">
        <w:tblPrEx>
          <w:tblCellMar>
            <w:top w:w="0" w:type="dxa"/>
            <w:left w:w="0" w:type="dxa"/>
            <w:bottom w:w="0" w:type="dxa"/>
            <w:right w:w="0" w:type="dxa"/>
          </w:tblCellMar>
        </w:tblPrEx>
        <w:trPr>
          <w:divId w:val="935526654"/>
          <w:trHeight w:val="20"/>
        </w:trPr>
        <w:tc>
          <w:tcPr>
            <w:tcW w:w="2211"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348249AE" w14:textId="77777777" w:rsidR="00527BEF" w:rsidRPr="00092394" w:rsidRDefault="00527BEF" w:rsidP="006F3EB4">
            <w:pPr>
              <w:pStyle w:val="CDIFigure-Table-BodyTextLeft"/>
              <w:keepNext/>
              <w:keepLines/>
            </w:pPr>
            <w:r w:rsidRPr="00092394">
              <w:t xml:space="preserve">Anatomical site of </w:t>
            </w:r>
            <w:proofErr w:type="spellStart"/>
            <w:r w:rsidRPr="00092394">
              <w:t>infection</w:t>
            </w:r>
            <w:r w:rsidRPr="006F3EB4">
              <w:rPr>
                <w:vertAlign w:val="superscript"/>
              </w:rPr>
              <w:t>h</w:t>
            </w:r>
            <w:proofErr w:type="spellEnd"/>
          </w:p>
        </w:tc>
        <w:tc>
          <w:tcPr>
            <w:tcW w:w="2211" w:type="dxa"/>
            <w:tcBorders>
              <w:top w:val="single" w:sz="4" w:space="0" w:color="033636" w:themeColor="text2"/>
            </w:tcBorders>
            <w:tcMar>
              <w:top w:w="113" w:type="dxa"/>
              <w:left w:w="113" w:type="dxa"/>
              <w:bottom w:w="113" w:type="dxa"/>
              <w:right w:w="113" w:type="dxa"/>
            </w:tcMar>
            <w:vAlign w:val="center"/>
          </w:tcPr>
          <w:p w14:paraId="05515D86" w14:textId="77777777" w:rsidR="00527BEF" w:rsidRPr="00092394" w:rsidRDefault="00527BEF" w:rsidP="006F3EB4">
            <w:pPr>
              <w:pStyle w:val="CDIFigure-Table-BodyTextLeft"/>
            </w:pPr>
            <w:r w:rsidRPr="00092394">
              <w:t>Urogenital only</w:t>
            </w:r>
          </w:p>
        </w:tc>
        <w:tc>
          <w:tcPr>
            <w:tcW w:w="1304" w:type="dxa"/>
            <w:tcBorders>
              <w:top w:val="single" w:sz="4" w:space="0" w:color="033636" w:themeColor="text2"/>
            </w:tcBorders>
            <w:tcMar>
              <w:top w:w="113" w:type="dxa"/>
              <w:left w:w="113" w:type="dxa"/>
              <w:bottom w:w="113" w:type="dxa"/>
              <w:right w:w="113" w:type="dxa"/>
            </w:tcMar>
            <w:vAlign w:val="center"/>
          </w:tcPr>
          <w:p w14:paraId="1D7D91D5" w14:textId="77777777" w:rsidR="00527BEF" w:rsidRPr="00092394" w:rsidRDefault="00527BEF" w:rsidP="006F3EB4">
            <w:pPr>
              <w:pStyle w:val="CDIFigure-Table-BodyTextCentre"/>
            </w:pPr>
            <w:r w:rsidRPr="00092394">
              <w:t>66</w:t>
            </w:r>
            <w:r w:rsidRPr="00092394">
              <w:br/>
              <w:t>(26.7)</w:t>
            </w:r>
          </w:p>
        </w:tc>
        <w:tc>
          <w:tcPr>
            <w:tcW w:w="1304" w:type="dxa"/>
            <w:tcBorders>
              <w:top w:val="single" w:sz="4" w:space="0" w:color="033636" w:themeColor="text2"/>
            </w:tcBorders>
            <w:tcMar>
              <w:top w:w="113" w:type="dxa"/>
              <w:left w:w="113" w:type="dxa"/>
              <w:bottom w:w="113" w:type="dxa"/>
              <w:right w:w="113" w:type="dxa"/>
            </w:tcMar>
            <w:vAlign w:val="center"/>
          </w:tcPr>
          <w:p w14:paraId="75505C09" w14:textId="77777777" w:rsidR="00527BEF" w:rsidRPr="00092394" w:rsidRDefault="00527BEF" w:rsidP="006F3EB4">
            <w:pPr>
              <w:pStyle w:val="CDIFigure-Table-BodyTextCentre"/>
            </w:pPr>
            <w:r w:rsidRPr="00092394">
              <w:t>597</w:t>
            </w:r>
            <w:r w:rsidRPr="00092394">
              <w:br/>
              <w:t>(49.3)</w:t>
            </w:r>
          </w:p>
        </w:tc>
        <w:tc>
          <w:tcPr>
            <w:tcW w:w="1304" w:type="dxa"/>
            <w:tcBorders>
              <w:top w:val="single" w:sz="4" w:space="0" w:color="033636" w:themeColor="text2"/>
            </w:tcBorders>
            <w:tcMar>
              <w:top w:w="113" w:type="dxa"/>
              <w:left w:w="113" w:type="dxa"/>
              <w:bottom w:w="113" w:type="dxa"/>
              <w:right w:w="113" w:type="dxa"/>
            </w:tcMar>
            <w:vAlign w:val="center"/>
          </w:tcPr>
          <w:p w14:paraId="26E7C64C" w14:textId="77777777" w:rsidR="00527BEF" w:rsidRPr="00092394" w:rsidRDefault="00527BEF" w:rsidP="006F3EB4">
            <w:pPr>
              <w:pStyle w:val="CDIFigure-Table-BodyTextCentre"/>
            </w:pPr>
            <w:r w:rsidRPr="00092394">
              <w:t>Ref.</w:t>
            </w:r>
          </w:p>
        </w:tc>
        <w:tc>
          <w:tcPr>
            <w:tcW w:w="1304" w:type="dxa"/>
            <w:tcBorders>
              <w:top w:val="single" w:sz="4" w:space="0" w:color="033636" w:themeColor="text2"/>
            </w:tcBorders>
            <w:tcMar>
              <w:top w:w="113" w:type="dxa"/>
              <w:left w:w="113" w:type="dxa"/>
              <w:bottom w:w="113" w:type="dxa"/>
              <w:right w:w="113" w:type="dxa"/>
            </w:tcMar>
            <w:vAlign w:val="center"/>
          </w:tcPr>
          <w:p w14:paraId="24AF235C" w14:textId="77777777" w:rsidR="00527BEF" w:rsidRPr="00092394" w:rsidRDefault="00527BEF" w:rsidP="006F3EB4">
            <w:pPr>
              <w:pStyle w:val="CDIFigure-Table-BodyTextCentre"/>
            </w:pPr>
            <w:r w:rsidRPr="00092394">
              <w:t>—</w:t>
            </w:r>
          </w:p>
        </w:tc>
      </w:tr>
      <w:tr w:rsidR="00527BEF" w:rsidRPr="00092394" w14:paraId="560E707D" w14:textId="77777777" w:rsidTr="006F3EB4">
        <w:tblPrEx>
          <w:tblCellMar>
            <w:top w:w="0" w:type="dxa"/>
            <w:left w:w="0" w:type="dxa"/>
            <w:bottom w:w="0" w:type="dxa"/>
            <w:right w:w="0" w:type="dxa"/>
          </w:tblCellMar>
        </w:tblPrEx>
        <w:trPr>
          <w:divId w:val="935526654"/>
          <w:trHeight w:val="20"/>
        </w:trPr>
        <w:tc>
          <w:tcPr>
            <w:tcW w:w="2211" w:type="dxa"/>
            <w:vMerge/>
            <w:tcBorders>
              <w:bottom w:val="single" w:sz="4" w:space="0" w:color="033636" w:themeColor="text2"/>
            </w:tcBorders>
            <w:shd w:val="clear" w:color="auto" w:fill="C5FFEF" w:themeFill="background2" w:themeFillTint="33"/>
          </w:tcPr>
          <w:p w14:paraId="1A89E4FA" w14:textId="77777777" w:rsidR="00527BEF" w:rsidRPr="00092394" w:rsidRDefault="00527BEF" w:rsidP="00092394"/>
        </w:tc>
        <w:tc>
          <w:tcPr>
            <w:tcW w:w="2211" w:type="dxa"/>
            <w:shd w:val="clear" w:color="auto" w:fill="F2F2F2" w:themeFill="background1" w:themeFillShade="F2"/>
            <w:tcMar>
              <w:top w:w="113" w:type="dxa"/>
              <w:left w:w="113" w:type="dxa"/>
              <w:bottom w:w="113" w:type="dxa"/>
              <w:right w:w="113" w:type="dxa"/>
            </w:tcMar>
            <w:vAlign w:val="center"/>
          </w:tcPr>
          <w:p w14:paraId="37221706" w14:textId="77777777" w:rsidR="00527BEF" w:rsidRPr="00092394" w:rsidRDefault="00527BEF" w:rsidP="006F3EB4">
            <w:pPr>
              <w:pStyle w:val="CDIFigure-Table-BodyTextLeft"/>
            </w:pPr>
            <w:r w:rsidRPr="00092394">
              <w:t>Rectum only</w:t>
            </w:r>
          </w:p>
        </w:tc>
        <w:tc>
          <w:tcPr>
            <w:tcW w:w="1304" w:type="dxa"/>
            <w:shd w:val="clear" w:color="auto" w:fill="F2F2F2" w:themeFill="background1" w:themeFillShade="F2"/>
            <w:tcMar>
              <w:top w:w="113" w:type="dxa"/>
              <w:left w:w="113" w:type="dxa"/>
              <w:bottom w:w="113" w:type="dxa"/>
              <w:right w:w="113" w:type="dxa"/>
            </w:tcMar>
            <w:vAlign w:val="center"/>
          </w:tcPr>
          <w:p w14:paraId="31DA109B" w14:textId="77777777" w:rsidR="00527BEF" w:rsidRPr="00092394" w:rsidRDefault="00527BEF" w:rsidP="006F3EB4">
            <w:pPr>
              <w:pStyle w:val="CDIFigure-Table-BodyTextCentre"/>
            </w:pPr>
            <w:r w:rsidRPr="00092394">
              <w:t>47</w:t>
            </w:r>
            <w:r w:rsidRPr="00092394">
              <w:br/>
              <w:t>(19.0)</w:t>
            </w:r>
          </w:p>
        </w:tc>
        <w:tc>
          <w:tcPr>
            <w:tcW w:w="1304" w:type="dxa"/>
            <w:shd w:val="clear" w:color="auto" w:fill="F2F2F2" w:themeFill="background1" w:themeFillShade="F2"/>
            <w:tcMar>
              <w:top w:w="113" w:type="dxa"/>
              <w:left w:w="113" w:type="dxa"/>
              <w:bottom w:w="113" w:type="dxa"/>
              <w:right w:w="113" w:type="dxa"/>
            </w:tcMar>
            <w:vAlign w:val="center"/>
          </w:tcPr>
          <w:p w14:paraId="15BBD278" w14:textId="77777777" w:rsidR="00527BEF" w:rsidRPr="00092394" w:rsidRDefault="00527BEF" w:rsidP="006F3EB4">
            <w:pPr>
              <w:pStyle w:val="CDIFigure-Table-BodyTextCentre"/>
            </w:pPr>
            <w:r w:rsidRPr="00092394">
              <w:t>159</w:t>
            </w:r>
            <w:r w:rsidRPr="00092394">
              <w:br/>
              <w:t>(13.1)</w:t>
            </w:r>
          </w:p>
        </w:tc>
        <w:tc>
          <w:tcPr>
            <w:tcW w:w="1304" w:type="dxa"/>
            <w:shd w:val="clear" w:color="auto" w:fill="F2F2F2" w:themeFill="background1" w:themeFillShade="F2"/>
            <w:tcMar>
              <w:top w:w="113" w:type="dxa"/>
              <w:left w:w="113" w:type="dxa"/>
              <w:bottom w:w="113" w:type="dxa"/>
              <w:right w:w="113" w:type="dxa"/>
            </w:tcMar>
            <w:vAlign w:val="center"/>
          </w:tcPr>
          <w:p w14:paraId="6185F5FF" w14:textId="2B1CB4A0" w:rsidR="00527BEF" w:rsidRPr="00092394" w:rsidRDefault="00527BEF" w:rsidP="006F3EB4">
            <w:pPr>
              <w:pStyle w:val="CDIFigure-Table-BodyTextCentre"/>
            </w:pPr>
            <w:r w:rsidRPr="00092394">
              <w:t>2.67</w:t>
            </w:r>
            <w:r w:rsidR="00C337BD">
              <w:br/>
            </w:r>
            <w:r w:rsidRPr="00092394">
              <w:t>(1.76–4.06)</w:t>
            </w:r>
          </w:p>
        </w:tc>
        <w:tc>
          <w:tcPr>
            <w:tcW w:w="1304" w:type="dxa"/>
            <w:shd w:val="clear" w:color="auto" w:fill="F2F2F2" w:themeFill="background1" w:themeFillShade="F2"/>
            <w:tcMar>
              <w:top w:w="113" w:type="dxa"/>
              <w:left w:w="113" w:type="dxa"/>
              <w:bottom w:w="113" w:type="dxa"/>
              <w:right w:w="113" w:type="dxa"/>
            </w:tcMar>
            <w:vAlign w:val="center"/>
          </w:tcPr>
          <w:p w14:paraId="6B3B1E83" w14:textId="77777777" w:rsidR="00527BEF" w:rsidRPr="00092394" w:rsidRDefault="00527BEF" w:rsidP="006F3EB4">
            <w:pPr>
              <w:pStyle w:val="CDIFigure-Table-BodyTextCentre"/>
            </w:pPr>
            <w:r w:rsidRPr="00092394">
              <w:t>&lt; 0.001</w:t>
            </w:r>
          </w:p>
        </w:tc>
      </w:tr>
      <w:tr w:rsidR="00527BEF" w:rsidRPr="00092394" w14:paraId="1202113A" w14:textId="77777777" w:rsidTr="006F3EB4">
        <w:tblPrEx>
          <w:tblCellMar>
            <w:top w:w="0" w:type="dxa"/>
            <w:left w:w="0" w:type="dxa"/>
            <w:bottom w:w="0" w:type="dxa"/>
            <w:right w:w="0" w:type="dxa"/>
          </w:tblCellMar>
        </w:tblPrEx>
        <w:trPr>
          <w:divId w:val="935526654"/>
          <w:trHeight w:val="20"/>
        </w:trPr>
        <w:tc>
          <w:tcPr>
            <w:tcW w:w="2211" w:type="dxa"/>
            <w:vMerge/>
            <w:tcBorders>
              <w:bottom w:val="single" w:sz="4" w:space="0" w:color="033636" w:themeColor="text2"/>
            </w:tcBorders>
            <w:shd w:val="clear" w:color="auto" w:fill="C5FFEF" w:themeFill="background2" w:themeFillTint="33"/>
          </w:tcPr>
          <w:p w14:paraId="02FE50A4" w14:textId="77777777" w:rsidR="00527BEF" w:rsidRPr="00092394" w:rsidRDefault="00527BEF" w:rsidP="00092394"/>
        </w:tc>
        <w:tc>
          <w:tcPr>
            <w:tcW w:w="2211" w:type="dxa"/>
            <w:tcMar>
              <w:top w:w="113" w:type="dxa"/>
              <w:left w:w="113" w:type="dxa"/>
              <w:bottom w:w="113" w:type="dxa"/>
              <w:right w:w="113" w:type="dxa"/>
            </w:tcMar>
            <w:vAlign w:val="center"/>
          </w:tcPr>
          <w:p w14:paraId="71686643" w14:textId="77777777" w:rsidR="00527BEF" w:rsidRPr="00092394" w:rsidRDefault="00527BEF" w:rsidP="006F3EB4">
            <w:pPr>
              <w:pStyle w:val="CDIFigure-Table-BodyTextLeft"/>
            </w:pPr>
            <w:r w:rsidRPr="00092394">
              <w:t>Throat only</w:t>
            </w:r>
          </w:p>
        </w:tc>
        <w:tc>
          <w:tcPr>
            <w:tcW w:w="1304" w:type="dxa"/>
            <w:tcMar>
              <w:top w:w="113" w:type="dxa"/>
              <w:left w:w="113" w:type="dxa"/>
              <w:bottom w:w="113" w:type="dxa"/>
              <w:right w:w="113" w:type="dxa"/>
            </w:tcMar>
            <w:vAlign w:val="center"/>
          </w:tcPr>
          <w:p w14:paraId="4D280B82" w14:textId="77777777" w:rsidR="00527BEF" w:rsidRPr="00092394" w:rsidRDefault="00527BEF" w:rsidP="006F3EB4">
            <w:pPr>
              <w:pStyle w:val="CDIFigure-Table-BodyTextCentre"/>
            </w:pPr>
            <w:r w:rsidRPr="00092394">
              <w:t>67</w:t>
            </w:r>
            <w:r w:rsidRPr="00092394">
              <w:br/>
              <w:t>(27.1)</w:t>
            </w:r>
          </w:p>
        </w:tc>
        <w:tc>
          <w:tcPr>
            <w:tcW w:w="1304" w:type="dxa"/>
            <w:tcMar>
              <w:top w:w="113" w:type="dxa"/>
              <w:left w:w="113" w:type="dxa"/>
              <w:bottom w:w="113" w:type="dxa"/>
              <w:right w:w="113" w:type="dxa"/>
            </w:tcMar>
            <w:vAlign w:val="center"/>
          </w:tcPr>
          <w:p w14:paraId="144E4BAD" w14:textId="77777777" w:rsidR="00527BEF" w:rsidRPr="00092394" w:rsidRDefault="00527BEF" w:rsidP="006F3EB4">
            <w:pPr>
              <w:pStyle w:val="CDIFigure-Table-BodyTextCentre"/>
            </w:pPr>
            <w:r w:rsidRPr="00092394">
              <w:t>248</w:t>
            </w:r>
            <w:r w:rsidRPr="00092394">
              <w:br/>
              <w:t>(20.5)</w:t>
            </w:r>
          </w:p>
        </w:tc>
        <w:tc>
          <w:tcPr>
            <w:tcW w:w="1304" w:type="dxa"/>
            <w:tcMar>
              <w:top w:w="113" w:type="dxa"/>
              <w:left w:w="113" w:type="dxa"/>
              <w:bottom w:w="113" w:type="dxa"/>
              <w:right w:w="113" w:type="dxa"/>
            </w:tcMar>
            <w:vAlign w:val="center"/>
          </w:tcPr>
          <w:p w14:paraId="1AB9F056" w14:textId="427A911F" w:rsidR="00527BEF" w:rsidRPr="00092394" w:rsidRDefault="00527BEF" w:rsidP="006F3EB4">
            <w:pPr>
              <w:pStyle w:val="CDIFigure-Table-BodyTextCentre"/>
            </w:pPr>
            <w:r w:rsidRPr="00092394">
              <w:t>2.44</w:t>
            </w:r>
            <w:r w:rsidR="00C337BD">
              <w:br/>
            </w:r>
            <w:r w:rsidRPr="00092394">
              <w:t>(1.68–3.56)</w:t>
            </w:r>
          </w:p>
        </w:tc>
        <w:tc>
          <w:tcPr>
            <w:tcW w:w="1304" w:type="dxa"/>
            <w:tcMar>
              <w:top w:w="113" w:type="dxa"/>
              <w:left w:w="113" w:type="dxa"/>
              <w:bottom w:w="113" w:type="dxa"/>
              <w:right w:w="113" w:type="dxa"/>
            </w:tcMar>
            <w:vAlign w:val="center"/>
          </w:tcPr>
          <w:p w14:paraId="6A45C777" w14:textId="77777777" w:rsidR="00527BEF" w:rsidRPr="00092394" w:rsidRDefault="00527BEF" w:rsidP="006F3EB4">
            <w:pPr>
              <w:pStyle w:val="CDIFigure-Table-BodyTextCentre"/>
            </w:pPr>
            <w:r w:rsidRPr="00092394">
              <w:t>&lt; 0.001</w:t>
            </w:r>
          </w:p>
        </w:tc>
      </w:tr>
      <w:tr w:rsidR="00527BEF" w:rsidRPr="00092394" w14:paraId="05BEF711" w14:textId="77777777" w:rsidTr="006F3EB4">
        <w:tblPrEx>
          <w:tblCellMar>
            <w:top w:w="0" w:type="dxa"/>
            <w:left w:w="0" w:type="dxa"/>
            <w:bottom w:w="0" w:type="dxa"/>
            <w:right w:w="0" w:type="dxa"/>
          </w:tblCellMar>
        </w:tblPrEx>
        <w:trPr>
          <w:divId w:val="935526654"/>
          <w:trHeight w:val="20"/>
        </w:trPr>
        <w:tc>
          <w:tcPr>
            <w:tcW w:w="2211" w:type="dxa"/>
            <w:vMerge/>
            <w:tcBorders>
              <w:bottom w:val="single" w:sz="4" w:space="0" w:color="033636" w:themeColor="text2"/>
            </w:tcBorders>
            <w:shd w:val="clear" w:color="auto" w:fill="C5FFEF" w:themeFill="background2" w:themeFillTint="33"/>
          </w:tcPr>
          <w:p w14:paraId="745B8E3F" w14:textId="77777777" w:rsidR="00527BEF" w:rsidRPr="00092394" w:rsidRDefault="00527BEF" w:rsidP="00092394"/>
        </w:tc>
        <w:tc>
          <w:tcPr>
            <w:tcW w:w="221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76CFF38" w14:textId="77777777" w:rsidR="00527BEF" w:rsidRPr="00092394" w:rsidRDefault="00527BEF" w:rsidP="006F3EB4">
            <w:pPr>
              <w:pStyle w:val="CDIFigure-Table-BodyTextLeft"/>
            </w:pPr>
            <w:r w:rsidRPr="00092394">
              <w:t>Two or more sites</w:t>
            </w:r>
          </w:p>
        </w:tc>
        <w:tc>
          <w:tcPr>
            <w:tcW w:w="130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B87FCC2" w14:textId="77777777" w:rsidR="00527BEF" w:rsidRPr="00092394" w:rsidRDefault="00527BEF" w:rsidP="006F3EB4">
            <w:pPr>
              <w:pStyle w:val="CDIFigure-Table-BodyTextCentre"/>
            </w:pPr>
            <w:r w:rsidRPr="00092394">
              <w:t>67</w:t>
            </w:r>
            <w:r w:rsidRPr="00092394">
              <w:br/>
              <w:t>(27.1)</w:t>
            </w:r>
          </w:p>
        </w:tc>
        <w:tc>
          <w:tcPr>
            <w:tcW w:w="130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AF86A3B" w14:textId="77777777" w:rsidR="00527BEF" w:rsidRPr="00092394" w:rsidRDefault="00527BEF" w:rsidP="006F3EB4">
            <w:pPr>
              <w:pStyle w:val="CDIFigure-Table-BodyTextCentre"/>
            </w:pPr>
            <w:r w:rsidRPr="00092394">
              <w:t>208</w:t>
            </w:r>
            <w:r w:rsidRPr="00092394">
              <w:br/>
              <w:t>(17.2)</w:t>
            </w:r>
          </w:p>
        </w:tc>
        <w:tc>
          <w:tcPr>
            <w:tcW w:w="130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7102569" w14:textId="6883081F" w:rsidR="00527BEF" w:rsidRPr="00092394" w:rsidRDefault="00527BEF" w:rsidP="006F3EB4">
            <w:pPr>
              <w:pStyle w:val="CDIFigure-Table-BodyTextCentre"/>
            </w:pPr>
            <w:r w:rsidRPr="00092394">
              <w:t>2.91</w:t>
            </w:r>
            <w:r w:rsidR="00C337BD">
              <w:br/>
            </w:r>
            <w:r w:rsidRPr="00092394">
              <w:t>(1.99–4.23)</w:t>
            </w:r>
          </w:p>
        </w:tc>
        <w:tc>
          <w:tcPr>
            <w:tcW w:w="130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1780E07" w14:textId="77777777" w:rsidR="00527BEF" w:rsidRPr="00092394" w:rsidRDefault="00527BEF" w:rsidP="006F3EB4">
            <w:pPr>
              <w:pStyle w:val="CDIFigure-Table-BodyTextCentre"/>
            </w:pPr>
            <w:r w:rsidRPr="00092394">
              <w:t>&lt; 0.001</w:t>
            </w:r>
          </w:p>
        </w:tc>
      </w:tr>
    </w:tbl>
    <w:p w14:paraId="784D378E" w14:textId="77777777" w:rsidR="001F1F92" w:rsidRDefault="001F1F92" w:rsidP="001F1F92">
      <w:pPr>
        <w:pStyle w:val="CDIFigure-Table-FirstFootnote"/>
        <w:divId w:val="935526654"/>
      </w:pPr>
      <w:r>
        <w:t>a</w:t>
      </w:r>
      <w:r>
        <w:tab/>
        <w:t xml:space="preserve">OR: odds ratio; 95% CI: 95% confidence interval; Ref.: category is assigned as OR reference. </w:t>
      </w:r>
    </w:p>
    <w:p w14:paraId="45593201" w14:textId="77777777" w:rsidR="001F1F92" w:rsidRDefault="001F1F92" w:rsidP="001F1F92">
      <w:pPr>
        <w:pStyle w:val="CDIFigure-Table-Footnote"/>
        <w:divId w:val="935526654"/>
      </w:pPr>
      <w:r>
        <w:t>b</w:t>
      </w:r>
      <w:r>
        <w:tab/>
        <w:t>Excludes indeterminate/non-binary (n &lt; 10) due to low numbers.</w:t>
      </w:r>
    </w:p>
    <w:p w14:paraId="09E02E1A" w14:textId="77777777" w:rsidR="001F1F92" w:rsidRDefault="001F1F92" w:rsidP="001F1F92">
      <w:pPr>
        <w:pStyle w:val="CDIFigure-Table-Footnote"/>
        <w:divId w:val="935526654"/>
      </w:pPr>
      <w:r>
        <w:t>c</w:t>
      </w:r>
      <w:r>
        <w:tab/>
        <w:t xml:space="preserve">Excludes unknown, not </w:t>
      </w:r>
      <w:proofErr w:type="gramStart"/>
      <w:r>
        <w:t>stated</w:t>
      </w:r>
      <w:proofErr w:type="gramEnd"/>
      <w:r>
        <w:t xml:space="preserve"> or inadequately described (n=81). Records with Aboriginal and/or Torres Strait Islander status of Aboriginal, Torres Strait Islander, and both Aboriginal and Torres Strait Islander have been combined to prevent reidentification.</w:t>
      </w:r>
    </w:p>
    <w:p w14:paraId="785557D6" w14:textId="77777777" w:rsidR="001F1F92" w:rsidRDefault="001F1F92" w:rsidP="001F1F92">
      <w:pPr>
        <w:pStyle w:val="CDIFigure-Table-Footnote"/>
        <w:divId w:val="935526654"/>
      </w:pPr>
      <w:r>
        <w:t>d</w:t>
      </w:r>
      <w:r>
        <w:tab/>
        <w:t>Excludes unknown/not reported (n = 35).</w:t>
      </w:r>
    </w:p>
    <w:p w14:paraId="7D179603" w14:textId="77777777" w:rsidR="001F1F92" w:rsidRDefault="001F1F92" w:rsidP="001F1F92">
      <w:pPr>
        <w:pStyle w:val="CDIFigure-Table-Footnote"/>
        <w:divId w:val="935526654"/>
      </w:pPr>
      <w:r>
        <w:t>e</w:t>
      </w:r>
      <w:r>
        <w:tab/>
        <w:t>For Reinfection group, reflects the first infection with data available for use of PrEP at diagnosis. Excludes unknown (n = 44).</w:t>
      </w:r>
    </w:p>
    <w:p w14:paraId="0CE2F93D" w14:textId="77777777" w:rsidR="001F1F92" w:rsidRDefault="001F1F92" w:rsidP="001F1F92">
      <w:pPr>
        <w:pStyle w:val="CDIFigure-Table-Footnote"/>
        <w:divId w:val="935526654"/>
      </w:pPr>
      <w:r>
        <w:t>f</w:t>
      </w:r>
      <w:r>
        <w:tab/>
        <w:t>Excludes unknown/not reported (n = 58).</w:t>
      </w:r>
    </w:p>
    <w:p w14:paraId="7A804E48" w14:textId="77777777" w:rsidR="001F1F92" w:rsidRDefault="001F1F92" w:rsidP="001F1F92">
      <w:pPr>
        <w:pStyle w:val="CDIFigure-Table-Footnote"/>
        <w:divId w:val="935526654"/>
      </w:pPr>
      <w:r>
        <w:t>g</w:t>
      </w:r>
      <w:r>
        <w:tab/>
        <w:t>Excludes ‘other’ (n = 72).</w:t>
      </w:r>
    </w:p>
    <w:p w14:paraId="6F03B551" w14:textId="2748180B" w:rsidR="001F1F92" w:rsidRDefault="001F1F92" w:rsidP="001F1F92">
      <w:pPr>
        <w:pStyle w:val="CDIFigure-Table-Footnote"/>
        <w:divId w:val="935526654"/>
      </w:pPr>
      <w:r>
        <w:t>h</w:t>
      </w:r>
      <w:r>
        <w:tab/>
        <w:t>Excludes ‘other’ (n &lt; 5).</w:t>
      </w:r>
    </w:p>
    <w:p w14:paraId="7BCD873D" w14:textId="77777777" w:rsidR="00DA7907" w:rsidRDefault="00DA7907" w:rsidP="00DA7907">
      <w:pPr>
        <w:pStyle w:val="Heading1"/>
        <w:divId w:val="935526654"/>
        <w:rPr>
          <w:lang w:val="en-GB"/>
        </w:rPr>
      </w:pPr>
      <w:r w:rsidRPr="00702D05">
        <w:rPr>
          <w:lang w:val="en-GB"/>
        </w:rPr>
        <w:t>Discussion</w:t>
      </w:r>
    </w:p>
    <w:p w14:paraId="7F3A4833" w14:textId="77777777" w:rsidR="001F1F92" w:rsidRPr="001F1F92" w:rsidRDefault="001F1F92" w:rsidP="001F1F92">
      <w:pPr>
        <w:divId w:val="935526654"/>
        <w:rPr>
          <w:lang w:val="en-GB"/>
        </w:rPr>
      </w:pPr>
      <w:r w:rsidRPr="001F1F92">
        <w:rPr>
          <w:lang w:val="en-GB"/>
        </w:rPr>
        <w:t>Reinfections contribute substantially to gonococcal infection notifications in the ACT. More than one-fifth of the notifications in our study were for reinfections. The notification rates, both for reinfections and for gonococcal infections overall, appear to be increasing in the ACT. These findings emphasise the need for the timely development of interventions aimed at identified at-risk groups, informed by further studies to better understand the reasons behind the observed trends.</w:t>
      </w:r>
    </w:p>
    <w:p w14:paraId="79F0C8FB" w14:textId="77777777" w:rsidR="001F1F92" w:rsidRPr="001F1F92" w:rsidRDefault="001F1F92" w:rsidP="001F1F92">
      <w:pPr>
        <w:divId w:val="935526654"/>
        <w:rPr>
          <w:lang w:val="en-GB"/>
        </w:rPr>
      </w:pPr>
      <w:r w:rsidRPr="001F1F92">
        <w:rPr>
          <w:lang w:val="en-GB"/>
        </w:rPr>
        <w:t>More than three-quarters of gonococcal infection notifications over the study period were for males. A higher proportion of notifications for females were in younger age groups, with 39.6% of notifications for females in the 14–24 years age group, compared with 21.5% for males. Females had a higher proportion of notifications for Aboriginal and/or Torres Strait Islander people—10.5% compared with 3.1% for males. This is consistent with another study which found a higher female-to-male ratio and higher notification rates in females in the younger (15–19 years) age groups among Aboriginal and/or Torres Strait Islander people.</w:t>
      </w:r>
      <w:r w:rsidRPr="001F1F92">
        <w:rPr>
          <w:vertAlign w:val="superscript"/>
          <w:lang w:val="en-GB"/>
        </w:rPr>
        <w:t>22</w:t>
      </w:r>
      <w:r w:rsidRPr="001F1F92">
        <w:rPr>
          <w:lang w:val="en-GB"/>
        </w:rPr>
        <w:t xml:space="preserve"> Although just over one half of notifications were for urogenital infections, around 40% involved the throat and around one third involved the rectum. This supports the need for testing of these sites </w:t>
      </w:r>
      <w:proofErr w:type="gramStart"/>
      <w:r w:rsidRPr="001F1F92">
        <w:rPr>
          <w:lang w:val="en-GB"/>
        </w:rPr>
        <w:t>where</w:t>
      </w:r>
      <w:proofErr w:type="gramEnd"/>
      <w:r w:rsidRPr="001F1F92">
        <w:rPr>
          <w:lang w:val="en-GB"/>
        </w:rPr>
        <w:t xml:space="preserve"> recommended by clinical guidelines.</w:t>
      </w:r>
      <w:r w:rsidRPr="001F1F92">
        <w:rPr>
          <w:vertAlign w:val="superscript"/>
          <w:lang w:val="en-GB"/>
        </w:rPr>
        <w:t>12</w:t>
      </w:r>
    </w:p>
    <w:p w14:paraId="255B3A26" w14:textId="77777777" w:rsidR="001F1F92" w:rsidRPr="001F1F92" w:rsidRDefault="001F1F92" w:rsidP="001F1F92">
      <w:pPr>
        <w:divId w:val="935526654"/>
        <w:rPr>
          <w:lang w:val="en-GB"/>
        </w:rPr>
      </w:pPr>
      <w:r w:rsidRPr="001F1F92">
        <w:rPr>
          <w:lang w:val="en-GB"/>
        </w:rPr>
        <w:lastRenderedPageBreak/>
        <w:t>In our study, over 20% of notifications were reinfections, slightly higher than the proportions reported in other studies, which may reflect both testing practices and behaviours in the ACT.</w:t>
      </w:r>
      <w:r w:rsidRPr="001F1F92">
        <w:rPr>
          <w:vertAlign w:val="superscript"/>
          <w:lang w:val="en-GB"/>
        </w:rPr>
        <w:t>14,15</w:t>
      </w:r>
      <w:r w:rsidRPr="001F1F92">
        <w:rPr>
          <w:lang w:val="en-GB"/>
        </w:rPr>
        <w:t xml:space="preserve"> More than two thirds of those in the Reinfection group had only two infections, with the number of individuals with each subsequent number of infections approximately halving from three infections onwards. This supports previous findings that reinfections were concentrated among a small subset of individuals.</w:t>
      </w:r>
      <w:r w:rsidRPr="001F1F92">
        <w:rPr>
          <w:vertAlign w:val="superscript"/>
          <w:lang w:val="en-GB"/>
        </w:rPr>
        <w:t>23</w:t>
      </w:r>
      <w:r w:rsidRPr="001F1F92">
        <w:rPr>
          <w:lang w:val="en-GB"/>
        </w:rPr>
        <w:t xml:space="preserve"> Future studies, particularly qualitative studies, are needed to better understand the reasons why current prevention initiatives may be ineffective for preventing subsequent infections among some individuals.</w:t>
      </w:r>
    </w:p>
    <w:p w14:paraId="37D28C1C" w14:textId="77777777" w:rsidR="001F1F92" w:rsidRPr="001F1F92" w:rsidRDefault="001F1F92" w:rsidP="001F1F92">
      <w:pPr>
        <w:divId w:val="935526654"/>
        <w:rPr>
          <w:lang w:val="en-GB"/>
        </w:rPr>
      </w:pPr>
      <w:r w:rsidRPr="001F1F92">
        <w:rPr>
          <w:lang w:val="en-GB"/>
        </w:rPr>
        <w:t>Examination of trends suggests an increase in both the proportion and rate of gonococcal reinfections contributed to the increase in overall gonococcal infection notifications seen in the ACT since the relaxation of COVID-19-related restrictions in 2021. In 2022, the ACT recorded its highest ever gonococcal infection notification rate, with a greater increase in reinfections than first infections between 2021 and 2022. This suggests that the pattern of increasing gonococcal infections and reinfections seen between 2017 and 2019, which was interrupted by the COVID-19 pandemic, may have recommenced in 2022 following the relaxation of restrictions in Australia. Future studies examining the impact of COVID-19 lockdowns and other public health and social measures on reinfection rates may assist in better understanding these patterns.</w:t>
      </w:r>
    </w:p>
    <w:p w14:paraId="2355F2E1" w14:textId="2EA6C7F2" w:rsidR="001F1F92" w:rsidRPr="001F1F92" w:rsidRDefault="001F1F92" w:rsidP="001F1F92">
      <w:pPr>
        <w:divId w:val="935526654"/>
        <w:rPr>
          <w:lang w:val="en-GB"/>
        </w:rPr>
      </w:pPr>
      <w:r w:rsidRPr="001F1F92">
        <w:rPr>
          <w:lang w:val="en-GB"/>
        </w:rPr>
        <w:t>The use of PrEP at diagnosis and same-sex sexual exposure demonstrated the strongest association with reinfection on univariate analysis (unadjusted ORs: 4.60; 95% CI: 3.33–6.43 and 4.98; 95% CI: 3.46–7.15, respectively). Previous studies have identified individuals taking PrEP and GBMSM as groups at increased risk of reinfection.</w:t>
      </w:r>
      <w:r w:rsidRPr="001F1F92">
        <w:rPr>
          <w:vertAlign w:val="superscript"/>
          <w:lang w:val="en-GB"/>
        </w:rPr>
        <w:t>15,18,23,24,25</w:t>
      </w:r>
      <w:r w:rsidRPr="001F1F92">
        <w:rPr>
          <w:lang w:val="en-GB"/>
        </w:rPr>
        <w:t xml:space="preserve"> Another study found commencing PrEP was associated with an increase in gonococcal infection incidence.</w:t>
      </w:r>
      <w:r w:rsidRPr="001F1F92">
        <w:rPr>
          <w:vertAlign w:val="superscript"/>
          <w:lang w:val="en-GB"/>
        </w:rPr>
        <w:t>29</w:t>
      </w:r>
      <w:r w:rsidRPr="001F1F92">
        <w:rPr>
          <w:lang w:val="en-GB"/>
        </w:rPr>
        <w:t xml:space="preserve"> In Australia, prescription of PrEP is indicated for GBMSM who engage in condomless sex with casual </w:t>
      </w:r>
      <w:proofErr w:type="gramStart"/>
      <w:r w:rsidRPr="001F1F92">
        <w:rPr>
          <w:lang w:val="en-GB"/>
        </w:rPr>
        <w:t>partners</w:t>
      </w:r>
      <w:proofErr w:type="gramEnd"/>
      <w:r w:rsidRPr="001F1F92">
        <w:rPr>
          <w:lang w:val="en-GB"/>
        </w:rPr>
        <w:t xml:space="preserve"> so these variables are highly correlated. However, these findings emphasise the need for tailored health promotion and educational initiatives to reduce gonococcal infections and reinfections among these groups. These groups should be considered for priority access to pharmacological interventions to prevent transmission, such as antibiotic prophylaxis or vaccination. Although data for whether the case was symptomatic or asymptomatic were outside the scope of this study, regular asymptomatic STI screening is recommended for GBMSM, at commencement of PrEP, and every 90 days while PrEP is used, increasing the likelihood of diagnosis.</w:t>
      </w:r>
      <w:r w:rsidRPr="001F1F92">
        <w:rPr>
          <w:vertAlign w:val="superscript"/>
          <w:lang w:val="en-GB"/>
        </w:rPr>
        <w:t>13</w:t>
      </w:r>
      <w:r w:rsidRPr="001F1F92">
        <w:rPr>
          <w:lang w:val="en-GB"/>
        </w:rPr>
        <w:t xml:space="preserve"> Therefore, individuals taking PrEP may be both at inherently greater risk of gonococcal reinfections and more likely to have their infections identified through regular testing.</w:t>
      </w:r>
      <w:r w:rsidRPr="001F1F92">
        <w:rPr>
          <w:vertAlign w:val="superscript"/>
          <w:lang w:val="en-GB"/>
        </w:rPr>
        <w:t>12</w:t>
      </w:r>
      <w:r w:rsidRPr="001F1F92">
        <w:rPr>
          <w:lang w:val="en-GB"/>
        </w:rPr>
        <w:t xml:space="preserve"> The ACT has the highest rate of PrEP use per 100,000 population of any Australian state or territory, potentially contributing to the substantial proportion of gonococcal reinfections seen in this study.</w:t>
      </w:r>
      <w:r w:rsidRPr="001F1F92">
        <w:rPr>
          <w:vertAlign w:val="superscript"/>
          <w:lang w:val="en-GB"/>
        </w:rPr>
        <w:t>26</w:t>
      </w:r>
      <w:r w:rsidRPr="001F1F92">
        <w:rPr>
          <w:lang w:val="en-GB"/>
        </w:rPr>
        <w:t xml:space="preserve"> These interactions with health services present an opportunity for the implementation of interventions aimed at reducing future gonococcal infections.</w:t>
      </w:r>
    </w:p>
    <w:p w14:paraId="33535A03" w14:textId="77777777" w:rsidR="001F1F92" w:rsidRPr="001F1F92" w:rsidRDefault="001F1F92" w:rsidP="001F1F92">
      <w:pPr>
        <w:divId w:val="935526654"/>
        <w:rPr>
          <w:lang w:val="en-GB"/>
        </w:rPr>
      </w:pPr>
      <w:r w:rsidRPr="001F1F92">
        <w:rPr>
          <w:lang w:val="en-GB"/>
        </w:rPr>
        <w:t xml:space="preserve">Diagnosis at a sexual health/family planning clinic was associated with increased odds of reinfection (unadjusted OR: 3.52; 95% CI: 2.43–5.08). The majority those diagnosed in sexual health/family planning clinics were males with a same-sex or both-sexes sexual exposure, suggesting these variables were highly correlated. However, these findings confirm the critical role of sexual health/family planning clinics in managing gonococcal reinfections. These settings provide an important potential avenue for the delivery of interventions to prevent subsequent infections in their clients. Sufficient resources must be allocated to clinics to enable their development. To prevent reinfection, novel prevention strategies are needed to reduce condomless sex and multiple partners among those with a previous gonococcal infection. These may include health promotion strategies, such as embedded STI education and testing advice in dating apps, and counselling or educational techniques which aim to change risk perception around STIs. </w:t>
      </w:r>
    </w:p>
    <w:p w14:paraId="1FB0E861" w14:textId="77777777" w:rsidR="001F1F92" w:rsidRPr="001F1F92" w:rsidRDefault="001F1F92" w:rsidP="001F1F92">
      <w:pPr>
        <w:divId w:val="935526654"/>
        <w:rPr>
          <w:lang w:val="en-GB"/>
        </w:rPr>
      </w:pPr>
      <w:r w:rsidRPr="001F1F92">
        <w:rPr>
          <w:lang w:val="en-GB"/>
        </w:rPr>
        <w:lastRenderedPageBreak/>
        <w:t>The strengths of this study include the use of a case-case study design, with those with a notification in the three years prior to the study period excluded from the Single Infection group to reduce misclassification bias. Data were collected by experienced PHO using established processes and completeness was high with only a very small number of notifications excluded from the study.</w:t>
      </w:r>
    </w:p>
    <w:p w14:paraId="60CF890F" w14:textId="77777777" w:rsidR="001F1F92" w:rsidRPr="001F1F92" w:rsidRDefault="001F1F92" w:rsidP="001F1F92">
      <w:pPr>
        <w:divId w:val="935526654"/>
        <w:rPr>
          <w:lang w:val="en-GB"/>
        </w:rPr>
      </w:pPr>
      <w:r w:rsidRPr="001F1F92">
        <w:rPr>
          <w:lang w:val="en-GB"/>
        </w:rPr>
        <w:t xml:space="preserve">As this study used data from notifications, asymptomatic or otherwise undiagnosed infections may not have been captured. However, regular testing among priority groups, as recommended by clinical guidelines, may have reduced the effect of this limitation. Although STI testing and treatment in the ACT is informed by clinical guidelines, it was not possible to determine whether these guidelines were followed in every case. Movement of people in and out of the ACT within the study period also presents a limitation to identifying all repeat infections, as individuals within the Single Infection group may have had an infection notified outside the ACT. </w:t>
      </w:r>
    </w:p>
    <w:p w14:paraId="14C9EAA8" w14:textId="77777777" w:rsidR="001F1F92" w:rsidRPr="001F1F92" w:rsidRDefault="001F1F92" w:rsidP="001F1F92">
      <w:pPr>
        <w:divId w:val="935526654"/>
        <w:rPr>
          <w:lang w:val="en-GB"/>
        </w:rPr>
      </w:pPr>
      <w:r w:rsidRPr="001F1F92">
        <w:rPr>
          <w:lang w:val="en-GB"/>
        </w:rPr>
        <w:t>Due to the retrospective study design, it was not possible to track changes in epidemiological variables for individuals in the Reinfection group. Data for the first infection were used for comparisons with the Single Infection group. However, for some individuals, the status of some variables may have changed for subsequent infections, potentially affecting our estimates. Data for sexual exposure type and sex worker status relied on self-reported responses and may have been subject to under-reporting due to concerns around stigma and privacy.</w:t>
      </w:r>
    </w:p>
    <w:p w14:paraId="213BD938" w14:textId="77777777" w:rsidR="001F1F92" w:rsidRPr="001F1F92" w:rsidRDefault="001F1F92" w:rsidP="001F1F92">
      <w:pPr>
        <w:divId w:val="935526654"/>
        <w:rPr>
          <w:lang w:val="en-GB"/>
        </w:rPr>
      </w:pPr>
      <w:r w:rsidRPr="001F1F92">
        <w:rPr>
          <w:lang w:val="en-GB"/>
        </w:rPr>
        <w:t xml:space="preserve">In this study, univariate analysis sought to examine the relationships between each variable and risk of reinfection. However, the complex inter-relationships between some variables presented limitations to undertaking multivariable analyses. As </w:t>
      </w:r>
      <w:proofErr w:type="gramStart"/>
      <w:r w:rsidRPr="001F1F92">
        <w:rPr>
          <w:lang w:val="en-GB"/>
        </w:rPr>
        <w:t>the vast majority of</w:t>
      </w:r>
      <w:proofErr w:type="gramEnd"/>
      <w:r w:rsidRPr="001F1F92">
        <w:rPr>
          <w:lang w:val="en-GB"/>
        </w:rPr>
        <w:t xml:space="preserve"> individuals using PrEP at diagnosis were males with a same-sex sexual exposure, these variables were highly correlated. Additionally, the small number of females with a same-sex sexual exposure prevented examination of males and females separately. Therefore, the finding of same-sex sexual exposure as a risk factor for reinfection likely reflects male same-sex sexual exposure. Available data for sexual exposure type related to the specific infection notified, rather than to the individual’s broader sexual history. This prevented comparison of GBMSM with males who were not GBMSM, as those who reported an opposite-sex sexual exposure for a given infection could not be reliably excluded from the GBMSM group. </w:t>
      </w:r>
    </w:p>
    <w:p w14:paraId="6400E61E" w14:textId="77777777" w:rsidR="00DA7907" w:rsidRPr="00702D05" w:rsidRDefault="00DA7907" w:rsidP="00DA7907">
      <w:pPr>
        <w:pStyle w:val="Heading1"/>
        <w:divId w:val="935526654"/>
        <w:rPr>
          <w:lang w:val="en-GB"/>
        </w:rPr>
      </w:pPr>
      <w:r w:rsidRPr="00702D05">
        <w:rPr>
          <w:lang w:val="en-GB"/>
        </w:rPr>
        <w:t>Conclusion</w:t>
      </w:r>
    </w:p>
    <w:p w14:paraId="132095B3" w14:textId="77777777" w:rsidR="001965AB" w:rsidRPr="001965AB" w:rsidRDefault="001965AB" w:rsidP="001965AB">
      <w:pPr>
        <w:divId w:val="935526654"/>
        <w:rPr>
          <w:lang w:val="en-GB"/>
        </w:rPr>
      </w:pPr>
      <w:r w:rsidRPr="001965AB">
        <w:rPr>
          <w:lang w:val="en-GB"/>
        </w:rPr>
        <w:t>This study shows that the contribution of reinfections to overall gonococcal infection notifications in the ACT is substantial and increasing. People who use PrEP, have a same-sex sexual exposure, and use sexual health/family planning clinics, had the highest odds of gonococcal reinfections. The development of appropriately targeted new interventions to reduce gonococcal infections and reinfections, particularly among these groups, is required. This may include specific health promotion activities, novel methods in education and counselling, and prioritisation of these groups for future pharmacological interventions. Further studies are needed to understand why current prevention initiatives may be ineffective for some individuals, to support the development of effective interventions.</w:t>
      </w:r>
    </w:p>
    <w:p w14:paraId="50839EBB" w14:textId="77777777" w:rsidR="00DA7907" w:rsidRPr="00702D05" w:rsidRDefault="00DA7907" w:rsidP="00DA7907">
      <w:pPr>
        <w:pStyle w:val="Heading1"/>
        <w:divId w:val="935526654"/>
        <w:rPr>
          <w:lang w:val="en-GB"/>
        </w:rPr>
      </w:pPr>
      <w:r>
        <w:rPr>
          <w:lang w:val="en-GB"/>
        </w:rPr>
        <w:lastRenderedPageBreak/>
        <w:t>Acknowledgments</w:t>
      </w:r>
    </w:p>
    <w:p w14:paraId="22380132" w14:textId="77777777" w:rsidR="001965AB" w:rsidRPr="001965AB" w:rsidRDefault="001965AB" w:rsidP="001965AB">
      <w:pPr>
        <w:divId w:val="935526654"/>
        <w:rPr>
          <w:lang w:val="en-GB"/>
        </w:rPr>
      </w:pPr>
      <w:r w:rsidRPr="001965AB">
        <w:rPr>
          <w:lang w:val="en-GB"/>
        </w:rPr>
        <w:t>The authors acknowledge the work of the Canberra Sexual Health Centre and all clinical and laboratory staff who contributed to this study. The authors acknowledge the advice and assistance provided by all ACT Health Directorate staff who contributed to the development and execution of this study. While undertaking this research, the first author was a Master of Philosophy in Applied Epidemiology (MAE) Scholar at the Australian National University, supported by the MAE Scholarship.</w:t>
      </w:r>
    </w:p>
    <w:p w14:paraId="4FD56632" w14:textId="77777777" w:rsidR="00DA7907" w:rsidRDefault="00DA7907" w:rsidP="00DA7907">
      <w:pPr>
        <w:pStyle w:val="Heading1"/>
        <w:divId w:val="935526654"/>
      </w:pPr>
      <w:r>
        <w:t>Author details</w:t>
      </w:r>
    </w:p>
    <w:p w14:paraId="775F5F04" w14:textId="77777777" w:rsidR="001965AB" w:rsidRDefault="001965AB" w:rsidP="001965AB">
      <w:pPr>
        <w:divId w:val="935526654"/>
      </w:pPr>
      <w:r>
        <w:t>Dr Jill Padrotta</w:t>
      </w:r>
      <w:r w:rsidRPr="001965AB">
        <w:rPr>
          <w:vertAlign w:val="superscript"/>
        </w:rPr>
        <w:t>1,2</w:t>
      </w:r>
    </w:p>
    <w:p w14:paraId="20CD16D0" w14:textId="77777777" w:rsidR="001965AB" w:rsidRDefault="001965AB" w:rsidP="001965AB">
      <w:pPr>
        <w:pStyle w:val="Normal-lessspace"/>
        <w:divId w:val="935526654"/>
      </w:pPr>
      <w:r>
        <w:t>Ms Alexandra Marmor</w:t>
      </w:r>
      <w:r w:rsidRPr="001965AB">
        <w:rPr>
          <w:vertAlign w:val="superscript"/>
        </w:rPr>
        <w:t>2</w:t>
      </w:r>
    </w:p>
    <w:p w14:paraId="76F0F4DD" w14:textId="77777777" w:rsidR="001965AB" w:rsidRDefault="001965AB" w:rsidP="001965AB">
      <w:pPr>
        <w:pStyle w:val="Normal-lessspace"/>
        <w:divId w:val="935526654"/>
      </w:pPr>
      <w:r>
        <w:t>Dr Nevada Pingault</w:t>
      </w:r>
      <w:r w:rsidRPr="001965AB">
        <w:rPr>
          <w:vertAlign w:val="superscript"/>
        </w:rPr>
        <w:t>2</w:t>
      </w:r>
    </w:p>
    <w:p w14:paraId="14EEB12F" w14:textId="77777777" w:rsidR="001965AB" w:rsidRDefault="001965AB" w:rsidP="001965AB">
      <w:pPr>
        <w:pStyle w:val="Normal-lessspace"/>
        <w:divId w:val="935526654"/>
      </w:pPr>
      <w:r>
        <w:t>Dr Davoud Pourmarzi</w:t>
      </w:r>
      <w:r w:rsidRPr="001965AB">
        <w:rPr>
          <w:vertAlign w:val="superscript"/>
        </w:rPr>
        <w:t>1</w:t>
      </w:r>
    </w:p>
    <w:p w14:paraId="241004F5" w14:textId="77777777" w:rsidR="001965AB" w:rsidRDefault="001965AB" w:rsidP="001965AB">
      <w:pPr>
        <w:pStyle w:val="CDINumberedList1L1"/>
        <w:divId w:val="935526654"/>
      </w:pPr>
      <w:r>
        <w:t xml:space="preserve">National Centre for Epidemiology and Population Health, Australian National University, Australian Capital Territory, Australia. </w:t>
      </w:r>
    </w:p>
    <w:p w14:paraId="159AFD47" w14:textId="77777777" w:rsidR="001965AB" w:rsidRDefault="001965AB" w:rsidP="001965AB">
      <w:pPr>
        <w:pStyle w:val="CDINumberedList1L1"/>
        <w:divId w:val="935526654"/>
      </w:pPr>
      <w:r>
        <w:t>Public Health Epidemiology and Reporting, Population Health Division, ACT Health, Australian Capital Territory, Australia.</w:t>
      </w:r>
    </w:p>
    <w:p w14:paraId="75F35133" w14:textId="77777777" w:rsidR="001965AB" w:rsidRPr="001965AB" w:rsidRDefault="001965AB" w:rsidP="001965AB">
      <w:pPr>
        <w:divId w:val="935526654"/>
        <w:rPr>
          <w:rStyle w:val="Bold"/>
        </w:rPr>
      </w:pPr>
      <w:r w:rsidRPr="001965AB">
        <w:rPr>
          <w:rStyle w:val="Bold"/>
        </w:rPr>
        <w:t>Corresponding author</w:t>
      </w:r>
    </w:p>
    <w:p w14:paraId="127F0B84" w14:textId="77777777" w:rsidR="001965AB" w:rsidRDefault="001965AB" w:rsidP="001965AB">
      <w:pPr>
        <w:divId w:val="935526654"/>
      </w:pPr>
      <w:r>
        <w:t xml:space="preserve">Jill Padrotta </w:t>
      </w:r>
    </w:p>
    <w:p w14:paraId="2EE96F57" w14:textId="77777777" w:rsidR="001965AB" w:rsidRDefault="001965AB" w:rsidP="001965AB">
      <w:pPr>
        <w:pStyle w:val="Normal-lessspace"/>
        <w:divId w:val="935526654"/>
      </w:pPr>
      <w:r>
        <w:t>Public Health Epidemiology and Reporting, Population Health Division, ACT Health, Australian Capital Territory, Australia</w:t>
      </w:r>
    </w:p>
    <w:p w14:paraId="4C6132C6" w14:textId="77777777" w:rsidR="001965AB" w:rsidRDefault="001965AB" w:rsidP="001965AB">
      <w:pPr>
        <w:pStyle w:val="Normal-lessspace"/>
        <w:divId w:val="935526654"/>
      </w:pPr>
      <w:r>
        <w:t>Telephone: +61 2 5124 6218</w:t>
      </w:r>
    </w:p>
    <w:p w14:paraId="4B64A5A6" w14:textId="6D4B2439" w:rsidR="00DA7907" w:rsidRPr="007A2D74" w:rsidRDefault="001965AB" w:rsidP="001965AB">
      <w:pPr>
        <w:pStyle w:val="Normal-lessspace"/>
        <w:divId w:val="935526654"/>
      </w:pPr>
      <w:r>
        <w:t>Email: Jill.Padrotta@anu.edu.au</w:t>
      </w:r>
      <w:r w:rsidR="00DA7907" w:rsidRPr="007A2D74">
        <w:br w:type="page"/>
      </w:r>
    </w:p>
    <w:p w14:paraId="6F339E54" w14:textId="77777777" w:rsidR="00DA7907" w:rsidRDefault="00DA7907" w:rsidP="00DA7907">
      <w:pPr>
        <w:pStyle w:val="Heading1"/>
        <w:divId w:val="935526654"/>
      </w:pPr>
      <w:r>
        <w:lastRenderedPageBreak/>
        <w:t>References</w:t>
      </w:r>
    </w:p>
    <w:p w14:paraId="24ABD58E" w14:textId="201396A6" w:rsidR="001965AB" w:rsidRPr="001965AB" w:rsidRDefault="001965AB" w:rsidP="001965AB">
      <w:pPr>
        <w:pStyle w:val="CDINumberedList1L1"/>
        <w:numPr>
          <w:ilvl w:val="0"/>
          <w:numId w:val="33"/>
        </w:numPr>
        <w:divId w:val="935526654"/>
      </w:pPr>
      <w:r>
        <w:t>W</w:t>
      </w:r>
      <w:r w:rsidRPr="001965AB">
        <w:t xml:space="preserve">orld Health Organization (WHO). </w:t>
      </w:r>
      <w:r w:rsidRPr="001965AB">
        <w:rPr>
          <w:i/>
          <w:iCs/>
        </w:rPr>
        <w:t>Global health sector strategy on Sexually Transmitted Infections</w:t>
      </w:r>
      <w:r w:rsidRPr="001965AB">
        <w:t>, 2016–2021. Geneva: WHO, Sexual and Reproductive Health and Research team; 3 October 2016. [Accessed on 22 June 2023.] Available from: https://www.who.int/publications/i/item/WHO-RHR-16.09.</w:t>
      </w:r>
    </w:p>
    <w:p w14:paraId="6F2C7BD4" w14:textId="38238FD4" w:rsidR="001965AB" w:rsidRPr="001965AB" w:rsidRDefault="001965AB" w:rsidP="001965AB">
      <w:pPr>
        <w:pStyle w:val="CDINumberedList1L1"/>
        <w:divId w:val="935526654"/>
      </w:pPr>
      <w:proofErr w:type="spellStart"/>
      <w:r w:rsidRPr="001965AB">
        <w:t>Centers</w:t>
      </w:r>
      <w:proofErr w:type="spellEnd"/>
      <w:r w:rsidRPr="001965AB">
        <w:t xml:space="preserve"> for Disease Control and Prevention (CDC). Antimicrobial-Resistant </w:t>
      </w:r>
      <w:proofErr w:type="spellStart"/>
      <w:r w:rsidRPr="001965AB">
        <w:t>Gonorrhea</w:t>
      </w:r>
      <w:proofErr w:type="spellEnd"/>
      <w:r w:rsidRPr="001965AB">
        <w:t xml:space="preserve"> Basic Information. [Webpage.] Atlanta: United States Department of Health and Human Services, CDC, National </w:t>
      </w:r>
      <w:proofErr w:type="spellStart"/>
      <w:r w:rsidRPr="001965AB">
        <w:t>Center</w:t>
      </w:r>
      <w:proofErr w:type="spellEnd"/>
      <w:r w:rsidRPr="001965AB">
        <w:t xml:space="preserve"> for HIV, Viral Hepatitis, STD, and TB Prevention; 28 December 2022. [Accessed on 14</w:t>
      </w:r>
      <w:r>
        <w:t> </w:t>
      </w:r>
      <w:r w:rsidRPr="001965AB">
        <w:t xml:space="preserve">June 2023.] Available from: https://www.cdc.gov/std/gonorrhea/drug-resistant/basic.htm. </w:t>
      </w:r>
    </w:p>
    <w:p w14:paraId="18976CA7" w14:textId="77777777" w:rsidR="001965AB" w:rsidRPr="001965AB" w:rsidRDefault="001965AB" w:rsidP="001965AB">
      <w:pPr>
        <w:pStyle w:val="CDINumberedList1L1"/>
        <w:divId w:val="935526654"/>
      </w:pPr>
      <w:proofErr w:type="spellStart"/>
      <w:r w:rsidRPr="001965AB">
        <w:t>Gradison</w:t>
      </w:r>
      <w:proofErr w:type="spellEnd"/>
      <w:r w:rsidRPr="001965AB">
        <w:t xml:space="preserve"> M. Pelvic inflammatory disease. </w:t>
      </w:r>
      <w:r w:rsidRPr="001965AB">
        <w:rPr>
          <w:i/>
          <w:iCs/>
        </w:rPr>
        <w:t>Am Fam Physician</w:t>
      </w:r>
      <w:r w:rsidRPr="001965AB">
        <w:t>. 2012;85(8):791–6. Available from: https://www.aafp.org/pubs/afp/issues/2012/0415/p791.pdf.</w:t>
      </w:r>
    </w:p>
    <w:p w14:paraId="0430073B" w14:textId="77777777" w:rsidR="001965AB" w:rsidRPr="001965AB" w:rsidRDefault="001965AB" w:rsidP="001965AB">
      <w:pPr>
        <w:pStyle w:val="CDINumberedList1L1"/>
        <w:divId w:val="935526654"/>
      </w:pPr>
      <w:r w:rsidRPr="001965AB">
        <w:t xml:space="preserve">Vallely LM, </w:t>
      </w:r>
      <w:proofErr w:type="spellStart"/>
      <w:r w:rsidRPr="001965AB">
        <w:t>Egli-Gany</w:t>
      </w:r>
      <w:proofErr w:type="spellEnd"/>
      <w:r w:rsidRPr="001965AB">
        <w:t xml:space="preserve"> D, Wand H, </w:t>
      </w:r>
      <w:proofErr w:type="spellStart"/>
      <w:r w:rsidRPr="001965AB">
        <w:t>Pomat</w:t>
      </w:r>
      <w:proofErr w:type="spellEnd"/>
      <w:r w:rsidRPr="001965AB">
        <w:t xml:space="preserve"> WS, Homer CS, Guy R et al. Adverse pregnancy and neonatal outcomes associated with </w:t>
      </w:r>
      <w:r w:rsidRPr="001965AB">
        <w:rPr>
          <w:i/>
          <w:iCs/>
        </w:rPr>
        <w:t>Neisseria gonorrhoeae</w:t>
      </w:r>
      <w:r w:rsidRPr="001965AB">
        <w:t xml:space="preserve">: systematic review and meta-analysis. </w:t>
      </w:r>
      <w:r w:rsidRPr="001965AB">
        <w:rPr>
          <w:i/>
          <w:iCs/>
        </w:rPr>
        <w:t xml:space="preserve">Sex </w:t>
      </w:r>
      <w:proofErr w:type="spellStart"/>
      <w:r w:rsidRPr="001965AB">
        <w:rPr>
          <w:i/>
          <w:iCs/>
        </w:rPr>
        <w:t>Transm</w:t>
      </w:r>
      <w:proofErr w:type="spellEnd"/>
      <w:r w:rsidRPr="001965AB">
        <w:rPr>
          <w:i/>
          <w:iCs/>
        </w:rPr>
        <w:t xml:space="preserve"> Infect</w:t>
      </w:r>
      <w:r w:rsidRPr="001965AB">
        <w:t>. 2021;97(2):104–111. doi: https://doi.org/10.1136/sextrans-2020-054653.</w:t>
      </w:r>
    </w:p>
    <w:p w14:paraId="41921DA1" w14:textId="1DEB2087" w:rsidR="001965AB" w:rsidRPr="001965AB" w:rsidRDefault="001965AB" w:rsidP="001965AB">
      <w:pPr>
        <w:pStyle w:val="CDINumberedList1L1"/>
        <w:divId w:val="935526654"/>
      </w:pPr>
      <w:proofErr w:type="spellStart"/>
      <w:r w:rsidRPr="001965AB">
        <w:t>Guvenc</w:t>
      </w:r>
      <w:proofErr w:type="spellEnd"/>
      <w:r w:rsidRPr="001965AB">
        <w:t xml:space="preserve"> F, Kaul R, Gray-Owen SD. Intimate relations: molecular and immunologic interactions between </w:t>
      </w:r>
      <w:r w:rsidRPr="001965AB">
        <w:rPr>
          <w:i/>
          <w:iCs/>
        </w:rPr>
        <w:t>Neisseria gonorrhoeae</w:t>
      </w:r>
      <w:r w:rsidRPr="001965AB">
        <w:t xml:space="preserve"> and HIV-1. </w:t>
      </w:r>
      <w:r w:rsidRPr="001965AB">
        <w:rPr>
          <w:i/>
          <w:iCs/>
        </w:rPr>
        <w:t>Front Microbiol</w:t>
      </w:r>
      <w:r w:rsidRPr="001965AB">
        <w:t xml:space="preserve">. </w:t>
      </w:r>
      <w:proofErr w:type="gramStart"/>
      <w:r w:rsidRPr="001965AB">
        <w:t>2020;11:1299</w:t>
      </w:r>
      <w:proofErr w:type="gramEnd"/>
      <w:r w:rsidRPr="001965AB">
        <w:t>. doi:</w:t>
      </w:r>
      <w:r>
        <w:t> </w:t>
      </w:r>
      <w:r w:rsidRPr="001965AB">
        <w:t>https://doi.org/10.3389/fmicb.2020.01299.</w:t>
      </w:r>
    </w:p>
    <w:p w14:paraId="1D877000" w14:textId="50A9B354" w:rsidR="001965AB" w:rsidRPr="001965AB" w:rsidRDefault="001965AB" w:rsidP="001965AB">
      <w:pPr>
        <w:pStyle w:val="CDINumberedList1L1"/>
        <w:divId w:val="935526654"/>
      </w:pPr>
      <w:proofErr w:type="spellStart"/>
      <w:r w:rsidRPr="001965AB">
        <w:t>Feily</w:t>
      </w:r>
      <w:proofErr w:type="spellEnd"/>
      <w:r w:rsidRPr="001965AB">
        <w:t xml:space="preserve"> A, Namazi MR. Increasing HIV infectivity by </w:t>
      </w:r>
      <w:r w:rsidRPr="001965AB">
        <w:rPr>
          <w:i/>
          <w:iCs/>
        </w:rPr>
        <w:t xml:space="preserve">Neisseria </w:t>
      </w:r>
      <w:proofErr w:type="spellStart"/>
      <w:r w:rsidRPr="001965AB">
        <w:rPr>
          <w:i/>
          <w:iCs/>
        </w:rPr>
        <w:t>gonorrhea</w:t>
      </w:r>
      <w:proofErr w:type="spellEnd"/>
      <w:r w:rsidRPr="001965AB">
        <w:t xml:space="preserve">: role of host antiapoptotic proteins in enhanced transmission. </w:t>
      </w:r>
      <w:r w:rsidRPr="001965AB">
        <w:rPr>
          <w:i/>
          <w:iCs/>
        </w:rPr>
        <w:t>AIDS</w:t>
      </w:r>
      <w:r w:rsidRPr="001965AB">
        <w:t>. 2010;24(8):1237. doi:</w:t>
      </w:r>
      <w:r>
        <w:t> </w:t>
      </w:r>
      <w:r w:rsidRPr="001965AB">
        <w:t>https://doi.org/10.1097/QAD.0b013e3283389141.</w:t>
      </w:r>
    </w:p>
    <w:p w14:paraId="6FE0608D" w14:textId="77777777" w:rsidR="001965AB" w:rsidRPr="001965AB" w:rsidRDefault="001965AB" w:rsidP="001965AB">
      <w:pPr>
        <w:pStyle w:val="CDINumberedList1L1"/>
        <w:divId w:val="935526654"/>
      </w:pPr>
      <w:r w:rsidRPr="001965AB">
        <w:t xml:space="preserve">Communicable Diseases Network Australia (CDNA). Gonococcal infection – Surveillance case definition. Canberra: Australian Government Department of Health and Aged Care, CDNA; 5 January 2023. [Accessed on 14 June 2023.] Available from: https://www.health.gov.au/resources/publications/gonococcal-infection-surveillance-case-definition. </w:t>
      </w:r>
    </w:p>
    <w:p w14:paraId="0DE4F60A" w14:textId="77777777" w:rsidR="001965AB" w:rsidRPr="001965AB" w:rsidRDefault="001965AB" w:rsidP="001965AB">
      <w:pPr>
        <w:pStyle w:val="CDINumberedList1L1"/>
        <w:divId w:val="935526654"/>
      </w:pPr>
      <w:r w:rsidRPr="001965AB">
        <w:t>Public Health Laboratory Network (PHLN). Gonococcal infection – Laboratory case definition. Canberra: Australian Government Department of Health and Aged Care, CDNA; 2022. [Accessed on 14 June 2023.] Available from: https://www.health.gov.au/resources/publications/gonococcal-infection-laboratory-case-definition.</w:t>
      </w:r>
    </w:p>
    <w:p w14:paraId="23BF9801" w14:textId="6681E28A" w:rsidR="001965AB" w:rsidRPr="001965AB" w:rsidRDefault="001965AB" w:rsidP="001965AB">
      <w:pPr>
        <w:pStyle w:val="CDINumberedList1L1"/>
        <w:divId w:val="935526654"/>
      </w:pPr>
      <w:r w:rsidRPr="001965AB">
        <w:t>The Kirby Institute. Detailed sexually transmissible infections dashboards: Latest data. [Webpage.] Sydney: University of New South Wales, Kirby Institute; 2023. [Accessed on 24 June 2023.] Available</w:t>
      </w:r>
      <w:r>
        <w:t> </w:t>
      </w:r>
      <w:r w:rsidRPr="001965AB">
        <w:t>from: https://data.kirby.unsw.edu.au/STIs.</w:t>
      </w:r>
    </w:p>
    <w:p w14:paraId="083724F3" w14:textId="77777777" w:rsidR="001965AB" w:rsidRPr="001965AB" w:rsidRDefault="001965AB" w:rsidP="001965AB">
      <w:pPr>
        <w:pStyle w:val="CDINumberedList1L1"/>
        <w:divId w:val="935526654"/>
      </w:pPr>
      <w:r w:rsidRPr="001965AB">
        <w:t xml:space="preserve">King J, McManus H, Kwon JA, Gray R, McGregor S, Kirby Institute. </w:t>
      </w:r>
      <w:r w:rsidRPr="001965AB">
        <w:rPr>
          <w:i/>
          <w:iCs/>
        </w:rPr>
        <w:t xml:space="preserve">HIV, viral </w:t>
      </w:r>
      <w:proofErr w:type="gramStart"/>
      <w:r w:rsidRPr="001965AB">
        <w:rPr>
          <w:i/>
          <w:iCs/>
        </w:rPr>
        <w:t>hepatitis</w:t>
      </w:r>
      <w:proofErr w:type="gramEnd"/>
      <w:r w:rsidRPr="001965AB">
        <w:rPr>
          <w:i/>
          <w:iCs/>
        </w:rPr>
        <w:t xml:space="preserve"> and sexually transmissible infections in Australia: annual surveillance report 2022</w:t>
      </w:r>
      <w:r w:rsidRPr="001965AB">
        <w:t>. Sydney: University of New South Wales, Kirby Institute; 2022. [Accessed on 22 June 2023.] Available from: https://www.kirby.unsw.edu.au/sites/default/files/documents/Annual-Surveillance-Report-2022_STI.pdf.</w:t>
      </w:r>
    </w:p>
    <w:p w14:paraId="469135CD" w14:textId="77777777" w:rsidR="001965AB" w:rsidRPr="001965AB" w:rsidRDefault="001965AB" w:rsidP="001965AB">
      <w:pPr>
        <w:pStyle w:val="CDINumberedList1L1"/>
        <w:divId w:val="935526654"/>
      </w:pPr>
      <w:r w:rsidRPr="001965AB">
        <w:lastRenderedPageBreak/>
        <w:t xml:space="preserve">Australian Government Department of Health and Aged Care. </w:t>
      </w:r>
      <w:r w:rsidRPr="001965AB">
        <w:rPr>
          <w:i/>
          <w:iCs/>
        </w:rPr>
        <w:t>Fourth National Sexually Transmissible Infections Strategy 2018-2022</w:t>
      </w:r>
      <w:r w:rsidRPr="001965AB">
        <w:t>. Canberra: Australian Government Department of Health and Aged Care; 12 July 2019. [Accessed on 23 June 2023.] Available from: https://www.health.gov.au/resources/publications/fourth-national-sexually-transmissible-infections-strategy-2018-2022.</w:t>
      </w:r>
    </w:p>
    <w:p w14:paraId="4BC9C3CD" w14:textId="6E6C9D0F" w:rsidR="001965AB" w:rsidRPr="001965AB" w:rsidRDefault="001965AB" w:rsidP="001965AB">
      <w:pPr>
        <w:pStyle w:val="CDINumberedList1L1"/>
        <w:divId w:val="935526654"/>
      </w:pPr>
      <w:r w:rsidRPr="001965AB">
        <w:t xml:space="preserve">Ong J, </w:t>
      </w:r>
      <w:proofErr w:type="spellStart"/>
      <w:r w:rsidRPr="001965AB">
        <w:t>Bourne</w:t>
      </w:r>
      <w:proofErr w:type="spellEnd"/>
      <w:r w:rsidRPr="001965AB">
        <w:t xml:space="preserve"> C, Dean J, Ryder N, </w:t>
      </w:r>
      <w:proofErr w:type="spellStart"/>
      <w:r w:rsidRPr="001965AB">
        <w:t>Cornelisse</w:t>
      </w:r>
      <w:proofErr w:type="spellEnd"/>
      <w:r w:rsidRPr="001965AB">
        <w:t xml:space="preserve"> V, Murray S et al. Australian sexually transmitted infection (STI) management guidelines for use in primary care 2022 update. </w:t>
      </w:r>
      <w:r w:rsidRPr="001965AB">
        <w:rPr>
          <w:i/>
          <w:iCs/>
        </w:rPr>
        <w:t>Sex Health</w:t>
      </w:r>
      <w:r w:rsidRPr="001965AB">
        <w:t>. 2023;20(1):1–8. doi:</w:t>
      </w:r>
      <w:r>
        <w:t> </w:t>
      </w:r>
      <w:r w:rsidRPr="001965AB">
        <w:t>https://doi.org/10.1071/SH22134.</w:t>
      </w:r>
    </w:p>
    <w:p w14:paraId="16697082" w14:textId="3506F0C9" w:rsidR="001965AB" w:rsidRPr="001965AB" w:rsidRDefault="001965AB" w:rsidP="001965AB">
      <w:pPr>
        <w:pStyle w:val="CDINumberedList1L1"/>
        <w:divId w:val="935526654"/>
      </w:pPr>
      <w:r w:rsidRPr="001965AB">
        <w:t>Australasian Society for HIV, Viral Hepatitis, and Sexual Health Medicine (ASHM). National PrEP Guidelines Update. Prevent HIV by Prescribing PrEP. [Webpage.] Sydney: ASHM; 2021. [Accessed on 12</w:t>
      </w:r>
      <w:r>
        <w:t> </w:t>
      </w:r>
      <w:r w:rsidRPr="001965AB">
        <w:t>June 2023.] Available from: https://ashm.org.au/resources/australian-prep-guidelines/.</w:t>
      </w:r>
    </w:p>
    <w:p w14:paraId="660DE751" w14:textId="77777777" w:rsidR="001965AB" w:rsidRPr="001965AB" w:rsidRDefault="001965AB" w:rsidP="001965AB">
      <w:pPr>
        <w:pStyle w:val="CDINumberedList1L1"/>
        <w:divId w:val="935526654"/>
      </w:pPr>
      <w:proofErr w:type="spellStart"/>
      <w:r w:rsidRPr="001965AB">
        <w:t>Trecker</w:t>
      </w:r>
      <w:proofErr w:type="spellEnd"/>
      <w:r w:rsidRPr="001965AB">
        <w:t xml:space="preserve"> MA, Dillon JA, Lloyd K, </w:t>
      </w:r>
      <w:proofErr w:type="spellStart"/>
      <w:r w:rsidRPr="001965AB">
        <w:t>Hennink</w:t>
      </w:r>
      <w:proofErr w:type="spellEnd"/>
      <w:r w:rsidRPr="001965AB">
        <w:t xml:space="preserve"> M, Waldner CL. </w:t>
      </w:r>
      <w:proofErr w:type="gramStart"/>
      <w:r w:rsidRPr="001965AB">
        <w:t>Demographic</w:t>
      </w:r>
      <w:proofErr w:type="gramEnd"/>
      <w:r w:rsidRPr="001965AB">
        <w:t xml:space="preserve"> and behavioural characteristics predict bacterial STI reinfection and coinfection among a cross-sectional sample of laboratory-confirmed </w:t>
      </w:r>
      <w:proofErr w:type="spellStart"/>
      <w:r w:rsidRPr="001965AB">
        <w:t>gonorrhea</w:t>
      </w:r>
      <w:proofErr w:type="spellEnd"/>
      <w:r w:rsidRPr="001965AB">
        <w:t xml:space="preserve"> cases in a local health region from Saskatchewan, Canada. </w:t>
      </w:r>
      <w:r w:rsidRPr="001965AB">
        <w:rPr>
          <w:i/>
          <w:iCs/>
        </w:rPr>
        <w:t>Can J Public Health</w:t>
      </w:r>
      <w:r w:rsidRPr="001965AB">
        <w:t>. 2015;106(2</w:t>
      </w:r>
      <w:proofErr w:type="gramStart"/>
      <w:r w:rsidRPr="001965AB">
        <w:t>):e</w:t>
      </w:r>
      <w:proofErr w:type="gramEnd"/>
      <w:r w:rsidRPr="001965AB">
        <w:t>17–21. doi: https://doi.org/10.17269/rcsp.106.4792.</w:t>
      </w:r>
    </w:p>
    <w:p w14:paraId="3E700231" w14:textId="28795CEB" w:rsidR="001965AB" w:rsidRPr="001965AB" w:rsidRDefault="001965AB" w:rsidP="001965AB">
      <w:pPr>
        <w:pStyle w:val="CDINumberedList1L1"/>
        <w:divId w:val="935526654"/>
      </w:pPr>
      <w:r w:rsidRPr="001965AB">
        <w:t xml:space="preserve">Ellis SL, </w:t>
      </w:r>
      <w:proofErr w:type="spellStart"/>
      <w:r w:rsidRPr="001965AB">
        <w:t>Tsourtos</w:t>
      </w:r>
      <w:proofErr w:type="spellEnd"/>
      <w:r w:rsidRPr="001965AB">
        <w:t xml:space="preserve"> G, Waddell R, Woodman R, Miller ER. Changing epidemiology of </w:t>
      </w:r>
      <w:proofErr w:type="spellStart"/>
      <w:r w:rsidRPr="001965AB">
        <w:t>gonorrhea</w:t>
      </w:r>
      <w:proofErr w:type="spellEnd"/>
      <w:r w:rsidRPr="001965AB">
        <w:t xml:space="preserve"> in Adelaide, South Australia. </w:t>
      </w:r>
      <w:r w:rsidRPr="001965AB">
        <w:rPr>
          <w:i/>
          <w:iCs/>
        </w:rPr>
        <w:t xml:space="preserve">Sex </w:t>
      </w:r>
      <w:proofErr w:type="spellStart"/>
      <w:r w:rsidRPr="001965AB">
        <w:rPr>
          <w:i/>
          <w:iCs/>
        </w:rPr>
        <w:t>Transm</w:t>
      </w:r>
      <w:proofErr w:type="spellEnd"/>
      <w:r w:rsidRPr="001965AB">
        <w:rPr>
          <w:i/>
          <w:iCs/>
        </w:rPr>
        <w:t xml:space="preserve"> Dis</w:t>
      </w:r>
      <w:r w:rsidRPr="001965AB">
        <w:t>. 2020;47(6):402–8. doi:</w:t>
      </w:r>
      <w:r>
        <w:t> </w:t>
      </w:r>
      <w:r w:rsidRPr="001965AB">
        <w:t>https://doi.org/10.1097/OLQ.0000000000001162.</w:t>
      </w:r>
    </w:p>
    <w:p w14:paraId="6A10DDA0" w14:textId="2220F3F9" w:rsidR="001965AB" w:rsidRPr="001965AB" w:rsidRDefault="001965AB" w:rsidP="001965AB">
      <w:pPr>
        <w:pStyle w:val="CDINumberedList1L1"/>
        <w:divId w:val="935526654"/>
      </w:pPr>
      <w:proofErr w:type="spellStart"/>
      <w:r w:rsidRPr="001965AB">
        <w:t>Meesaeng</w:t>
      </w:r>
      <w:proofErr w:type="spellEnd"/>
      <w:r w:rsidRPr="001965AB">
        <w:t xml:space="preserve"> M, </w:t>
      </w:r>
      <w:proofErr w:type="spellStart"/>
      <w:r w:rsidRPr="001965AB">
        <w:t>Sakboonyarat</w:t>
      </w:r>
      <w:proofErr w:type="spellEnd"/>
      <w:r w:rsidRPr="001965AB">
        <w:t xml:space="preserve"> B, </w:t>
      </w:r>
      <w:proofErr w:type="spellStart"/>
      <w:r w:rsidRPr="001965AB">
        <w:t>Thaiwat</w:t>
      </w:r>
      <w:proofErr w:type="spellEnd"/>
      <w:r w:rsidRPr="001965AB">
        <w:t xml:space="preserve"> S. </w:t>
      </w:r>
      <w:proofErr w:type="gramStart"/>
      <w:r w:rsidRPr="001965AB">
        <w:t>Incidence</w:t>
      </w:r>
      <w:proofErr w:type="gramEnd"/>
      <w:r w:rsidRPr="001965AB">
        <w:t xml:space="preserve"> and risk factors of gonococcal urethritis reinfection among Thai male patients in a </w:t>
      </w:r>
      <w:proofErr w:type="spellStart"/>
      <w:r w:rsidRPr="001965AB">
        <w:t>multicenter</w:t>
      </w:r>
      <w:proofErr w:type="spellEnd"/>
      <w:r w:rsidRPr="001965AB">
        <w:t xml:space="preserve">, retrospective cohort study. </w:t>
      </w:r>
      <w:r w:rsidRPr="001965AB">
        <w:rPr>
          <w:i/>
          <w:iCs/>
        </w:rPr>
        <w:t>Sci Rep</w:t>
      </w:r>
      <w:r w:rsidRPr="001965AB">
        <w:t>. 2021;11(1):22992. doi:</w:t>
      </w:r>
      <w:r>
        <w:t> </w:t>
      </w:r>
      <w:r w:rsidRPr="001965AB">
        <w:t>https://doi.org/10.1038/s41598-021-02398-6.</w:t>
      </w:r>
    </w:p>
    <w:p w14:paraId="24133C70" w14:textId="77777777" w:rsidR="001965AB" w:rsidRPr="001965AB" w:rsidRDefault="001965AB" w:rsidP="001965AB">
      <w:pPr>
        <w:pStyle w:val="CDINumberedList1L1"/>
        <w:divId w:val="935526654"/>
      </w:pPr>
      <w:r w:rsidRPr="001965AB">
        <w:t xml:space="preserve">Bautista CT, </w:t>
      </w:r>
      <w:proofErr w:type="spellStart"/>
      <w:r w:rsidRPr="001965AB">
        <w:t>Wurapa</w:t>
      </w:r>
      <w:proofErr w:type="spellEnd"/>
      <w:r w:rsidRPr="001965AB">
        <w:t xml:space="preserve"> EK, </w:t>
      </w:r>
      <w:proofErr w:type="spellStart"/>
      <w:r w:rsidRPr="001965AB">
        <w:t>Sateren</w:t>
      </w:r>
      <w:proofErr w:type="spellEnd"/>
      <w:r w:rsidRPr="001965AB">
        <w:t xml:space="preserve"> WB, Morris SM, Hollingsworth BP, Sanchez JL. Repeat infection with Neisseria gonorrhoeae among </w:t>
      </w:r>
      <w:proofErr w:type="gramStart"/>
      <w:r w:rsidRPr="001965AB">
        <w:t>active duty</w:t>
      </w:r>
      <w:proofErr w:type="gramEnd"/>
      <w:r w:rsidRPr="001965AB">
        <w:t xml:space="preserve"> U.S. Army personnel: a population-based case-series study. </w:t>
      </w:r>
      <w:r w:rsidRPr="001965AB">
        <w:rPr>
          <w:i/>
          <w:iCs/>
        </w:rPr>
        <w:t>Int J STD AIDS</w:t>
      </w:r>
      <w:r w:rsidRPr="001965AB">
        <w:t>. 2017;28(10):962–8. doi: https://doi.org/10.1177/0956462416681940.</w:t>
      </w:r>
    </w:p>
    <w:p w14:paraId="11024B17" w14:textId="5749CB05" w:rsidR="001965AB" w:rsidRPr="001965AB" w:rsidRDefault="001965AB" w:rsidP="001965AB">
      <w:pPr>
        <w:pStyle w:val="CDINumberedList1L1"/>
        <w:divId w:val="935526654"/>
      </w:pPr>
      <w:r w:rsidRPr="001965AB">
        <w:t xml:space="preserve">Hughes G, Nichols T, Peters L, Bell G, Leong G, Kinghorn G. Repeat infection with gonorrhoea in Sheffield, UK: predictable and preventable? </w:t>
      </w:r>
      <w:r w:rsidRPr="001965AB">
        <w:rPr>
          <w:i/>
          <w:iCs/>
        </w:rPr>
        <w:t xml:space="preserve">Sex </w:t>
      </w:r>
      <w:proofErr w:type="spellStart"/>
      <w:r w:rsidRPr="001965AB">
        <w:rPr>
          <w:i/>
          <w:iCs/>
        </w:rPr>
        <w:t>Transm</w:t>
      </w:r>
      <w:proofErr w:type="spellEnd"/>
      <w:r w:rsidRPr="001965AB">
        <w:rPr>
          <w:i/>
          <w:iCs/>
        </w:rPr>
        <w:t xml:space="preserve"> Infect</w:t>
      </w:r>
      <w:r w:rsidRPr="001965AB">
        <w:t>. 2013;89(1):38–44. doi:</w:t>
      </w:r>
      <w:r>
        <w:t> </w:t>
      </w:r>
      <w:r w:rsidRPr="001965AB">
        <w:t>https://doi.org/10.1136/sextrans-2012-050495.</w:t>
      </w:r>
    </w:p>
    <w:p w14:paraId="20075FE3" w14:textId="77777777" w:rsidR="001965AB" w:rsidRPr="001965AB" w:rsidRDefault="001965AB" w:rsidP="001965AB">
      <w:pPr>
        <w:pStyle w:val="CDINumberedList1L1"/>
        <w:divId w:val="935526654"/>
      </w:pPr>
      <w:proofErr w:type="spellStart"/>
      <w:r w:rsidRPr="001965AB">
        <w:t>Trecker</w:t>
      </w:r>
      <w:proofErr w:type="spellEnd"/>
      <w:r w:rsidRPr="001965AB">
        <w:t xml:space="preserve"> MA, Dillon JAR, Lloyd K, </w:t>
      </w:r>
      <w:proofErr w:type="spellStart"/>
      <w:r w:rsidRPr="001965AB">
        <w:t>Hennink</w:t>
      </w:r>
      <w:proofErr w:type="spellEnd"/>
      <w:r w:rsidRPr="001965AB">
        <w:t xml:space="preserve"> M, Jolly A, Waldner C. Can social network analysis help address the high rates of bacterial sexually transmitted infections in Saskatchewan? </w:t>
      </w:r>
      <w:r w:rsidRPr="001965AB">
        <w:rPr>
          <w:i/>
          <w:iCs/>
        </w:rPr>
        <w:t xml:space="preserve">Sex </w:t>
      </w:r>
      <w:proofErr w:type="spellStart"/>
      <w:r w:rsidRPr="001965AB">
        <w:rPr>
          <w:i/>
          <w:iCs/>
        </w:rPr>
        <w:t>Transm</w:t>
      </w:r>
      <w:proofErr w:type="spellEnd"/>
      <w:r w:rsidRPr="001965AB">
        <w:rPr>
          <w:i/>
          <w:iCs/>
        </w:rPr>
        <w:t xml:space="preserve"> Dis</w:t>
      </w:r>
      <w:r w:rsidRPr="001965AB">
        <w:t>. 2017;44(6):338–43. doi: https://doi.org/10.1097/OLQ.0000000000000599.</w:t>
      </w:r>
    </w:p>
    <w:p w14:paraId="55F65996" w14:textId="6B9C2236" w:rsidR="001965AB" w:rsidRPr="001965AB" w:rsidRDefault="001965AB" w:rsidP="001965AB">
      <w:pPr>
        <w:pStyle w:val="CDINumberedList1L1"/>
        <w:divId w:val="935526654"/>
      </w:pPr>
      <w:r w:rsidRPr="001965AB">
        <w:t xml:space="preserve">Kenyon C, Buyze J, </w:t>
      </w:r>
      <w:proofErr w:type="spellStart"/>
      <w:r w:rsidRPr="001965AB">
        <w:t>Klebanoff</w:t>
      </w:r>
      <w:proofErr w:type="spellEnd"/>
      <w:r w:rsidRPr="001965AB">
        <w:t xml:space="preserve"> M, </w:t>
      </w:r>
      <w:proofErr w:type="spellStart"/>
      <w:r w:rsidRPr="001965AB">
        <w:t>Brotman</w:t>
      </w:r>
      <w:proofErr w:type="spellEnd"/>
      <w:r w:rsidRPr="001965AB">
        <w:t xml:space="preserve"> RM. The role of sexual networks in studies of how BV and STIs increase the risk of subsequent reinfection. </w:t>
      </w:r>
      <w:r w:rsidRPr="001965AB">
        <w:rPr>
          <w:i/>
          <w:iCs/>
        </w:rPr>
        <w:t>Epidemiol Infect</w:t>
      </w:r>
      <w:r w:rsidRPr="001965AB">
        <w:t>. 2018;146(15):2003–9. doi:</w:t>
      </w:r>
      <w:r>
        <w:t> </w:t>
      </w:r>
      <w:r w:rsidRPr="001965AB">
        <w:t>https://doi.org/10.1017/S0950268818002157.</w:t>
      </w:r>
    </w:p>
    <w:p w14:paraId="66D7AC54" w14:textId="77777777" w:rsidR="001965AB" w:rsidRPr="001965AB" w:rsidRDefault="001965AB" w:rsidP="001965AB">
      <w:pPr>
        <w:pStyle w:val="CDINumberedList1L1"/>
        <w:divId w:val="935526654"/>
      </w:pPr>
      <w:r w:rsidRPr="001965AB">
        <w:t>Australian Bureau of Statistics. National, state and territory population: reference period September 2022. [Webpage.] Canberra: Australian Bureau of Statistics; 16 March 2023. [Accessed on 14 June 2023.] Available from: https://www.abs.gov.au/statistics/people/population/national-state-and-territory-population/sep-2022.</w:t>
      </w:r>
    </w:p>
    <w:p w14:paraId="7AFAEE60" w14:textId="315854D6" w:rsidR="001965AB" w:rsidRPr="001965AB" w:rsidRDefault="001965AB" w:rsidP="001965AB">
      <w:pPr>
        <w:pStyle w:val="CDINumberedList1L1"/>
        <w:divId w:val="935526654"/>
      </w:pPr>
      <w:r w:rsidRPr="001965AB">
        <w:lastRenderedPageBreak/>
        <w:t xml:space="preserve">Roberts-Witteveen A, Pennington K, Higgins N, Lang C, Lahra M, Waddell R et al. Epidemiology of gonorrhoea notifications in Australia, 2007–12. </w:t>
      </w:r>
      <w:r w:rsidRPr="001965AB">
        <w:rPr>
          <w:i/>
          <w:iCs/>
        </w:rPr>
        <w:t>Sex Health</w:t>
      </w:r>
      <w:r w:rsidRPr="001965AB">
        <w:t>. 2014;11(4):324–31. doi:</w:t>
      </w:r>
      <w:r>
        <w:t> </w:t>
      </w:r>
      <w:r w:rsidRPr="001965AB">
        <w:t>https://doi.org/10.1071/SH13205.</w:t>
      </w:r>
    </w:p>
    <w:p w14:paraId="0797CD3E" w14:textId="77777777" w:rsidR="001965AB" w:rsidRPr="001965AB" w:rsidRDefault="001965AB" w:rsidP="001965AB">
      <w:pPr>
        <w:pStyle w:val="CDINumberedList1L1"/>
        <w:divId w:val="935526654"/>
      </w:pPr>
      <w:r w:rsidRPr="001965AB">
        <w:t xml:space="preserve">Traeger MW, </w:t>
      </w:r>
      <w:proofErr w:type="spellStart"/>
      <w:r w:rsidRPr="001965AB">
        <w:t>Cornelisse</w:t>
      </w:r>
      <w:proofErr w:type="spellEnd"/>
      <w:r w:rsidRPr="001965AB">
        <w:t xml:space="preserve"> VJ, Asselin J, Price B, Roth NJ, Willcox J et al. Association of HIV preexposure prophylaxis with incidence of sexually transmitted infections among individuals at high risk of HIV infection. </w:t>
      </w:r>
      <w:r w:rsidRPr="001965AB">
        <w:rPr>
          <w:i/>
          <w:iCs/>
        </w:rPr>
        <w:t>JAMA</w:t>
      </w:r>
      <w:r w:rsidRPr="001965AB">
        <w:t>. 2019;321(14):1380–90. doi: https://doi.org/10.1001/jama.2019.2947.</w:t>
      </w:r>
    </w:p>
    <w:p w14:paraId="65A97A72" w14:textId="77777777" w:rsidR="001965AB" w:rsidRPr="001965AB" w:rsidRDefault="001965AB" w:rsidP="001965AB">
      <w:pPr>
        <w:pStyle w:val="CDINumberedList1L1"/>
        <w:divId w:val="935526654"/>
      </w:pPr>
      <w:r w:rsidRPr="001965AB">
        <w:t xml:space="preserve">Jansen K, Steffen G, </w:t>
      </w:r>
      <w:proofErr w:type="spellStart"/>
      <w:r w:rsidRPr="001965AB">
        <w:t>Potthoff</w:t>
      </w:r>
      <w:proofErr w:type="spellEnd"/>
      <w:r w:rsidRPr="001965AB">
        <w:t xml:space="preserve"> A, </w:t>
      </w:r>
      <w:proofErr w:type="spellStart"/>
      <w:r w:rsidRPr="001965AB">
        <w:t>Schuppe</w:t>
      </w:r>
      <w:proofErr w:type="spellEnd"/>
      <w:r w:rsidRPr="001965AB">
        <w:t xml:space="preserve"> AK, Beer D, Jessen H et al. STI in times of PrEP: high prevalence of chlamydia, </w:t>
      </w:r>
      <w:proofErr w:type="spellStart"/>
      <w:r w:rsidRPr="001965AB">
        <w:t>gonorrhea</w:t>
      </w:r>
      <w:proofErr w:type="spellEnd"/>
      <w:r w:rsidRPr="001965AB">
        <w:t xml:space="preserve">, and mycoplasma at different anatomic sites in men who have sex with men in Germany. </w:t>
      </w:r>
      <w:r w:rsidRPr="001965AB">
        <w:rPr>
          <w:i/>
          <w:iCs/>
        </w:rPr>
        <w:t>BMC Infect Dis</w:t>
      </w:r>
      <w:r w:rsidRPr="001965AB">
        <w:t>. 2020;20(1):110. doi: https://doi.org/10.1186/s12879-020-4831-4.</w:t>
      </w:r>
    </w:p>
    <w:p w14:paraId="31CB46B9" w14:textId="77777777" w:rsidR="001965AB" w:rsidRPr="001965AB" w:rsidRDefault="001965AB" w:rsidP="001965AB">
      <w:pPr>
        <w:pStyle w:val="CDINumberedList1L1"/>
        <w:divId w:val="935526654"/>
      </w:pPr>
      <w:r w:rsidRPr="001965AB">
        <w:t xml:space="preserve">López de </w:t>
      </w:r>
      <w:proofErr w:type="spellStart"/>
      <w:r w:rsidRPr="001965AB">
        <w:t>Munain</w:t>
      </w:r>
      <w:proofErr w:type="spellEnd"/>
      <w:r w:rsidRPr="001965AB">
        <w:t xml:space="preserve"> J, Cámara-Pérez MDM, López Martinez M, Alava </w:t>
      </w:r>
      <w:proofErr w:type="spellStart"/>
      <w:r w:rsidRPr="001965AB">
        <w:t>Menica</w:t>
      </w:r>
      <w:proofErr w:type="spellEnd"/>
      <w:r w:rsidRPr="001965AB">
        <w:t xml:space="preserve"> JA, Hernandez </w:t>
      </w:r>
      <w:proofErr w:type="spellStart"/>
      <w:r w:rsidRPr="001965AB">
        <w:t>Ragpa</w:t>
      </w:r>
      <w:proofErr w:type="spellEnd"/>
      <w:r w:rsidRPr="001965AB">
        <w:t xml:space="preserve"> L, </w:t>
      </w:r>
      <w:proofErr w:type="spellStart"/>
      <w:r w:rsidRPr="001965AB">
        <w:t>Imaz</w:t>
      </w:r>
      <w:proofErr w:type="spellEnd"/>
      <w:r w:rsidRPr="001965AB">
        <w:t xml:space="preserve"> Pérez M et al. </w:t>
      </w:r>
      <w:proofErr w:type="gramStart"/>
      <w:r w:rsidRPr="001965AB">
        <w:t>Alarming</w:t>
      </w:r>
      <w:proofErr w:type="gramEnd"/>
      <w:r w:rsidRPr="001965AB">
        <w:t xml:space="preserve"> incidence of reinfections after treatment for </w:t>
      </w:r>
      <w:r w:rsidRPr="001965AB">
        <w:rPr>
          <w:i/>
          <w:iCs/>
        </w:rPr>
        <w:t>Chlamydia trachomatis</w:t>
      </w:r>
      <w:r w:rsidRPr="001965AB">
        <w:t xml:space="preserve"> and gonorrhoea: can we predict and prevent them? </w:t>
      </w:r>
      <w:proofErr w:type="spellStart"/>
      <w:r w:rsidRPr="001965AB">
        <w:rPr>
          <w:i/>
          <w:iCs/>
        </w:rPr>
        <w:t>Enferm</w:t>
      </w:r>
      <w:proofErr w:type="spellEnd"/>
      <w:r w:rsidRPr="001965AB">
        <w:rPr>
          <w:i/>
          <w:iCs/>
        </w:rPr>
        <w:t xml:space="preserve"> </w:t>
      </w:r>
      <w:proofErr w:type="spellStart"/>
      <w:r w:rsidRPr="001965AB">
        <w:rPr>
          <w:i/>
          <w:iCs/>
        </w:rPr>
        <w:t>Infecc</w:t>
      </w:r>
      <w:proofErr w:type="spellEnd"/>
      <w:r w:rsidRPr="001965AB">
        <w:rPr>
          <w:i/>
          <w:iCs/>
        </w:rPr>
        <w:t xml:space="preserve"> Microbiol Clin (Engl Ed).</w:t>
      </w:r>
      <w:r w:rsidRPr="001965AB">
        <w:t xml:space="preserve"> 2023;41(5):269–77. doi: https://doi.org/10.1016/j.eimce.2021.10.010. </w:t>
      </w:r>
    </w:p>
    <w:p w14:paraId="49DA2BCE" w14:textId="3C26EFF3" w:rsidR="00912A31" w:rsidRPr="001965AB" w:rsidRDefault="001965AB" w:rsidP="00E964C3">
      <w:pPr>
        <w:pStyle w:val="CDINumberedList1L1"/>
      </w:pPr>
      <w:r w:rsidRPr="001965AB">
        <w:rPr>
          <w:lang w:val="en-AU"/>
        </w:rPr>
        <w:t xml:space="preserve">The Kirby Institute. </w:t>
      </w:r>
      <w:r w:rsidRPr="001965AB">
        <w:rPr>
          <w:i/>
          <w:iCs/>
          <w:lang w:val="en-AU"/>
        </w:rPr>
        <w:t>Monitoring HIV pre-exposure prophylaxis uptake in Australia. Issue #8, May 2023</w:t>
      </w:r>
      <w:r w:rsidRPr="001965AB">
        <w:rPr>
          <w:lang w:val="en-AU"/>
        </w:rPr>
        <w:t>. Sydney: University of New South Wales, Kirby Institute; May 2023. [Accessed on 9 July 2023.] Available from: https://www.kirby.unsw.edu.au/research/reports/monitoring-hiv-pre-exposure-prophylaxis-prep-uptake-australia-issue-8.</w:t>
      </w:r>
    </w:p>
    <w:p w14:paraId="5CA7FB41" w14:textId="77777777" w:rsidR="001A26DD" w:rsidRDefault="001A26DD" w:rsidP="0037146D">
      <w:pPr>
        <w:divId w:val="935526654"/>
        <w:sectPr w:rsidR="001A26DD" w:rsidSect="00912A31">
          <w:headerReference w:type="even" r:id="rId10"/>
          <w:headerReference w:type="default" r:id="rId11"/>
          <w:footerReference w:type="even" r:id="rId12"/>
          <w:footerReference w:type="default" r:id="rId13"/>
          <w:headerReference w:type="first" r:id="rId14"/>
          <w:footerReference w:type="first" r:id="rId15"/>
          <w:pgSz w:w="11907" w:h="16840" w:code="9"/>
          <w:pgMar w:top="1304" w:right="1134" w:bottom="1304" w:left="1134" w:header="709" w:footer="527" w:gutter="0"/>
          <w:cols w:space="708"/>
          <w:titlePg/>
          <w:docGrid w:linePitch="360"/>
        </w:sectPr>
      </w:pPr>
    </w:p>
    <w:p w14:paraId="6E7F091D"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1A8D9EDD" w14:textId="77777777" w:rsidR="000A5F42" w:rsidRPr="0089025E" w:rsidRDefault="000A5F42" w:rsidP="00194A12">
      <w:pPr>
        <w:pStyle w:val="CDICopyrightText"/>
      </w:pPr>
      <w:r w:rsidRPr="0089025E">
        <w:t xml:space="preserve">Communicable Diseases Intelligence (CDI) is a peer-reviewed scientific journal published by the </w:t>
      </w:r>
      <w:r w:rsidR="00470C19">
        <w:t>Health Security &amp; Emergency Management Division</w:t>
      </w:r>
      <w:r w:rsidRPr="0089025E">
        <w:t xml:space="preserve">, </w:t>
      </w:r>
      <w:r w:rsidR="001723AC" w:rsidRPr="0089025E">
        <w:t xml:space="preserve">Department of </w:t>
      </w:r>
      <w:proofErr w:type="gramStart"/>
      <w:r w:rsidR="001723AC" w:rsidRPr="0089025E">
        <w:t>Health</w:t>
      </w:r>
      <w:proofErr w:type="gramEnd"/>
      <w:r w:rsidR="001723AC" w:rsidRPr="0089025E">
        <w:t xml:space="preserve"> and Aged Care</w:t>
      </w:r>
      <w:r w:rsidRPr="0089025E">
        <w:t xml:space="preserve">. The journal aims to disseminate information on the epidemiology, surveillance, </w:t>
      </w:r>
      <w:proofErr w:type="gramStart"/>
      <w:r w:rsidRPr="0089025E">
        <w:t>prevention</w:t>
      </w:r>
      <w:proofErr w:type="gramEnd"/>
      <w:r w:rsidRPr="0089025E">
        <w:t xml:space="preserve"> and control of communicable diseases of relevance to Australia.</w:t>
      </w:r>
    </w:p>
    <w:p w14:paraId="46144B8B" w14:textId="77777777" w:rsidR="000705FF" w:rsidRPr="0089025E" w:rsidRDefault="000705FF" w:rsidP="00194A12">
      <w:pPr>
        <w:pStyle w:val="CDICopyrightText"/>
      </w:pPr>
      <w:r w:rsidRPr="0089025E">
        <w:t xml:space="preserve">© </w:t>
      </w:r>
      <w:r w:rsidR="00C337BD">
        <w:fldChar w:fldCharType="begin"/>
      </w:r>
      <w:r w:rsidR="00C337BD">
        <w:instrText xml:space="preserve"> DOCPROPERTY  Year  \* MERGEFORMAT </w:instrText>
      </w:r>
      <w:r w:rsidR="00C337BD">
        <w:fldChar w:fldCharType="separate"/>
      </w:r>
      <w:r w:rsidR="00DA7907">
        <w:t>2024</w:t>
      </w:r>
      <w:r w:rsidR="00C337BD">
        <w:fldChar w:fldCharType="end"/>
      </w:r>
      <w:r w:rsidRPr="0089025E">
        <w:t xml:space="preserve"> Commonwealth of Australia as represented by the Department of Health and Aged Care</w:t>
      </w:r>
    </w:p>
    <w:p w14:paraId="13A2E35F" w14:textId="77777777" w:rsidR="00DE4482" w:rsidRPr="0089025E" w:rsidRDefault="00DE4482" w:rsidP="00194A12">
      <w:pPr>
        <w:pStyle w:val="CDICopyrightText"/>
      </w:pPr>
      <w:r w:rsidRPr="0089025E">
        <w:t>ISSN: 2209-6051 Online</w:t>
      </w:r>
    </w:p>
    <w:p w14:paraId="6AF97F1D" w14:textId="77777777" w:rsidR="00DE4482" w:rsidRPr="0089025E" w:rsidRDefault="00DE4482" w:rsidP="00194A12">
      <w:pPr>
        <w:pStyle w:val="CDICopyrightText"/>
      </w:pPr>
      <w:r w:rsidRPr="0089025E">
        <w:t xml:space="preserve">This journal is indexed by Index </w:t>
      </w:r>
      <w:proofErr w:type="spellStart"/>
      <w:r w:rsidRPr="0089025E">
        <w:t>Medicus</w:t>
      </w:r>
      <w:proofErr w:type="spellEnd"/>
      <w:r w:rsidRPr="0089025E">
        <w:t xml:space="preserve"> and Medline.</w:t>
      </w:r>
    </w:p>
    <w:p w14:paraId="008E5FF1" w14:textId="77777777" w:rsidR="000705FF" w:rsidRPr="0089025E" w:rsidRDefault="000705FF" w:rsidP="00194A12">
      <w:pPr>
        <w:pStyle w:val="CDICopyrightText"/>
      </w:pPr>
      <w:r w:rsidRPr="0089025E">
        <w:t>This publication is licensed under a Creative Commons Attribution-</w:t>
      </w:r>
      <w:proofErr w:type="spellStart"/>
      <w:r w:rsidRPr="0089025E">
        <w:t>NonCommercial</w:t>
      </w:r>
      <w:proofErr w:type="spellEnd"/>
      <w:r w:rsidRPr="0089025E">
        <w:t>-</w:t>
      </w:r>
      <w:proofErr w:type="spellStart"/>
      <w:r w:rsidRPr="0089025E">
        <w:t>NoDerivatives</w:t>
      </w:r>
      <w:proofErr w:type="spellEnd"/>
      <w:r w:rsidRPr="0089025E">
        <w:t xml:space="preserve">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7103634F" w14:textId="77777777" w:rsidR="000705FF" w:rsidRPr="00194A12" w:rsidRDefault="000705FF" w:rsidP="00194A12">
      <w:pPr>
        <w:pStyle w:val="CDICopyrightHeading"/>
      </w:pPr>
      <w:r w:rsidRPr="00194A12">
        <w:t>Restrictions</w:t>
      </w:r>
    </w:p>
    <w:p w14:paraId="2A05C7D6"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3AD01E9B"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proofErr w:type="gramStart"/>
      <w:r w:rsidR="008355D9" w:rsidRPr="008355D9">
        <w:t>)</w:t>
      </w:r>
      <w:r w:rsidRPr="008355D9">
        <w:t>;</w:t>
      </w:r>
      <w:proofErr w:type="gramEnd"/>
    </w:p>
    <w:p w14:paraId="5D32ED2F" w14:textId="77777777" w:rsidR="000705FF" w:rsidRPr="0089025E" w:rsidRDefault="000705FF" w:rsidP="00AC0F5D">
      <w:pPr>
        <w:pStyle w:val="CDICopyrightBullets"/>
      </w:pPr>
      <w:r w:rsidRPr="0089025E">
        <w:t xml:space="preserve">any logos (including the Department of Health and Aged Care’s logo) and </w:t>
      </w:r>
      <w:proofErr w:type="gramStart"/>
      <w:r w:rsidRPr="0089025E">
        <w:t>trademarks;</w:t>
      </w:r>
      <w:proofErr w:type="gramEnd"/>
    </w:p>
    <w:p w14:paraId="05C20BDB" w14:textId="77777777" w:rsidR="000705FF" w:rsidRPr="0089025E" w:rsidRDefault="000705FF" w:rsidP="00AC0F5D">
      <w:pPr>
        <w:pStyle w:val="CDICopyrightBullets"/>
      </w:pPr>
      <w:r w:rsidRPr="0089025E">
        <w:t xml:space="preserve">any photographs and </w:t>
      </w:r>
      <w:proofErr w:type="gramStart"/>
      <w:r w:rsidRPr="0089025E">
        <w:t>images;</w:t>
      </w:r>
      <w:proofErr w:type="gramEnd"/>
      <w:r w:rsidRPr="0089025E">
        <w:t xml:space="preserve"> </w:t>
      </w:r>
    </w:p>
    <w:p w14:paraId="004D73A1" w14:textId="77777777" w:rsidR="000705FF" w:rsidRPr="0089025E" w:rsidRDefault="000705FF" w:rsidP="00AC0F5D">
      <w:pPr>
        <w:pStyle w:val="CDICopyrightBullets"/>
      </w:pPr>
      <w:r w:rsidRPr="0089025E">
        <w:t>any signatures; and</w:t>
      </w:r>
    </w:p>
    <w:p w14:paraId="36599B44" w14:textId="77777777" w:rsidR="000705FF" w:rsidRPr="0089025E" w:rsidRDefault="000705FF" w:rsidP="00AC0F5D">
      <w:pPr>
        <w:pStyle w:val="CDICopyrightBullets"/>
      </w:pPr>
      <w:r w:rsidRPr="0089025E">
        <w:t xml:space="preserve">any material belonging to third parties. </w:t>
      </w:r>
    </w:p>
    <w:p w14:paraId="26A646E3" w14:textId="77777777" w:rsidR="000F223B" w:rsidRPr="0089025E" w:rsidRDefault="000705FF" w:rsidP="00194A12">
      <w:pPr>
        <w:pStyle w:val="CDICopyrightHeading"/>
      </w:pPr>
      <w:r w:rsidRPr="0089025E">
        <w:t>Disclaimer</w:t>
      </w:r>
    </w:p>
    <w:p w14:paraId="53FA49C1"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43EC6268" w14:textId="77777777" w:rsidR="000F223B" w:rsidRPr="0089025E" w:rsidRDefault="000705FF" w:rsidP="00194A12">
      <w:pPr>
        <w:pStyle w:val="CDICopyrightHeading"/>
      </w:pPr>
      <w:r w:rsidRPr="0089025E">
        <w:t>Enquiries</w:t>
      </w:r>
    </w:p>
    <w:p w14:paraId="5E87FBD5"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16" w:history="1">
        <w:r w:rsidR="006307C1" w:rsidRPr="005A4A08">
          <w:rPr>
            <w:rStyle w:val="Hyperlink"/>
          </w:rPr>
          <w:t>cdi.editor@health.gov.au</w:t>
        </w:r>
      </w:hyperlink>
      <w:r w:rsidR="006307C1">
        <w:t xml:space="preserve"> </w:t>
      </w:r>
      <w:r w:rsidRPr="0089025E">
        <w:t xml:space="preserve"> </w:t>
      </w:r>
    </w:p>
    <w:p w14:paraId="21D5023B" w14:textId="77777777" w:rsidR="000F223B" w:rsidRPr="0089025E" w:rsidRDefault="000705FF" w:rsidP="00194A12">
      <w:pPr>
        <w:pStyle w:val="CDICopyrightHeading"/>
      </w:pPr>
      <w:r w:rsidRPr="0089025E">
        <w:t>Communicable Diseases Network Australia</w:t>
      </w:r>
    </w:p>
    <w:p w14:paraId="03C361D6"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798CFE65" w14:textId="77777777"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p>
    <w:p w14:paraId="3108569D" w14:textId="421D3DAA" w:rsidR="000A5F42" w:rsidRPr="0089025E" w:rsidRDefault="000A5F42" w:rsidP="00194A12">
      <w:pPr>
        <w:pStyle w:val="CDICopyrightText"/>
      </w:pPr>
      <w:r w:rsidRPr="0089025E">
        <w:rPr>
          <w:b/>
          <w:bCs/>
        </w:rPr>
        <w:t>Editorial Advisory Board</w:t>
      </w:r>
      <w:r w:rsidRPr="0089025E">
        <w:t xml:space="preserve">: </w:t>
      </w:r>
      <w:r w:rsidR="00CF75DF" w:rsidRPr="0089025E">
        <w:t xml:space="preserve">David Durrheim, Mark Ferson, Clare Huppatz, John Kaldor, Martyn </w:t>
      </w:r>
      <w:proofErr w:type="gramStart"/>
      <w:r w:rsidR="00CF75DF" w:rsidRPr="0089025E">
        <w:t>Kirk</w:t>
      </w:r>
      <w:proofErr w:type="gramEnd"/>
      <w:r w:rsidR="00DA7907">
        <w:t xml:space="preserve"> and </w:t>
      </w:r>
      <w:r w:rsidR="00CF75DF" w:rsidRPr="0089025E">
        <w:t>Meru</w:t>
      </w:r>
      <w:r w:rsidR="0089025E" w:rsidRPr="0089025E">
        <w:t> </w:t>
      </w:r>
      <w:r w:rsidR="00CF75DF" w:rsidRPr="0089025E">
        <w:t>Sheel</w:t>
      </w:r>
    </w:p>
    <w:p w14:paraId="27EF8A7F" w14:textId="77777777" w:rsidR="00DE4482" w:rsidRPr="0089025E" w:rsidRDefault="000A5F42" w:rsidP="00194A12">
      <w:pPr>
        <w:pStyle w:val="CDICopyrightHeading"/>
      </w:pPr>
      <w:r w:rsidRPr="0089025E">
        <w:t>Contacts</w:t>
      </w:r>
    </w:p>
    <w:p w14:paraId="2BA0EC3A" w14:textId="77777777" w:rsidR="00682E53" w:rsidRDefault="00E54BBD" w:rsidP="00194A12">
      <w:pPr>
        <w:pStyle w:val="CDICopyrightText"/>
      </w:pPr>
      <w:r w:rsidRPr="0089025E">
        <w:t>CDI is produced by</w:t>
      </w:r>
      <w:r w:rsidR="00682E53">
        <w:t>:</w:t>
      </w:r>
    </w:p>
    <w:p w14:paraId="5793287D" w14:textId="77777777" w:rsidR="000A5F42" w:rsidRPr="0089025E" w:rsidRDefault="00470C19" w:rsidP="00194A12">
      <w:pPr>
        <w:pStyle w:val="CDICopyrightText"/>
      </w:pPr>
      <w:r>
        <w:t>Health Security &amp; Emergency Management Division</w:t>
      </w:r>
      <w:r w:rsidR="00E54BBD" w:rsidRPr="0089025E">
        <w:t xml:space="preserve">, Australian Government Department of </w:t>
      </w:r>
      <w:proofErr w:type="gramStart"/>
      <w:r w:rsidR="00E54BBD" w:rsidRPr="0089025E">
        <w:t>Health</w:t>
      </w:r>
      <w:proofErr w:type="gramEnd"/>
      <w:r w:rsidR="00AE0209" w:rsidRPr="0089025E">
        <w:t xml:space="preserve"> and Aged Care</w:t>
      </w:r>
      <w:r w:rsidR="00E54BBD" w:rsidRPr="0089025E">
        <w:t>,</w:t>
      </w:r>
      <w:r w:rsidR="00682E53">
        <w:br/>
      </w:r>
      <w:r w:rsidR="00E54BBD" w:rsidRPr="0089025E">
        <w:t>GPO Box 9848, (MDP 6) CANBERRA ACT 2601</w:t>
      </w:r>
    </w:p>
    <w:p w14:paraId="43851ED3" w14:textId="77777777" w:rsidR="00DA2E9E" w:rsidRPr="0089025E" w:rsidRDefault="00DA2E9E" w:rsidP="00194A12">
      <w:pPr>
        <w:pStyle w:val="CDICopyrightText"/>
      </w:pPr>
      <w:r w:rsidRPr="0089025E">
        <w:t xml:space="preserve">Website: </w:t>
      </w:r>
      <w:hyperlink r:id="rId17" w:history="1">
        <w:r w:rsidR="00AC0F5D" w:rsidRPr="000C6EB5">
          <w:rPr>
            <w:rStyle w:val="Hyperlink"/>
          </w:rPr>
          <w:t>www.health.gov.au/cdi</w:t>
        </w:r>
      </w:hyperlink>
      <w:r w:rsidR="00AC0F5D">
        <w:t xml:space="preserve"> </w:t>
      </w:r>
    </w:p>
    <w:p w14:paraId="64FC4F34" w14:textId="77777777" w:rsidR="000A5F42" w:rsidRPr="0089025E" w:rsidRDefault="000A5F42" w:rsidP="00194A12">
      <w:pPr>
        <w:pStyle w:val="CDICopyrightText"/>
      </w:pPr>
      <w:r w:rsidRPr="0089025E">
        <w:t xml:space="preserve">Email: </w:t>
      </w:r>
      <w:hyperlink r:id="rId18" w:history="1">
        <w:r w:rsidR="00AC0F5D" w:rsidRPr="000C6EB5">
          <w:rPr>
            <w:rStyle w:val="Hyperlink"/>
          </w:rPr>
          <w:t>cdi.editor@health.gov.au</w:t>
        </w:r>
      </w:hyperlink>
      <w:r w:rsidR="00AC0F5D">
        <w:t xml:space="preserve"> </w:t>
      </w:r>
    </w:p>
    <w:p w14:paraId="3E7773D4" w14:textId="77777777" w:rsidR="00DE4482" w:rsidRPr="0089025E" w:rsidRDefault="000A5F42" w:rsidP="00194A12">
      <w:pPr>
        <w:pStyle w:val="CDICopyrightHeading"/>
      </w:pPr>
      <w:r w:rsidRPr="0089025E">
        <w:t xml:space="preserve">Submit an </w:t>
      </w:r>
      <w:proofErr w:type="gramStart"/>
      <w:r w:rsidRPr="0089025E">
        <w:t>Article</w:t>
      </w:r>
      <w:proofErr w:type="gramEnd"/>
    </w:p>
    <w:p w14:paraId="07A3621D"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21F79AB3" w14:textId="77777777" w:rsidR="000A5F42" w:rsidRPr="0089025E" w:rsidRDefault="000A5F42" w:rsidP="00194A12">
      <w:pPr>
        <w:pStyle w:val="CDICopyrightText"/>
      </w:pPr>
      <w:r w:rsidRPr="0089025E">
        <w:t xml:space="preserve">Further enquiries should be directed to: </w:t>
      </w:r>
      <w:hyperlink r:id="rId19" w:history="1">
        <w:r w:rsidR="00AC0F5D" w:rsidRPr="000C6EB5">
          <w:rPr>
            <w:rStyle w:val="Hyperlink"/>
          </w:rPr>
          <w:t>cdi.editor@health.gov.au</w:t>
        </w:r>
      </w:hyperlink>
      <w:r w:rsidR="00AC0F5D">
        <w:t xml:space="preserve"> </w:t>
      </w:r>
    </w:p>
    <w:sectPr w:rsidR="000A5F42" w:rsidRPr="0089025E" w:rsidSect="001A26DD">
      <w:footerReference w:type="default" r:id="rId20"/>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4A06F" w14:textId="77777777" w:rsidR="00DA7907" w:rsidRDefault="00DA7907" w:rsidP="00E54DBA">
      <w:r>
        <w:separator/>
      </w:r>
    </w:p>
    <w:p w14:paraId="28EB93D9" w14:textId="77777777" w:rsidR="00DA7907" w:rsidRDefault="00DA7907"/>
    <w:p w14:paraId="7093B748" w14:textId="77777777" w:rsidR="00DA7907" w:rsidRDefault="00DA7907" w:rsidP="008714B0"/>
  </w:endnote>
  <w:endnote w:type="continuationSeparator" w:id="0">
    <w:p w14:paraId="754F520F" w14:textId="77777777" w:rsidR="00DA7907" w:rsidRDefault="00DA7907" w:rsidP="00E54DBA">
      <w:r>
        <w:continuationSeparator/>
      </w:r>
    </w:p>
    <w:p w14:paraId="7F0C10D7" w14:textId="77777777" w:rsidR="00DA7907" w:rsidRDefault="00DA7907"/>
    <w:p w14:paraId="0CEF1101" w14:textId="77777777" w:rsidR="00DA7907" w:rsidRDefault="00DA7907"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panose1 w:val="00000000000000000000"/>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35CDB"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6DD9E" w14:textId="2C25090C"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DA7907">
        <w:t>2024</w:t>
      </w:r>
    </w:fldSimple>
    <w:r w:rsidRPr="001D0612">
      <w:t xml:space="preserve"> </w:t>
    </w:r>
    <w:fldSimple w:instr=" DOCPROPERTY  Vol  \* MERGEFORMAT ">
      <w:r w:rsidR="00DA7907">
        <w:t>48</w:t>
      </w:r>
    </w:fldSimple>
    <w:r w:rsidRPr="001D0612">
      <w:t xml:space="preserve">  (</w:t>
    </w:r>
    <w:fldSimple w:instr=" DOCPROPERTY  DOI  \* MERGEFORMAT ">
      <w:r w:rsidR="00DA7907">
        <w:t>https://doi.org/10.33321/cdi.2024.48.51</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DA7907">
        <w:t>23/10/2024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57F70" w14:textId="77777777"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73FDC" w14:textId="46FEF0BD"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r w:rsidR="00C337BD">
      <w:fldChar w:fldCharType="begin"/>
    </w:r>
    <w:r w:rsidR="00C337BD">
      <w:instrText xml:space="preserve"> DOCPROPERTY  Year  \* MERGEFORMAT </w:instrText>
    </w:r>
    <w:r w:rsidR="00C337BD">
      <w:fldChar w:fldCharType="separate"/>
    </w:r>
    <w:r w:rsidR="00DA7907">
      <w:t>2024</w:t>
    </w:r>
    <w:r w:rsidR="00C337BD">
      <w:fldChar w:fldCharType="end"/>
    </w:r>
    <w:r w:rsidRPr="001D0612">
      <w:t xml:space="preserve"> </w:t>
    </w:r>
    <w:r w:rsidR="00C337BD">
      <w:fldChar w:fldCharType="begin"/>
    </w:r>
    <w:r w:rsidR="00C337BD">
      <w:instrText xml:space="preserve"> DOCPROPERTY  Vol  \* MERGEFORMAT </w:instrText>
    </w:r>
    <w:r w:rsidR="00C337BD">
      <w:fldChar w:fldCharType="separate"/>
    </w:r>
    <w:r w:rsidR="00DA7907">
      <w:t>48</w:t>
    </w:r>
    <w:r w:rsidR="00C337BD">
      <w:fldChar w:fldCharType="end"/>
    </w:r>
    <w:r w:rsidRPr="001D0612">
      <w:t xml:space="preserve">  (</w:t>
    </w:r>
    <w:r w:rsidR="00C337BD">
      <w:fldChar w:fldCharType="begin"/>
    </w:r>
    <w:r w:rsidR="00C337BD">
      <w:instrText xml:space="preserve"> DOCPROPERTY  DOI  \* MERGEFORMAT </w:instrText>
    </w:r>
    <w:r w:rsidR="00C337BD">
      <w:fldChar w:fldCharType="separate"/>
    </w:r>
    <w:r w:rsidR="00DA7907">
      <w:t>https://doi.org/10.33321/cdi.2024.48.51</w:t>
    </w:r>
    <w:r w:rsidR="00C337BD">
      <w:fldChar w:fldCharType="end"/>
    </w:r>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r w:rsidR="00C337BD">
      <w:fldChar w:fldCharType="begin"/>
    </w:r>
    <w:r w:rsidR="00C337BD">
      <w:instrText xml:space="preserve"> DOCPROPERTY  ePubDate  \* MERGEFORMAT </w:instrText>
    </w:r>
    <w:r w:rsidR="00C337BD">
      <w:fldChar w:fldCharType="separate"/>
    </w:r>
    <w:r w:rsidR="00DA7907">
      <w:t>23/10/2024</w:t>
    </w:r>
    <w:r w:rsidR="00C337BD">
      <w:fldChar w:fldCharType="end"/>
    </w:r>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6864A" w14:textId="77777777" w:rsidR="00DA7907" w:rsidRPr="00B91FB5" w:rsidRDefault="00DA7907" w:rsidP="00B91FB5">
      <w:pPr>
        <w:spacing w:line="240" w:lineRule="auto"/>
        <w:rPr>
          <w:sz w:val="18"/>
          <w:szCs w:val="18"/>
        </w:rPr>
      </w:pPr>
      <w:r w:rsidRPr="00B91FB5">
        <w:rPr>
          <w:sz w:val="18"/>
          <w:szCs w:val="18"/>
        </w:rPr>
        <w:separator/>
      </w:r>
    </w:p>
  </w:footnote>
  <w:footnote w:type="continuationSeparator" w:id="0">
    <w:p w14:paraId="002B830C" w14:textId="77777777" w:rsidR="00DA7907" w:rsidRDefault="00DA7907" w:rsidP="00E54DBA">
      <w:r>
        <w:continuationSeparator/>
      </w:r>
    </w:p>
  </w:footnote>
  <w:footnote w:type="continuationNotice" w:id="1">
    <w:p w14:paraId="124362EA" w14:textId="77777777" w:rsidR="00DA7907" w:rsidRPr="00224EFF" w:rsidRDefault="00DA7907"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04117"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FC732"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95C86"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0A756EF8" wp14:editId="562ED810">
          <wp:simplePos x="0" y="0"/>
          <wp:positionH relativeFrom="page">
            <wp:align>left</wp:align>
          </wp:positionH>
          <wp:positionV relativeFrom="page">
            <wp:align>top</wp:align>
          </wp:positionV>
          <wp:extent cx="7567200" cy="2268000"/>
          <wp:effectExtent l="0" t="0" r="0" b="0"/>
          <wp:wrapNone/>
          <wp:docPr id="6" name="Picture 6"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709380833">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301" w:allStyles="1" w:customStyles="0" w:latentStyles="0" w:stylesInUse="0"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907"/>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20DA"/>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2394"/>
    <w:rsid w:val="000969B3"/>
    <w:rsid w:val="000A5F42"/>
    <w:rsid w:val="000C34E2"/>
    <w:rsid w:val="000C3D48"/>
    <w:rsid w:val="000C3FB4"/>
    <w:rsid w:val="000D4B4D"/>
    <w:rsid w:val="000E6C4C"/>
    <w:rsid w:val="000F223B"/>
    <w:rsid w:val="000F73D7"/>
    <w:rsid w:val="00112E44"/>
    <w:rsid w:val="00113D58"/>
    <w:rsid w:val="001200CB"/>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65AB"/>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F0D9D"/>
    <w:rsid w:val="001F1F92"/>
    <w:rsid w:val="001F6248"/>
    <w:rsid w:val="00221481"/>
    <w:rsid w:val="00223F42"/>
    <w:rsid w:val="00224EFF"/>
    <w:rsid w:val="002276DC"/>
    <w:rsid w:val="00227E00"/>
    <w:rsid w:val="002307CB"/>
    <w:rsid w:val="00231046"/>
    <w:rsid w:val="00234F21"/>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601C0"/>
    <w:rsid w:val="003635F5"/>
    <w:rsid w:val="00371080"/>
    <w:rsid w:val="0037146D"/>
    <w:rsid w:val="00372A88"/>
    <w:rsid w:val="00381A0F"/>
    <w:rsid w:val="00381E8E"/>
    <w:rsid w:val="00390F66"/>
    <w:rsid w:val="00392D07"/>
    <w:rsid w:val="003A1B3A"/>
    <w:rsid w:val="003A40F5"/>
    <w:rsid w:val="003B3487"/>
    <w:rsid w:val="003B5B8C"/>
    <w:rsid w:val="003B7ADD"/>
    <w:rsid w:val="003C554E"/>
    <w:rsid w:val="003C5E16"/>
    <w:rsid w:val="003C7841"/>
    <w:rsid w:val="003D15AE"/>
    <w:rsid w:val="003D5EAA"/>
    <w:rsid w:val="003D79B1"/>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0C19"/>
    <w:rsid w:val="00473D2D"/>
    <w:rsid w:val="00491C26"/>
    <w:rsid w:val="004A19B8"/>
    <w:rsid w:val="004A2125"/>
    <w:rsid w:val="004A38F6"/>
    <w:rsid w:val="004B1266"/>
    <w:rsid w:val="004B4EB6"/>
    <w:rsid w:val="004B4F34"/>
    <w:rsid w:val="004C04D3"/>
    <w:rsid w:val="004C083C"/>
    <w:rsid w:val="004C3BDE"/>
    <w:rsid w:val="004C67C6"/>
    <w:rsid w:val="004D29DE"/>
    <w:rsid w:val="004E1094"/>
    <w:rsid w:val="004E2E81"/>
    <w:rsid w:val="0050662A"/>
    <w:rsid w:val="00510EAC"/>
    <w:rsid w:val="00526875"/>
    <w:rsid w:val="00527BEF"/>
    <w:rsid w:val="00532189"/>
    <w:rsid w:val="005402F5"/>
    <w:rsid w:val="00542A57"/>
    <w:rsid w:val="00545068"/>
    <w:rsid w:val="0054635D"/>
    <w:rsid w:val="005635C8"/>
    <w:rsid w:val="00565974"/>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3EA5"/>
    <w:rsid w:val="00666D94"/>
    <w:rsid w:val="00681509"/>
    <w:rsid w:val="00682146"/>
    <w:rsid w:val="00682E53"/>
    <w:rsid w:val="00683E6F"/>
    <w:rsid w:val="006862C0"/>
    <w:rsid w:val="00690811"/>
    <w:rsid w:val="00693DAE"/>
    <w:rsid w:val="00697039"/>
    <w:rsid w:val="006971F3"/>
    <w:rsid w:val="006A12BE"/>
    <w:rsid w:val="006B337D"/>
    <w:rsid w:val="006C2787"/>
    <w:rsid w:val="006C74A3"/>
    <w:rsid w:val="006D1381"/>
    <w:rsid w:val="006D31BC"/>
    <w:rsid w:val="006D4979"/>
    <w:rsid w:val="006D508B"/>
    <w:rsid w:val="006D6625"/>
    <w:rsid w:val="006E7943"/>
    <w:rsid w:val="006F24EA"/>
    <w:rsid w:val="006F3EB4"/>
    <w:rsid w:val="00702D05"/>
    <w:rsid w:val="00703009"/>
    <w:rsid w:val="00704CA9"/>
    <w:rsid w:val="0071048D"/>
    <w:rsid w:val="00710F86"/>
    <w:rsid w:val="007111A8"/>
    <w:rsid w:val="00714CD2"/>
    <w:rsid w:val="00723426"/>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589"/>
    <w:rsid w:val="00830070"/>
    <w:rsid w:val="00830F91"/>
    <w:rsid w:val="00834BCC"/>
    <w:rsid w:val="008355D9"/>
    <w:rsid w:val="00850D54"/>
    <w:rsid w:val="00852E2B"/>
    <w:rsid w:val="008714B0"/>
    <w:rsid w:val="00872A7F"/>
    <w:rsid w:val="00876331"/>
    <w:rsid w:val="00877B90"/>
    <w:rsid w:val="00880726"/>
    <w:rsid w:val="0089025E"/>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4C6"/>
    <w:rsid w:val="009A76F8"/>
    <w:rsid w:val="009B2B83"/>
    <w:rsid w:val="009C49F8"/>
    <w:rsid w:val="009D56E7"/>
    <w:rsid w:val="009D77CC"/>
    <w:rsid w:val="009D797A"/>
    <w:rsid w:val="009E2423"/>
    <w:rsid w:val="009E5490"/>
    <w:rsid w:val="009E55D7"/>
    <w:rsid w:val="009F4150"/>
    <w:rsid w:val="009F5665"/>
    <w:rsid w:val="009F5DAD"/>
    <w:rsid w:val="009F752C"/>
    <w:rsid w:val="00A01BCA"/>
    <w:rsid w:val="00A07088"/>
    <w:rsid w:val="00A10458"/>
    <w:rsid w:val="00A104E5"/>
    <w:rsid w:val="00A14629"/>
    <w:rsid w:val="00A153B6"/>
    <w:rsid w:val="00A164D5"/>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71BF6"/>
    <w:rsid w:val="00A72AF9"/>
    <w:rsid w:val="00A74050"/>
    <w:rsid w:val="00A86F9A"/>
    <w:rsid w:val="00A95A81"/>
    <w:rsid w:val="00AA35E6"/>
    <w:rsid w:val="00AA50B6"/>
    <w:rsid w:val="00AA78FF"/>
    <w:rsid w:val="00AB3472"/>
    <w:rsid w:val="00AC0F5D"/>
    <w:rsid w:val="00AC27EF"/>
    <w:rsid w:val="00AC4595"/>
    <w:rsid w:val="00AC659C"/>
    <w:rsid w:val="00AC66D9"/>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6DA4"/>
    <w:rsid w:val="00C07606"/>
    <w:rsid w:val="00C12542"/>
    <w:rsid w:val="00C130EE"/>
    <w:rsid w:val="00C24725"/>
    <w:rsid w:val="00C30BA9"/>
    <w:rsid w:val="00C32396"/>
    <w:rsid w:val="00C337BD"/>
    <w:rsid w:val="00C3541E"/>
    <w:rsid w:val="00C36A8F"/>
    <w:rsid w:val="00C401C8"/>
    <w:rsid w:val="00C42834"/>
    <w:rsid w:val="00C42FFA"/>
    <w:rsid w:val="00C47780"/>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F131F"/>
    <w:rsid w:val="00CF320C"/>
    <w:rsid w:val="00CF3A4B"/>
    <w:rsid w:val="00CF4001"/>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A7907"/>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77351"/>
    <w:rsid w:val="00F804EC"/>
    <w:rsid w:val="00F8130F"/>
    <w:rsid w:val="00F818C7"/>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3A45F3"/>
  <w15:docId w15:val="{5D988DCF-158B-4222-AA96-AF0CC6655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247"/>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customStyle="1" w:styleId="Bold">
    <w:name w:val="Bold"/>
    <w:uiPriority w:val="99"/>
    <w:rsid w:val="00526875"/>
    <w:rPr>
      <w:b/>
      <w:bCs/>
    </w:r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 w:type="paragraph" w:styleId="BodyText">
    <w:name w:val="Body Text"/>
    <w:basedOn w:val="Normal"/>
    <w:link w:val="BodyTextChar"/>
    <w:uiPriority w:val="99"/>
    <w:semiHidden/>
    <w:unhideWhenUsed/>
    <w:rsid w:val="00723426"/>
    <w:pPr>
      <w:spacing w:after="120"/>
    </w:pPr>
  </w:style>
  <w:style w:type="character" w:customStyle="1" w:styleId="BodyTextChar">
    <w:name w:val="Body Text Char"/>
    <w:basedOn w:val="DefaultParagraphFont"/>
    <w:link w:val="BodyText"/>
    <w:uiPriority w:val="99"/>
    <w:semiHidden/>
    <w:rsid w:val="00723426"/>
    <w:rPr>
      <w:rFonts w:ascii="Calibri" w:hAnsi="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health.gov.au/cdi" TargetMode="Externa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aug2-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CDI-template-aug2-2024.dotx</Template>
  <TotalTime>3</TotalTime>
  <Pages>16</Pages>
  <Words>5569</Words>
  <Characters>34199</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Communicable Diseases Intelligence - Gonococcal infections and risk factors for reinfection: a descriptive and case-case analysis of notifications in the Australian Capital Territory, 2017–2022</vt:lpstr>
    </vt:vector>
  </TitlesOfParts>
  <Company>Interim Australian Centre for Disease Control</Company>
  <LinksUpToDate>false</LinksUpToDate>
  <CharactersWithSpaces>39689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Gonococcal infections and risk factors for reinfection: a descriptive and case-case analysis of notifications in the Australian Capital Territory, 2017–2022</dc:title>
  <dc:subject>This article reports a retrospective descriptive analysis of gonococcal infection notifications data in the Australian Capital Territory between 2017 and 2022. It describes the data for gonococcal reinfection notifications and reports a case-case analysis comparing the epidemiological characteristics of individuals with a single infection with those with a reinfection.</dc:subject>
  <dc:creator>Jill Padrotta;Alexandra Marmor;Nevada Pingault;Davoud Pourmarzi</dc:creator>
  <cp:keywords>sexually transmissible infection; gonococcal infection; reinfection; risk factor; notifications; Australian Capital Territory</cp:keywords>
  <dc:description>© Commonwealth of Australia CC BY-NC-ND</dc:description>
  <cp:revision>2</cp:revision>
  <cp:lastPrinted>2024-03-07T01:06:00Z</cp:lastPrinted>
  <dcterms:created xsi:type="dcterms:W3CDTF">2024-10-16T08:25:00Z</dcterms:created>
  <dcterms:modified xsi:type="dcterms:W3CDTF">2024-10-16T08:25:00Z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23/10/2024</vt:lpwstr>
  </property>
  <property fmtid="{D5CDD505-2E9C-101B-9397-08002B2CF9AE}" pid="5" name="DOI">
    <vt:lpwstr>https://doi.org/10.33321/cdi.2024.48.51</vt:lpwstr>
  </property>
</Properties>
</file>