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F01B" w14:textId="3F616725" w:rsidR="00B50D8D" w:rsidRPr="00341720" w:rsidRDefault="00282B56" w:rsidP="00341720">
      <w:pPr>
        <w:pStyle w:val="CDIDOIInformation"/>
      </w:pPr>
      <w:r>
        <w:fldChar w:fldCharType="begin"/>
      </w:r>
      <w:r>
        <w:instrText xml:space="preserve"> DOCPROPERTY  Year  \* MERGEFORMAT </w:instrText>
      </w:r>
      <w:r>
        <w:fldChar w:fldCharType="separate"/>
      </w:r>
      <w:r w:rsidR="00550D9D">
        <w:t>2024</w:t>
      </w:r>
      <w:r>
        <w:fldChar w:fldCharType="end"/>
      </w:r>
      <w:r w:rsidR="00A623E8" w:rsidRPr="00341720">
        <w:t xml:space="preserve"> • </w:t>
      </w:r>
      <w:r w:rsidR="00B50D8D" w:rsidRPr="00341720">
        <w:t xml:space="preserve">Volume </w:t>
      </w:r>
      <w:r w:rsidR="00F059E5">
        <w:fldChar w:fldCharType="begin"/>
      </w:r>
      <w:r w:rsidR="00F059E5">
        <w:instrText xml:space="preserve"> DOCPROPERTY  Vol  \* MERGEFORMAT </w:instrText>
      </w:r>
      <w:r w:rsidR="00F059E5">
        <w:fldChar w:fldCharType="separate"/>
      </w:r>
      <w:r w:rsidR="00550D9D">
        <w:t>48</w:t>
      </w:r>
      <w:r w:rsidR="00F059E5">
        <w:fldChar w:fldCharType="end"/>
      </w:r>
      <w:r w:rsidR="00725C33" w:rsidRPr="00341720">
        <w:t xml:space="preserve"> </w:t>
      </w:r>
      <w:r w:rsidR="008E3F81" w:rsidRPr="00341720">
        <w:t>•</w:t>
      </w:r>
      <w:r w:rsidR="00725C33" w:rsidRPr="00341720">
        <w:t xml:space="preserve"> </w:t>
      </w:r>
      <w:r w:rsidR="00F059E5">
        <w:fldChar w:fldCharType="begin"/>
      </w:r>
      <w:r w:rsidR="00F059E5">
        <w:instrText xml:space="preserve"> DOCPROPERTY  DOI  \* MERGEFORMAT </w:instrText>
      </w:r>
      <w:r w:rsidR="00F059E5">
        <w:fldChar w:fldCharType="separate"/>
      </w:r>
      <w:r w:rsidR="00905BC8">
        <w:t>https://doi.org/10.33321/cdi.2024.48.40</w:t>
      </w:r>
      <w:r w:rsidR="00F059E5">
        <w:fldChar w:fldCharType="end"/>
      </w:r>
      <w:r w:rsidR="00725C33" w:rsidRPr="00341720">
        <w:t xml:space="preserve"> </w:t>
      </w:r>
      <w:r w:rsidR="00D20FB5" w:rsidRPr="00341720">
        <w:t>•</w:t>
      </w:r>
      <w:r w:rsidR="00D20FB5">
        <w:t xml:space="preserve"> </w:t>
      </w:r>
      <w:r w:rsidR="00D20FB5" w:rsidRPr="00341720">
        <w:t xml:space="preserve">Electronic publication date: </w:t>
      </w:r>
      <w:r w:rsidR="00F059E5">
        <w:fldChar w:fldCharType="begin"/>
      </w:r>
      <w:r w:rsidR="00F059E5">
        <w:instrText xml:space="preserve"> DOCPROPERTY  ePubDate  \* MERGEFORMAT </w:instrText>
      </w:r>
      <w:r w:rsidR="00F059E5">
        <w:fldChar w:fldCharType="separate"/>
      </w:r>
      <w:r w:rsidR="00905BC8">
        <w:t>23/10/2024</w:t>
      </w:r>
      <w:r w:rsidR="00F059E5">
        <w:fldChar w:fldCharType="end"/>
      </w:r>
    </w:p>
    <w:p w14:paraId="7E971558" w14:textId="3B2E6297" w:rsidR="00E30C30" w:rsidRPr="0037146D" w:rsidRDefault="00905BC8" w:rsidP="0037146D">
      <w:pPr>
        <w:pStyle w:val="Title"/>
        <w:divId w:val="935526654"/>
      </w:pPr>
      <w:r w:rsidRPr="00905BC8">
        <w:t>Validation of a risk stratification tool for SARS-CoV-2 Delta community transmission in the Australian Capital Territory</w:t>
      </w:r>
    </w:p>
    <w:p w14:paraId="051AD37F" w14:textId="69A757DA" w:rsidR="007A33B9" w:rsidRPr="0037146D" w:rsidRDefault="00905BC8" w:rsidP="0037146D">
      <w:pPr>
        <w:pStyle w:val="Subtitle"/>
        <w:divId w:val="935526654"/>
      </w:pPr>
      <w:r w:rsidRPr="00905BC8">
        <w:t xml:space="preserve">Alexandra Marmor, </w:t>
      </w:r>
      <w:proofErr w:type="spellStart"/>
      <w:r w:rsidRPr="00905BC8">
        <w:t>Tze</w:t>
      </w:r>
      <w:proofErr w:type="spellEnd"/>
      <w:r w:rsidRPr="00905BC8">
        <w:t xml:space="preserve"> </w:t>
      </w:r>
      <w:proofErr w:type="spellStart"/>
      <w:r w:rsidRPr="00905BC8">
        <w:t>Vun</w:t>
      </w:r>
      <w:proofErr w:type="spellEnd"/>
      <w:r w:rsidRPr="00905BC8">
        <w:t xml:space="preserve"> Voo, Meru Sheel, Timothy Sloan-Gardner, Nevada Pingault</w:t>
      </w:r>
    </w:p>
    <w:p w14:paraId="713072CB" w14:textId="77777777" w:rsidR="0037146D" w:rsidRDefault="0037146D" w:rsidP="0037146D">
      <w:pPr>
        <w:pStyle w:val="Heading1"/>
        <w:divId w:val="935526654"/>
        <w:rPr>
          <w:lang w:val="en-GB"/>
        </w:rPr>
      </w:pPr>
      <w:r>
        <w:rPr>
          <w:lang w:val="en-GB"/>
        </w:rPr>
        <w:t>Abstract</w:t>
      </w:r>
    </w:p>
    <w:p w14:paraId="7F04003C" w14:textId="77777777" w:rsidR="00905BC8" w:rsidRPr="00905BC8" w:rsidRDefault="00905BC8" w:rsidP="00905BC8">
      <w:pPr>
        <w:divId w:val="935526654"/>
        <w:rPr>
          <w:lang w:val="en-GB"/>
        </w:rPr>
      </w:pPr>
      <w:r w:rsidRPr="00905BC8">
        <w:rPr>
          <w:lang w:val="en-GB"/>
        </w:rPr>
        <w:t xml:space="preserve">During the SARS-CoV-2 Delta (B.1.617.2) variant outbreak, from August to October 2021 in the Australian Capital Territory (ACT), the number of new cases ‘in the community for part of their infectious period’ was publicly reported daily. We describe the stratification tool used during the outbreak to determine presumptive risk of community transmission from </w:t>
      </w:r>
      <w:proofErr w:type="gramStart"/>
      <w:r w:rsidRPr="00905BC8">
        <w:rPr>
          <w:lang w:val="en-GB"/>
        </w:rPr>
        <w:t>cases, and</w:t>
      </w:r>
      <w:proofErr w:type="gramEnd"/>
      <w:r w:rsidRPr="00905BC8">
        <w:rPr>
          <w:lang w:val="en-GB"/>
        </w:rPr>
        <w:t xml:space="preserve"> present the results of a contemporaneous validation of each case’s risk against their onward transmission detected by routine surveillance. </w:t>
      </w:r>
    </w:p>
    <w:p w14:paraId="5789F4DB" w14:textId="77777777" w:rsidR="00905BC8" w:rsidRPr="00905BC8" w:rsidRDefault="00905BC8" w:rsidP="00905BC8">
      <w:pPr>
        <w:divId w:val="935526654"/>
        <w:rPr>
          <w:lang w:val="en-GB"/>
        </w:rPr>
      </w:pPr>
      <w:r w:rsidRPr="00905BC8">
        <w:rPr>
          <w:lang w:val="en-GB"/>
        </w:rPr>
        <w:t>After case interview, epidemiologists identified the most likely source of infection for each new case and used the stratification tool to classify the case as either no, low, or high risk of community transmission. Each case notified between 12 August and 14 September 2021 was matched to its recipient case(s) to determine how well the tool predicted transmission risk. Household transmissions were excluded.</w:t>
      </w:r>
    </w:p>
    <w:p w14:paraId="62836786" w14:textId="77777777" w:rsidR="00905BC8" w:rsidRPr="00905BC8" w:rsidRDefault="00905BC8" w:rsidP="00905BC8">
      <w:pPr>
        <w:divId w:val="935526654"/>
        <w:rPr>
          <w:lang w:val="en-GB"/>
        </w:rPr>
      </w:pPr>
      <w:r w:rsidRPr="00905BC8">
        <w:rPr>
          <w:lang w:val="en-GB"/>
        </w:rPr>
        <w:t xml:space="preserve">Of the 530 notified cases stratified, 159 (29.3%) were cases who transmitted to a recipient case. Of the 59 cases who were the source of community transmission, 66% (38/59) were undertaking high-risk activities not associated with permitted essential work at the time. Only six source cases stratified as low </w:t>
      </w:r>
      <w:proofErr w:type="gramStart"/>
      <w:r w:rsidRPr="00905BC8">
        <w:rPr>
          <w:lang w:val="en-GB"/>
        </w:rPr>
        <w:t>risk</w:t>
      </w:r>
      <w:proofErr w:type="gramEnd"/>
      <w:r w:rsidRPr="00905BC8">
        <w:rPr>
          <w:lang w:val="en-GB"/>
        </w:rPr>
        <w:t xml:space="preserve"> or no risk transmitted SARS-CoV-2 to those outside their own household.</w:t>
      </w:r>
    </w:p>
    <w:p w14:paraId="1D2C3BAE" w14:textId="66276415" w:rsidR="00065A6B" w:rsidRDefault="00905BC8" w:rsidP="00905BC8">
      <w:pPr>
        <w:divId w:val="935526654"/>
        <w:rPr>
          <w:lang w:val="en-GB"/>
        </w:rPr>
      </w:pPr>
      <w:r w:rsidRPr="00905BC8">
        <w:rPr>
          <w:lang w:val="en-GB"/>
        </w:rPr>
        <w:t xml:space="preserve">The tool was essential in the rapid determination of community transmission risk in the ACT, and validation of the tool against detected onward transmission provided evidence for the effectiveness of public health restrictions. In the early stages of outbreaks of diseases for which transmissibility has not yet been established, the validation of such a stratification tool relies on high quality case investigation </w:t>
      </w:r>
      <w:proofErr w:type="gramStart"/>
      <w:r w:rsidRPr="00905BC8">
        <w:rPr>
          <w:lang w:val="en-GB"/>
        </w:rPr>
        <w:t>data, but</w:t>
      </w:r>
      <w:proofErr w:type="gramEnd"/>
      <w:r w:rsidRPr="00905BC8">
        <w:rPr>
          <w:lang w:val="en-GB"/>
        </w:rPr>
        <w:t xml:space="preserve"> may help to understand transmission dynamics and to inform interventions.</w:t>
      </w:r>
    </w:p>
    <w:p w14:paraId="3029A08D" w14:textId="2BE14642" w:rsidR="00620509" w:rsidRPr="006D508B" w:rsidRDefault="00620509" w:rsidP="00620509">
      <w:pPr>
        <w:pStyle w:val="CDIBoxTextGreen"/>
        <w:divId w:val="935526654"/>
        <w:rPr>
          <w:lang w:val="en-GB"/>
        </w:rPr>
      </w:pPr>
      <w:r w:rsidRPr="0037146D">
        <w:rPr>
          <w:lang w:val="en-GB"/>
        </w:rPr>
        <w:t xml:space="preserve">Keywords: </w:t>
      </w:r>
      <w:r w:rsidR="00905BC8" w:rsidRPr="00905BC8">
        <w:rPr>
          <w:lang w:val="en-GB"/>
        </w:rPr>
        <w:t>COVID-19; SARS-CoV-2 Delta; Australian Capital Territory; transmission; risk stratification; epidemiology</w:t>
      </w:r>
    </w:p>
    <w:p w14:paraId="0DF04F8A" w14:textId="77777777" w:rsidR="00905BC8" w:rsidRDefault="00905BC8" w:rsidP="00905BC8">
      <w:pPr>
        <w:pStyle w:val="Heading1"/>
        <w:divId w:val="935526654"/>
      </w:pPr>
      <w:r>
        <w:lastRenderedPageBreak/>
        <w:t>Introduction</w:t>
      </w:r>
    </w:p>
    <w:p w14:paraId="1DCF7AF2" w14:textId="77777777" w:rsidR="00905BC8" w:rsidRPr="00905BC8" w:rsidRDefault="00905BC8" w:rsidP="00905BC8">
      <w:pPr>
        <w:divId w:val="935526654"/>
        <w:rPr>
          <w:lang w:val="en-GB"/>
        </w:rPr>
      </w:pPr>
      <w:r w:rsidRPr="00905BC8">
        <w:rPr>
          <w:lang w:val="en-GB"/>
        </w:rPr>
        <w:t>During the SARS-CoV-2 Delta (B.1.617.2) variant wave, from August to October 2021 in the Australian Capital Territory (ACT), Australia, the number of new cases was reported daily. A metric that was eagerly followed by the media–and was perceived as reflecting the community’s compliance with strict outbreak restrictions–was the proportion of these cases that were ‘in the community for part of their infectious period’.</w:t>
      </w:r>
      <w:r w:rsidRPr="00905BC8">
        <w:rPr>
          <w:vertAlign w:val="superscript"/>
          <w:lang w:val="en-GB"/>
        </w:rPr>
        <w:t>1</w:t>
      </w:r>
      <w:r w:rsidRPr="00905BC8">
        <w:rPr>
          <w:lang w:val="en-GB"/>
        </w:rPr>
        <w:t xml:space="preserve"> Although the ACT began implementing a coronavirus disease 2019 (COVID-19) vaccination program for residents aged ≥ 12 years in February 2021, at the start of the Delta wave only 50.2% and 26.5% of eligible residents had received one or two doses, respectively.</w:t>
      </w:r>
      <w:r w:rsidRPr="00905BC8">
        <w:rPr>
          <w:vertAlign w:val="superscript"/>
          <w:lang w:val="en-GB"/>
        </w:rPr>
        <w:t>2</w:t>
      </w:r>
      <w:r w:rsidRPr="00905BC8">
        <w:rPr>
          <w:lang w:val="en-GB"/>
        </w:rPr>
        <w:t xml:space="preserve"> Therefore, stringent public health and social measures were implemented when the first locally-acquired case of the Delta variant was identified on 12 August 2021</w:t>
      </w:r>
      <w:r w:rsidRPr="00905BC8">
        <w:rPr>
          <w:vertAlign w:val="superscript"/>
          <w:lang w:val="en-GB"/>
        </w:rPr>
        <w:t>3</w:t>
      </w:r>
      <w:r w:rsidRPr="00905BC8">
        <w:rPr>
          <w:lang w:val="en-GB"/>
        </w:rPr>
        <w:t xml:space="preserve"> until vaccination goals were met.</w:t>
      </w:r>
      <w:r w:rsidRPr="00905BC8">
        <w:rPr>
          <w:vertAlign w:val="superscript"/>
          <w:lang w:val="en-GB"/>
        </w:rPr>
        <w:t>4</w:t>
      </w:r>
      <w:r w:rsidRPr="00905BC8">
        <w:rPr>
          <w:lang w:val="en-GB"/>
        </w:rPr>
        <w:t xml:space="preserve"> These included restricting people in the ACT to their homes, except for five essential reasons (essential work; essential shopping; caregiving; seeking healthcare; and outdoor exercise), and requiring people aged 12 years and over to wear a mask when not at home. </w:t>
      </w:r>
    </w:p>
    <w:p w14:paraId="3BAC49FD" w14:textId="77777777" w:rsidR="00905BC8" w:rsidRPr="00905BC8" w:rsidRDefault="00905BC8" w:rsidP="00905BC8">
      <w:pPr>
        <w:divId w:val="935526654"/>
        <w:rPr>
          <w:lang w:val="en-GB"/>
        </w:rPr>
      </w:pPr>
      <w:r w:rsidRPr="00905BC8">
        <w:rPr>
          <w:lang w:val="en-GB"/>
        </w:rPr>
        <w:t xml:space="preserve">We describe here the stratification system we used to indicate the presumptive risk of community transmission from a SARS-CoV-2 case, based on interview </w:t>
      </w:r>
      <w:proofErr w:type="gramStart"/>
      <w:r w:rsidRPr="00905BC8">
        <w:rPr>
          <w:lang w:val="en-GB"/>
        </w:rPr>
        <w:t>data</w:t>
      </w:r>
      <w:proofErr w:type="gramEnd"/>
      <w:r w:rsidRPr="00905BC8">
        <w:rPr>
          <w:lang w:val="en-GB"/>
        </w:rPr>
        <w:t xml:space="preserve"> and supplemented by genomic evidence. We present the results of a rapid analysis that validated each case’s presumptive risk against their community transmission detected by our routine surveillance methods used at the time. We also describe the extent to which COVID-19 cases in high and low risk categories transmitted to others outside of their own </w:t>
      </w:r>
      <w:proofErr w:type="gramStart"/>
      <w:r w:rsidRPr="00905BC8">
        <w:rPr>
          <w:lang w:val="en-GB"/>
        </w:rPr>
        <w:t>homes, and</w:t>
      </w:r>
      <w:proofErr w:type="gramEnd"/>
      <w:r w:rsidRPr="00905BC8">
        <w:rPr>
          <w:lang w:val="en-GB"/>
        </w:rPr>
        <w:t xml:space="preserve"> describe the settings and conditions under which transmission occurred. </w:t>
      </w:r>
    </w:p>
    <w:p w14:paraId="35B18D1B" w14:textId="77777777" w:rsidR="00905BC8" w:rsidRDefault="00905BC8" w:rsidP="00905BC8">
      <w:pPr>
        <w:pStyle w:val="Heading1"/>
        <w:divId w:val="935526654"/>
        <w:rPr>
          <w:lang w:val="en-GB"/>
        </w:rPr>
      </w:pPr>
      <w:r>
        <w:rPr>
          <w:lang w:val="en-GB"/>
        </w:rPr>
        <w:t>Methods</w:t>
      </w:r>
    </w:p>
    <w:p w14:paraId="6301E8E2" w14:textId="77777777" w:rsidR="00A8206F" w:rsidRDefault="00A8206F" w:rsidP="00A8206F">
      <w:pPr>
        <w:divId w:val="935526654"/>
        <w:rPr>
          <w:lang w:val="en-GB"/>
        </w:rPr>
      </w:pPr>
      <w:r w:rsidRPr="00A8206F">
        <w:rPr>
          <w:lang w:val="en-GB"/>
        </w:rPr>
        <w:t>A SARS-CoV-2 case was defined as a person with a positive reverse transcription polymerase chain reaction (RT-PCR) test for SARS-CoV-2, or SARS-CoV-2 immunoglobulin G (IgG) seroconversion or a four-fold or greater increase in SARS-CoV-2 antibodies (in the absence of vaccination), who was isolating in the ACT. We defined a ‘source case’ as a case who likely transmitted SARS-CoV-2 infection to another case; and a ‘recipient case’ as any case with an identified likely source case.</w:t>
      </w:r>
    </w:p>
    <w:p w14:paraId="15526886" w14:textId="709358B0" w:rsidR="00A8206F" w:rsidRDefault="00A8206F" w:rsidP="00A8206F">
      <w:pPr>
        <w:pStyle w:val="Heading2"/>
        <w:divId w:val="935526654"/>
        <w:rPr>
          <w:lang w:val="en-GB"/>
        </w:rPr>
      </w:pPr>
      <w:r>
        <w:rPr>
          <w:lang w:val="en-GB"/>
        </w:rPr>
        <w:t xml:space="preserve">Risk </w:t>
      </w:r>
      <w:proofErr w:type="gramStart"/>
      <w:r>
        <w:rPr>
          <w:lang w:val="en-GB"/>
        </w:rPr>
        <w:t>stratification</w:t>
      </w:r>
      <w:proofErr w:type="gramEnd"/>
    </w:p>
    <w:p w14:paraId="028D9D52" w14:textId="77777777" w:rsidR="00A8206F" w:rsidRPr="00A8206F" w:rsidRDefault="00A8206F" w:rsidP="00A8206F">
      <w:pPr>
        <w:divId w:val="935526654"/>
        <w:rPr>
          <w:lang w:val="en-GB"/>
        </w:rPr>
      </w:pPr>
      <w:r w:rsidRPr="00A8206F">
        <w:rPr>
          <w:lang w:val="en-GB"/>
        </w:rPr>
        <w:t xml:space="preserve">During the Delta wave, interviews by ACT Health case investigators were attempted with all SARS-CoV-2 cases, usually within 24 hours of notification, and using a standardised phone interview tool. Case data were collected and managed using </w:t>
      </w:r>
      <w:proofErr w:type="spellStart"/>
      <w:r w:rsidRPr="00A8206F">
        <w:rPr>
          <w:lang w:val="en-GB"/>
        </w:rPr>
        <w:t>REDCap</w:t>
      </w:r>
      <w:proofErr w:type="spellEnd"/>
      <w:r w:rsidRPr="00A8206F">
        <w:rPr>
          <w:lang w:val="en-GB"/>
        </w:rPr>
        <w:t xml:space="preserve"> (Research Electronic Data Capture) tools hosted at ACT Health.</w:t>
      </w:r>
      <w:r w:rsidRPr="00A8206F">
        <w:rPr>
          <w:vertAlign w:val="superscript"/>
          <w:lang w:val="en-GB"/>
        </w:rPr>
        <w:t>5</w:t>
      </w:r>
      <w:r w:rsidRPr="00A8206F">
        <w:rPr>
          <w:lang w:val="en-GB"/>
        </w:rPr>
        <w:t xml:space="preserve"> After case interview, a member of the ACT Health COVID-19 epidemiology team reviewed each record to identify, where possible, the likely setting where the exposure occurred (recorded as ‘likely exposure setting’) and the source of their infection (recorded as ‘likely source case ID’, which was the same as the source’s unique record identifier). Cases were also stratified according to their risk of transmission outside their own household, using the categories shown in Table 1. Cases stratified as high and low risk by 8:00 pm on the day of notification were publicly reported the following day as being new cases who were ‘in the community for part of their infectious period’.</w:t>
      </w:r>
    </w:p>
    <w:p w14:paraId="0DD90D29" w14:textId="77777777" w:rsidR="00A8206F" w:rsidRPr="00A8206F" w:rsidRDefault="00A8206F" w:rsidP="00A8206F">
      <w:pPr>
        <w:divId w:val="935526654"/>
        <w:rPr>
          <w:lang w:val="en-GB"/>
        </w:rPr>
      </w:pPr>
      <w:r w:rsidRPr="00A8206F">
        <w:rPr>
          <w:lang w:val="en-GB"/>
        </w:rPr>
        <w:lastRenderedPageBreak/>
        <w:t>Likely exposure setting, likely source case ID and risk stratification were updated if subsequent case interviews revealed further information about the case’s movements, or if genomic data clarified likely transmission. Routine genomic sequencing of SARS-CoV-2 specimens and phylogenetic analysis during the Delta wave is described by Hall et al.</w:t>
      </w:r>
      <w:r w:rsidRPr="00A8206F">
        <w:rPr>
          <w:vertAlign w:val="superscript"/>
          <w:lang w:val="en-GB"/>
        </w:rPr>
        <w:t>6</w:t>
      </w:r>
      <w:r w:rsidRPr="00A8206F">
        <w:rPr>
          <w:lang w:val="en-GB"/>
        </w:rPr>
        <w:t xml:space="preserve"> Each specimen sequence was assigned to a local genomic lineage, which was used to help discern the likely source case if interview data indicated there was more than one possible source.</w:t>
      </w:r>
    </w:p>
    <w:p w14:paraId="23E9532B" w14:textId="3F01B48F" w:rsidR="00A8206F" w:rsidRDefault="00A8206F" w:rsidP="00A8206F">
      <w:pPr>
        <w:pStyle w:val="CDIFigure-Table-Title"/>
        <w:divId w:val="935526654"/>
      </w:pPr>
      <w:r w:rsidRPr="00A8206F">
        <w:t xml:space="preserve">Table 1: Community transmission risk stratification and type of activities undertaken during infectious period, ACT Delta </w:t>
      </w:r>
      <w:proofErr w:type="gramStart"/>
      <w:r w:rsidRPr="00A8206F">
        <w:t>wave</w:t>
      </w:r>
      <w:proofErr w:type="gramEnd"/>
    </w:p>
    <w:tbl>
      <w:tblPr>
        <w:tblW w:w="0" w:type="auto"/>
        <w:tblLayout w:type="fixed"/>
        <w:tblCellMar>
          <w:left w:w="0" w:type="dxa"/>
          <w:right w:w="0" w:type="dxa"/>
        </w:tblCellMar>
        <w:tblLook w:val="0000" w:firstRow="0" w:lastRow="0" w:firstColumn="0" w:lastColumn="0" w:noHBand="0" w:noVBand="0"/>
        <w:tblCaption w:val="Table 1: Community transmission risk stratification and type of activities undertaken during infectious period, ACT Delta wave"/>
        <w:tblDescription w:val="Table 1 lists the definitions of the six strata used for determining risk of community transmission of SARS-CoV-2 from cases, including the types of activities undertaken during their infectious period (eg in quarantine or isolation; doing essential work in the community)."/>
      </w:tblPr>
      <w:tblGrid>
        <w:gridCol w:w="1814"/>
        <w:gridCol w:w="2098"/>
        <w:gridCol w:w="5726"/>
      </w:tblGrid>
      <w:tr w:rsidR="00A8206F" w:rsidRPr="00A8206F" w14:paraId="4C0E1321" w14:textId="77777777" w:rsidTr="00A8206F">
        <w:tblPrEx>
          <w:tblCellMar>
            <w:top w:w="0" w:type="dxa"/>
            <w:left w:w="0" w:type="dxa"/>
            <w:bottom w:w="0" w:type="dxa"/>
            <w:right w:w="0" w:type="dxa"/>
          </w:tblCellMar>
        </w:tblPrEx>
        <w:trPr>
          <w:divId w:val="935526654"/>
          <w:trHeight w:val="20"/>
          <w:tblHeader/>
        </w:trPr>
        <w:tc>
          <w:tcPr>
            <w:tcW w:w="1814" w:type="dxa"/>
            <w:shd w:val="clear" w:color="auto" w:fill="033636" w:themeFill="text2"/>
            <w:tcMar>
              <w:top w:w="113" w:type="dxa"/>
              <w:left w:w="113" w:type="dxa"/>
              <w:bottom w:w="113" w:type="dxa"/>
              <w:right w:w="113" w:type="dxa"/>
            </w:tcMar>
            <w:vAlign w:val="bottom"/>
          </w:tcPr>
          <w:p w14:paraId="33B9FF8F" w14:textId="77777777" w:rsidR="00A8206F" w:rsidRPr="00A8206F" w:rsidRDefault="00A8206F" w:rsidP="00A8206F">
            <w:pPr>
              <w:pStyle w:val="CDIFigure-Table-H1Left"/>
            </w:pPr>
            <w:r w:rsidRPr="00A8206F">
              <w:t xml:space="preserve">Risk </w:t>
            </w:r>
            <w:proofErr w:type="spellStart"/>
            <w:r w:rsidRPr="00A8206F">
              <w:t>stratum</w:t>
            </w:r>
            <w:r w:rsidRPr="00A8206F">
              <w:rPr>
                <w:vertAlign w:val="superscript"/>
              </w:rPr>
              <w:t>a</w:t>
            </w:r>
            <w:proofErr w:type="spellEnd"/>
          </w:p>
        </w:tc>
        <w:tc>
          <w:tcPr>
            <w:tcW w:w="2098" w:type="dxa"/>
            <w:shd w:val="clear" w:color="auto" w:fill="033636" w:themeFill="text2"/>
            <w:tcMar>
              <w:top w:w="113" w:type="dxa"/>
              <w:left w:w="113" w:type="dxa"/>
              <w:bottom w:w="113" w:type="dxa"/>
              <w:right w:w="113" w:type="dxa"/>
            </w:tcMar>
            <w:vAlign w:val="bottom"/>
          </w:tcPr>
          <w:p w14:paraId="018DE58C" w14:textId="77777777" w:rsidR="00A8206F" w:rsidRPr="00A8206F" w:rsidRDefault="00A8206F" w:rsidP="00A8206F">
            <w:pPr>
              <w:pStyle w:val="CDIFigure-Table-H1Left"/>
            </w:pPr>
            <w:r w:rsidRPr="00A8206F">
              <w:t>Category</w:t>
            </w:r>
          </w:p>
        </w:tc>
        <w:tc>
          <w:tcPr>
            <w:tcW w:w="5726" w:type="dxa"/>
            <w:shd w:val="clear" w:color="auto" w:fill="033636" w:themeFill="text2"/>
            <w:tcMar>
              <w:top w:w="113" w:type="dxa"/>
              <w:left w:w="113" w:type="dxa"/>
              <w:bottom w:w="113" w:type="dxa"/>
              <w:right w:w="113" w:type="dxa"/>
            </w:tcMar>
            <w:vAlign w:val="bottom"/>
          </w:tcPr>
          <w:p w14:paraId="3BABE21C" w14:textId="77777777" w:rsidR="00A8206F" w:rsidRPr="00A8206F" w:rsidRDefault="00A8206F" w:rsidP="00A8206F">
            <w:pPr>
              <w:pStyle w:val="CDIFigure-Table-H1Left"/>
            </w:pPr>
            <w:r w:rsidRPr="00A8206F">
              <w:t>Type of activities undertaken during infectious period</w:t>
            </w:r>
          </w:p>
        </w:tc>
      </w:tr>
      <w:tr w:rsidR="00A8206F" w:rsidRPr="00A8206F" w14:paraId="65547A2E" w14:textId="77777777" w:rsidTr="00A8206F">
        <w:tblPrEx>
          <w:tblCellMar>
            <w:top w:w="0" w:type="dxa"/>
            <w:left w:w="0" w:type="dxa"/>
            <w:bottom w:w="0" w:type="dxa"/>
            <w:right w:w="0" w:type="dxa"/>
          </w:tblCellMar>
        </w:tblPrEx>
        <w:trPr>
          <w:divId w:val="935526654"/>
          <w:trHeight w:val="20"/>
        </w:trPr>
        <w:tc>
          <w:tcPr>
            <w:tcW w:w="1814" w:type="dxa"/>
            <w:vMerge w:val="restart"/>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300BED1" w14:textId="77777777" w:rsidR="00A8206F" w:rsidRPr="00A8206F" w:rsidRDefault="00A8206F" w:rsidP="00A8206F">
            <w:pPr>
              <w:pStyle w:val="CDIFigure-Table-BodyTextLeft"/>
            </w:pPr>
            <w:r w:rsidRPr="00A8206F">
              <w:t>High risk</w:t>
            </w:r>
          </w:p>
        </w:tc>
        <w:tc>
          <w:tcPr>
            <w:tcW w:w="2098" w:type="dxa"/>
            <w:vMerge w:val="restart"/>
            <w:tcBorders>
              <w:bottom w:val="single" w:sz="4" w:space="0" w:color="033636" w:themeColor="text2"/>
            </w:tcBorders>
            <w:tcMar>
              <w:top w:w="113" w:type="dxa"/>
              <w:left w:w="113" w:type="dxa"/>
              <w:bottom w:w="113" w:type="dxa"/>
              <w:right w:w="113" w:type="dxa"/>
            </w:tcMar>
            <w:vAlign w:val="center"/>
          </w:tcPr>
          <w:p w14:paraId="5EA52BFE" w14:textId="77777777" w:rsidR="00A8206F" w:rsidRPr="00A8206F" w:rsidRDefault="00A8206F" w:rsidP="00A8206F">
            <w:pPr>
              <w:pStyle w:val="CDIFigure-Table-BodyTextLeft"/>
            </w:pPr>
            <w:r w:rsidRPr="00A8206F">
              <w:t>Essential work-related</w:t>
            </w:r>
          </w:p>
        </w:tc>
        <w:tc>
          <w:tcPr>
            <w:tcW w:w="5726" w:type="dxa"/>
            <w:tcMar>
              <w:top w:w="113" w:type="dxa"/>
              <w:left w:w="113" w:type="dxa"/>
              <w:bottom w:w="113" w:type="dxa"/>
              <w:right w:w="113" w:type="dxa"/>
            </w:tcMar>
            <w:vAlign w:val="center"/>
          </w:tcPr>
          <w:p w14:paraId="0195A7D6" w14:textId="77777777" w:rsidR="00A8206F" w:rsidRPr="00A8206F" w:rsidRDefault="00A8206F" w:rsidP="00A8206F">
            <w:pPr>
              <w:pStyle w:val="CDIFigure-Table-BodyTextLeft"/>
            </w:pPr>
            <w:r w:rsidRPr="00A8206F">
              <w:t>essential work in the community interacting with people with or without a mask;</w:t>
            </w:r>
          </w:p>
        </w:tc>
      </w:tr>
      <w:tr w:rsidR="00A8206F" w:rsidRPr="00A8206F" w14:paraId="101281A3" w14:textId="77777777" w:rsidTr="00A8206F">
        <w:tblPrEx>
          <w:tblCellMar>
            <w:top w:w="0" w:type="dxa"/>
            <w:left w:w="0" w:type="dxa"/>
            <w:bottom w:w="0" w:type="dxa"/>
            <w:right w:w="0" w:type="dxa"/>
          </w:tblCellMar>
        </w:tblPrEx>
        <w:trPr>
          <w:divId w:val="935526654"/>
          <w:trHeight w:val="20"/>
        </w:trPr>
        <w:tc>
          <w:tcPr>
            <w:tcW w:w="1814" w:type="dxa"/>
            <w:vMerge/>
            <w:tcBorders>
              <w:bottom w:val="single" w:sz="4" w:space="0" w:color="033636" w:themeColor="text2"/>
            </w:tcBorders>
            <w:shd w:val="clear" w:color="auto" w:fill="C5FFEF" w:themeFill="background2" w:themeFillTint="33"/>
          </w:tcPr>
          <w:p w14:paraId="74E034D0" w14:textId="77777777" w:rsidR="00A8206F" w:rsidRPr="00A8206F" w:rsidRDefault="00A8206F" w:rsidP="00A8206F">
            <w:pPr>
              <w:pStyle w:val="CDIFigure-Table-BodyTextLeft"/>
            </w:pPr>
          </w:p>
        </w:tc>
        <w:tc>
          <w:tcPr>
            <w:tcW w:w="2098" w:type="dxa"/>
            <w:vMerge/>
            <w:tcBorders>
              <w:bottom w:val="single" w:sz="4" w:space="0" w:color="033636" w:themeColor="text2"/>
            </w:tcBorders>
          </w:tcPr>
          <w:p w14:paraId="58570FC3" w14:textId="77777777" w:rsidR="00A8206F" w:rsidRPr="00A8206F" w:rsidRDefault="00A8206F" w:rsidP="00A8206F">
            <w:pPr>
              <w:pStyle w:val="CDIFigure-Table-BodyTextLeft"/>
            </w:pPr>
          </w:p>
        </w:tc>
        <w:tc>
          <w:tcPr>
            <w:tcW w:w="5726" w:type="dxa"/>
            <w:tcMar>
              <w:top w:w="113" w:type="dxa"/>
              <w:left w:w="113" w:type="dxa"/>
              <w:bottom w:w="113" w:type="dxa"/>
              <w:right w:w="113" w:type="dxa"/>
            </w:tcMar>
            <w:vAlign w:val="center"/>
          </w:tcPr>
          <w:p w14:paraId="1F04A3F4" w14:textId="77777777" w:rsidR="00A8206F" w:rsidRPr="00A8206F" w:rsidRDefault="00A8206F" w:rsidP="00A8206F">
            <w:pPr>
              <w:pStyle w:val="CDIFigure-Table-BodyTextLeft"/>
            </w:pPr>
            <w:r w:rsidRPr="00A8206F">
              <w:t>essential school or childcare attendance with or without a mask;</w:t>
            </w:r>
          </w:p>
        </w:tc>
      </w:tr>
      <w:tr w:rsidR="00A8206F" w:rsidRPr="00A8206F" w14:paraId="325D154B" w14:textId="77777777" w:rsidTr="00A8206F">
        <w:tblPrEx>
          <w:tblCellMar>
            <w:top w:w="0" w:type="dxa"/>
            <w:left w:w="0" w:type="dxa"/>
            <w:bottom w:w="0" w:type="dxa"/>
            <w:right w:w="0" w:type="dxa"/>
          </w:tblCellMar>
        </w:tblPrEx>
        <w:trPr>
          <w:divId w:val="935526654"/>
          <w:trHeight w:val="20"/>
        </w:trPr>
        <w:tc>
          <w:tcPr>
            <w:tcW w:w="1814" w:type="dxa"/>
            <w:vMerge/>
            <w:tcBorders>
              <w:bottom w:val="single" w:sz="4" w:space="0" w:color="033636" w:themeColor="text2"/>
            </w:tcBorders>
            <w:shd w:val="clear" w:color="auto" w:fill="C5FFEF" w:themeFill="background2" w:themeFillTint="33"/>
          </w:tcPr>
          <w:p w14:paraId="31041452" w14:textId="77777777" w:rsidR="00A8206F" w:rsidRPr="00A8206F" w:rsidRDefault="00A8206F" w:rsidP="00A8206F">
            <w:pPr>
              <w:pStyle w:val="CDIFigure-Table-BodyTextLeft"/>
            </w:pPr>
          </w:p>
        </w:tc>
        <w:tc>
          <w:tcPr>
            <w:tcW w:w="2098" w:type="dxa"/>
            <w:vMerge/>
            <w:tcBorders>
              <w:bottom w:val="single" w:sz="4" w:space="0" w:color="033636" w:themeColor="text2"/>
            </w:tcBorders>
          </w:tcPr>
          <w:p w14:paraId="048C59EC" w14:textId="77777777" w:rsidR="00A8206F" w:rsidRPr="00A8206F" w:rsidRDefault="00A8206F" w:rsidP="00A8206F">
            <w:pPr>
              <w:pStyle w:val="CDIFigure-Table-BodyTextLeft"/>
            </w:pPr>
          </w:p>
        </w:tc>
        <w:tc>
          <w:tcPr>
            <w:tcW w:w="5726" w:type="dxa"/>
            <w:tcBorders>
              <w:bottom w:val="single" w:sz="4" w:space="0" w:color="033636" w:themeColor="text2"/>
            </w:tcBorders>
            <w:tcMar>
              <w:top w:w="113" w:type="dxa"/>
              <w:left w:w="113" w:type="dxa"/>
              <w:bottom w:w="113" w:type="dxa"/>
              <w:right w:w="113" w:type="dxa"/>
            </w:tcMar>
            <w:vAlign w:val="center"/>
          </w:tcPr>
          <w:p w14:paraId="176254D4" w14:textId="77777777" w:rsidR="00A8206F" w:rsidRPr="00A8206F" w:rsidRDefault="00A8206F" w:rsidP="00A8206F">
            <w:pPr>
              <w:pStyle w:val="CDIFigure-Table-BodyTextLeft"/>
            </w:pPr>
            <w:r w:rsidRPr="00A8206F">
              <w:t>case had a reason for not wearing a mask while in the community (aged &lt; 12 years or otherwise exempt)</w:t>
            </w:r>
          </w:p>
        </w:tc>
      </w:tr>
      <w:tr w:rsidR="00A8206F" w:rsidRPr="00A8206F" w14:paraId="588B9AC7" w14:textId="77777777" w:rsidTr="00A8206F">
        <w:tblPrEx>
          <w:tblCellMar>
            <w:top w:w="0" w:type="dxa"/>
            <w:left w:w="0" w:type="dxa"/>
            <w:bottom w:w="0" w:type="dxa"/>
            <w:right w:w="0" w:type="dxa"/>
          </w:tblCellMar>
        </w:tblPrEx>
        <w:trPr>
          <w:divId w:val="935526654"/>
          <w:trHeight w:val="20"/>
        </w:trPr>
        <w:tc>
          <w:tcPr>
            <w:tcW w:w="1814" w:type="dxa"/>
            <w:vMerge/>
            <w:tcBorders>
              <w:bottom w:val="single" w:sz="4" w:space="0" w:color="033636" w:themeColor="text2"/>
            </w:tcBorders>
            <w:shd w:val="clear" w:color="auto" w:fill="C5FFEF" w:themeFill="background2" w:themeFillTint="33"/>
          </w:tcPr>
          <w:p w14:paraId="3806B4A4" w14:textId="77777777" w:rsidR="00A8206F" w:rsidRPr="00A8206F" w:rsidRDefault="00A8206F" w:rsidP="00A8206F">
            <w:pPr>
              <w:pStyle w:val="CDIFigure-Table-BodyTextLeft"/>
            </w:pPr>
          </w:p>
        </w:tc>
        <w:tc>
          <w:tcPr>
            <w:tcW w:w="2098"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744CBB9C" w14:textId="77777777" w:rsidR="00A8206F" w:rsidRPr="00A8206F" w:rsidRDefault="00A8206F" w:rsidP="00A8206F">
            <w:pPr>
              <w:pStyle w:val="CDIFigure-Table-BodyTextLeft"/>
            </w:pPr>
            <w:r w:rsidRPr="00A8206F">
              <w:t>Other</w:t>
            </w:r>
          </w:p>
        </w:tc>
        <w:tc>
          <w:tcPr>
            <w:tcW w:w="5726" w:type="dxa"/>
            <w:tcBorders>
              <w:top w:val="single" w:sz="4" w:space="0" w:color="033636" w:themeColor="text2"/>
            </w:tcBorders>
            <w:tcMar>
              <w:top w:w="113" w:type="dxa"/>
              <w:left w:w="113" w:type="dxa"/>
              <w:bottom w:w="113" w:type="dxa"/>
              <w:right w:w="113" w:type="dxa"/>
            </w:tcMar>
            <w:vAlign w:val="center"/>
          </w:tcPr>
          <w:p w14:paraId="3EC64D2D" w14:textId="77777777" w:rsidR="00A8206F" w:rsidRPr="00A8206F" w:rsidRDefault="00A8206F" w:rsidP="00A8206F">
            <w:pPr>
              <w:pStyle w:val="CDIFigure-Table-BodyTextLeft"/>
            </w:pPr>
            <w:r w:rsidRPr="00A8206F">
              <w:t>any activities before 13 August 2021 (pre-lockdown);</w:t>
            </w:r>
          </w:p>
        </w:tc>
      </w:tr>
      <w:tr w:rsidR="00A8206F" w:rsidRPr="00A8206F" w14:paraId="201EB5FD" w14:textId="77777777" w:rsidTr="00A8206F">
        <w:tblPrEx>
          <w:tblCellMar>
            <w:top w:w="0" w:type="dxa"/>
            <w:left w:w="0" w:type="dxa"/>
            <w:bottom w:w="0" w:type="dxa"/>
            <w:right w:w="0" w:type="dxa"/>
          </w:tblCellMar>
        </w:tblPrEx>
        <w:trPr>
          <w:divId w:val="935526654"/>
          <w:trHeight w:val="20"/>
        </w:trPr>
        <w:tc>
          <w:tcPr>
            <w:tcW w:w="1814" w:type="dxa"/>
            <w:vMerge/>
            <w:tcBorders>
              <w:bottom w:val="single" w:sz="4" w:space="0" w:color="033636" w:themeColor="text2"/>
            </w:tcBorders>
            <w:shd w:val="clear" w:color="auto" w:fill="C5FFEF" w:themeFill="background2" w:themeFillTint="33"/>
          </w:tcPr>
          <w:p w14:paraId="7EBD9F8D" w14:textId="77777777" w:rsidR="00A8206F" w:rsidRPr="00A8206F" w:rsidRDefault="00A8206F" w:rsidP="00A8206F">
            <w:pPr>
              <w:pStyle w:val="CDIFigure-Table-BodyTextLeft"/>
            </w:pPr>
          </w:p>
        </w:tc>
        <w:tc>
          <w:tcPr>
            <w:tcW w:w="2098" w:type="dxa"/>
            <w:vMerge/>
            <w:tcBorders>
              <w:bottom w:val="single" w:sz="4" w:space="0" w:color="033636" w:themeColor="text2"/>
            </w:tcBorders>
          </w:tcPr>
          <w:p w14:paraId="4B9EED91" w14:textId="77777777" w:rsidR="00A8206F" w:rsidRPr="00A8206F" w:rsidRDefault="00A8206F" w:rsidP="00A8206F">
            <w:pPr>
              <w:pStyle w:val="CDIFigure-Table-BodyTextLeft"/>
            </w:pPr>
          </w:p>
        </w:tc>
        <w:tc>
          <w:tcPr>
            <w:tcW w:w="5726" w:type="dxa"/>
            <w:tcBorders>
              <w:bottom w:val="single" w:sz="4" w:space="0" w:color="033636" w:themeColor="text2"/>
            </w:tcBorders>
            <w:tcMar>
              <w:top w:w="113" w:type="dxa"/>
              <w:left w:w="113" w:type="dxa"/>
              <w:bottom w:w="113" w:type="dxa"/>
              <w:right w:w="113" w:type="dxa"/>
            </w:tcMar>
            <w:vAlign w:val="center"/>
          </w:tcPr>
          <w:p w14:paraId="2B0CAB91" w14:textId="77777777" w:rsidR="00A8206F" w:rsidRPr="00A8206F" w:rsidRDefault="00A8206F" w:rsidP="00A8206F">
            <w:pPr>
              <w:pStyle w:val="CDIFigure-Table-BodyTextLeft"/>
            </w:pPr>
            <w:r w:rsidRPr="00A8206F">
              <w:t>mixing socially with others inside or outside their home for extended periods with a mask, or for short periods without a mask</w:t>
            </w:r>
          </w:p>
        </w:tc>
      </w:tr>
      <w:tr w:rsidR="00A8206F" w:rsidRPr="00A8206F" w14:paraId="20DABCB8" w14:textId="77777777" w:rsidTr="00A8206F">
        <w:tblPrEx>
          <w:tblCellMar>
            <w:top w:w="0" w:type="dxa"/>
            <w:left w:w="0" w:type="dxa"/>
            <w:bottom w:w="0" w:type="dxa"/>
            <w:right w:w="0" w:type="dxa"/>
          </w:tblCellMar>
        </w:tblPrEx>
        <w:trPr>
          <w:divId w:val="935526654"/>
          <w:trHeight w:val="20"/>
        </w:trPr>
        <w:tc>
          <w:tcPr>
            <w:tcW w:w="181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5387C5B" w14:textId="77777777" w:rsidR="00A8206F" w:rsidRPr="00A8206F" w:rsidRDefault="00A8206F" w:rsidP="00A8206F">
            <w:pPr>
              <w:pStyle w:val="CDIFigure-Table-BodyTextLeft"/>
            </w:pPr>
            <w:r w:rsidRPr="00A8206F">
              <w:t>Low risk</w:t>
            </w:r>
          </w:p>
        </w:tc>
        <w:tc>
          <w:tcPr>
            <w:tcW w:w="2098"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730799E7" w14:textId="77777777" w:rsidR="00A8206F" w:rsidRPr="00A8206F" w:rsidRDefault="00A8206F" w:rsidP="00A8206F">
            <w:pPr>
              <w:pStyle w:val="CDIFigure-Table-BodyTextLeft"/>
            </w:pPr>
            <w:r w:rsidRPr="00A8206F">
              <w:t>—</w:t>
            </w:r>
          </w:p>
        </w:tc>
        <w:tc>
          <w:tcPr>
            <w:tcW w:w="5726" w:type="dxa"/>
            <w:tcBorders>
              <w:top w:val="single" w:sz="4" w:space="0" w:color="033636" w:themeColor="text2"/>
            </w:tcBorders>
            <w:tcMar>
              <w:top w:w="113" w:type="dxa"/>
              <w:left w:w="113" w:type="dxa"/>
              <w:bottom w:w="113" w:type="dxa"/>
              <w:right w:w="113" w:type="dxa"/>
            </w:tcMar>
            <w:vAlign w:val="center"/>
          </w:tcPr>
          <w:p w14:paraId="05A833E0" w14:textId="77777777" w:rsidR="00A8206F" w:rsidRPr="00A8206F" w:rsidRDefault="00A8206F" w:rsidP="00A8206F">
            <w:pPr>
              <w:pStyle w:val="CDIFigure-Table-BodyTextLeft"/>
            </w:pPr>
            <w:r w:rsidRPr="00A8206F">
              <w:t>short essential trips out of the home while masked;</w:t>
            </w:r>
          </w:p>
        </w:tc>
      </w:tr>
      <w:tr w:rsidR="00A8206F" w:rsidRPr="00A8206F" w14:paraId="184F9823" w14:textId="77777777" w:rsidTr="00A8206F">
        <w:tblPrEx>
          <w:tblCellMar>
            <w:top w:w="0" w:type="dxa"/>
            <w:left w:w="0" w:type="dxa"/>
            <w:bottom w:w="0" w:type="dxa"/>
            <w:right w:w="0" w:type="dxa"/>
          </w:tblCellMar>
        </w:tblPrEx>
        <w:trPr>
          <w:divId w:val="935526654"/>
          <w:trHeight w:val="20"/>
        </w:trPr>
        <w:tc>
          <w:tcPr>
            <w:tcW w:w="1814" w:type="dxa"/>
            <w:vMerge/>
            <w:tcBorders>
              <w:bottom w:val="single" w:sz="4" w:space="0" w:color="033636" w:themeColor="text2"/>
            </w:tcBorders>
            <w:shd w:val="clear" w:color="auto" w:fill="C5FFEF" w:themeFill="background2" w:themeFillTint="33"/>
          </w:tcPr>
          <w:p w14:paraId="028695FF" w14:textId="77777777" w:rsidR="00A8206F" w:rsidRPr="00A8206F" w:rsidRDefault="00A8206F" w:rsidP="00A8206F">
            <w:pPr>
              <w:pStyle w:val="CDIFigure-Table-BodyTextLeft"/>
            </w:pPr>
          </w:p>
        </w:tc>
        <w:tc>
          <w:tcPr>
            <w:tcW w:w="2098" w:type="dxa"/>
            <w:vMerge/>
            <w:tcBorders>
              <w:bottom w:val="single" w:sz="4" w:space="0" w:color="033636" w:themeColor="text2"/>
            </w:tcBorders>
          </w:tcPr>
          <w:p w14:paraId="0034FF21" w14:textId="77777777" w:rsidR="00A8206F" w:rsidRPr="00A8206F" w:rsidRDefault="00A8206F" w:rsidP="00A8206F">
            <w:pPr>
              <w:pStyle w:val="CDIFigure-Table-BodyTextLeft"/>
            </w:pPr>
          </w:p>
        </w:tc>
        <w:tc>
          <w:tcPr>
            <w:tcW w:w="5726" w:type="dxa"/>
            <w:tcBorders>
              <w:bottom w:val="single" w:sz="4" w:space="0" w:color="033636" w:themeColor="text2"/>
            </w:tcBorders>
            <w:tcMar>
              <w:top w:w="113" w:type="dxa"/>
              <w:left w:w="113" w:type="dxa"/>
              <w:bottom w:w="113" w:type="dxa"/>
              <w:right w:w="113" w:type="dxa"/>
            </w:tcMar>
            <w:vAlign w:val="center"/>
          </w:tcPr>
          <w:p w14:paraId="0C2C3DE8" w14:textId="77777777" w:rsidR="00A8206F" w:rsidRPr="00A8206F" w:rsidRDefault="00A8206F" w:rsidP="00A8206F">
            <w:pPr>
              <w:pStyle w:val="CDIFigure-Table-BodyTextLeft"/>
            </w:pPr>
            <w:r w:rsidRPr="00A8206F">
              <w:t>work out of the home with limited interaction with others while masked</w:t>
            </w:r>
          </w:p>
        </w:tc>
      </w:tr>
      <w:tr w:rsidR="00A8206F" w:rsidRPr="00A8206F" w14:paraId="1055A48F" w14:textId="77777777" w:rsidTr="00A8206F">
        <w:tblPrEx>
          <w:tblCellMar>
            <w:top w:w="0" w:type="dxa"/>
            <w:left w:w="0" w:type="dxa"/>
            <w:bottom w:w="0" w:type="dxa"/>
            <w:right w:w="0" w:type="dxa"/>
          </w:tblCellMar>
        </w:tblPrEx>
        <w:trPr>
          <w:divId w:val="935526654"/>
          <w:trHeight w:val="20"/>
        </w:trPr>
        <w:tc>
          <w:tcPr>
            <w:tcW w:w="1814" w:type="dxa"/>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08C3C68" w14:textId="77777777" w:rsidR="00A8206F" w:rsidRPr="00A8206F" w:rsidRDefault="00A8206F" w:rsidP="00A8206F">
            <w:pPr>
              <w:pStyle w:val="CDIFigure-Table-BodyTextLeft"/>
            </w:pPr>
            <w:r w:rsidRPr="00A8206F">
              <w:t>No risk</w:t>
            </w:r>
          </w:p>
        </w:tc>
        <w:tc>
          <w:tcPr>
            <w:tcW w:w="2098" w:type="dxa"/>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5EF64805" w14:textId="77777777" w:rsidR="00A8206F" w:rsidRPr="00A8206F" w:rsidRDefault="00A8206F" w:rsidP="00A8206F">
            <w:pPr>
              <w:pStyle w:val="CDIFigure-Table-BodyTextLeft"/>
            </w:pPr>
            <w:r w:rsidRPr="00A8206F">
              <w:t>—</w:t>
            </w:r>
          </w:p>
        </w:tc>
        <w:tc>
          <w:tcPr>
            <w:tcW w:w="5726" w:type="dxa"/>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2935CF12" w14:textId="77777777" w:rsidR="00A8206F" w:rsidRPr="00A8206F" w:rsidRDefault="00A8206F" w:rsidP="00A8206F">
            <w:pPr>
              <w:pStyle w:val="CDIFigure-Table-BodyTextLeft"/>
            </w:pPr>
            <w:r w:rsidRPr="00A8206F">
              <w:t>in quarantine/isolation for the entirety of infectious period</w:t>
            </w:r>
          </w:p>
        </w:tc>
      </w:tr>
      <w:tr w:rsidR="00A8206F" w:rsidRPr="00A8206F" w14:paraId="660865F0" w14:textId="77777777" w:rsidTr="00A8206F">
        <w:tblPrEx>
          <w:tblCellMar>
            <w:top w:w="0" w:type="dxa"/>
            <w:left w:w="0" w:type="dxa"/>
            <w:bottom w:w="0" w:type="dxa"/>
            <w:right w:w="0" w:type="dxa"/>
          </w:tblCellMar>
        </w:tblPrEx>
        <w:trPr>
          <w:divId w:val="935526654"/>
          <w:trHeight w:val="20"/>
        </w:trPr>
        <w:tc>
          <w:tcPr>
            <w:tcW w:w="1814" w:type="dxa"/>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096AC36" w14:textId="77777777" w:rsidR="00A8206F" w:rsidRPr="00A8206F" w:rsidRDefault="00A8206F" w:rsidP="00A8206F">
            <w:pPr>
              <w:pStyle w:val="CDIFigure-Table-BodyTextLeft"/>
            </w:pPr>
            <w:r w:rsidRPr="00A8206F">
              <w:t>Undetermined risk</w:t>
            </w:r>
          </w:p>
        </w:tc>
        <w:tc>
          <w:tcPr>
            <w:tcW w:w="2098" w:type="dxa"/>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6F59582D" w14:textId="77777777" w:rsidR="00A8206F" w:rsidRPr="00A8206F" w:rsidRDefault="00A8206F" w:rsidP="00A8206F">
            <w:pPr>
              <w:pStyle w:val="CDIFigure-Table-BodyTextLeft"/>
            </w:pPr>
            <w:r w:rsidRPr="00A8206F">
              <w:t>—</w:t>
            </w:r>
          </w:p>
        </w:tc>
        <w:tc>
          <w:tcPr>
            <w:tcW w:w="5726" w:type="dxa"/>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519897E7" w14:textId="77777777" w:rsidR="00A8206F" w:rsidRPr="00A8206F" w:rsidRDefault="00A8206F" w:rsidP="00A8206F">
            <w:pPr>
              <w:pStyle w:val="CDIFigure-Table-BodyTextLeft"/>
            </w:pPr>
            <w:r w:rsidRPr="00A8206F">
              <w:t>case or guardian not yet interviewed, or could not be interviewed</w:t>
            </w:r>
          </w:p>
        </w:tc>
      </w:tr>
    </w:tbl>
    <w:p w14:paraId="33A105AC" w14:textId="493DD829" w:rsidR="00A8206F" w:rsidRDefault="00A8206F" w:rsidP="00A8206F">
      <w:pPr>
        <w:pStyle w:val="CDIFigure-Table-FirstFootnote"/>
        <w:divId w:val="935526654"/>
      </w:pPr>
      <w:r w:rsidRPr="00A8206F">
        <w:t>a</w:t>
      </w:r>
      <w:r w:rsidRPr="00A8206F">
        <w:tab/>
        <w:t>Both high- and low-risk cases were reported as ‘in the community for part of their infectious period’.</w:t>
      </w:r>
    </w:p>
    <w:p w14:paraId="57E2BBA0" w14:textId="348D45AC" w:rsidR="00A8206F" w:rsidRDefault="00A8206F" w:rsidP="00A8206F">
      <w:pPr>
        <w:pStyle w:val="Heading2"/>
        <w:divId w:val="935526654"/>
        <w:rPr>
          <w:lang w:val="en-GB"/>
        </w:rPr>
      </w:pPr>
      <w:r>
        <w:rPr>
          <w:lang w:val="en-GB"/>
        </w:rPr>
        <w:t>Validation</w:t>
      </w:r>
    </w:p>
    <w:p w14:paraId="3125EEA5" w14:textId="77777777" w:rsidR="00A8206F" w:rsidRPr="00A8206F" w:rsidRDefault="00A8206F" w:rsidP="00A8206F">
      <w:pPr>
        <w:divId w:val="935526654"/>
        <w:rPr>
          <w:lang w:val="en-GB"/>
        </w:rPr>
      </w:pPr>
      <w:r w:rsidRPr="00A8206F">
        <w:rPr>
          <w:lang w:val="en-GB"/>
        </w:rPr>
        <w:t>In late September 2021, while the outbreak was ongoing, we undertook a rapid validation of the risk stratification tool to determine whether the predicted community transmission risk was reflected in the actual transmissions from each case, as detected by our routine surveillance in place at the time. This was achieved by examining records for all SARS-CoV-2 cases notified to the ACT Health Directorate between 12 August and 14 September 2021. An algorithm was developed using the R programming language. The algorithm matched the recipient case data and source case data using the source’s unique record identifier and the likely source case ID variables, and the combined dataset was then used for analysis. Household transmissions (</w:t>
      </w:r>
      <w:proofErr w:type="spellStart"/>
      <w:r w:rsidRPr="00A8206F">
        <w:rPr>
          <w:lang w:val="en-GB"/>
        </w:rPr>
        <w:t>ie</w:t>
      </w:r>
      <w:proofErr w:type="spellEnd"/>
      <w:r w:rsidRPr="00A8206F">
        <w:rPr>
          <w:lang w:val="en-GB"/>
        </w:rPr>
        <w:t xml:space="preserve"> where the likely exposure setting was the recipient’s own household) were then removed to help us to identify the extent to which cases in high- and low-risk categories transmitted the virus to individuals outside of their own homes, as well as the settings and conditions under which transmission occurred. We calculated frequencies of source cases who transmitted in each exposure setting and the number of recipient cases for each source case, by transmission risk stratification, using Excel. </w:t>
      </w:r>
    </w:p>
    <w:p w14:paraId="17410E47" w14:textId="77777777" w:rsidR="00A8206F" w:rsidRPr="00A8206F" w:rsidRDefault="00A8206F" w:rsidP="00A8206F">
      <w:pPr>
        <w:divId w:val="935526654"/>
        <w:rPr>
          <w:lang w:val="en-GB"/>
        </w:rPr>
      </w:pPr>
      <w:r w:rsidRPr="00A8206F">
        <w:rPr>
          <w:lang w:val="en-GB"/>
        </w:rPr>
        <w:t xml:space="preserve">For source cases stratified as no risk, low risk or high risk (essential work-related), we then examined case interview data to characterise the exposure setting and interaction between each source-recipient dyad. </w:t>
      </w:r>
      <w:r w:rsidRPr="00A8206F">
        <w:rPr>
          <w:lang w:val="en-GB"/>
        </w:rPr>
        <w:lastRenderedPageBreak/>
        <w:t>Exposures to source cases who were stratified as high risk because their infectious period began before outbreak restrictions, or because their activities were not associated with essential work (high risk - others), were not included in this part of the validation analysis.</w:t>
      </w:r>
    </w:p>
    <w:p w14:paraId="35CD8792" w14:textId="77777777" w:rsidR="00A8206F" w:rsidRPr="00A8206F" w:rsidRDefault="00A8206F" w:rsidP="00A8206F">
      <w:pPr>
        <w:divId w:val="935526654"/>
        <w:rPr>
          <w:vertAlign w:val="superscript"/>
          <w:lang w:val="en-GB"/>
        </w:rPr>
      </w:pPr>
      <w:r w:rsidRPr="00A8206F">
        <w:rPr>
          <w:lang w:val="en-GB"/>
        </w:rPr>
        <w:t>Ethics approval was not sought for this project as it was conducted under the auspices of public health legislation.</w:t>
      </w:r>
      <w:r w:rsidRPr="00A8206F">
        <w:rPr>
          <w:vertAlign w:val="superscript"/>
          <w:lang w:val="en-GB"/>
        </w:rPr>
        <w:t>7</w:t>
      </w:r>
    </w:p>
    <w:p w14:paraId="622C5EF5" w14:textId="77777777" w:rsidR="00905BC8" w:rsidRDefault="00905BC8" w:rsidP="00905BC8">
      <w:pPr>
        <w:pStyle w:val="Heading1"/>
        <w:divId w:val="935526654"/>
        <w:rPr>
          <w:lang w:val="en-GB"/>
        </w:rPr>
      </w:pPr>
      <w:r>
        <w:rPr>
          <w:lang w:val="en-GB"/>
        </w:rPr>
        <w:t>Results</w:t>
      </w:r>
    </w:p>
    <w:p w14:paraId="36E4B071" w14:textId="77777777" w:rsidR="000D6AF0" w:rsidRDefault="000D6AF0" w:rsidP="000D6AF0">
      <w:pPr>
        <w:divId w:val="935526654"/>
        <w:rPr>
          <w:lang w:val="en-GB"/>
        </w:rPr>
      </w:pPr>
      <w:r w:rsidRPr="000D6AF0">
        <w:rPr>
          <w:lang w:val="en-GB"/>
        </w:rPr>
        <w:t xml:space="preserve">There were 542 cases notified to ACT Health between 12 August and 14 September 2021, of which 530 had been assigned as high, low or no risk using the stratification tool by 15 September. Transmission risk was unable to be determined for 12 cases. Of the notified cases, 159 (29.3%) were source cases who were determined to have transmitted to at least one recipient case, resulting in 431 incidences of transmission (Table 2). The median number of recipient cases for each source case was two (range: 0–15 recipient cases); 15% of cases (n = 84) were responsible for 80% of transmissions (n = 345). There was no transmission detected in health care, residential aged care, or </w:t>
      </w:r>
      <w:proofErr w:type="gramStart"/>
      <w:r w:rsidRPr="000D6AF0">
        <w:rPr>
          <w:lang w:val="en-GB"/>
        </w:rPr>
        <w:t>correctional facilities</w:t>
      </w:r>
      <w:proofErr w:type="gramEnd"/>
      <w:r w:rsidRPr="000D6AF0">
        <w:rPr>
          <w:lang w:val="en-GB"/>
        </w:rPr>
        <w:t xml:space="preserve"> during the study period. In 29% of transmission events (125/431), the source case transmitted to a recipient case who was not a member of the source’s household (community transmission, Table 2). </w:t>
      </w:r>
    </w:p>
    <w:p w14:paraId="75B6371E" w14:textId="4704D0A2" w:rsidR="000D6AF0" w:rsidRPr="000D6AF0" w:rsidRDefault="000D6AF0" w:rsidP="000D6AF0">
      <w:pPr>
        <w:pStyle w:val="CDIFigure-Table-Title"/>
        <w:divId w:val="935526654"/>
      </w:pPr>
      <w:r w:rsidRPr="000D6AF0">
        <w:t>Table 2: Incidences of transmission where a source case could be identified, by risk of community transmission of the source case and setting of onward transmission, ACT SARS-CoV-2 Delta outbreak, 12</w:t>
      </w:r>
      <w:r>
        <w:t> </w:t>
      </w:r>
      <w:r w:rsidRPr="000D6AF0">
        <w:t>August – 14 September 2021</w:t>
      </w:r>
    </w:p>
    <w:tbl>
      <w:tblPr>
        <w:tblW w:w="0" w:type="auto"/>
        <w:tblLayout w:type="fixed"/>
        <w:tblCellMar>
          <w:left w:w="0" w:type="dxa"/>
          <w:right w:w="0" w:type="dxa"/>
        </w:tblCellMar>
        <w:tblLook w:val="0000" w:firstRow="0" w:lastRow="0" w:firstColumn="0" w:lastColumn="0" w:noHBand="0" w:noVBand="0"/>
        <w:tblCaption w:val="Table 2: Incidences of transmission where a source case could be identified, by risk of community transmission of the source case and setting of onward transmission, ACT SARS-CoV-2 Delta outbreak, 12 August – 14 September 2021"/>
        <w:tblDescription w:val="Table 2 shows the number of transmission events by risk of transmission of the source case, and the exposure setting of the recipient case (eg own household, educational facility)."/>
      </w:tblPr>
      <w:tblGrid>
        <w:gridCol w:w="2948"/>
        <w:gridCol w:w="1304"/>
        <w:gridCol w:w="1134"/>
        <w:gridCol w:w="964"/>
        <w:gridCol w:w="907"/>
        <w:gridCol w:w="1474"/>
        <w:gridCol w:w="907"/>
      </w:tblGrid>
      <w:tr w:rsidR="000D6AF0" w:rsidRPr="000D6AF0" w14:paraId="42976D73" w14:textId="77777777" w:rsidTr="000765A6">
        <w:tblPrEx>
          <w:tblCellMar>
            <w:top w:w="0" w:type="dxa"/>
            <w:left w:w="0" w:type="dxa"/>
            <w:bottom w:w="0" w:type="dxa"/>
            <w:right w:w="0" w:type="dxa"/>
          </w:tblCellMar>
        </w:tblPrEx>
        <w:trPr>
          <w:divId w:val="935526654"/>
          <w:trHeight w:val="20"/>
          <w:tblHeader/>
        </w:trPr>
        <w:tc>
          <w:tcPr>
            <w:tcW w:w="2948" w:type="dxa"/>
            <w:vMerge w:val="restart"/>
            <w:shd w:val="clear" w:color="auto" w:fill="033636" w:themeFill="text2"/>
            <w:tcMar>
              <w:top w:w="113" w:type="dxa"/>
              <w:left w:w="113" w:type="dxa"/>
              <w:bottom w:w="113" w:type="dxa"/>
              <w:right w:w="113" w:type="dxa"/>
            </w:tcMar>
            <w:vAlign w:val="bottom"/>
          </w:tcPr>
          <w:p w14:paraId="28CAB0C6" w14:textId="77777777" w:rsidR="000D6AF0" w:rsidRPr="000D6AF0" w:rsidRDefault="000D6AF0" w:rsidP="000D6AF0">
            <w:pPr>
              <w:pStyle w:val="CDIFigure-Table-H1Left"/>
            </w:pPr>
            <w:r w:rsidRPr="000D6AF0">
              <w:t>Likely exposure setting</w:t>
            </w:r>
            <w:r w:rsidRPr="000D6AF0">
              <w:br/>
              <w:t>of recipient case</w:t>
            </w:r>
          </w:p>
        </w:tc>
        <w:tc>
          <w:tcPr>
            <w:tcW w:w="6690" w:type="dxa"/>
            <w:gridSpan w:val="6"/>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02EC697C" w14:textId="77777777" w:rsidR="000D6AF0" w:rsidRPr="000D6AF0" w:rsidRDefault="000D6AF0" w:rsidP="000D6AF0">
            <w:pPr>
              <w:pStyle w:val="CDIFigure-Table-H1"/>
            </w:pPr>
            <w:r w:rsidRPr="000D6AF0">
              <w:t>Transmission risk of source case</w:t>
            </w:r>
          </w:p>
        </w:tc>
      </w:tr>
      <w:tr w:rsidR="000D6AF0" w:rsidRPr="000D6AF0" w14:paraId="66178F85" w14:textId="77777777" w:rsidTr="000765A6">
        <w:tblPrEx>
          <w:tblCellMar>
            <w:top w:w="0" w:type="dxa"/>
            <w:left w:w="0" w:type="dxa"/>
            <w:bottom w:w="0" w:type="dxa"/>
            <w:right w:w="0" w:type="dxa"/>
          </w:tblCellMar>
        </w:tblPrEx>
        <w:trPr>
          <w:divId w:val="935526654"/>
          <w:trHeight w:val="20"/>
          <w:tblHeader/>
        </w:trPr>
        <w:tc>
          <w:tcPr>
            <w:tcW w:w="2948" w:type="dxa"/>
            <w:vMerge/>
            <w:shd w:val="clear" w:color="auto" w:fill="033636" w:themeFill="text2"/>
          </w:tcPr>
          <w:p w14:paraId="464E9F7C" w14:textId="77777777" w:rsidR="000D6AF0" w:rsidRPr="000D6AF0" w:rsidRDefault="000D6AF0" w:rsidP="000D6AF0"/>
        </w:tc>
        <w:tc>
          <w:tcPr>
            <w:tcW w:w="130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1492632" w14:textId="77777777" w:rsidR="000D6AF0" w:rsidRPr="000D6AF0" w:rsidRDefault="000D6AF0" w:rsidP="000D6AF0">
            <w:pPr>
              <w:pStyle w:val="CDIFigure-Table-H1"/>
            </w:pPr>
            <w:r w:rsidRPr="000D6AF0">
              <w:t>High risk Essential work-related</w:t>
            </w:r>
            <w:r w:rsidRPr="000D6AF0">
              <w:br/>
              <w:t>n</w:t>
            </w:r>
          </w:p>
        </w:tc>
        <w:tc>
          <w:tcPr>
            <w:tcW w:w="113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E4B374F" w14:textId="77777777" w:rsidR="000D6AF0" w:rsidRPr="000D6AF0" w:rsidRDefault="000D6AF0" w:rsidP="000D6AF0">
            <w:pPr>
              <w:pStyle w:val="CDIFigure-Table-H1"/>
            </w:pPr>
            <w:r w:rsidRPr="000D6AF0">
              <w:t>High risk</w:t>
            </w:r>
            <w:r w:rsidRPr="000D6AF0">
              <w:br/>
              <w:t>Others</w:t>
            </w:r>
            <w:r w:rsidRPr="000D6AF0">
              <w:br/>
              <w:t>n</w:t>
            </w:r>
          </w:p>
        </w:tc>
        <w:tc>
          <w:tcPr>
            <w:tcW w:w="96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695C82A" w14:textId="77777777" w:rsidR="000D6AF0" w:rsidRPr="000D6AF0" w:rsidRDefault="000D6AF0" w:rsidP="000D6AF0">
            <w:pPr>
              <w:pStyle w:val="CDIFigure-Table-H1"/>
            </w:pPr>
            <w:r w:rsidRPr="000D6AF0">
              <w:t>Low risk</w:t>
            </w:r>
            <w:r w:rsidRPr="000D6AF0">
              <w:br/>
              <w:t>n</w:t>
            </w:r>
          </w:p>
        </w:tc>
        <w:tc>
          <w:tcPr>
            <w:tcW w:w="907"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B2CAD7A" w14:textId="77777777" w:rsidR="000D6AF0" w:rsidRPr="000D6AF0" w:rsidRDefault="000D6AF0" w:rsidP="000D6AF0">
            <w:pPr>
              <w:pStyle w:val="CDIFigure-Table-H1"/>
            </w:pPr>
            <w:r w:rsidRPr="000D6AF0">
              <w:t>No risk</w:t>
            </w:r>
            <w:r w:rsidRPr="000D6AF0">
              <w:br/>
              <w:t>n</w:t>
            </w:r>
          </w:p>
        </w:tc>
        <w:tc>
          <w:tcPr>
            <w:tcW w:w="147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C080054" w14:textId="77777777" w:rsidR="000D6AF0" w:rsidRPr="000D6AF0" w:rsidRDefault="000D6AF0" w:rsidP="000D6AF0">
            <w:pPr>
              <w:pStyle w:val="CDIFigure-Table-H1"/>
            </w:pPr>
            <w:r w:rsidRPr="000D6AF0">
              <w:t>Undetermined risk</w:t>
            </w:r>
            <w:r w:rsidRPr="000D6AF0">
              <w:br/>
              <w:t>n</w:t>
            </w:r>
          </w:p>
        </w:tc>
        <w:tc>
          <w:tcPr>
            <w:tcW w:w="907"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A017CA5" w14:textId="77777777" w:rsidR="000D6AF0" w:rsidRPr="000D6AF0" w:rsidRDefault="000D6AF0" w:rsidP="000D6AF0">
            <w:pPr>
              <w:pStyle w:val="CDIFigure-Table-H1"/>
            </w:pPr>
            <w:r w:rsidRPr="000D6AF0">
              <w:t>Total</w:t>
            </w:r>
            <w:r w:rsidRPr="000D6AF0">
              <w:br/>
              <w:t>n</w:t>
            </w:r>
          </w:p>
        </w:tc>
      </w:tr>
      <w:tr w:rsidR="000D6AF0" w:rsidRPr="000D6AF0" w14:paraId="1DC6A0F8" w14:textId="77777777" w:rsidTr="000D6AF0">
        <w:tblPrEx>
          <w:tblCellMar>
            <w:top w:w="0" w:type="dxa"/>
            <w:left w:w="0" w:type="dxa"/>
            <w:bottom w:w="0" w:type="dxa"/>
            <w:right w:w="0" w:type="dxa"/>
          </w:tblCellMar>
        </w:tblPrEx>
        <w:trPr>
          <w:divId w:val="935526654"/>
          <w:trHeight w:val="20"/>
        </w:trPr>
        <w:tc>
          <w:tcPr>
            <w:tcW w:w="2948" w:type="dxa"/>
            <w:shd w:val="clear" w:color="auto" w:fill="F2F2F2" w:themeFill="background1" w:themeFillShade="F2"/>
            <w:tcMar>
              <w:top w:w="113" w:type="dxa"/>
              <w:left w:w="113" w:type="dxa"/>
              <w:bottom w:w="113" w:type="dxa"/>
              <w:right w:w="113" w:type="dxa"/>
            </w:tcMar>
          </w:tcPr>
          <w:p w14:paraId="30E9C965" w14:textId="77777777" w:rsidR="000D6AF0" w:rsidRPr="000D6AF0" w:rsidRDefault="000D6AF0" w:rsidP="000D6AF0">
            <w:pPr>
              <w:pStyle w:val="CDIFigure-Table-BodyTextLeft"/>
            </w:pPr>
            <w:r w:rsidRPr="000D6AF0">
              <w:t xml:space="preserve">Own household </w:t>
            </w:r>
          </w:p>
        </w:tc>
        <w:tc>
          <w:tcPr>
            <w:tcW w:w="1304" w:type="dxa"/>
            <w:shd w:val="clear" w:color="auto" w:fill="F2F2F2" w:themeFill="background1" w:themeFillShade="F2"/>
            <w:tcMar>
              <w:top w:w="113" w:type="dxa"/>
              <w:left w:w="113" w:type="dxa"/>
              <w:bottom w:w="113" w:type="dxa"/>
              <w:right w:w="113" w:type="dxa"/>
            </w:tcMar>
          </w:tcPr>
          <w:p w14:paraId="13DFE6A2" w14:textId="77777777" w:rsidR="000D6AF0" w:rsidRPr="000D6AF0" w:rsidRDefault="000D6AF0" w:rsidP="000D6AF0">
            <w:pPr>
              <w:pStyle w:val="CDIFigure-Table-BodyTextCentre"/>
            </w:pPr>
            <w:r w:rsidRPr="000D6AF0">
              <w:t>70</w:t>
            </w:r>
          </w:p>
        </w:tc>
        <w:tc>
          <w:tcPr>
            <w:tcW w:w="1134" w:type="dxa"/>
            <w:shd w:val="clear" w:color="auto" w:fill="F2F2F2" w:themeFill="background1" w:themeFillShade="F2"/>
            <w:tcMar>
              <w:top w:w="113" w:type="dxa"/>
              <w:left w:w="113" w:type="dxa"/>
              <w:bottom w:w="113" w:type="dxa"/>
              <w:right w:w="113" w:type="dxa"/>
            </w:tcMar>
          </w:tcPr>
          <w:p w14:paraId="0F9F9E82" w14:textId="77777777" w:rsidR="000D6AF0" w:rsidRPr="000D6AF0" w:rsidRDefault="000D6AF0" w:rsidP="000D6AF0">
            <w:pPr>
              <w:pStyle w:val="CDIFigure-Table-BodyTextCentre"/>
            </w:pPr>
            <w:r w:rsidRPr="000D6AF0">
              <w:t>135</w:t>
            </w:r>
          </w:p>
        </w:tc>
        <w:tc>
          <w:tcPr>
            <w:tcW w:w="964" w:type="dxa"/>
            <w:shd w:val="clear" w:color="auto" w:fill="F2F2F2" w:themeFill="background1" w:themeFillShade="F2"/>
            <w:tcMar>
              <w:top w:w="113" w:type="dxa"/>
              <w:left w:w="113" w:type="dxa"/>
              <w:bottom w:w="113" w:type="dxa"/>
              <w:right w:w="113" w:type="dxa"/>
            </w:tcMar>
          </w:tcPr>
          <w:p w14:paraId="7990A9E7" w14:textId="77777777" w:rsidR="000D6AF0" w:rsidRPr="000D6AF0" w:rsidRDefault="000D6AF0" w:rsidP="000D6AF0">
            <w:pPr>
              <w:pStyle w:val="CDIFigure-Table-BodyTextCentre"/>
            </w:pPr>
            <w:r w:rsidRPr="000D6AF0">
              <w:t>50</w:t>
            </w:r>
          </w:p>
        </w:tc>
        <w:tc>
          <w:tcPr>
            <w:tcW w:w="907" w:type="dxa"/>
            <w:shd w:val="clear" w:color="auto" w:fill="F2F2F2" w:themeFill="background1" w:themeFillShade="F2"/>
            <w:tcMar>
              <w:top w:w="113" w:type="dxa"/>
              <w:left w:w="113" w:type="dxa"/>
              <w:bottom w:w="113" w:type="dxa"/>
              <w:right w:w="113" w:type="dxa"/>
            </w:tcMar>
          </w:tcPr>
          <w:p w14:paraId="3DD30A77" w14:textId="77777777" w:rsidR="000D6AF0" w:rsidRPr="000D6AF0" w:rsidRDefault="000D6AF0" w:rsidP="000D6AF0">
            <w:pPr>
              <w:pStyle w:val="CDIFigure-Table-BodyTextCentre"/>
            </w:pPr>
            <w:r w:rsidRPr="000D6AF0">
              <w:t>47</w:t>
            </w:r>
          </w:p>
        </w:tc>
        <w:tc>
          <w:tcPr>
            <w:tcW w:w="1474" w:type="dxa"/>
            <w:shd w:val="clear" w:color="auto" w:fill="F2F2F2" w:themeFill="background1" w:themeFillShade="F2"/>
            <w:tcMar>
              <w:top w:w="113" w:type="dxa"/>
              <w:left w:w="113" w:type="dxa"/>
              <w:bottom w:w="113" w:type="dxa"/>
              <w:right w:w="113" w:type="dxa"/>
            </w:tcMar>
          </w:tcPr>
          <w:p w14:paraId="64454155" w14:textId="77777777" w:rsidR="000D6AF0" w:rsidRPr="000D6AF0" w:rsidRDefault="000D6AF0" w:rsidP="000D6AF0">
            <w:pPr>
              <w:pStyle w:val="CDIFigure-Table-BodyTextCentre"/>
            </w:pPr>
            <w:r w:rsidRPr="000D6AF0">
              <w:t>4</w:t>
            </w:r>
          </w:p>
        </w:tc>
        <w:tc>
          <w:tcPr>
            <w:tcW w:w="907" w:type="dxa"/>
            <w:shd w:val="clear" w:color="auto" w:fill="F2F2F2" w:themeFill="background1" w:themeFillShade="F2"/>
            <w:tcMar>
              <w:top w:w="113" w:type="dxa"/>
              <w:left w:w="113" w:type="dxa"/>
              <w:bottom w:w="113" w:type="dxa"/>
              <w:right w:w="113" w:type="dxa"/>
            </w:tcMar>
          </w:tcPr>
          <w:p w14:paraId="4FE84C5E" w14:textId="77777777" w:rsidR="000D6AF0" w:rsidRPr="000D6AF0" w:rsidRDefault="000D6AF0" w:rsidP="000D6AF0">
            <w:pPr>
              <w:pStyle w:val="CDIFigure-Table-BodyTextCentre"/>
            </w:pPr>
            <w:r w:rsidRPr="000D6AF0">
              <w:t>306</w:t>
            </w:r>
          </w:p>
        </w:tc>
      </w:tr>
      <w:tr w:rsidR="000D6AF0" w:rsidRPr="000D6AF0" w14:paraId="21969DEF" w14:textId="77777777" w:rsidTr="000D6AF0">
        <w:tblPrEx>
          <w:tblCellMar>
            <w:top w:w="0" w:type="dxa"/>
            <w:left w:w="0" w:type="dxa"/>
            <w:bottom w:w="0" w:type="dxa"/>
            <w:right w:w="0" w:type="dxa"/>
          </w:tblCellMar>
        </w:tblPrEx>
        <w:trPr>
          <w:divId w:val="935526654"/>
          <w:trHeight w:val="20"/>
        </w:trPr>
        <w:tc>
          <w:tcPr>
            <w:tcW w:w="2948" w:type="dxa"/>
            <w:tcMar>
              <w:top w:w="113" w:type="dxa"/>
              <w:left w:w="113" w:type="dxa"/>
              <w:bottom w:w="113" w:type="dxa"/>
              <w:right w:w="113" w:type="dxa"/>
            </w:tcMar>
          </w:tcPr>
          <w:p w14:paraId="681A165E" w14:textId="77777777" w:rsidR="000D6AF0" w:rsidRPr="000D6AF0" w:rsidRDefault="000D6AF0" w:rsidP="000D6AF0">
            <w:pPr>
              <w:pStyle w:val="CDIFigure-Table-BodyTextLeft"/>
            </w:pPr>
            <w:r w:rsidRPr="000D6AF0">
              <w:t xml:space="preserve">Educational facility </w:t>
            </w:r>
          </w:p>
        </w:tc>
        <w:tc>
          <w:tcPr>
            <w:tcW w:w="1304" w:type="dxa"/>
            <w:tcMar>
              <w:top w:w="113" w:type="dxa"/>
              <w:left w:w="113" w:type="dxa"/>
              <w:bottom w:w="113" w:type="dxa"/>
              <w:right w:w="113" w:type="dxa"/>
            </w:tcMar>
          </w:tcPr>
          <w:p w14:paraId="4BD910E7" w14:textId="77777777" w:rsidR="000D6AF0" w:rsidRPr="000D6AF0" w:rsidRDefault="000D6AF0" w:rsidP="000D6AF0">
            <w:pPr>
              <w:pStyle w:val="CDIFigure-Table-BodyTextCentre"/>
            </w:pPr>
            <w:r w:rsidRPr="000D6AF0">
              <w:t>7</w:t>
            </w:r>
          </w:p>
        </w:tc>
        <w:tc>
          <w:tcPr>
            <w:tcW w:w="1134" w:type="dxa"/>
            <w:tcMar>
              <w:top w:w="113" w:type="dxa"/>
              <w:left w:w="113" w:type="dxa"/>
              <w:bottom w:w="113" w:type="dxa"/>
              <w:right w:w="113" w:type="dxa"/>
            </w:tcMar>
          </w:tcPr>
          <w:p w14:paraId="616A5850" w14:textId="77777777" w:rsidR="000D6AF0" w:rsidRPr="000D6AF0" w:rsidRDefault="000D6AF0" w:rsidP="000D6AF0">
            <w:pPr>
              <w:pStyle w:val="CDIFigure-Table-BodyTextCentre"/>
            </w:pPr>
            <w:r w:rsidRPr="000D6AF0">
              <w:t>15</w:t>
            </w:r>
          </w:p>
        </w:tc>
        <w:tc>
          <w:tcPr>
            <w:tcW w:w="964" w:type="dxa"/>
            <w:tcMar>
              <w:top w:w="113" w:type="dxa"/>
              <w:left w:w="113" w:type="dxa"/>
              <w:bottom w:w="113" w:type="dxa"/>
              <w:right w:w="113" w:type="dxa"/>
            </w:tcMar>
          </w:tcPr>
          <w:p w14:paraId="47CAF291" w14:textId="77777777" w:rsidR="000D6AF0" w:rsidRPr="000D6AF0" w:rsidRDefault="000D6AF0" w:rsidP="000D6AF0">
            <w:pPr>
              <w:pStyle w:val="CDIFigure-Table-BodyTextCentre"/>
            </w:pPr>
            <w:r w:rsidRPr="000D6AF0">
              <w:t>0</w:t>
            </w:r>
          </w:p>
        </w:tc>
        <w:tc>
          <w:tcPr>
            <w:tcW w:w="907" w:type="dxa"/>
            <w:tcMar>
              <w:top w:w="113" w:type="dxa"/>
              <w:left w:w="113" w:type="dxa"/>
              <w:bottom w:w="113" w:type="dxa"/>
              <w:right w:w="113" w:type="dxa"/>
            </w:tcMar>
          </w:tcPr>
          <w:p w14:paraId="4FC88808" w14:textId="77777777" w:rsidR="000D6AF0" w:rsidRPr="000D6AF0" w:rsidRDefault="000D6AF0" w:rsidP="000D6AF0">
            <w:pPr>
              <w:pStyle w:val="CDIFigure-Table-BodyTextCentre"/>
            </w:pPr>
            <w:r w:rsidRPr="000D6AF0">
              <w:t>0</w:t>
            </w:r>
          </w:p>
        </w:tc>
        <w:tc>
          <w:tcPr>
            <w:tcW w:w="1474" w:type="dxa"/>
            <w:tcMar>
              <w:top w:w="113" w:type="dxa"/>
              <w:left w:w="113" w:type="dxa"/>
              <w:bottom w:w="113" w:type="dxa"/>
              <w:right w:w="113" w:type="dxa"/>
            </w:tcMar>
          </w:tcPr>
          <w:p w14:paraId="5B176F33" w14:textId="77777777" w:rsidR="000D6AF0" w:rsidRPr="000D6AF0" w:rsidRDefault="000D6AF0" w:rsidP="000D6AF0">
            <w:pPr>
              <w:pStyle w:val="CDIFigure-Table-BodyTextCentre"/>
            </w:pPr>
            <w:r w:rsidRPr="000D6AF0">
              <w:t>0</w:t>
            </w:r>
          </w:p>
        </w:tc>
        <w:tc>
          <w:tcPr>
            <w:tcW w:w="907" w:type="dxa"/>
            <w:tcMar>
              <w:top w:w="113" w:type="dxa"/>
              <w:left w:w="113" w:type="dxa"/>
              <w:bottom w:w="113" w:type="dxa"/>
              <w:right w:w="113" w:type="dxa"/>
            </w:tcMar>
          </w:tcPr>
          <w:p w14:paraId="2D11DEA1" w14:textId="77777777" w:rsidR="000D6AF0" w:rsidRPr="000D6AF0" w:rsidRDefault="000D6AF0" w:rsidP="000D6AF0">
            <w:pPr>
              <w:pStyle w:val="CDIFigure-Table-BodyTextCentre"/>
            </w:pPr>
            <w:r w:rsidRPr="000D6AF0">
              <w:t>22</w:t>
            </w:r>
          </w:p>
        </w:tc>
      </w:tr>
      <w:tr w:rsidR="000D6AF0" w:rsidRPr="000D6AF0" w14:paraId="02A3BFBA" w14:textId="77777777" w:rsidTr="000D6AF0">
        <w:tblPrEx>
          <w:tblCellMar>
            <w:top w:w="0" w:type="dxa"/>
            <w:left w:w="0" w:type="dxa"/>
            <w:bottom w:w="0" w:type="dxa"/>
            <w:right w:w="0" w:type="dxa"/>
          </w:tblCellMar>
        </w:tblPrEx>
        <w:trPr>
          <w:divId w:val="935526654"/>
          <w:trHeight w:val="20"/>
        </w:trPr>
        <w:tc>
          <w:tcPr>
            <w:tcW w:w="2948" w:type="dxa"/>
            <w:shd w:val="clear" w:color="auto" w:fill="F2F2F2" w:themeFill="background1" w:themeFillShade="F2"/>
            <w:tcMar>
              <w:top w:w="113" w:type="dxa"/>
              <w:left w:w="113" w:type="dxa"/>
              <w:bottom w:w="113" w:type="dxa"/>
              <w:right w:w="113" w:type="dxa"/>
            </w:tcMar>
          </w:tcPr>
          <w:p w14:paraId="2A358C54" w14:textId="77777777" w:rsidR="000D6AF0" w:rsidRPr="000D6AF0" w:rsidRDefault="000D6AF0" w:rsidP="000D6AF0">
            <w:pPr>
              <w:pStyle w:val="CDIFigure-Table-BodyTextLeft"/>
            </w:pPr>
            <w:proofErr w:type="gramStart"/>
            <w:r w:rsidRPr="000D6AF0">
              <w:t>Other</w:t>
            </w:r>
            <w:proofErr w:type="gramEnd"/>
            <w:r w:rsidRPr="000D6AF0">
              <w:t xml:space="preserve"> workplace </w:t>
            </w:r>
          </w:p>
        </w:tc>
        <w:tc>
          <w:tcPr>
            <w:tcW w:w="1304" w:type="dxa"/>
            <w:shd w:val="clear" w:color="auto" w:fill="F2F2F2" w:themeFill="background1" w:themeFillShade="F2"/>
            <w:tcMar>
              <w:top w:w="113" w:type="dxa"/>
              <w:left w:w="113" w:type="dxa"/>
              <w:bottom w:w="113" w:type="dxa"/>
              <w:right w:w="113" w:type="dxa"/>
            </w:tcMar>
          </w:tcPr>
          <w:p w14:paraId="63553653" w14:textId="77777777" w:rsidR="000D6AF0" w:rsidRPr="000D6AF0" w:rsidRDefault="000D6AF0" w:rsidP="000D6AF0">
            <w:pPr>
              <w:pStyle w:val="CDIFigure-Table-BodyTextCentre"/>
            </w:pPr>
            <w:r w:rsidRPr="000D6AF0">
              <w:t>7</w:t>
            </w:r>
          </w:p>
        </w:tc>
        <w:tc>
          <w:tcPr>
            <w:tcW w:w="1134" w:type="dxa"/>
            <w:shd w:val="clear" w:color="auto" w:fill="F2F2F2" w:themeFill="background1" w:themeFillShade="F2"/>
            <w:tcMar>
              <w:top w:w="113" w:type="dxa"/>
              <w:left w:w="113" w:type="dxa"/>
              <w:bottom w:w="113" w:type="dxa"/>
              <w:right w:w="113" w:type="dxa"/>
            </w:tcMar>
          </w:tcPr>
          <w:p w14:paraId="5711F6C0" w14:textId="77777777" w:rsidR="000D6AF0" w:rsidRPr="000D6AF0" w:rsidRDefault="000D6AF0" w:rsidP="000D6AF0">
            <w:pPr>
              <w:pStyle w:val="CDIFigure-Table-BodyTextCentre"/>
            </w:pPr>
            <w:r w:rsidRPr="000D6AF0">
              <w:t>13</w:t>
            </w:r>
          </w:p>
        </w:tc>
        <w:tc>
          <w:tcPr>
            <w:tcW w:w="964" w:type="dxa"/>
            <w:shd w:val="clear" w:color="auto" w:fill="F2F2F2" w:themeFill="background1" w:themeFillShade="F2"/>
            <w:tcMar>
              <w:top w:w="113" w:type="dxa"/>
              <w:left w:w="113" w:type="dxa"/>
              <w:bottom w:w="113" w:type="dxa"/>
              <w:right w:w="113" w:type="dxa"/>
            </w:tcMar>
          </w:tcPr>
          <w:p w14:paraId="67341377" w14:textId="77777777" w:rsidR="000D6AF0" w:rsidRPr="000D6AF0" w:rsidRDefault="000D6AF0" w:rsidP="000D6AF0">
            <w:pPr>
              <w:pStyle w:val="CDIFigure-Table-BodyTextCentre"/>
            </w:pPr>
            <w:r w:rsidRPr="000D6AF0">
              <w:t>1</w:t>
            </w:r>
          </w:p>
        </w:tc>
        <w:tc>
          <w:tcPr>
            <w:tcW w:w="907" w:type="dxa"/>
            <w:shd w:val="clear" w:color="auto" w:fill="F2F2F2" w:themeFill="background1" w:themeFillShade="F2"/>
            <w:tcMar>
              <w:top w:w="113" w:type="dxa"/>
              <w:left w:w="113" w:type="dxa"/>
              <w:bottom w:w="113" w:type="dxa"/>
              <w:right w:w="113" w:type="dxa"/>
            </w:tcMar>
          </w:tcPr>
          <w:p w14:paraId="53DBB5C3" w14:textId="77777777" w:rsidR="000D6AF0" w:rsidRPr="000D6AF0" w:rsidRDefault="000D6AF0" w:rsidP="000D6AF0">
            <w:pPr>
              <w:pStyle w:val="CDIFigure-Table-BodyTextCentre"/>
            </w:pPr>
            <w:r w:rsidRPr="000D6AF0">
              <w:t>0</w:t>
            </w:r>
          </w:p>
        </w:tc>
        <w:tc>
          <w:tcPr>
            <w:tcW w:w="1474" w:type="dxa"/>
            <w:shd w:val="clear" w:color="auto" w:fill="F2F2F2" w:themeFill="background1" w:themeFillShade="F2"/>
            <w:tcMar>
              <w:top w:w="113" w:type="dxa"/>
              <w:left w:w="113" w:type="dxa"/>
              <w:bottom w:w="113" w:type="dxa"/>
              <w:right w:w="113" w:type="dxa"/>
            </w:tcMar>
          </w:tcPr>
          <w:p w14:paraId="2ED8EB82" w14:textId="77777777" w:rsidR="000D6AF0" w:rsidRPr="000D6AF0" w:rsidRDefault="000D6AF0" w:rsidP="000D6AF0">
            <w:pPr>
              <w:pStyle w:val="CDIFigure-Table-BodyTextCentre"/>
            </w:pPr>
            <w:r w:rsidRPr="000D6AF0">
              <w:t>0</w:t>
            </w:r>
          </w:p>
        </w:tc>
        <w:tc>
          <w:tcPr>
            <w:tcW w:w="907" w:type="dxa"/>
            <w:shd w:val="clear" w:color="auto" w:fill="F2F2F2" w:themeFill="background1" w:themeFillShade="F2"/>
            <w:tcMar>
              <w:top w:w="113" w:type="dxa"/>
              <w:left w:w="113" w:type="dxa"/>
              <w:bottom w:w="113" w:type="dxa"/>
              <w:right w:w="113" w:type="dxa"/>
            </w:tcMar>
          </w:tcPr>
          <w:p w14:paraId="52CFA2C2" w14:textId="77777777" w:rsidR="000D6AF0" w:rsidRPr="000D6AF0" w:rsidRDefault="000D6AF0" w:rsidP="000D6AF0">
            <w:pPr>
              <w:pStyle w:val="CDIFigure-Table-BodyTextCentre"/>
            </w:pPr>
            <w:r w:rsidRPr="000D6AF0">
              <w:t>21</w:t>
            </w:r>
          </w:p>
        </w:tc>
      </w:tr>
      <w:tr w:rsidR="000D6AF0" w:rsidRPr="000D6AF0" w14:paraId="726EA4E5" w14:textId="77777777" w:rsidTr="000D6AF0">
        <w:tblPrEx>
          <w:tblCellMar>
            <w:top w:w="0" w:type="dxa"/>
            <w:left w:w="0" w:type="dxa"/>
            <w:bottom w:w="0" w:type="dxa"/>
            <w:right w:w="0" w:type="dxa"/>
          </w:tblCellMar>
        </w:tblPrEx>
        <w:trPr>
          <w:divId w:val="935526654"/>
          <w:trHeight w:val="20"/>
        </w:trPr>
        <w:tc>
          <w:tcPr>
            <w:tcW w:w="2948" w:type="dxa"/>
            <w:tcMar>
              <w:top w:w="113" w:type="dxa"/>
              <w:left w:w="113" w:type="dxa"/>
              <w:bottom w:w="113" w:type="dxa"/>
              <w:right w:w="113" w:type="dxa"/>
            </w:tcMar>
          </w:tcPr>
          <w:p w14:paraId="5EFEEE7A" w14:textId="77777777" w:rsidR="000D6AF0" w:rsidRPr="000D6AF0" w:rsidRDefault="000D6AF0" w:rsidP="000D6AF0">
            <w:pPr>
              <w:pStyle w:val="CDIFigure-Table-BodyTextLeft"/>
            </w:pPr>
            <w:r w:rsidRPr="000D6AF0">
              <w:t xml:space="preserve">Military facility </w:t>
            </w:r>
          </w:p>
        </w:tc>
        <w:tc>
          <w:tcPr>
            <w:tcW w:w="1304" w:type="dxa"/>
            <w:tcMar>
              <w:top w:w="113" w:type="dxa"/>
              <w:left w:w="113" w:type="dxa"/>
              <w:bottom w:w="113" w:type="dxa"/>
              <w:right w:w="113" w:type="dxa"/>
            </w:tcMar>
          </w:tcPr>
          <w:p w14:paraId="750FA918" w14:textId="77777777" w:rsidR="000D6AF0" w:rsidRPr="000D6AF0" w:rsidRDefault="000D6AF0" w:rsidP="000D6AF0">
            <w:pPr>
              <w:pStyle w:val="CDIFigure-Table-BodyTextCentre"/>
            </w:pPr>
            <w:r w:rsidRPr="000D6AF0">
              <w:t>2</w:t>
            </w:r>
          </w:p>
        </w:tc>
        <w:tc>
          <w:tcPr>
            <w:tcW w:w="1134" w:type="dxa"/>
            <w:tcMar>
              <w:top w:w="113" w:type="dxa"/>
              <w:left w:w="113" w:type="dxa"/>
              <w:bottom w:w="113" w:type="dxa"/>
              <w:right w:w="113" w:type="dxa"/>
            </w:tcMar>
          </w:tcPr>
          <w:p w14:paraId="74D6E857" w14:textId="77777777" w:rsidR="000D6AF0" w:rsidRPr="000D6AF0" w:rsidRDefault="000D6AF0" w:rsidP="000D6AF0">
            <w:pPr>
              <w:pStyle w:val="CDIFigure-Table-BodyTextCentre"/>
            </w:pPr>
            <w:r w:rsidRPr="000D6AF0">
              <w:t>0</w:t>
            </w:r>
          </w:p>
        </w:tc>
        <w:tc>
          <w:tcPr>
            <w:tcW w:w="964" w:type="dxa"/>
            <w:tcMar>
              <w:top w:w="113" w:type="dxa"/>
              <w:left w:w="113" w:type="dxa"/>
              <w:bottom w:w="113" w:type="dxa"/>
              <w:right w:w="113" w:type="dxa"/>
            </w:tcMar>
          </w:tcPr>
          <w:p w14:paraId="739C3DB9" w14:textId="77777777" w:rsidR="000D6AF0" w:rsidRPr="000D6AF0" w:rsidRDefault="000D6AF0" w:rsidP="000D6AF0">
            <w:pPr>
              <w:pStyle w:val="CDIFigure-Table-BodyTextCentre"/>
            </w:pPr>
            <w:r w:rsidRPr="000D6AF0">
              <w:t>0</w:t>
            </w:r>
          </w:p>
        </w:tc>
        <w:tc>
          <w:tcPr>
            <w:tcW w:w="907" w:type="dxa"/>
            <w:tcMar>
              <w:top w:w="113" w:type="dxa"/>
              <w:left w:w="113" w:type="dxa"/>
              <w:bottom w:w="113" w:type="dxa"/>
              <w:right w:w="113" w:type="dxa"/>
            </w:tcMar>
          </w:tcPr>
          <w:p w14:paraId="4BF8E69B" w14:textId="77777777" w:rsidR="000D6AF0" w:rsidRPr="000D6AF0" w:rsidRDefault="000D6AF0" w:rsidP="000D6AF0">
            <w:pPr>
              <w:pStyle w:val="CDIFigure-Table-BodyTextCentre"/>
            </w:pPr>
            <w:r w:rsidRPr="000D6AF0">
              <w:t>0</w:t>
            </w:r>
          </w:p>
        </w:tc>
        <w:tc>
          <w:tcPr>
            <w:tcW w:w="1474" w:type="dxa"/>
            <w:tcMar>
              <w:top w:w="113" w:type="dxa"/>
              <w:left w:w="113" w:type="dxa"/>
              <w:bottom w:w="113" w:type="dxa"/>
              <w:right w:w="113" w:type="dxa"/>
            </w:tcMar>
          </w:tcPr>
          <w:p w14:paraId="26B3A0A7" w14:textId="77777777" w:rsidR="000D6AF0" w:rsidRPr="000D6AF0" w:rsidRDefault="000D6AF0" w:rsidP="000D6AF0">
            <w:pPr>
              <w:pStyle w:val="CDIFigure-Table-BodyTextCentre"/>
            </w:pPr>
            <w:r w:rsidRPr="000D6AF0">
              <w:t>0</w:t>
            </w:r>
          </w:p>
        </w:tc>
        <w:tc>
          <w:tcPr>
            <w:tcW w:w="907" w:type="dxa"/>
            <w:tcMar>
              <w:top w:w="113" w:type="dxa"/>
              <w:left w:w="113" w:type="dxa"/>
              <w:bottom w:w="113" w:type="dxa"/>
              <w:right w:w="113" w:type="dxa"/>
            </w:tcMar>
          </w:tcPr>
          <w:p w14:paraId="5426E010" w14:textId="77777777" w:rsidR="000D6AF0" w:rsidRPr="000D6AF0" w:rsidRDefault="000D6AF0" w:rsidP="000D6AF0">
            <w:pPr>
              <w:pStyle w:val="CDIFigure-Table-BodyTextCentre"/>
            </w:pPr>
            <w:r w:rsidRPr="000D6AF0">
              <w:t>2</w:t>
            </w:r>
          </w:p>
        </w:tc>
      </w:tr>
      <w:tr w:rsidR="000D6AF0" w:rsidRPr="000D6AF0" w14:paraId="1FC7EA4D" w14:textId="77777777" w:rsidTr="000D6AF0">
        <w:tblPrEx>
          <w:tblCellMar>
            <w:top w:w="0" w:type="dxa"/>
            <w:left w:w="0" w:type="dxa"/>
            <w:bottom w:w="0" w:type="dxa"/>
            <w:right w:w="0" w:type="dxa"/>
          </w:tblCellMar>
        </w:tblPrEx>
        <w:trPr>
          <w:divId w:val="935526654"/>
          <w:trHeight w:val="20"/>
        </w:trPr>
        <w:tc>
          <w:tcPr>
            <w:tcW w:w="2948" w:type="dxa"/>
            <w:shd w:val="clear" w:color="auto" w:fill="F2F2F2" w:themeFill="background1" w:themeFillShade="F2"/>
            <w:tcMar>
              <w:top w:w="113" w:type="dxa"/>
              <w:left w:w="113" w:type="dxa"/>
              <w:bottom w:w="113" w:type="dxa"/>
              <w:right w:w="113" w:type="dxa"/>
            </w:tcMar>
          </w:tcPr>
          <w:p w14:paraId="19B8D24A" w14:textId="77777777" w:rsidR="000D6AF0" w:rsidRPr="000D6AF0" w:rsidRDefault="000D6AF0" w:rsidP="000D6AF0">
            <w:pPr>
              <w:pStyle w:val="CDIFigure-Table-BodyTextLeft"/>
            </w:pPr>
            <w:r w:rsidRPr="000D6AF0">
              <w:t xml:space="preserve">Disability residential care </w:t>
            </w:r>
          </w:p>
        </w:tc>
        <w:tc>
          <w:tcPr>
            <w:tcW w:w="1304" w:type="dxa"/>
            <w:shd w:val="clear" w:color="auto" w:fill="F2F2F2" w:themeFill="background1" w:themeFillShade="F2"/>
            <w:tcMar>
              <w:top w:w="113" w:type="dxa"/>
              <w:left w:w="113" w:type="dxa"/>
              <w:bottom w:w="113" w:type="dxa"/>
              <w:right w:w="113" w:type="dxa"/>
            </w:tcMar>
          </w:tcPr>
          <w:p w14:paraId="62682657" w14:textId="77777777" w:rsidR="000D6AF0" w:rsidRPr="000D6AF0" w:rsidRDefault="000D6AF0" w:rsidP="000D6AF0">
            <w:pPr>
              <w:pStyle w:val="CDIFigure-Table-BodyTextCentre"/>
            </w:pPr>
            <w:r w:rsidRPr="000D6AF0">
              <w:t>2</w:t>
            </w:r>
          </w:p>
        </w:tc>
        <w:tc>
          <w:tcPr>
            <w:tcW w:w="1134" w:type="dxa"/>
            <w:shd w:val="clear" w:color="auto" w:fill="F2F2F2" w:themeFill="background1" w:themeFillShade="F2"/>
            <w:tcMar>
              <w:top w:w="113" w:type="dxa"/>
              <w:left w:w="113" w:type="dxa"/>
              <w:bottom w:w="113" w:type="dxa"/>
              <w:right w:w="113" w:type="dxa"/>
            </w:tcMar>
          </w:tcPr>
          <w:p w14:paraId="5093C00E" w14:textId="77777777" w:rsidR="000D6AF0" w:rsidRPr="000D6AF0" w:rsidRDefault="000D6AF0" w:rsidP="000D6AF0">
            <w:pPr>
              <w:pStyle w:val="CDIFigure-Table-BodyTextCentre"/>
            </w:pPr>
            <w:r w:rsidRPr="000D6AF0">
              <w:t>4</w:t>
            </w:r>
          </w:p>
        </w:tc>
        <w:tc>
          <w:tcPr>
            <w:tcW w:w="964" w:type="dxa"/>
            <w:shd w:val="clear" w:color="auto" w:fill="F2F2F2" w:themeFill="background1" w:themeFillShade="F2"/>
            <w:tcMar>
              <w:top w:w="113" w:type="dxa"/>
              <w:left w:w="113" w:type="dxa"/>
              <w:bottom w:w="113" w:type="dxa"/>
              <w:right w:w="113" w:type="dxa"/>
            </w:tcMar>
          </w:tcPr>
          <w:p w14:paraId="4F3BBADE" w14:textId="77777777" w:rsidR="000D6AF0" w:rsidRPr="000D6AF0" w:rsidRDefault="000D6AF0" w:rsidP="000D6AF0">
            <w:pPr>
              <w:pStyle w:val="CDIFigure-Table-BodyTextCentre"/>
            </w:pPr>
            <w:r w:rsidRPr="000D6AF0">
              <w:t>0</w:t>
            </w:r>
          </w:p>
        </w:tc>
        <w:tc>
          <w:tcPr>
            <w:tcW w:w="907" w:type="dxa"/>
            <w:shd w:val="clear" w:color="auto" w:fill="F2F2F2" w:themeFill="background1" w:themeFillShade="F2"/>
            <w:tcMar>
              <w:top w:w="113" w:type="dxa"/>
              <w:left w:w="113" w:type="dxa"/>
              <w:bottom w:w="113" w:type="dxa"/>
              <w:right w:w="113" w:type="dxa"/>
            </w:tcMar>
          </w:tcPr>
          <w:p w14:paraId="417CB210" w14:textId="77777777" w:rsidR="000D6AF0" w:rsidRPr="000D6AF0" w:rsidRDefault="000D6AF0" w:rsidP="000D6AF0">
            <w:pPr>
              <w:pStyle w:val="CDIFigure-Table-BodyTextCentre"/>
            </w:pPr>
            <w:r w:rsidRPr="000D6AF0">
              <w:t>0</w:t>
            </w:r>
          </w:p>
        </w:tc>
        <w:tc>
          <w:tcPr>
            <w:tcW w:w="1474" w:type="dxa"/>
            <w:shd w:val="clear" w:color="auto" w:fill="F2F2F2" w:themeFill="background1" w:themeFillShade="F2"/>
            <w:tcMar>
              <w:top w:w="113" w:type="dxa"/>
              <w:left w:w="113" w:type="dxa"/>
              <w:bottom w:w="113" w:type="dxa"/>
              <w:right w:w="113" w:type="dxa"/>
            </w:tcMar>
          </w:tcPr>
          <w:p w14:paraId="67C7DA5D" w14:textId="77777777" w:rsidR="000D6AF0" w:rsidRPr="000D6AF0" w:rsidRDefault="000D6AF0" w:rsidP="000D6AF0">
            <w:pPr>
              <w:pStyle w:val="CDIFigure-Table-BodyTextCentre"/>
            </w:pPr>
            <w:r w:rsidRPr="000D6AF0">
              <w:t>0</w:t>
            </w:r>
          </w:p>
        </w:tc>
        <w:tc>
          <w:tcPr>
            <w:tcW w:w="907" w:type="dxa"/>
            <w:shd w:val="clear" w:color="auto" w:fill="F2F2F2" w:themeFill="background1" w:themeFillShade="F2"/>
            <w:tcMar>
              <w:top w:w="113" w:type="dxa"/>
              <w:left w:w="113" w:type="dxa"/>
              <w:bottom w:w="113" w:type="dxa"/>
              <w:right w:w="113" w:type="dxa"/>
            </w:tcMar>
          </w:tcPr>
          <w:p w14:paraId="791117B8" w14:textId="77777777" w:rsidR="000D6AF0" w:rsidRPr="000D6AF0" w:rsidRDefault="000D6AF0" w:rsidP="000D6AF0">
            <w:pPr>
              <w:pStyle w:val="CDIFigure-Table-BodyTextCentre"/>
            </w:pPr>
            <w:r w:rsidRPr="000D6AF0">
              <w:t>6</w:t>
            </w:r>
          </w:p>
        </w:tc>
      </w:tr>
      <w:tr w:rsidR="000D6AF0" w:rsidRPr="000D6AF0" w14:paraId="5AB86500" w14:textId="77777777" w:rsidTr="000D6AF0">
        <w:tblPrEx>
          <w:tblCellMar>
            <w:top w:w="0" w:type="dxa"/>
            <w:left w:w="0" w:type="dxa"/>
            <w:bottom w:w="0" w:type="dxa"/>
            <w:right w:w="0" w:type="dxa"/>
          </w:tblCellMar>
        </w:tblPrEx>
        <w:trPr>
          <w:divId w:val="935526654"/>
          <w:trHeight w:val="20"/>
        </w:trPr>
        <w:tc>
          <w:tcPr>
            <w:tcW w:w="2948" w:type="dxa"/>
            <w:tcMar>
              <w:top w:w="113" w:type="dxa"/>
              <w:left w:w="113" w:type="dxa"/>
              <w:bottom w:w="113" w:type="dxa"/>
              <w:right w:w="113" w:type="dxa"/>
            </w:tcMar>
          </w:tcPr>
          <w:p w14:paraId="53745A92" w14:textId="77777777" w:rsidR="000D6AF0" w:rsidRPr="000D6AF0" w:rsidRDefault="000D6AF0" w:rsidP="000D6AF0">
            <w:pPr>
              <w:pStyle w:val="CDIFigure-Table-BodyTextLeft"/>
            </w:pPr>
            <w:r w:rsidRPr="000D6AF0">
              <w:t xml:space="preserve">Travel </w:t>
            </w:r>
          </w:p>
        </w:tc>
        <w:tc>
          <w:tcPr>
            <w:tcW w:w="1304" w:type="dxa"/>
            <w:tcMar>
              <w:top w:w="113" w:type="dxa"/>
              <w:left w:w="113" w:type="dxa"/>
              <w:bottom w:w="113" w:type="dxa"/>
              <w:right w:w="113" w:type="dxa"/>
            </w:tcMar>
          </w:tcPr>
          <w:p w14:paraId="31C381A2" w14:textId="77777777" w:rsidR="000D6AF0" w:rsidRPr="000D6AF0" w:rsidRDefault="000D6AF0" w:rsidP="000D6AF0">
            <w:pPr>
              <w:pStyle w:val="CDIFigure-Table-BodyTextCentre"/>
            </w:pPr>
            <w:r w:rsidRPr="000D6AF0">
              <w:t>1</w:t>
            </w:r>
          </w:p>
        </w:tc>
        <w:tc>
          <w:tcPr>
            <w:tcW w:w="1134" w:type="dxa"/>
            <w:tcMar>
              <w:top w:w="113" w:type="dxa"/>
              <w:left w:w="113" w:type="dxa"/>
              <w:bottom w:w="113" w:type="dxa"/>
              <w:right w:w="113" w:type="dxa"/>
            </w:tcMar>
          </w:tcPr>
          <w:p w14:paraId="34510197" w14:textId="77777777" w:rsidR="000D6AF0" w:rsidRPr="000D6AF0" w:rsidRDefault="000D6AF0" w:rsidP="000D6AF0">
            <w:pPr>
              <w:pStyle w:val="CDIFigure-Table-BodyTextCentre"/>
            </w:pPr>
            <w:r w:rsidRPr="000D6AF0">
              <w:t>1</w:t>
            </w:r>
          </w:p>
        </w:tc>
        <w:tc>
          <w:tcPr>
            <w:tcW w:w="964" w:type="dxa"/>
            <w:tcMar>
              <w:top w:w="113" w:type="dxa"/>
              <w:left w:w="113" w:type="dxa"/>
              <w:bottom w:w="113" w:type="dxa"/>
              <w:right w:w="113" w:type="dxa"/>
            </w:tcMar>
          </w:tcPr>
          <w:p w14:paraId="22B6BA40" w14:textId="77777777" w:rsidR="000D6AF0" w:rsidRPr="000D6AF0" w:rsidRDefault="000D6AF0" w:rsidP="000D6AF0">
            <w:pPr>
              <w:pStyle w:val="CDIFigure-Table-BodyTextCentre"/>
            </w:pPr>
            <w:r w:rsidRPr="000D6AF0">
              <w:t>1</w:t>
            </w:r>
          </w:p>
        </w:tc>
        <w:tc>
          <w:tcPr>
            <w:tcW w:w="907" w:type="dxa"/>
            <w:tcMar>
              <w:top w:w="113" w:type="dxa"/>
              <w:left w:w="113" w:type="dxa"/>
              <w:bottom w:w="113" w:type="dxa"/>
              <w:right w:w="113" w:type="dxa"/>
            </w:tcMar>
          </w:tcPr>
          <w:p w14:paraId="5713EC29" w14:textId="77777777" w:rsidR="000D6AF0" w:rsidRPr="000D6AF0" w:rsidRDefault="000D6AF0" w:rsidP="000D6AF0">
            <w:pPr>
              <w:pStyle w:val="CDIFigure-Table-BodyTextCentre"/>
            </w:pPr>
            <w:r w:rsidRPr="000D6AF0">
              <w:t>1</w:t>
            </w:r>
          </w:p>
        </w:tc>
        <w:tc>
          <w:tcPr>
            <w:tcW w:w="1474" w:type="dxa"/>
            <w:tcMar>
              <w:top w:w="113" w:type="dxa"/>
              <w:left w:w="113" w:type="dxa"/>
              <w:bottom w:w="113" w:type="dxa"/>
              <w:right w:w="113" w:type="dxa"/>
            </w:tcMar>
          </w:tcPr>
          <w:p w14:paraId="3257C29A" w14:textId="77777777" w:rsidR="000D6AF0" w:rsidRPr="000D6AF0" w:rsidRDefault="000D6AF0" w:rsidP="000D6AF0">
            <w:pPr>
              <w:pStyle w:val="CDIFigure-Table-BodyTextCentre"/>
            </w:pPr>
            <w:r w:rsidRPr="000D6AF0">
              <w:t>0</w:t>
            </w:r>
          </w:p>
        </w:tc>
        <w:tc>
          <w:tcPr>
            <w:tcW w:w="907" w:type="dxa"/>
            <w:tcMar>
              <w:top w:w="113" w:type="dxa"/>
              <w:left w:w="113" w:type="dxa"/>
              <w:bottom w:w="113" w:type="dxa"/>
              <w:right w:w="113" w:type="dxa"/>
            </w:tcMar>
          </w:tcPr>
          <w:p w14:paraId="6BD16263" w14:textId="77777777" w:rsidR="000D6AF0" w:rsidRPr="000D6AF0" w:rsidRDefault="000D6AF0" w:rsidP="000D6AF0">
            <w:pPr>
              <w:pStyle w:val="CDIFigure-Table-BodyTextCentre"/>
            </w:pPr>
            <w:r w:rsidRPr="000D6AF0">
              <w:t>4</w:t>
            </w:r>
          </w:p>
        </w:tc>
      </w:tr>
      <w:tr w:rsidR="000D6AF0" w:rsidRPr="000D6AF0" w14:paraId="477AB740" w14:textId="77777777" w:rsidTr="000D6AF0">
        <w:tblPrEx>
          <w:tblCellMar>
            <w:top w:w="0" w:type="dxa"/>
            <w:left w:w="0" w:type="dxa"/>
            <w:bottom w:w="0" w:type="dxa"/>
            <w:right w:w="0" w:type="dxa"/>
          </w:tblCellMar>
        </w:tblPrEx>
        <w:trPr>
          <w:divId w:val="935526654"/>
          <w:trHeight w:val="20"/>
        </w:trPr>
        <w:tc>
          <w:tcPr>
            <w:tcW w:w="2948" w:type="dxa"/>
            <w:shd w:val="clear" w:color="auto" w:fill="F2F2F2" w:themeFill="background1" w:themeFillShade="F2"/>
            <w:tcMar>
              <w:top w:w="113" w:type="dxa"/>
              <w:left w:w="113" w:type="dxa"/>
              <w:bottom w:w="113" w:type="dxa"/>
              <w:right w:w="113" w:type="dxa"/>
            </w:tcMar>
          </w:tcPr>
          <w:p w14:paraId="6F07A6B6" w14:textId="77777777" w:rsidR="000D6AF0" w:rsidRPr="000D6AF0" w:rsidRDefault="000D6AF0" w:rsidP="000D6AF0">
            <w:pPr>
              <w:pStyle w:val="CDIFigure-Table-BodyTextLeft"/>
            </w:pPr>
            <w:r w:rsidRPr="000D6AF0">
              <w:t xml:space="preserve">Other </w:t>
            </w:r>
          </w:p>
        </w:tc>
        <w:tc>
          <w:tcPr>
            <w:tcW w:w="1304" w:type="dxa"/>
            <w:shd w:val="clear" w:color="auto" w:fill="F2F2F2" w:themeFill="background1" w:themeFillShade="F2"/>
            <w:tcMar>
              <w:top w:w="113" w:type="dxa"/>
              <w:left w:w="113" w:type="dxa"/>
              <w:bottom w:w="113" w:type="dxa"/>
              <w:right w:w="113" w:type="dxa"/>
            </w:tcMar>
          </w:tcPr>
          <w:p w14:paraId="13937BAC" w14:textId="77777777" w:rsidR="000D6AF0" w:rsidRPr="000D6AF0" w:rsidRDefault="000D6AF0" w:rsidP="000D6AF0">
            <w:pPr>
              <w:pStyle w:val="CDIFigure-Table-BodyTextCentre"/>
            </w:pPr>
            <w:r w:rsidRPr="000D6AF0">
              <w:t>2</w:t>
            </w:r>
          </w:p>
        </w:tc>
        <w:tc>
          <w:tcPr>
            <w:tcW w:w="1134" w:type="dxa"/>
            <w:shd w:val="clear" w:color="auto" w:fill="F2F2F2" w:themeFill="background1" w:themeFillShade="F2"/>
            <w:tcMar>
              <w:top w:w="113" w:type="dxa"/>
              <w:left w:w="113" w:type="dxa"/>
              <w:bottom w:w="113" w:type="dxa"/>
              <w:right w:w="113" w:type="dxa"/>
            </w:tcMar>
          </w:tcPr>
          <w:p w14:paraId="1BFC2A29" w14:textId="77777777" w:rsidR="000D6AF0" w:rsidRPr="000D6AF0" w:rsidRDefault="000D6AF0" w:rsidP="000D6AF0">
            <w:pPr>
              <w:pStyle w:val="CDIFigure-Table-BodyTextCentre"/>
            </w:pPr>
            <w:r w:rsidRPr="000D6AF0">
              <w:t>53</w:t>
            </w:r>
          </w:p>
        </w:tc>
        <w:tc>
          <w:tcPr>
            <w:tcW w:w="964" w:type="dxa"/>
            <w:shd w:val="clear" w:color="auto" w:fill="F2F2F2" w:themeFill="background1" w:themeFillShade="F2"/>
            <w:tcMar>
              <w:top w:w="113" w:type="dxa"/>
              <w:left w:w="113" w:type="dxa"/>
              <w:bottom w:w="113" w:type="dxa"/>
              <w:right w:w="113" w:type="dxa"/>
            </w:tcMar>
          </w:tcPr>
          <w:p w14:paraId="33EA34F9" w14:textId="77777777" w:rsidR="000D6AF0" w:rsidRPr="000D6AF0" w:rsidRDefault="000D6AF0" w:rsidP="000D6AF0">
            <w:pPr>
              <w:pStyle w:val="CDIFigure-Table-BodyTextCentre"/>
            </w:pPr>
            <w:r w:rsidRPr="000D6AF0">
              <w:t>3</w:t>
            </w:r>
          </w:p>
        </w:tc>
        <w:tc>
          <w:tcPr>
            <w:tcW w:w="907" w:type="dxa"/>
            <w:shd w:val="clear" w:color="auto" w:fill="F2F2F2" w:themeFill="background1" w:themeFillShade="F2"/>
            <w:tcMar>
              <w:top w:w="113" w:type="dxa"/>
              <w:left w:w="113" w:type="dxa"/>
              <w:bottom w:w="113" w:type="dxa"/>
              <w:right w:w="113" w:type="dxa"/>
            </w:tcMar>
          </w:tcPr>
          <w:p w14:paraId="3AFEF246" w14:textId="77777777" w:rsidR="000D6AF0" w:rsidRPr="000D6AF0" w:rsidRDefault="000D6AF0" w:rsidP="000D6AF0">
            <w:pPr>
              <w:pStyle w:val="CDIFigure-Table-BodyTextCentre"/>
            </w:pPr>
            <w:r w:rsidRPr="000D6AF0">
              <w:t>1</w:t>
            </w:r>
          </w:p>
        </w:tc>
        <w:tc>
          <w:tcPr>
            <w:tcW w:w="1474" w:type="dxa"/>
            <w:shd w:val="clear" w:color="auto" w:fill="F2F2F2" w:themeFill="background1" w:themeFillShade="F2"/>
            <w:tcMar>
              <w:top w:w="113" w:type="dxa"/>
              <w:left w:w="113" w:type="dxa"/>
              <w:bottom w:w="113" w:type="dxa"/>
              <w:right w:w="113" w:type="dxa"/>
            </w:tcMar>
          </w:tcPr>
          <w:p w14:paraId="61A13BA6" w14:textId="77777777" w:rsidR="000D6AF0" w:rsidRPr="000D6AF0" w:rsidRDefault="000D6AF0" w:rsidP="000D6AF0">
            <w:pPr>
              <w:pStyle w:val="CDIFigure-Table-BodyTextCentre"/>
            </w:pPr>
            <w:r w:rsidRPr="000D6AF0">
              <w:t>1</w:t>
            </w:r>
          </w:p>
        </w:tc>
        <w:tc>
          <w:tcPr>
            <w:tcW w:w="907" w:type="dxa"/>
            <w:shd w:val="clear" w:color="auto" w:fill="F2F2F2" w:themeFill="background1" w:themeFillShade="F2"/>
            <w:tcMar>
              <w:top w:w="113" w:type="dxa"/>
              <w:left w:w="113" w:type="dxa"/>
              <w:bottom w:w="113" w:type="dxa"/>
              <w:right w:w="113" w:type="dxa"/>
            </w:tcMar>
          </w:tcPr>
          <w:p w14:paraId="017A2F71" w14:textId="77777777" w:rsidR="000D6AF0" w:rsidRPr="000D6AF0" w:rsidRDefault="000D6AF0" w:rsidP="000D6AF0">
            <w:pPr>
              <w:pStyle w:val="CDIFigure-Table-BodyTextCentre"/>
            </w:pPr>
            <w:r w:rsidRPr="000D6AF0">
              <w:t>60</w:t>
            </w:r>
          </w:p>
        </w:tc>
      </w:tr>
      <w:tr w:rsidR="000D6AF0" w:rsidRPr="000D6AF0" w14:paraId="7C9C2716" w14:textId="77777777" w:rsidTr="000D6AF0">
        <w:tblPrEx>
          <w:tblCellMar>
            <w:top w:w="0" w:type="dxa"/>
            <w:left w:w="0" w:type="dxa"/>
            <w:bottom w:w="0" w:type="dxa"/>
            <w:right w:w="0" w:type="dxa"/>
          </w:tblCellMar>
        </w:tblPrEx>
        <w:trPr>
          <w:divId w:val="935526654"/>
          <w:trHeight w:val="20"/>
        </w:trPr>
        <w:tc>
          <w:tcPr>
            <w:tcW w:w="2948" w:type="dxa"/>
            <w:tcMar>
              <w:top w:w="113" w:type="dxa"/>
              <w:left w:w="113" w:type="dxa"/>
              <w:bottom w:w="113" w:type="dxa"/>
              <w:right w:w="113" w:type="dxa"/>
            </w:tcMar>
          </w:tcPr>
          <w:p w14:paraId="49D4EABE" w14:textId="77777777" w:rsidR="000D6AF0" w:rsidRPr="000D6AF0" w:rsidRDefault="000D6AF0" w:rsidP="000D6AF0">
            <w:pPr>
              <w:pStyle w:val="CDIFigure-Table-BodyTextLeft"/>
            </w:pPr>
            <w:r w:rsidRPr="000D6AF0">
              <w:t>No likely exposure setting identified</w:t>
            </w:r>
          </w:p>
        </w:tc>
        <w:tc>
          <w:tcPr>
            <w:tcW w:w="1304" w:type="dxa"/>
            <w:tcMar>
              <w:top w:w="113" w:type="dxa"/>
              <w:left w:w="113" w:type="dxa"/>
              <w:bottom w:w="113" w:type="dxa"/>
              <w:right w:w="113" w:type="dxa"/>
            </w:tcMar>
          </w:tcPr>
          <w:p w14:paraId="083E4DD3" w14:textId="77777777" w:rsidR="000D6AF0" w:rsidRPr="000D6AF0" w:rsidRDefault="000D6AF0" w:rsidP="000D6AF0">
            <w:pPr>
              <w:pStyle w:val="CDIFigure-Table-BodyTextCentre"/>
            </w:pPr>
            <w:r w:rsidRPr="000D6AF0">
              <w:t>0</w:t>
            </w:r>
          </w:p>
        </w:tc>
        <w:tc>
          <w:tcPr>
            <w:tcW w:w="1134" w:type="dxa"/>
            <w:tcMar>
              <w:top w:w="113" w:type="dxa"/>
              <w:left w:w="113" w:type="dxa"/>
              <w:bottom w:w="113" w:type="dxa"/>
              <w:right w:w="113" w:type="dxa"/>
            </w:tcMar>
          </w:tcPr>
          <w:p w14:paraId="593C401D" w14:textId="77777777" w:rsidR="000D6AF0" w:rsidRPr="000D6AF0" w:rsidRDefault="000D6AF0" w:rsidP="000D6AF0">
            <w:pPr>
              <w:pStyle w:val="CDIFigure-Table-BodyTextCentre"/>
            </w:pPr>
            <w:r w:rsidRPr="000D6AF0">
              <w:t>1</w:t>
            </w:r>
          </w:p>
        </w:tc>
        <w:tc>
          <w:tcPr>
            <w:tcW w:w="964" w:type="dxa"/>
            <w:tcMar>
              <w:top w:w="113" w:type="dxa"/>
              <w:left w:w="113" w:type="dxa"/>
              <w:bottom w:w="113" w:type="dxa"/>
              <w:right w:w="113" w:type="dxa"/>
            </w:tcMar>
          </w:tcPr>
          <w:p w14:paraId="777475AB" w14:textId="77777777" w:rsidR="000D6AF0" w:rsidRPr="000D6AF0" w:rsidRDefault="000D6AF0" w:rsidP="000D6AF0">
            <w:pPr>
              <w:pStyle w:val="CDIFigure-Table-BodyTextCentre"/>
            </w:pPr>
            <w:r w:rsidRPr="000D6AF0">
              <w:t>0</w:t>
            </w:r>
          </w:p>
        </w:tc>
        <w:tc>
          <w:tcPr>
            <w:tcW w:w="907" w:type="dxa"/>
            <w:tcMar>
              <w:top w:w="113" w:type="dxa"/>
              <w:left w:w="113" w:type="dxa"/>
              <w:bottom w:w="113" w:type="dxa"/>
              <w:right w:w="113" w:type="dxa"/>
            </w:tcMar>
          </w:tcPr>
          <w:p w14:paraId="49D318DB" w14:textId="77777777" w:rsidR="000D6AF0" w:rsidRPr="000D6AF0" w:rsidRDefault="000D6AF0" w:rsidP="000D6AF0">
            <w:pPr>
              <w:pStyle w:val="CDIFigure-Table-BodyTextCentre"/>
            </w:pPr>
            <w:r w:rsidRPr="000D6AF0">
              <w:t>0</w:t>
            </w:r>
          </w:p>
        </w:tc>
        <w:tc>
          <w:tcPr>
            <w:tcW w:w="1474" w:type="dxa"/>
            <w:tcMar>
              <w:top w:w="113" w:type="dxa"/>
              <w:left w:w="113" w:type="dxa"/>
              <w:bottom w:w="113" w:type="dxa"/>
              <w:right w:w="113" w:type="dxa"/>
            </w:tcMar>
          </w:tcPr>
          <w:p w14:paraId="426D6D97" w14:textId="77777777" w:rsidR="000D6AF0" w:rsidRPr="000D6AF0" w:rsidRDefault="000D6AF0" w:rsidP="000D6AF0">
            <w:pPr>
              <w:pStyle w:val="CDIFigure-Table-BodyTextCentre"/>
            </w:pPr>
            <w:r w:rsidRPr="000D6AF0">
              <w:t>0</w:t>
            </w:r>
          </w:p>
        </w:tc>
        <w:tc>
          <w:tcPr>
            <w:tcW w:w="907" w:type="dxa"/>
            <w:tcMar>
              <w:top w:w="113" w:type="dxa"/>
              <w:left w:w="113" w:type="dxa"/>
              <w:bottom w:w="113" w:type="dxa"/>
              <w:right w:w="113" w:type="dxa"/>
            </w:tcMar>
          </w:tcPr>
          <w:p w14:paraId="7B120023" w14:textId="77777777" w:rsidR="000D6AF0" w:rsidRPr="000D6AF0" w:rsidRDefault="000D6AF0" w:rsidP="000D6AF0">
            <w:pPr>
              <w:pStyle w:val="CDIFigure-Table-BodyTextCentre"/>
            </w:pPr>
            <w:r w:rsidRPr="000D6AF0">
              <w:t>1</w:t>
            </w:r>
          </w:p>
        </w:tc>
      </w:tr>
      <w:tr w:rsidR="000D6AF0" w:rsidRPr="000D6AF0" w14:paraId="78D6AE96" w14:textId="77777777" w:rsidTr="000D6AF0">
        <w:tblPrEx>
          <w:tblCellMar>
            <w:top w:w="0" w:type="dxa"/>
            <w:left w:w="0" w:type="dxa"/>
            <w:bottom w:w="0" w:type="dxa"/>
            <w:right w:w="0" w:type="dxa"/>
          </w:tblCellMar>
        </w:tblPrEx>
        <w:trPr>
          <w:divId w:val="935526654"/>
          <w:trHeight w:val="20"/>
        </w:trPr>
        <w:tc>
          <w:tcPr>
            <w:tcW w:w="2948" w:type="dxa"/>
            <w:shd w:val="clear" w:color="auto" w:fill="F2F2F2" w:themeFill="background1" w:themeFillShade="F2"/>
            <w:tcMar>
              <w:top w:w="113" w:type="dxa"/>
              <w:left w:w="113" w:type="dxa"/>
              <w:bottom w:w="113" w:type="dxa"/>
              <w:right w:w="113" w:type="dxa"/>
            </w:tcMar>
          </w:tcPr>
          <w:p w14:paraId="0D94783F" w14:textId="77777777" w:rsidR="000D6AF0" w:rsidRPr="000D6AF0" w:rsidRDefault="000D6AF0" w:rsidP="000D6AF0">
            <w:pPr>
              <w:pStyle w:val="CDIFigure-Table-BodyTextLeft"/>
            </w:pPr>
            <w:r w:rsidRPr="000D6AF0">
              <w:t>Unknown</w:t>
            </w:r>
          </w:p>
        </w:tc>
        <w:tc>
          <w:tcPr>
            <w:tcW w:w="1304" w:type="dxa"/>
            <w:shd w:val="clear" w:color="auto" w:fill="F2F2F2" w:themeFill="background1" w:themeFillShade="F2"/>
            <w:tcMar>
              <w:top w:w="113" w:type="dxa"/>
              <w:left w:w="113" w:type="dxa"/>
              <w:bottom w:w="113" w:type="dxa"/>
              <w:right w:w="113" w:type="dxa"/>
            </w:tcMar>
          </w:tcPr>
          <w:p w14:paraId="13D5C91A" w14:textId="77777777" w:rsidR="000D6AF0" w:rsidRPr="000D6AF0" w:rsidRDefault="000D6AF0" w:rsidP="000D6AF0">
            <w:pPr>
              <w:pStyle w:val="CDIFigure-Table-BodyTextCentre"/>
            </w:pPr>
            <w:r w:rsidRPr="000D6AF0">
              <w:t>0</w:t>
            </w:r>
          </w:p>
        </w:tc>
        <w:tc>
          <w:tcPr>
            <w:tcW w:w="1134" w:type="dxa"/>
            <w:shd w:val="clear" w:color="auto" w:fill="F2F2F2" w:themeFill="background1" w:themeFillShade="F2"/>
            <w:tcMar>
              <w:top w:w="113" w:type="dxa"/>
              <w:left w:w="113" w:type="dxa"/>
              <w:bottom w:w="113" w:type="dxa"/>
              <w:right w:w="113" w:type="dxa"/>
            </w:tcMar>
          </w:tcPr>
          <w:p w14:paraId="0B90B77A" w14:textId="77777777" w:rsidR="000D6AF0" w:rsidRPr="000D6AF0" w:rsidRDefault="000D6AF0" w:rsidP="000D6AF0">
            <w:pPr>
              <w:pStyle w:val="CDIFigure-Table-BodyTextCentre"/>
            </w:pPr>
            <w:r w:rsidRPr="000D6AF0">
              <w:t>7</w:t>
            </w:r>
          </w:p>
        </w:tc>
        <w:tc>
          <w:tcPr>
            <w:tcW w:w="964" w:type="dxa"/>
            <w:shd w:val="clear" w:color="auto" w:fill="F2F2F2" w:themeFill="background1" w:themeFillShade="F2"/>
            <w:tcMar>
              <w:top w:w="113" w:type="dxa"/>
              <w:left w:w="113" w:type="dxa"/>
              <w:bottom w:w="113" w:type="dxa"/>
              <w:right w:w="113" w:type="dxa"/>
            </w:tcMar>
          </w:tcPr>
          <w:p w14:paraId="49DB6C4E" w14:textId="77777777" w:rsidR="000D6AF0" w:rsidRPr="000D6AF0" w:rsidRDefault="000D6AF0" w:rsidP="000D6AF0">
            <w:pPr>
              <w:pStyle w:val="CDIFigure-Table-BodyTextCentre"/>
            </w:pPr>
            <w:r w:rsidRPr="000D6AF0">
              <w:t>1</w:t>
            </w:r>
          </w:p>
        </w:tc>
        <w:tc>
          <w:tcPr>
            <w:tcW w:w="907" w:type="dxa"/>
            <w:shd w:val="clear" w:color="auto" w:fill="F2F2F2" w:themeFill="background1" w:themeFillShade="F2"/>
            <w:tcMar>
              <w:top w:w="113" w:type="dxa"/>
              <w:left w:w="113" w:type="dxa"/>
              <w:bottom w:w="113" w:type="dxa"/>
              <w:right w:w="113" w:type="dxa"/>
            </w:tcMar>
          </w:tcPr>
          <w:p w14:paraId="01D6D3E4" w14:textId="77777777" w:rsidR="000D6AF0" w:rsidRPr="000D6AF0" w:rsidRDefault="000D6AF0" w:rsidP="000D6AF0">
            <w:pPr>
              <w:pStyle w:val="CDIFigure-Table-BodyTextCentre"/>
            </w:pPr>
            <w:r w:rsidRPr="000D6AF0">
              <w:t>0</w:t>
            </w:r>
          </w:p>
        </w:tc>
        <w:tc>
          <w:tcPr>
            <w:tcW w:w="1474" w:type="dxa"/>
            <w:shd w:val="clear" w:color="auto" w:fill="F2F2F2" w:themeFill="background1" w:themeFillShade="F2"/>
            <w:tcMar>
              <w:top w:w="113" w:type="dxa"/>
              <w:left w:w="113" w:type="dxa"/>
              <w:bottom w:w="113" w:type="dxa"/>
              <w:right w:w="113" w:type="dxa"/>
            </w:tcMar>
          </w:tcPr>
          <w:p w14:paraId="298B865B" w14:textId="77777777" w:rsidR="000D6AF0" w:rsidRPr="000D6AF0" w:rsidRDefault="000D6AF0" w:rsidP="000D6AF0">
            <w:pPr>
              <w:pStyle w:val="CDIFigure-Table-BodyTextCentre"/>
            </w:pPr>
            <w:r w:rsidRPr="000D6AF0">
              <w:t>1</w:t>
            </w:r>
          </w:p>
        </w:tc>
        <w:tc>
          <w:tcPr>
            <w:tcW w:w="907" w:type="dxa"/>
            <w:shd w:val="clear" w:color="auto" w:fill="F2F2F2" w:themeFill="background1" w:themeFillShade="F2"/>
            <w:tcMar>
              <w:top w:w="113" w:type="dxa"/>
              <w:left w:w="113" w:type="dxa"/>
              <w:bottom w:w="113" w:type="dxa"/>
              <w:right w:w="113" w:type="dxa"/>
            </w:tcMar>
          </w:tcPr>
          <w:p w14:paraId="68AE1133" w14:textId="77777777" w:rsidR="000D6AF0" w:rsidRPr="000D6AF0" w:rsidRDefault="000D6AF0" w:rsidP="000D6AF0">
            <w:pPr>
              <w:pStyle w:val="CDIFigure-Table-BodyTextCentre"/>
            </w:pPr>
            <w:r w:rsidRPr="000D6AF0">
              <w:t>9</w:t>
            </w:r>
          </w:p>
        </w:tc>
      </w:tr>
      <w:tr w:rsidR="000D6AF0" w:rsidRPr="000D6AF0" w14:paraId="16013401" w14:textId="77777777" w:rsidTr="000D6AF0">
        <w:tblPrEx>
          <w:tblCellMar>
            <w:top w:w="0" w:type="dxa"/>
            <w:left w:w="0" w:type="dxa"/>
            <w:bottom w:w="0" w:type="dxa"/>
            <w:right w:w="0" w:type="dxa"/>
          </w:tblCellMar>
        </w:tblPrEx>
        <w:trPr>
          <w:divId w:val="935526654"/>
          <w:trHeight w:val="20"/>
        </w:trPr>
        <w:tc>
          <w:tcPr>
            <w:tcW w:w="2948" w:type="dxa"/>
            <w:shd w:val="clear" w:color="auto" w:fill="C5FFEF" w:themeFill="background2" w:themeFillTint="33"/>
            <w:tcMar>
              <w:top w:w="113" w:type="dxa"/>
              <w:left w:w="113" w:type="dxa"/>
              <w:bottom w:w="113" w:type="dxa"/>
              <w:right w:w="113" w:type="dxa"/>
            </w:tcMar>
            <w:vAlign w:val="center"/>
          </w:tcPr>
          <w:p w14:paraId="5EF4A142" w14:textId="77777777" w:rsidR="000D6AF0" w:rsidRPr="000D6AF0" w:rsidRDefault="000D6AF0" w:rsidP="000D6AF0">
            <w:pPr>
              <w:pStyle w:val="CDIFigure-Table-TotalLeft"/>
            </w:pPr>
            <w:r w:rsidRPr="000D6AF0">
              <w:t>Total</w:t>
            </w:r>
          </w:p>
        </w:tc>
        <w:tc>
          <w:tcPr>
            <w:tcW w:w="1304" w:type="dxa"/>
            <w:shd w:val="clear" w:color="auto" w:fill="C5FFEF" w:themeFill="background2" w:themeFillTint="33"/>
            <w:tcMar>
              <w:top w:w="113" w:type="dxa"/>
              <w:left w:w="113" w:type="dxa"/>
              <w:bottom w:w="113" w:type="dxa"/>
              <w:right w:w="113" w:type="dxa"/>
            </w:tcMar>
            <w:vAlign w:val="center"/>
          </w:tcPr>
          <w:p w14:paraId="69DB490D" w14:textId="77777777" w:rsidR="000D6AF0" w:rsidRPr="000D6AF0" w:rsidRDefault="000D6AF0" w:rsidP="000D6AF0">
            <w:pPr>
              <w:pStyle w:val="CDIFigure-Table-TotalCentre"/>
            </w:pPr>
            <w:r w:rsidRPr="000D6AF0">
              <w:t>91</w:t>
            </w:r>
          </w:p>
        </w:tc>
        <w:tc>
          <w:tcPr>
            <w:tcW w:w="1134" w:type="dxa"/>
            <w:shd w:val="clear" w:color="auto" w:fill="C5FFEF" w:themeFill="background2" w:themeFillTint="33"/>
            <w:tcMar>
              <w:top w:w="113" w:type="dxa"/>
              <w:left w:w="113" w:type="dxa"/>
              <w:bottom w:w="113" w:type="dxa"/>
              <w:right w:w="113" w:type="dxa"/>
            </w:tcMar>
            <w:vAlign w:val="center"/>
          </w:tcPr>
          <w:p w14:paraId="1C8E5D07" w14:textId="77777777" w:rsidR="000D6AF0" w:rsidRPr="000D6AF0" w:rsidRDefault="000D6AF0" w:rsidP="000D6AF0">
            <w:pPr>
              <w:pStyle w:val="CDIFigure-Table-TotalCentre"/>
            </w:pPr>
            <w:r w:rsidRPr="000D6AF0">
              <w:t>229</w:t>
            </w:r>
          </w:p>
        </w:tc>
        <w:tc>
          <w:tcPr>
            <w:tcW w:w="964" w:type="dxa"/>
            <w:shd w:val="clear" w:color="auto" w:fill="C5FFEF" w:themeFill="background2" w:themeFillTint="33"/>
            <w:tcMar>
              <w:top w:w="113" w:type="dxa"/>
              <w:left w:w="113" w:type="dxa"/>
              <w:bottom w:w="113" w:type="dxa"/>
              <w:right w:w="113" w:type="dxa"/>
            </w:tcMar>
            <w:vAlign w:val="center"/>
          </w:tcPr>
          <w:p w14:paraId="1C939F33" w14:textId="77777777" w:rsidR="000D6AF0" w:rsidRPr="000D6AF0" w:rsidRDefault="000D6AF0" w:rsidP="000D6AF0">
            <w:pPr>
              <w:pStyle w:val="CDIFigure-Table-TotalCentre"/>
            </w:pPr>
            <w:r w:rsidRPr="000D6AF0">
              <w:t>56</w:t>
            </w:r>
          </w:p>
        </w:tc>
        <w:tc>
          <w:tcPr>
            <w:tcW w:w="907" w:type="dxa"/>
            <w:shd w:val="clear" w:color="auto" w:fill="C5FFEF" w:themeFill="background2" w:themeFillTint="33"/>
            <w:tcMar>
              <w:top w:w="113" w:type="dxa"/>
              <w:left w:w="113" w:type="dxa"/>
              <w:bottom w:w="113" w:type="dxa"/>
              <w:right w:w="113" w:type="dxa"/>
            </w:tcMar>
            <w:vAlign w:val="center"/>
          </w:tcPr>
          <w:p w14:paraId="664F3035" w14:textId="77777777" w:rsidR="000D6AF0" w:rsidRPr="000D6AF0" w:rsidRDefault="000D6AF0" w:rsidP="000D6AF0">
            <w:pPr>
              <w:pStyle w:val="CDIFigure-Table-TotalCentre"/>
            </w:pPr>
            <w:r w:rsidRPr="000D6AF0">
              <w:t>49</w:t>
            </w:r>
          </w:p>
        </w:tc>
        <w:tc>
          <w:tcPr>
            <w:tcW w:w="1474" w:type="dxa"/>
            <w:shd w:val="clear" w:color="auto" w:fill="C5FFEF" w:themeFill="background2" w:themeFillTint="33"/>
            <w:tcMar>
              <w:top w:w="113" w:type="dxa"/>
              <w:left w:w="113" w:type="dxa"/>
              <w:bottom w:w="113" w:type="dxa"/>
              <w:right w:w="113" w:type="dxa"/>
            </w:tcMar>
            <w:vAlign w:val="center"/>
          </w:tcPr>
          <w:p w14:paraId="06F94271" w14:textId="77777777" w:rsidR="000D6AF0" w:rsidRPr="000D6AF0" w:rsidRDefault="000D6AF0" w:rsidP="000D6AF0">
            <w:pPr>
              <w:pStyle w:val="CDIFigure-Table-TotalCentre"/>
            </w:pPr>
            <w:r w:rsidRPr="000D6AF0">
              <w:t>6</w:t>
            </w:r>
          </w:p>
        </w:tc>
        <w:tc>
          <w:tcPr>
            <w:tcW w:w="907" w:type="dxa"/>
            <w:shd w:val="clear" w:color="auto" w:fill="C5FFEF" w:themeFill="background2" w:themeFillTint="33"/>
            <w:tcMar>
              <w:top w:w="113" w:type="dxa"/>
              <w:left w:w="113" w:type="dxa"/>
              <w:bottom w:w="113" w:type="dxa"/>
              <w:right w:w="113" w:type="dxa"/>
            </w:tcMar>
            <w:vAlign w:val="center"/>
          </w:tcPr>
          <w:p w14:paraId="23768CB8" w14:textId="77777777" w:rsidR="000D6AF0" w:rsidRPr="000D6AF0" w:rsidRDefault="000D6AF0" w:rsidP="000D6AF0">
            <w:pPr>
              <w:pStyle w:val="CDIFigure-Table-TotalCentre"/>
            </w:pPr>
            <w:r w:rsidRPr="000D6AF0">
              <w:t>431</w:t>
            </w:r>
          </w:p>
        </w:tc>
      </w:tr>
    </w:tbl>
    <w:p w14:paraId="7E51A5DB" w14:textId="332FF164" w:rsidR="000D6AF0" w:rsidRDefault="000D6AF0" w:rsidP="000D6AF0">
      <w:pPr>
        <w:keepLines/>
        <w:divId w:val="935526654"/>
        <w:rPr>
          <w:lang w:val="en-GB"/>
        </w:rPr>
      </w:pPr>
      <w:r w:rsidRPr="000D6AF0">
        <w:rPr>
          <w:lang w:val="en-GB"/>
        </w:rPr>
        <w:lastRenderedPageBreak/>
        <w:t xml:space="preserve">Most source cases (100/159; 63%) did not transmit to any other cases outside of their own household (Figure 1). Two thirds of cases who were the source of community transmission (66%; 38/59 source cases) were undertaking high-risk activities not associated with essential work. This includes all the source cases who transmitted to five or more </w:t>
      </w:r>
      <w:proofErr w:type="gramStart"/>
      <w:r w:rsidRPr="000D6AF0">
        <w:rPr>
          <w:lang w:val="en-GB"/>
        </w:rPr>
        <w:t>others, and</w:t>
      </w:r>
      <w:proofErr w:type="gramEnd"/>
      <w:r w:rsidRPr="000D6AF0">
        <w:rPr>
          <w:lang w:val="en-GB"/>
        </w:rPr>
        <w:t xml:space="preserve"> was largely due to social activity. Only six source cases who were stratified as low risk or no risk transmitted to anyone outside of their own household.</w:t>
      </w:r>
    </w:p>
    <w:p w14:paraId="400CBFA2" w14:textId="77777777" w:rsidR="000765A6" w:rsidRPr="000D6AF0" w:rsidRDefault="000765A6" w:rsidP="000765A6">
      <w:pPr>
        <w:divId w:val="935526654"/>
        <w:rPr>
          <w:lang w:val="en-GB"/>
        </w:rPr>
      </w:pPr>
      <w:r w:rsidRPr="000D6AF0">
        <w:rPr>
          <w:lang w:val="en-GB"/>
        </w:rPr>
        <w:t>There was a total of 29 instances of community transmission from source cases stratified as no risk, low risk or high risk (essential work-related). A summary of the circumstances surrounding each of these is shown in Table 3.</w:t>
      </w:r>
    </w:p>
    <w:p w14:paraId="6369CDC4" w14:textId="0B5A38E5" w:rsidR="000765A6" w:rsidRPr="000D6AF0" w:rsidRDefault="000765A6" w:rsidP="000765A6">
      <w:pPr>
        <w:pStyle w:val="CDIFigure-Table-Title"/>
        <w:divId w:val="935526654"/>
      </w:pPr>
      <w:r w:rsidRPr="000765A6">
        <w:t>Figure 1: Distribution of source cases by risk of community transmission, ACT Delta outbreak, 12 August – 14 September 2021</w:t>
      </w:r>
    </w:p>
    <w:p w14:paraId="4D6723DD" w14:textId="2A69C6F0" w:rsidR="000765A6" w:rsidRDefault="000765A6" w:rsidP="000765A6">
      <w:pPr>
        <w:pStyle w:val="CDIFigure-Table-ImagePlaceholder"/>
        <w:rPr>
          <w:lang w:val="en-GB"/>
        </w:rPr>
      </w:pPr>
      <w:r>
        <w:rPr>
          <w:noProof/>
          <w:lang w:val="en-GB"/>
          <w14:ligatures w14:val="none"/>
        </w:rPr>
        <w:drawing>
          <wp:inline distT="0" distB="0" distL="0" distR="0" wp14:anchorId="792290E3" wp14:editId="69663EED">
            <wp:extent cx="6120765" cy="4007485"/>
            <wp:effectExtent l="0" t="0" r="0" b="0"/>
            <wp:docPr id="498448415" name="Picture 1" descr="Stacked bar chart showing the number of source cases with one to 13 recipient cases outside of the source’s own household, by transmission risk strata. Most (n=100) source cases did not transmit to anyone outside of their household (zero recipient cases). Almost all community transmission events were from source cases in the high risk st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48415" name="Picture 1" descr="Stacked bar chart showing the number of source cases with one to 13 recipient cases outside of the source’s own household, by transmission risk strata. Most (n=100) source cases did not transmit to anyone outside of their household (zero recipient cases). Almost all community transmission events were from source cases in the high risk strata."/>
                    <pic:cNvPicPr/>
                  </pic:nvPicPr>
                  <pic:blipFill>
                    <a:blip r:embed="rId9">
                      <a:extLst>
                        <a:ext uri="{28A0092B-C50C-407E-A947-70E740481C1C}">
                          <a14:useLocalDpi xmlns:a14="http://schemas.microsoft.com/office/drawing/2010/main" val="0"/>
                        </a:ext>
                      </a:extLst>
                    </a:blip>
                    <a:stretch>
                      <a:fillRect/>
                    </a:stretch>
                  </pic:blipFill>
                  <pic:spPr>
                    <a:xfrm>
                      <a:off x="0" y="0"/>
                      <a:ext cx="6120765" cy="4007485"/>
                    </a:xfrm>
                    <a:prstGeom prst="rect">
                      <a:avLst/>
                    </a:prstGeom>
                  </pic:spPr>
                </pic:pic>
              </a:graphicData>
            </a:graphic>
          </wp:inline>
        </w:drawing>
      </w:r>
      <w:r>
        <w:rPr>
          <w:lang w:val="en-GB"/>
        </w:rPr>
        <w:br w:type="page"/>
      </w:r>
    </w:p>
    <w:p w14:paraId="5B43D51D" w14:textId="23629206" w:rsidR="00905BC8" w:rsidRDefault="000765A6" w:rsidP="000765A6">
      <w:pPr>
        <w:pStyle w:val="CDIFigure-Table-Title"/>
        <w:divId w:val="935526654"/>
      </w:pPr>
      <w:r w:rsidRPr="000765A6">
        <w:lastRenderedPageBreak/>
        <w:t>Table 3: Summary of circumstances surrounding community transmission, by risk stratum of the source case, ACT Delta outbreak, 12 August – 14 September 2021</w:t>
      </w:r>
    </w:p>
    <w:tbl>
      <w:tblPr>
        <w:tblW w:w="0" w:type="auto"/>
        <w:tblLayout w:type="fixed"/>
        <w:tblCellMar>
          <w:left w:w="0" w:type="dxa"/>
          <w:right w:w="0" w:type="dxa"/>
        </w:tblCellMar>
        <w:tblLook w:val="0000" w:firstRow="0" w:lastRow="0" w:firstColumn="0" w:lastColumn="0" w:noHBand="0" w:noVBand="0"/>
        <w:tblCaption w:val="Table 3: Summary of circumstances surrounding community transmission, by risk stratum of the source case, ACT Delta outbreak, 12 August – 14 September 2021"/>
        <w:tblDescription w:val="Table 3 shows the number dyads (source-recipient) in each of the risk strata, and describes the circumstances surrounding the transmission in each (eg between colleagues in restaurant kitchens)."/>
      </w:tblPr>
      <w:tblGrid>
        <w:gridCol w:w="1644"/>
        <w:gridCol w:w="850"/>
        <w:gridCol w:w="1701"/>
        <w:gridCol w:w="5443"/>
      </w:tblGrid>
      <w:tr w:rsidR="000765A6" w:rsidRPr="000765A6" w14:paraId="3BA2E740" w14:textId="77777777" w:rsidTr="00E91160">
        <w:tblPrEx>
          <w:tblCellMar>
            <w:top w:w="0" w:type="dxa"/>
            <w:left w:w="0" w:type="dxa"/>
            <w:bottom w:w="0" w:type="dxa"/>
            <w:right w:w="0" w:type="dxa"/>
          </w:tblCellMar>
        </w:tblPrEx>
        <w:trPr>
          <w:divId w:val="935526654"/>
          <w:trHeight w:val="20"/>
          <w:tblHeader/>
        </w:trPr>
        <w:tc>
          <w:tcPr>
            <w:tcW w:w="2494" w:type="dxa"/>
            <w:gridSpan w:val="2"/>
            <w:shd w:val="clear" w:color="auto" w:fill="033636" w:themeFill="text2"/>
            <w:tcMar>
              <w:top w:w="113" w:type="dxa"/>
              <w:left w:w="113" w:type="dxa"/>
              <w:bottom w:w="113" w:type="dxa"/>
              <w:right w:w="113" w:type="dxa"/>
            </w:tcMar>
            <w:vAlign w:val="bottom"/>
          </w:tcPr>
          <w:p w14:paraId="4C1BC553" w14:textId="77777777" w:rsidR="000765A6" w:rsidRPr="000765A6" w:rsidRDefault="000765A6" w:rsidP="00E91160">
            <w:pPr>
              <w:pStyle w:val="CDIFigure-Table-H1"/>
            </w:pPr>
            <w:r w:rsidRPr="000765A6">
              <w:t>Risk stratum</w:t>
            </w:r>
          </w:p>
        </w:tc>
        <w:tc>
          <w:tcPr>
            <w:tcW w:w="1701" w:type="dxa"/>
            <w:vMerge w:val="restart"/>
            <w:shd w:val="clear" w:color="auto" w:fill="033636" w:themeFill="text2"/>
            <w:tcMar>
              <w:top w:w="113" w:type="dxa"/>
              <w:left w:w="113" w:type="dxa"/>
              <w:bottom w:w="113" w:type="dxa"/>
              <w:right w:w="113" w:type="dxa"/>
            </w:tcMar>
            <w:vAlign w:val="bottom"/>
          </w:tcPr>
          <w:p w14:paraId="606DCF60" w14:textId="77777777" w:rsidR="000765A6" w:rsidRPr="000765A6" w:rsidRDefault="000765A6" w:rsidP="00E91160">
            <w:pPr>
              <w:pStyle w:val="CDIFigure-Table-H1"/>
            </w:pPr>
            <w:r w:rsidRPr="000765A6">
              <w:t>Source-recipient dyads (n)</w:t>
            </w:r>
          </w:p>
        </w:tc>
        <w:tc>
          <w:tcPr>
            <w:tcW w:w="5443" w:type="dxa"/>
            <w:vMerge w:val="restart"/>
            <w:shd w:val="clear" w:color="auto" w:fill="033636" w:themeFill="text2"/>
            <w:tcMar>
              <w:top w:w="113" w:type="dxa"/>
              <w:left w:w="113" w:type="dxa"/>
              <w:bottom w:w="113" w:type="dxa"/>
              <w:right w:w="113" w:type="dxa"/>
            </w:tcMar>
            <w:vAlign w:val="bottom"/>
          </w:tcPr>
          <w:p w14:paraId="6FB987FD" w14:textId="77777777" w:rsidR="000765A6" w:rsidRPr="000765A6" w:rsidRDefault="000765A6" w:rsidP="00E91160">
            <w:pPr>
              <w:pStyle w:val="CDIFigure-Table-H1Left"/>
            </w:pPr>
            <w:r w:rsidRPr="000765A6">
              <w:t>Circumstances surrounding transmission or risk category assignment</w:t>
            </w:r>
          </w:p>
        </w:tc>
      </w:tr>
      <w:tr w:rsidR="000765A6" w:rsidRPr="000765A6" w14:paraId="4DD855AE" w14:textId="77777777" w:rsidTr="00E91160">
        <w:tblPrEx>
          <w:tblCellMar>
            <w:top w:w="0" w:type="dxa"/>
            <w:left w:w="0" w:type="dxa"/>
            <w:bottom w:w="0" w:type="dxa"/>
            <w:right w:w="0" w:type="dxa"/>
          </w:tblCellMar>
        </w:tblPrEx>
        <w:trPr>
          <w:divId w:val="935526654"/>
          <w:trHeight w:val="20"/>
          <w:tblHeader/>
        </w:trPr>
        <w:tc>
          <w:tcPr>
            <w:tcW w:w="1644" w:type="dxa"/>
            <w:shd w:val="clear" w:color="auto" w:fill="033636" w:themeFill="text2"/>
            <w:tcMar>
              <w:top w:w="113" w:type="dxa"/>
              <w:left w:w="113" w:type="dxa"/>
              <w:bottom w:w="113" w:type="dxa"/>
              <w:right w:w="113" w:type="dxa"/>
            </w:tcMar>
            <w:vAlign w:val="bottom"/>
          </w:tcPr>
          <w:p w14:paraId="738E6348" w14:textId="77777777" w:rsidR="000765A6" w:rsidRPr="000765A6" w:rsidRDefault="000765A6" w:rsidP="00E91160">
            <w:pPr>
              <w:pStyle w:val="CDIFigure-Table-H1Left"/>
            </w:pPr>
            <w:r w:rsidRPr="000765A6">
              <w:t>Category</w:t>
            </w:r>
          </w:p>
        </w:tc>
        <w:tc>
          <w:tcPr>
            <w:tcW w:w="850" w:type="dxa"/>
            <w:shd w:val="clear" w:color="auto" w:fill="033636" w:themeFill="text2"/>
            <w:tcMar>
              <w:top w:w="113" w:type="dxa"/>
              <w:left w:w="113" w:type="dxa"/>
              <w:bottom w:w="113" w:type="dxa"/>
              <w:right w:w="113" w:type="dxa"/>
            </w:tcMar>
            <w:vAlign w:val="bottom"/>
          </w:tcPr>
          <w:p w14:paraId="3883A39D" w14:textId="77777777" w:rsidR="000765A6" w:rsidRPr="000765A6" w:rsidRDefault="000765A6" w:rsidP="00E91160">
            <w:pPr>
              <w:pStyle w:val="CDIFigure-Table-H1"/>
            </w:pPr>
            <w:r w:rsidRPr="000765A6">
              <w:t>Total</w:t>
            </w:r>
          </w:p>
        </w:tc>
        <w:tc>
          <w:tcPr>
            <w:tcW w:w="1701" w:type="dxa"/>
            <w:vMerge/>
            <w:shd w:val="clear" w:color="auto" w:fill="033636" w:themeFill="text2"/>
          </w:tcPr>
          <w:p w14:paraId="2D288B96" w14:textId="77777777" w:rsidR="000765A6" w:rsidRPr="000765A6" w:rsidRDefault="000765A6" w:rsidP="000765A6"/>
        </w:tc>
        <w:tc>
          <w:tcPr>
            <w:tcW w:w="5443" w:type="dxa"/>
            <w:vMerge/>
            <w:shd w:val="clear" w:color="auto" w:fill="033636" w:themeFill="text2"/>
          </w:tcPr>
          <w:p w14:paraId="077FD343" w14:textId="77777777" w:rsidR="000765A6" w:rsidRPr="000765A6" w:rsidRDefault="000765A6" w:rsidP="000765A6"/>
        </w:tc>
      </w:tr>
      <w:tr w:rsidR="000765A6" w:rsidRPr="000765A6" w14:paraId="3D5E70C9" w14:textId="77777777" w:rsidTr="00E91160">
        <w:tblPrEx>
          <w:tblCellMar>
            <w:top w:w="0" w:type="dxa"/>
            <w:left w:w="0" w:type="dxa"/>
            <w:bottom w:w="0" w:type="dxa"/>
            <w:right w:w="0" w:type="dxa"/>
          </w:tblCellMar>
        </w:tblPrEx>
        <w:trPr>
          <w:divId w:val="935526654"/>
          <w:trHeight w:val="20"/>
        </w:trPr>
        <w:tc>
          <w:tcPr>
            <w:tcW w:w="1644"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F5BD1B8" w14:textId="77777777" w:rsidR="000765A6" w:rsidRPr="000765A6" w:rsidRDefault="000765A6" w:rsidP="00E91160">
            <w:pPr>
              <w:pStyle w:val="CDIFigure-Table-BodyTextLeft"/>
            </w:pPr>
            <w:r w:rsidRPr="000765A6">
              <w:t>No risk</w:t>
            </w:r>
          </w:p>
        </w:tc>
        <w:tc>
          <w:tcPr>
            <w:tcW w:w="850" w:type="dxa"/>
            <w:tcBorders>
              <w:bottom w:val="single" w:sz="4" w:space="0" w:color="033636" w:themeColor="text2"/>
            </w:tcBorders>
            <w:tcMar>
              <w:top w:w="113" w:type="dxa"/>
              <w:left w:w="113" w:type="dxa"/>
              <w:bottom w:w="113" w:type="dxa"/>
              <w:right w:w="113" w:type="dxa"/>
            </w:tcMar>
            <w:vAlign w:val="center"/>
          </w:tcPr>
          <w:p w14:paraId="00897410" w14:textId="77777777" w:rsidR="000765A6" w:rsidRPr="000765A6" w:rsidRDefault="000765A6" w:rsidP="00E91160">
            <w:pPr>
              <w:pStyle w:val="CDIFigure-Table-BodyTextCentre"/>
            </w:pPr>
            <w:r w:rsidRPr="000765A6">
              <w:t>2</w:t>
            </w:r>
          </w:p>
        </w:tc>
        <w:tc>
          <w:tcPr>
            <w:tcW w:w="1701" w:type="dxa"/>
            <w:tcBorders>
              <w:bottom w:val="single" w:sz="4" w:space="0" w:color="033636" w:themeColor="text2"/>
            </w:tcBorders>
            <w:tcMar>
              <w:top w:w="113" w:type="dxa"/>
              <w:left w:w="113" w:type="dxa"/>
              <w:bottom w:w="113" w:type="dxa"/>
              <w:right w:w="113" w:type="dxa"/>
            </w:tcMar>
            <w:vAlign w:val="center"/>
          </w:tcPr>
          <w:p w14:paraId="343632CD" w14:textId="77777777" w:rsidR="000765A6" w:rsidRPr="000765A6" w:rsidRDefault="000765A6" w:rsidP="00E91160">
            <w:pPr>
              <w:pStyle w:val="CDIFigure-Table-BodyTextCentre"/>
            </w:pPr>
            <w:r w:rsidRPr="000765A6">
              <w:t>2</w:t>
            </w:r>
          </w:p>
        </w:tc>
        <w:tc>
          <w:tcPr>
            <w:tcW w:w="5443" w:type="dxa"/>
            <w:tcBorders>
              <w:bottom w:val="single" w:sz="4" w:space="0" w:color="033636" w:themeColor="text2"/>
            </w:tcBorders>
            <w:tcMar>
              <w:top w:w="113" w:type="dxa"/>
              <w:left w:w="113" w:type="dxa"/>
              <w:bottom w:w="113" w:type="dxa"/>
              <w:right w:w="113" w:type="dxa"/>
            </w:tcMar>
            <w:vAlign w:val="center"/>
          </w:tcPr>
          <w:p w14:paraId="1E47A3AA" w14:textId="77777777" w:rsidR="000765A6" w:rsidRPr="000765A6" w:rsidRDefault="000765A6" w:rsidP="00E91160">
            <w:pPr>
              <w:pStyle w:val="CDIFigure-Table-BodyTextLeft"/>
            </w:pPr>
            <w:r w:rsidRPr="000765A6">
              <w:t>The most likely transmission event occurred before the source case’s recorded infectious period. Discrepancy may be due to uncertainty regarding onset date</w:t>
            </w:r>
          </w:p>
        </w:tc>
      </w:tr>
      <w:tr w:rsidR="000765A6" w:rsidRPr="000765A6" w14:paraId="79656F47" w14:textId="77777777" w:rsidTr="00E91160">
        <w:tblPrEx>
          <w:tblCellMar>
            <w:top w:w="0" w:type="dxa"/>
            <w:left w:w="0" w:type="dxa"/>
            <w:bottom w:w="0" w:type="dxa"/>
            <w:right w:w="0" w:type="dxa"/>
          </w:tblCellMar>
        </w:tblPrEx>
        <w:trPr>
          <w:divId w:val="935526654"/>
          <w:trHeight w:val="20"/>
        </w:trPr>
        <w:tc>
          <w:tcPr>
            <w:tcW w:w="164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B199DCE" w14:textId="77777777" w:rsidR="000765A6" w:rsidRPr="000765A6" w:rsidRDefault="000765A6" w:rsidP="00E91160">
            <w:pPr>
              <w:pStyle w:val="CDIFigure-Table-BodyTextLeft"/>
            </w:pPr>
            <w:r w:rsidRPr="000765A6">
              <w:t>Low risk</w:t>
            </w:r>
          </w:p>
        </w:tc>
        <w:tc>
          <w:tcPr>
            <w:tcW w:w="850"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50C7D4A2" w14:textId="77777777" w:rsidR="000765A6" w:rsidRPr="000765A6" w:rsidRDefault="000765A6" w:rsidP="00E91160">
            <w:pPr>
              <w:pStyle w:val="CDIFigure-Table-BodyTextCentre"/>
            </w:pPr>
            <w:r w:rsidRPr="000765A6">
              <w:t>6</w:t>
            </w:r>
          </w:p>
        </w:tc>
        <w:tc>
          <w:tcPr>
            <w:tcW w:w="1701" w:type="dxa"/>
            <w:tcBorders>
              <w:top w:val="single" w:sz="4" w:space="0" w:color="033636" w:themeColor="text2"/>
            </w:tcBorders>
            <w:tcMar>
              <w:top w:w="113" w:type="dxa"/>
              <w:left w:w="113" w:type="dxa"/>
              <w:bottom w:w="113" w:type="dxa"/>
              <w:right w:w="113" w:type="dxa"/>
            </w:tcMar>
            <w:vAlign w:val="center"/>
          </w:tcPr>
          <w:p w14:paraId="1D351ACD" w14:textId="77777777" w:rsidR="000765A6" w:rsidRPr="000765A6" w:rsidRDefault="000765A6" w:rsidP="00E91160">
            <w:pPr>
              <w:pStyle w:val="CDIFigure-Table-BodyTextCentre"/>
            </w:pPr>
            <w:r w:rsidRPr="000765A6">
              <w:t>5</w:t>
            </w:r>
          </w:p>
        </w:tc>
        <w:tc>
          <w:tcPr>
            <w:tcW w:w="5443" w:type="dxa"/>
            <w:tcBorders>
              <w:top w:val="single" w:sz="4" w:space="0" w:color="033636" w:themeColor="text2"/>
            </w:tcBorders>
            <w:tcMar>
              <w:top w:w="113" w:type="dxa"/>
              <w:left w:w="113" w:type="dxa"/>
              <w:bottom w:w="113" w:type="dxa"/>
              <w:right w:w="113" w:type="dxa"/>
            </w:tcMar>
            <w:vAlign w:val="center"/>
          </w:tcPr>
          <w:p w14:paraId="1951FD0C" w14:textId="649E6B9B" w:rsidR="000765A6" w:rsidRPr="000765A6" w:rsidRDefault="000765A6" w:rsidP="00E91160">
            <w:pPr>
              <w:pStyle w:val="CDIFigure-Table-BodyTextLeft"/>
            </w:pPr>
            <w:r w:rsidRPr="000765A6">
              <w:t xml:space="preserve">At initial interview the source case did not report high risk movements that were identified during later interviews (visiting others in their </w:t>
            </w:r>
            <w:proofErr w:type="gramStart"/>
            <w:r w:rsidRPr="000765A6">
              <w:t>homes;</w:t>
            </w:r>
            <w:proofErr w:type="gramEnd"/>
            <w:r w:rsidRPr="000765A6">
              <w:t xml:space="preserve"> working). This includes one case who transmitted to a rideshare driver on the way to visiting someone else in their home</w:t>
            </w:r>
          </w:p>
        </w:tc>
      </w:tr>
      <w:tr w:rsidR="000765A6" w:rsidRPr="000765A6" w14:paraId="230F64E5" w14:textId="77777777" w:rsidTr="00E91160">
        <w:tblPrEx>
          <w:tblCellMar>
            <w:top w:w="0" w:type="dxa"/>
            <w:left w:w="0" w:type="dxa"/>
            <w:bottom w:w="0" w:type="dxa"/>
            <w:right w:w="0" w:type="dxa"/>
          </w:tblCellMar>
        </w:tblPrEx>
        <w:trPr>
          <w:divId w:val="935526654"/>
          <w:trHeight w:val="20"/>
        </w:trPr>
        <w:tc>
          <w:tcPr>
            <w:tcW w:w="1644" w:type="dxa"/>
            <w:vMerge/>
            <w:tcBorders>
              <w:bottom w:val="single" w:sz="4" w:space="0" w:color="033636" w:themeColor="text2"/>
            </w:tcBorders>
            <w:shd w:val="clear" w:color="auto" w:fill="C5FFEF" w:themeFill="background2" w:themeFillTint="33"/>
          </w:tcPr>
          <w:p w14:paraId="436AE04B" w14:textId="77777777" w:rsidR="000765A6" w:rsidRPr="000765A6" w:rsidRDefault="000765A6" w:rsidP="00E91160">
            <w:pPr>
              <w:pStyle w:val="CDIFigure-Table-BodyTextLeft"/>
            </w:pPr>
          </w:p>
        </w:tc>
        <w:tc>
          <w:tcPr>
            <w:tcW w:w="850" w:type="dxa"/>
            <w:vMerge/>
            <w:tcBorders>
              <w:bottom w:val="single" w:sz="4" w:space="0" w:color="033636" w:themeColor="text2"/>
            </w:tcBorders>
          </w:tcPr>
          <w:p w14:paraId="762B6D7E" w14:textId="77777777" w:rsidR="000765A6" w:rsidRPr="000765A6" w:rsidRDefault="000765A6" w:rsidP="00E91160">
            <w:pPr>
              <w:pStyle w:val="CDIFigure-Table-BodyTextCentre"/>
            </w:pPr>
          </w:p>
        </w:tc>
        <w:tc>
          <w:tcPr>
            <w:tcW w:w="1701" w:type="dxa"/>
            <w:tcBorders>
              <w:bottom w:val="single" w:sz="4" w:space="0" w:color="033636" w:themeColor="text2"/>
            </w:tcBorders>
            <w:tcMar>
              <w:top w:w="113" w:type="dxa"/>
              <w:left w:w="113" w:type="dxa"/>
              <w:bottom w:w="113" w:type="dxa"/>
              <w:right w:w="113" w:type="dxa"/>
            </w:tcMar>
            <w:vAlign w:val="center"/>
          </w:tcPr>
          <w:p w14:paraId="7B146937" w14:textId="77777777" w:rsidR="000765A6" w:rsidRPr="000765A6" w:rsidRDefault="000765A6" w:rsidP="00E91160">
            <w:pPr>
              <w:pStyle w:val="CDIFigure-Table-BodyTextCentre"/>
            </w:pPr>
            <w:r w:rsidRPr="000765A6">
              <w:t>1</w:t>
            </w:r>
          </w:p>
        </w:tc>
        <w:tc>
          <w:tcPr>
            <w:tcW w:w="5443" w:type="dxa"/>
            <w:tcBorders>
              <w:bottom w:val="single" w:sz="4" w:space="0" w:color="033636" w:themeColor="text2"/>
            </w:tcBorders>
            <w:tcMar>
              <w:top w:w="113" w:type="dxa"/>
              <w:left w:w="113" w:type="dxa"/>
              <w:bottom w:w="113" w:type="dxa"/>
              <w:right w:w="113" w:type="dxa"/>
            </w:tcMar>
            <w:vAlign w:val="center"/>
          </w:tcPr>
          <w:p w14:paraId="5915594B" w14:textId="77777777" w:rsidR="000765A6" w:rsidRPr="000765A6" w:rsidRDefault="000765A6" w:rsidP="00E91160">
            <w:pPr>
              <w:pStyle w:val="CDIFigure-Table-BodyTextLeft"/>
            </w:pPr>
            <w:r w:rsidRPr="000765A6">
              <w:t>Stepsiblings whose household arrangement could reasonably be classified as sharing a household</w:t>
            </w:r>
          </w:p>
        </w:tc>
      </w:tr>
      <w:tr w:rsidR="000765A6" w:rsidRPr="000765A6" w14:paraId="0C9E166F" w14:textId="77777777" w:rsidTr="00E91160">
        <w:tblPrEx>
          <w:tblCellMar>
            <w:top w:w="0" w:type="dxa"/>
            <w:left w:w="0" w:type="dxa"/>
            <w:bottom w:w="0" w:type="dxa"/>
            <w:right w:w="0" w:type="dxa"/>
          </w:tblCellMar>
        </w:tblPrEx>
        <w:trPr>
          <w:divId w:val="935526654"/>
          <w:trHeight w:val="20"/>
        </w:trPr>
        <w:tc>
          <w:tcPr>
            <w:tcW w:w="164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09E6615" w14:textId="77777777" w:rsidR="000765A6" w:rsidRPr="000765A6" w:rsidRDefault="000765A6" w:rsidP="00E91160">
            <w:pPr>
              <w:pStyle w:val="CDIFigure-Table-BodyTextLeft"/>
            </w:pPr>
            <w:r w:rsidRPr="000765A6">
              <w:t>High risk (essential work-related)</w:t>
            </w:r>
          </w:p>
        </w:tc>
        <w:tc>
          <w:tcPr>
            <w:tcW w:w="850"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77BEF2A4" w14:textId="77777777" w:rsidR="000765A6" w:rsidRPr="000765A6" w:rsidRDefault="000765A6" w:rsidP="00E91160">
            <w:pPr>
              <w:pStyle w:val="CDIFigure-Table-BodyTextCentre"/>
            </w:pPr>
            <w:r w:rsidRPr="000765A6">
              <w:t>21</w:t>
            </w:r>
          </w:p>
        </w:tc>
        <w:tc>
          <w:tcPr>
            <w:tcW w:w="1701" w:type="dxa"/>
            <w:tcBorders>
              <w:top w:val="single" w:sz="4" w:space="0" w:color="033636" w:themeColor="text2"/>
            </w:tcBorders>
            <w:tcMar>
              <w:top w:w="113" w:type="dxa"/>
              <w:left w:w="113" w:type="dxa"/>
              <w:bottom w:w="113" w:type="dxa"/>
              <w:right w:w="113" w:type="dxa"/>
            </w:tcMar>
            <w:vAlign w:val="center"/>
          </w:tcPr>
          <w:p w14:paraId="736F7490" w14:textId="77777777" w:rsidR="000765A6" w:rsidRPr="000765A6" w:rsidRDefault="000765A6" w:rsidP="00E91160">
            <w:pPr>
              <w:pStyle w:val="CDIFigure-Table-BodyTextCentre"/>
            </w:pPr>
            <w:r w:rsidRPr="000765A6">
              <w:t>7</w:t>
            </w:r>
          </w:p>
        </w:tc>
        <w:tc>
          <w:tcPr>
            <w:tcW w:w="5443" w:type="dxa"/>
            <w:tcBorders>
              <w:top w:val="single" w:sz="4" w:space="0" w:color="033636" w:themeColor="text2"/>
            </w:tcBorders>
            <w:tcMar>
              <w:top w:w="113" w:type="dxa"/>
              <w:left w:w="113" w:type="dxa"/>
              <w:bottom w:w="113" w:type="dxa"/>
              <w:right w:w="113" w:type="dxa"/>
            </w:tcMar>
            <w:vAlign w:val="center"/>
          </w:tcPr>
          <w:p w14:paraId="15D7A33D" w14:textId="77777777" w:rsidR="000765A6" w:rsidRPr="000765A6" w:rsidRDefault="000765A6" w:rsidP="00E91160">
            <w:pPr>
              <w:pStyle w:val="CDIFigure-Table-BodyTextLeft"/>
            </w:pPr>
            <w:r w:rsidRPr="000765A6">
              <w:t>Transmission between educators, children and parents associated with an early childhood education and care centre</w:t>
            </w:r>
          </w:p>
        </w:tc>
      </w:tr>
      <w:tr w:rsidR="000765A6" w:rsidRPr="000765A6" w14:paraId="5DC4642D" w14:textId="77777777" w:rsidTr="00E91160">
        <w:tblPrEx>
          <w:tblCellMar>
            <w:top w:w="0" w:type="dxa"/>
            <w:left w:w="0" w:type="dxa"/>
            <w:bottom w:w="0" w:type="dxa"/>
            <w:right w:w="0" w:type="dxa"/>
          </w:tblCellMar>
        </w:tblPrEx>
        <w:trPr>
          <w:divId w:val="935526654"/>
          <w:trHeight w:val="20"/>
        </w:trPr>
        <w:tc>
          <w:tcPr>
            <w:tcW w:w="1644" w:type="dxa"/>
            <w:vMerge/>
            <w:tcBorders>
              <w:bottom w:val="single" w:sz="4" w:space="0" w:color="033636" w:themeColor="text2"/>
            </w:tcBorders>
            <w:shd w:val="clear" w:color="auto" w:fill="C5FFEF" w:themeFill="background2" w:themeFillTint="33"/>
          </w:tcPr>
          <w:p w14:paraId="27CF4770" w14:textId="77777777" w:rsidR="000765A6" w:rsidRPr="000765A6" w:rsidRDefault="000765A6" w:rsidP="000765A6"/>
        </w:tc>
        <w:tc>
          <w:tcPr>
            <w:tcW w:w="850" w:type="dxa"/>
            <w:vMerge/>
            <w:tcBorders>
              <w:bottom w:val="single" w:sz="4" w:space="0" w:color="033636" w:themeColor="text2"/>
            </w:tcBorders>
          </w:tcPr>
          <w:p w14:paraId="55F4667B" w14:textId="77777777" w:rsidR="000765A6" w:rsidRPr="000765A6" w:rsidRDefault="000765A6" w:rsidP="00E91160">
            <w:pPr>
              <w:pStyle w:val="CDIFigure-Table-BodyTextCentre"/>
            </w:pPr>
          </w:p>
        </w:tc>
        <w:tc>
          <w:tcPr>
            <w:tcW w:w="1701" w:type="dxa"/>
            <w:tcMar>
              <w:top w:w="113" w:type="dxa"/>
              <w:left w:w="113" w:type="dxa"/>
              <w:bottom w:w="113" w:type="dxa"/>
              <w:right w:w="113" w:type="dxa"/>
            </w:tcMar>
            <w:vAlign w:val="center"/>
          </w:tcPr>
          <w:p w14:paraId="1C0C71E0" w14:textId="77777777" w:rsidR="000765A6" w:rsidRPr="000765A6" w:rsidRDefault="000765A6" w:rsidP="00E91160">
            <w:pPr>
              <w:pStyle w:val="CDIFigure-Table-BodyTextCentre"/>
            </w:pPr>
            <w:r w:rsidRPr="000765A6">
              <w:t>4</w:t>
            </w:r>
          </w:p>
        </w:tc>
        <w:tc>
          <w:tcPr>
            <w:tcW w:w="5443" w:type="dxa"/>
            <w:tcMar>
              <w:top w:w="113" w:type="dxa"/>
              <w:left w:w="113" w:type="dxa"/>
              <w:bottom w:w="113" w:type="dxa"/>
              <w:right w:w="113" w:type="dxa"/>
            </w:tcMar>
            <w:vAlign w:val="center"/>
          </w:tcPr>
          <w:p w14:paraId="24795526" w14:textId="77777777" w:rsidR="000765A6" w:rsidRPr="000765A6" w:rsidRDefault="000765A6" w:rsidP="00E91160">
            <w:pPr>
              <w:pStyle w:val="CDIFigure-Table-BodyTextLeft"/>
            </w:pPr>
            <w:r w:rsidRPr="000765A6">
              <w:t>Transmission between disability care workers and clients in clients’ homes</w:t>
            </w:r>
          </w:p>
        </w:tc>
      </w:tr>
      <w:tr w:rsidR="000765A6" w:rsidRPr="000765A6" w14:paraId="34002D7B" w14:textId="77777777" w:rsidTr="00E91160">
        <w:tblPrEx>
          <w:tblCellMar>
            <w:top w:w="0" w:type="dxa"/>
            <w:left w:w="0" w:type="dxa"/>
            <w:bottom w:w="0" w:type="dxa"/>
            <w:right w:w="0" w:type="dxa"/>
          </w:tblCellMar>
        </w:tblPrEx>
        <w:trPr>
          <w:divId w:val="935526654"/>
          <w:trHeight w:val="20"/>
        </w:trPr>
        <w:tc>
          <w:tcPr>
            <w:tcW w:w="1644" w:type="dxa"/>
            <w:vMerge/>
            <w:tcBorders>
              <w:bottom w:val="single" w:sz="4" w:space="0" w:color="033636" w:themeColor="text2"/>
            </w:tcBorders>
            <w:shd w:val="clear" w:color="auto" w:fill="C5FFEF" w:themeFill="background2" w:themeFillTint="33"/>
          </w:tcPr>
          <w:p w14:paraId="5243F63A" w14:textId="77777777" w:rsidR="000765A6" w:rsidRPr="000765A6" w:rsidRDefault="000765A6" w:rsidP="000765A6"/>
        </w:tc>
        <w:tc>
          <w:tcPr>
            <w:tcW w:w="850" w:type="dxa"/>
            <w:vMerge/>
            <w:tcBorders>
              <w:bottom w:val="single" w:sz="4" w:space="0" w:color="033636" w:themeColor="text2"/>
            </w:tcBorders>
          </w:tcPr>
          <w:p w14:paraId="1449EDC8" w14:textId="77777777" w:rsidR="000765A6" w:rsidRPr="000765A6" w:rsidRDefault="000765A6" w:rsidP="00E91160">
            <w:pPr>
              <w:pStyle w:val="CDIFigure-Table-BodyTextCentre"/>
            </w:pPr>
          </w:p>
        </w:tc>
        <w:tc>
          <w:tcPr>
            <w:tcW w:w="1701" w:type="dxa"/>
            <w:tcMar>
              <w:top w:w="113" w:type="dxa"/>
              <w:left w:w="113" w:type="dxa"/>
              <w:bottom w:w="113" w:type="dxa"/>
              <w:right w:w="113" w:type="dxa"/>
            </w:tcMar>
            <w:vAlign w:val="center"/>
          </w:tcPr>
          <w:p w14:paraId="7333DBE8" w14:textId="77777777" w:rsidR="000765A6" w:rsidRPr="000765A6" w:rsidRDefault="000765A6" w:rsidP="00E91160">
            <w:pPr>
              <w:pStyle w:val="CDIFigure-Table-BodyTextCentre"/>
            </w:pPr>
            <w:r w:rsidRPr="000765A6">
              <w:t>4</w:t>
            </w:r>
          </w:p>
        </w:tc>
        <w:tc>
          <w:tcPr>
            <w:tcW w:w="5443" w:type="dxa"/>
            <w:tcMar>
              <w:top w:w="113" w:type="dxa"/>
              <w:left w:w="113" w:type="dxa"/>
              <w:bottom w:w="113" w:type="dxa"/>
              <w:right w:w="113" w:type="dxa"/>
            </w:tcMar>
            <w:vAlign w:val="center"/>
          </w:tcPr>
          <w:p w14:paraId="278853B6" w14:textId="77777777" w:rsidR="000765A6" w:rsidRPr="000765A6" w:rsidRDefault="000765A6" w:rsidP="00E91160">
            <w:pPr>
              <w:pStyle w:val="CDIFigure-Table-BodyTextLeft"/>
            </w:pPr>
            <w:r w:rsidRPr="000765A6">
              <w:t>Transmission between colleagues in restaurant kitchens</w:t>
            </w:r>
          </w:p>
        </w:tc>
      </w:tr>
      <w:tr w:rsidR="000765A6" w:rsidRPr="000765A6" w14:paraId="7D6EB5A1" w14:textId="77777777" w:rsidTr="00E91160">
        <w:tblPrEx>
          <w:tblCellMar>
            <w:top w:w="0" w:type="dxa"/>
            <w:left w:w="0" w:type="dxa"/>
            <w:bottom w:w="0" w:type="dxa"/>
            <w:right w:w="0" w:type="dxa"/>
          </w:tblCellMar>
        </w:tblPrEx>
        <w:trPr>
          <w:divId w:val="935526654"/>
          <w:trHeight w:val="20"/>
        </w:trPr>
        <w:tc>
          <w:tcPr>
            <w:tcW w:w="1644" w:type="dxa"/>
            <w:vMerge/>
            <w:tcBorders>
              <w:bottom w:val="single" w:sz="4" w:space="0" w:color="033636" w:themeColor="text2"/>
            </w:tcBorders>
            <w:shd w:val="clear" w:color="auto" w:fill="C5FFEF" w:themeFill="background2" w:themeFillTint="33"/>
          </w:tcPr>
          <w:p w14:paraId="05DDA2A7" w14:textId="77777777" w:rsidR="000765A6" w:rsidRPr="000765A6" w:rsidRDefault="000765A6" w:rsidP="000765A6"/>
        </w:tc>
        <w:tc>
          <w:tcPr>
            <w:tcW w:w="850" w:type="dxa"/>
            <w:vMerge/>
            <w:tcBorders>
              <w:bottom w:val="single" w:sz="4" w:space="0" w:color="033636" w:themeColor="text2"/>
            </w:tcBorders>
          </w:tcPr>
          <w:p w14:paraId="22B5816A" w14:textId="77777777" w:rsidR="000765A6" w:rsidRPr="000765A6" w:rsidRDefault="000765A6" w:rsidP="00E91160">
            <w:pPr>
              <w:pStyle w:val="CDIFigure-Table-BodyTextCentre"/>
            </w:pPr>
          </w:p>
        </w:tc>
        <w:tc>
          <w:tcPr>
            <w:tcW w:w="1701" w:type="dxa"/>
            <w:tcMar>
              <w:top w:w="113" w:type="dxa"/>
              <w:left w:w="113" w:type="dxa"/>
              <w:bottom w:w="113" w:type="dxa"/>
              <w:right w:w="113" w:type="dxa"/>
            </w:tcMar>
            <w:vAlign w:val="center"/>
          </w:tcPr>
          <w:p w14:paraId="28328172" w14:textId="77777777" w:rsidR="000765A6" w:rsidRPr="000765A6" w:rsidRDefault="000765A6" w:rsidP="00E91160">
            <w:pPr>
              <w:pStyle w:val="CDIFigure-Table-BodyTextCentre"/>
            </w:pPr>
            <w:r w:rsidRPr="000765A6">
              <w:t>2</w:t>
            </w:r>
          </w:p>
        </w:tc>
        <w:tc>
          <w:tcPr>
            <w:tcW w:w="5443" w:type="dxa"/>
            <w:tcMar>
              <w:top w:w="113" w:type="dxa"/>
              <w:left w:w="113" w:type="dxa"/>
              <w:bottom w:w="113" w:type="dxa"/>
              <w:right w:w="113" w:type="dxa"/>
            </w:tcMar>
            <w:vAlign w:val="center"/>
          </w:tcPr>
          <w:p w14:paraId="349CC643" w14:textId="77777777" w:rsidR="000765A6" w:rsidRPr="000765A6" w:rsidRDefault="000765A6" w:rsidP="00E91160">
            <w:pPr>
              <w:pStyle w:val="CDIFigure-Table-BodyTextLeft"/>
            </w:pPr>
            <w:r w:rsidRPr="000765A6">
              <w:t>Transmission between essential construction workers</w:t>
            </w:r>
          </w:p>
        </w:tc>
      </w:tr>
      <w:tr w:rsidR="000765A6" w:rsidRPr="000765A6" w14:paraId="2BAD0E71" w14:textId="77777777" w:rsidTr="00E91160">
        <w:tblPrEx>
          <w:tblCellMar>
            <w:top w:w="0" w:type="dxa"/>
            <w:left w:w="0" w:type="dxa"/>
            <w:bottom w:w="0" w:type="dxa"/>
            <w:right w:w="0" w:type="dxa"/>
          </w:tblCellMar>
        </w:tblPrEx>
        <w:trPr>
          <w:divId w:val="935526654"/>
          <w:trHeight w:val="20"/>
        </w:trPr>
        <w:tc>
          <w:tcPr>
            <w:tcW w:w="1644" w:type="dxa"/>
            <w:vMerge/>
            <w:tcBorders>
              <w:bottom w:val="single" w:sz="4" w:space="0" w:color="033636" w:themeColor="text2"/>
            </w:tcBorders>
            <w:shd w:val="clear" w:color="auto" w:fill="C5FFEF" w:themeFill="background2" w:themeFillTint="33"/>
          </w:tcPr>
          <w:p w14:paraId="1B3AD1A9" w14:textId="77777777" w:rsidR="000765A6" w:rsidRPr="000765A6" w:rsidRDefault="000765A6" w:rsidP="000765A6"/>
        </w:tc>
        <w:tc>
          <w:tcPr>
            <w:tcW w:w="850" w:type="dxa"/>
            <w:vMerge/>
            <w:tcBorders>
              <w:bottom w:val="single" w:sz="4" w:space="0" w:color="033636" w:themeColor="text2"/>
            </w:tcBorders>
          </w:tcPr>
          <w:p w14:paraId="3A89F0B9" w14:textId="77777777" w:rsidR="000765A6" w:rsidRPr="000765A6" w:rsidRDefault="000765A6" w:rsidP="00E91160">
            <w:pPr>
              <w:pStyle w:val="CDIFigure-Table-BodyTextCentre"/>
            </w:pPr>
          </w:p>
        </w:tc>
        <w:tc>
          <w:tcPr>
            <w:tcW w:w="1701" w:type="dxa"/>
            <w:tcMar>
              <w:top w:w="113" w:type="dxa"/>
              <w:left w:w="113" w:type="dxa"/>
              <w:bottom w:w="113" w:type="dxa"/>
              <w:right w:w="113" w:type="dxa"/>
            </w:tcMar>
            <w:vAlign w:val="center"/>
          </w:tcPr>
          <w:p w14:paraId="58E4C91D" w14:textId="77777777" w:rsidR="000765A6" w:rsidRPr="000765A6" w:rsidRDefault="000765A6" w:rsidP="00E91160">
            <w:pPr>
              <w:pStyle w:val="CDIFigure-Table-BodyTextCentre"/>
            </w:pPr>
            <w:r w:rsidRPr="000765A6">
              <w:t>1</w:t>
            </w:r>
          </w:p>
        </w:tc>
        <w:tc>
          <w:tcPr>
            <w:tcW w:w="5443" w:type="dxa"/>
            <w:tcMar>
              <w:top w:w="113" w:type="dxa"/>
              <w:left w:w="113" w:type="dxa"/>
              <w:bottom w:w="113" w:type="dxa"/>
              <w:right w:w="113" w:type="dxa"/>
            </w:tcMar>
            <w:vAlign w:val="center"/>
          </w:tcPr>
          <w:p w14:paraId="5C044A8E" w14:textId="77777777" w:rsidR="000765A6" w:rsidRPr="000765A6" w:rsidRDefault="000765A6" w:rsidP="00E91160">
            <w:pPr>
              <w:pStyle w:val="CDIFigure-Table-BodyTextLeft"/>
            </w:pPr>
            <w:r w:rsidRPr="000765A6">
              <w:t>Transmission between colleagues working at a community pharmacy</w:t>
            </w:r>
          </w:p>
        </w:tc>
      </w:tr>
      <w:tr w:rsidR="000765A6" w:rsidRPr="000765A6" w14:paraId="6EDA9829" w14:textId="77777777" w:rsidTr="00E91160">
        <w:tblPrEx>
          <w:tblCellMar>
            <w:top w:w="0" w:type="dxa"/>
            <w:left w:w="0" w:type="dxa"/>
            <w:bottom w:w="0" w:type="dxa"/>
            <w:right w:w="0" w:type="dxa"/>
          </w:tblCellMar>
        </w:tblPrEx>
        <w:trPr>
          <w:divId w:val="935526654"/>
          <w:trHeight w:val="20"/>
        </w:trPr>
        <w:tc>
          <w:tcPr>
            <w:tcW w:w="1644" w:type="dxa"/>
            <w:vMerge/>
            <w:tcBorders>
              <w:bottom w:val="single" w:sz="4" w:space="0" w:color="033636" w:themeColor="text2"/>
            </w:tcBorders>
            <w:shd w:val="clear" w:color="auto" w:fill="C5FFEF" w:themeFill="background2" w:themeFillTint="33"/>
          </w:tcPr>
          <w:p w14:paraId="290FCB43" w14:textId="77777777" w:rsidR="000765A6" w:rsidRPr="000765A6" w:rsidRDefault="000765A6" w:rsidP="000765A6"/>
        </w:tc>
        <w:tc>
          <w:tcPr>
            <w:tcW w:w="850" w:type="dxa"/>
            <w:vMerge/>
            <w:tcBorders>
              <w:bottom w:val="single" w:sz="4" w:space="0" w:color="033636" w:themeColor="text2"/>
            </w:tcBorders>
          </w:tcPr>
          <w:p w14:paraId="5DF58462" w14:textId="77777777" w:rsidR="000765A6" w:rsidRPr="000765A6" w:rsidRDefault="000765A6" w:rsidP="00E91160">
            <w:pPr>
              <w:pStyle w:val="CDIFigure-Table-BodyTextCentre"/>
            </w:pPr>
          </w:p>
        </w:tc>
        <w:tc>
          <w:tcPr>
            <w:tcW w:w="1701" w:type="dxa"/>
            <w:tcMar>
              <w:top w:w="113" w:type="dxa"/>
              <w:left w:w="113" w:type="dxa"/>
              <w:bottom w:w="113" w:type="dxa"/>
              <w:right w:w="113" w:type="dxa"/>
            </w:tcMar>
            <w:vAlign w:val="center"/>
          </w:tcPr>
          <w:p w14:paraId="2EE48289" w14:textId="77777777" w:rsidR="000765A6" w:rsidRPr="000765A6" w:rsidRDefault="000765A6" w:rsidP="00E91160">
            <w:pPr>
              <w:pStyle w:val="CDIFigure-Table-BodyTextCentre"/>
            </w:pPr>
            <w:r w:rsidRPr="000765A6">
              <w:t>1</w:t>
            </w:r>
          </w:p>
        </w:tc>
        <w:tc>
          <w:tcPr>
            <w:tcW w:w="5443" w:type="dxa"/>
            <w:tcMar>
              <w:top w:w="113" w:type="dxa"/>
              <w:left w:w="113" w:type="dxa"/>
              <w:bottom w:w="113" w:type="dxa"/>
              <w:right w:w="113" w:type="dxa"/>
            </w:tcMar>
            <w:vAlign w:val="center"/>
          </w:tcPr>
          <w:p w14:paraId="0F70A0EF" w14:textId="77777777" w:rsidR="000765A6" w:rsidRPr="000765A6" w:rsidRDefault="000765A6" w:rsidP="00E91160">
            <w:pPr>
              <w:pStyle w:val="CDIFigure-Table-BodyTextLeft"/>
            </w:pPr>
            <w:r w:rsidRPr="000765A6">
              <w:t>Transmission between driver and a passenger in a rideshare</w:t>
            </w:r>
          </w:p>
        </w:tc>
      </w:tr>
      <w:tr w:rsidR="000765A6" w:rsidRPr="000765A6" w14:paraId="770E4571" w14:textId="77777777" w:rsidTr="00E91160">
        <w:tblPrEx>
          <w:tblCellMar>
            <w:top w:w="0" w:type="dxa"/>
            <w:left w:w="0" w:type="dxa"/>
            <w:bottom w:w="0" w:type="dxa"/>
            <w:right w:w="0" w:type="dxa"/>
          </w:tblCellMar>
        </w:tblPrEx>
        <w:trPr>
          <w:divId w:val="935526654"/>
          <w:trHeight w:val="20"/>
        </w:trPr>
        <w:tc>
          <w:tcPr>
            <w:tcW w:w="1644" w:type="dxa"/>
            <w:vMerge/>
            <w:tcBorders>
              <w:bottom w:val="single" w:sz="4" w:space="0" w:color="033636" w:themeColor="text2"/>
            </w:tcBorders>
            <w:shd w:val="clear" w:color="auto" w:fill="C5FFEF" w:themeFill="background2" w:themeFillTint="33"/>
          </w:tcPr>
          <w:p w14:paraId="530C4498" w14:textId="77777777" w:rsidR="000765A6" w:rsidRPr="000765A6" w:rsidRDefault="000765A6" w:rsidP="000765A6"/>
        </w:tc>
        <w:tc>
          <w:tcPr>
            <w:tcW w:w="850" w:type="dxa"/>
            <w:vMerge/>
            <w:tcBorders>
              <w:bottom w:val="single" w:sz="4" w:space="0" w:color="033636" w:themeColor="text2"/>
            </w:tcBorders>
          </w:tcPr>
          <w:p w14:paraId="18B0640C" w14:textId="77777777" w:rsidR="000765A6" w:rsidRPr="000765A6" w:rsidRDefault="000765A6" w:rsidP="00E91160">
            <w:pPr>
              <w:pStyle w:val="CDIFigure-Table-BodyTextCentre"/>
            </w:pPr>
          </w:p>
        </w:tc>
        <w:tc>
          <w:tcPr>
            <w:tcW w:w="1701" w:type="dxa"/>
            <w:tcMar>
              <w:top w:w="113" w:type="dxa"/>
              <w:left w:w="113" w:type="dxa"/>
              <w:bottom w:w="113" w:type="dxa"/>
              <w:right w:w="113" w:type="dxa"/>
            </w:tcMar>
            <w:vAlign w:val="center"/>
          </w:tcPr>
          <w:p w14:paraId="41FAD842" w14:textId="77777777" w:rsidR="000765A6" w:rsidRPr="000765A6" w:rsidRDefault="000765A6" w:rsidP="00E91160">
            <w:pPr>
              <w:pStyle w:val="CDIFigure-Table-BodyTextCentre"/>
            </w:pPr>
            <w:r w:rsidRPr="000765A6">
              <w:t>1</w:t>
            </w:r>
          </w:p>
        </w:tc>
        <w:tc>
          <w:tcPr>
            <w:tcW w:w="5443" w:type="dxa"/>
            <w:tcMar>
              <w:top w:w="113" w:type="dxa"/>
              <w:left w:w="113" w:type="dxa"/>
              <w:bottom w:w="113" w:type="dxa"/>
              <w:right w:w="113" w:type="dxa"/>
            </w:tcMar>
            <w:vAlign w:val="center"/>
          </w:tcPr>
          <w:p w14:paraId="4F4722C8" w14:textId="77777777" w:rsidR="000765A6" w:rsidRPr="000765A6" w:rsidRDefault="000765A6" w:rsidP="00E91160">
            <w:pPr>
              <w:pStyle w:val="CDIFigure-Table-BodyTextLeft"/>
            </w:pPr>
            <w:r w:rsidRPr="000765A6">
              <w:t>An essential care visit to the recipient’s home</w:t>
            </w:r>
          </w:p>
        </w:tc>
      </w:tr>
      <w:tr w:rsidR="000765A6" w:rsidRPr="000765A6" w14:paraId="1A122C85" w14:textId="77777777" w:rsidTr="00E91160">
        <w:tblPrEx>
          <w:tblCellMar>
            <w:top w:w="0" w:type="dxa"/>
            <w:left w:w="0" w:type="dxa"/>
            <w:bottom w:w="0" w:type="dxa"/>
            <w:right w:w="0" w:type="dxa"/>
          </w:tblCellMar>
        </w:tblPrEx>
        <w:trPr>
          <w:divId w:val="935526654"/>
          <w:trHeight w:val="20"/>
        </w:trPr>
        <w:tc>
          <w:tcPr>
            <w:tcW w:w="1644" w:type="dxa"/>
            <w:vMerge/>
            <w:tcBorders>
              <w:bottom w:val="single" w:sz="4" w:space="0" w:color="033636" w:themeColor="text2"/>
            </w:tcBorders>
            <w:shd w:val="clear" w:color="auto" w:fill="C5FFEF" w:themeFill="background2" w:themeFillTint="33"/>
          </w:tcPr>
          <w:p w14:paraId="798B0ABD" w14:textId="77777777" w:rsidR="000765A6" w:rsidRPr="000765A6" w:rsidRDefault="000765A6" w:rsidP="000765A6"/>
        </w:tc>
        <w:tc>
          <w:tcPr>
            <w:tcW w:w="850" w:type="dxa"/>
            <w:vMerge/>
            <w:tcBorders>
              <w:bottom w:val="single" w:sz="4" w:space="0" w:color="033636" w:themeColor="text2"/>
            </w:tcBorders>
          </w:tcPr>
          <w:p w14:paraId="6627FD41" w14:textId="77777777" w:rsidR="000765A6" w:rsidRPr="000765A6" w:rsidRDefault="000765A6" w:rsidP="00E91160">
            <w:pPr>
              <w:pStyle w:val="CDIFigure-Table-BodyTextCentre"/>
            </w:pPr>
          </w:p>
        </w:tc>
        <w:tc>
          <w:tcPr>
            <w:tcW w:w="1701" w:type="dxa"/>
            <w:tcBorders>
              <w:bottom w:val="single" w:sz="4" w:space="0" w:color="033636" w:themeColor="text2"/>
            </w:tcBorders>
            <w:tcMar>
              <w:top w:w="113" w:type="dxa"/>
              <w:left w:w="113" w:type="dxa"/>
              <w:bottom w:w="113" w:type="dxa"/>
              <w:right w:w="113" w:type="dxa"/>
            </w:tcMar>
            <w:vAlign w:val="center"/>
          </w:tcPr>
          <w:p w14:paraId="272B858D" w14:textId="77777777" w:rsidR="000765A6" w:rsidRPr="000765A6" w:rsidRDefault="000765A6" w:rsidP="00E91160">
            <w:pPr>
              <w:pStyle w:val="CDIFigure-Table-BodyTextCentre"/>
            </w:pPr>
            <w:r w:rsidRPr="000765A6">
              <w:t>1</w:t>
            </w:r>
          </w:p>
        </w:tc>
        <w:tc>
          <w:tcPr>
            <w:tcW w:w="5443" w:type="dxa"/>
            <w:tcBorders>
              <w:bottom w:val="single" w:sz="4" w:space="0" w:color="033636" w:themeColor="text2"/>
            </w:tcBorders>
            <w:tcMar>
              <w:top w:w="113" w:type="dxa"/>
              <w:left w:w="113" w:type="dxa"/>
              <w:bottom w:w="113" w:type="dxa"/>
              <w:right w:w="113" w:type="dxa"/>
            </w:tcMar>
            <w:vAlign w:val="center"/>
          </w:tcPr>
          <w:p w14:paraId="4BAF2B05" w14:textId="77777777" w:rsidR="000765A6" w:rsidRPr="000765A6" w:rsidRDefault="000765A6" w:rsidP="00E91160">
            <w:pPr>
              <w:pStyle w:val="CDIFigure-Table-BodyTextLeft"/>
            </w:pPr>
            <w:r w:rsidRPr="000765A6">
              <w:t>Recipient and source were adult daughter and mother who interacted socially at the mother’s workplace</w:t>
            </w:r>
          </w:p>
        </w:tc>
      </w:tr>
    </w:tbl>
    <w:p w14:paraId="545399E4" w14:textId="7C07B137" w:rsidR="00905BC8" w:rsidRDefault="00905BC8" w:rsidP="00905BC8">
      <w:pPr>
        <w:pStyle w:val="Heading1"/>
        <w:divId w:val="935526654"/>
        <w:rPr>
          <w:lang w:val="en-GB"/>
        </w:rPr>
      </w:pPr>
      <w:r w:rsidRPr="00702D05">
        <w:rPr>
          <w:lang w:val="en-GB"/>
        </w:rPr>
        <w:t>Discussion</w:t>
      </w:r>
      <w:r w:rsidR="00E91160">
        <w:rPr>
          <w:lang w:val="en-GB"/>
        </w:rPr>
        <w:t xml:space="preserve"> and conclusion</w:t>
      </w:r>
    </w:p>
    <w:p w14:paraId="15D87151" w14:textId="77777777" w:rsidR="00E91160" w:rsidRPr="00E91160" w:rsidRDefault="00E91160" w:rsidP="00E91160">
      <w:pPr>
        <w:divId w:val="935526654"/>
        <w:rPr>
          <w:lang w:val="en-GB"/>
        </w:rPr>
      </w:pPr>
      <w:r w:rsidRPr="00E91160">
        <w:rPr>
          <w:lang w:val="en-GB"/>
        </w:rPr>
        <w:t>We developed a simple COVID-19 community transmission risk stratification tool for use in the early stages of an outbreak of a variant for which transmissibility was uncertain. In the ACT, application of this tool was critical in the rapid identification and reporting of the risk for ongoing community transmission. Validation of the tool against actual onward transmission provided evidence in support of the effectiveness of the public health and social measures in place. The validation results supported the ongoing use of masks while other restrictions were gradually eased from mid-October 2021.</w:t>
      </w:r>
    </w:p>
    <w:p w14:paraId="67ACA02E" w14:textId="45D260DB" w:rsidR="00E91160" w:rsidRPr="00E91160" w:rsidRDefault="00E91160" w:rsidP="00E91160">
      <w:pPr>
        <w:divId w:val="935526654"/>
        <w:rPr>
          <w:lang w:val="en-GB"/>
        </w:rPr>
      </w:pPr>
      <w:r w:rsidRPr="00E91160">
        <w:rPr>
          <w:lang w:val="en-GB"/>
        </w:rPr>
        <w:t xml:space="preserve">We found that COVID-19 cases of the Delta variant of SARS-CoV-2 stratified as low risk, when undertaking only essential shopping trips or outdoor exercise while masked, presented no risk of community transmission during the period under study. Transmission identified as being from sources stratified as high risk (essential work-related) occurred mostly between colleagues or involved people who were not required to wear masks. These findings suggest that the public health and social measures in place during the first five weeks of the Delta outbreak were largely effective, and that most community transmission was due to social activities that contravened the public health directions. Validation of our stratification for risk </w:t>
      </w:r>
      <w:r w:rsidRPr="00E91160">
        <w:rPr>
          <w:lang w:val="en-GB"/>
        </w:rPr>
        <w:lastRenderedPageBreak/>
        <w:t xml:space="preserve">of transmission was helpful in providing evidence of the effectiveness of mask </w:t>
      </w:r>
      <w:proofErr w:type="gramStart"/>
      <w:r w:rsidRPr="00E91160">
        <w:rPr>
          <w:lang w:val="en-GB"/>
        </w:rPr>
        <w:t>wearing, and</w:t>
      </w:r>
      <w:proofErr w:type="gramEnd"/>
      <w:r w:rsidRPr="00E91160">
        <w:rPr>
          <w:lang w:val="en-GB"/>
        </w:rPr>
        <w:t xml:space="preserve"> informed the staged lifting of restrictions in the ACT from October 2021. By this time, the proportion of residents aged ≥ 12 years who had received two vaccine doses exceeded 80%.</w:t>
      </w:r>
      <w:r w:rsidRPr="00E91160">
        <w:rPr>
          <w:vertAlign w:val="superscript"/>
          <w:lang w:val="en-GB"/>
        </w:rPr>
        <w:t>2</w:t>
      </w:r>
      <w:r w:rsidRPr="00E91160">
        <w:rPr>
          <w:lang w:val="en-GB"/>
        </w:rPr>
        <w:t xml:space="preserve"> The work of Hall and others</w:t>
      </w:r>
      <w:r w:rsidRPr="00E91160">
        <w:rPr>
          <w:vertAlign w:val="superscript"/>
          <w:lang w:val="en-GB"/>
        </w:rPr>
        <w:t>6</w:t>
      </w:r>
      <w:r w:rsidRPr="00E91160">
        <w:rPr>
          <w:lang w:val="en-GB"/>
        </w:rPr>
        <w:t xml:space="preserve"> has shown that, despite the community transmission that did occur, the incidence of the SARS-CoV-2 genomic lineage responsible for transmission during the first stage of the outbreak was waning by the end of the study period, and after another four weeks was no longer detected in the ACT.</w:t>
      </w:r>
    </w:p>
    <w:p w14:paraId="6489E1C5" w14:textId="77777777" w:rsidR="00E91160" w:rsidRPr="00E91160" w:rsidRDefault="00E91160" w:rsidP="00E91160">
      <w:pPr>
        <w:divId w:val="935526654"/>
        <w:rPr>
          <w:lang w:val="en-GB"/>
        </w:rPr>
      </w:pPr>
      <w:r w:rsidRPr="00E91160">
        <w:rPr>
          <w:lang w:val="en-GB"/>
        </w:rPr>
        <w:t>A key feature of the essential work-related settings where transmission occurred was mask usage. Masks were not worn by any of the children in early childhood education and care centres</w:t>
      </w:r>
      <w:r w:rsidRPr="00E91160">
        <w:rPr>
          <w:vertAlign w:val="superscript"/>
          <w:lang w:val="en-GB"/>
        </w:rPr>
        <w:t>8</w:t>
      </w:r>
      <w:r w:rsidRPr="00E91160">
        <w:rPr>
          <w:lang w:val="en-GB"/>
        </w:rPr>
        <w:t xml:space="preserve"> or by the disability care clients;</w:t>
      </w:r>
      <w:r w:rsidRPr="00E91160">
        <w:rPr>
          <w:vertAlign w:val="superscript"/>
          <w:lang w:val="en-GB"/>
        </w:rPr>
        <w:t>9</w:t>
      </w:r>
      <w:r w:rsidRPr="00E91160">
        <w:rPr>
          <w:lang w:val="en-GB"/>
        </w:rPr>
        <w:t xml:space="preserve"> and masks were removed for eating by colleagues who shared a lunchroom, and by restaurant workers who tasted food as they cooked. Work in disability and early childhood care also involved close contact between source and recipient cases. Although there was no transmission detected in healthcare, residential aged care, or correctional settings during the study period, some transmission incidents were detected in these settings during later stages of the Delta outbreak. Notable is the absence in the ACT of some high-transmission essential work settings such as meat processing facilities,</w:t>
      </w:r>
      <w:r w:rsidRPr="00E91160">
        <w:rPr>
          <w:vertAlign w:val="superscript"/>
          <w:lang w:val="en-GB"/>
        </w:rPr>
        <w:t>10</w:t>
      </w:r>
      <w:r w:rsidRPr="00E91160">
        <w:rPr>
          <w:lang w:val="en-GB"/>
        </w:rPr>
        <w:t xml:space="preserve"> which may have reduced the likelihood of community transmission.</w:t>
      </w:r>
    </w:p>
    <w:p w14:paraId="18A73356" w14:textId="77777777" w:rsidR="00E91160" w:rsidRPr="00E91160" w:rsidRDefault="00E91160" w:rsidP="00E91160">
      <w:pPr>
        <w:divId w:val="935526654"/>
        <w:rPr>
          <w:lang w:val="en-GB"/>
        </w:rPr>
      </w:pPr>
      <w:r w:rsidRPr="00E91160">
        <w:rPr>
          <w:lang w:val="en-GB"/>
        </w:rPr>
        <w:t>In our study, more than two thirds of SARS-CoV-2 cases did not transmit to anyone in any setting, while 15% of cases were responsible for around 80% of transmissions. This is similar to overdispersion estimates from larger studies for the early stages of the COVID-19 pandemic in Hong Kong</w:t>
      </w:r>
      <w:r w:rsidRPr="00E91160">
        <w:rPr>
          <w:vertAlign w:val="superscript"/>
          <w:lang w:val="en-GB"/>
        </w:rPr>
        <w:t>11</w:t>
      </w:r>
      <w:r w:rsidRPr="00E91160">
        <w:rPr>
          <w:lang w:val="en-GB"/>
        </w:rPr>
        <w:t xml:space="preserve"> and Indonesia,</w:t>
      </w:r>
      <w:r w:rsidRPr="00E91160">
        <w:rPr>
          <w:vertAlign w:val="superscript"/>
          <w:lang w:val="en-GB"/>
        </w:rPr>
        <w:t>12</w:t>
      </w:r>
      <w:r w:rsidRPr="00E91160">
        <w:rPr>
          <w:lang w:val="en-GB"/>
        </w:rPr>
        <w:t xml:space="preserve"> but is lower than an estimate for Denmark during the Delta wave (10% of cases responsible for 70–87% of transmission)</w:t>
      </w:r>
      <w:proofErr w:type="gramStart"/>
      <w:r w:rsidRPr="00E91160">
        <w:rPr>
          <w:lang w:val="en-GB"/>
        </w:rPr>
        <w:t>.</w:t>
      </w:r>
      <w:r w:rsidRPr="00E91160">
        <w:rPr>
          <w:vertAlign w:val="superscript"/>
          <w:lang w:val="en-GB"/>
        </w:rPr>
        <w:t>13</w:t>
      </w:r>
      <w:proofErr w:type="gramEnd"/>
    </w:p>
    <w:p w14:paraId="61692BE1" w14:textId="77777777" w:rsidR="00E91160" w:rsidRPr="00E91160" w:rsidRDefault="00E91160" w:rsidP="00E91160">
      <w:pPr>
        <w:divId w:val="935526654"/>
        <w:rPr>
          <w:lang w:val="en-GB"/>
        </w:rPr>
      </w:pPr>
      <w:r w:rsidRPr="00E91160">
        <w:rPr>
          <w:lang w:val="en-GB"/>
        </w:rPr>
        <w:t>This study had some limitations. We were not able to control for factors related to the source or recipient cases that may have affected transmissibility, such as viral load or vaccination status. The definitions for some risk strata were open to interpretation (</w:t>
      </w:r>
      <w:proofErr w:type="spellStart"/>
      <w:r w:rsidRPr="00E91160">
        <w:rPr>
          <w:lang w:val="en-GB"/>
        </w:rPr>
        <w:t>eg</w:t>
      </w:r>
      <w:proofErr w:type="spellEnd"/>
      <w:r w:rsidRPr="00E91160">
        <w:rPr>
          <w:lang w:val="en-GB"/>
        </w:rPr>
        <w:t xml:space="preserve"> the extent of a ‘short period’), which could have led to inconsistencies in stratification. A source case could not be identified for 161 of the cases (27.2%) notified during the period. Therefore, there may be some source cases included in the validation analysis who transmitted to more recipients than could be detected by our systems. Similarly, it is likely that recipient cases were not detected or included in the analysis because they did not present for </w:t>
      </w:r>
      <w:proofErr w:type="gramStart"/>
      <w:r w:rsidRPr="00E91160">
        <w:rPr>
          <w:lang w:val="en-GB"/>
        </w:rPr>
        <w:t>testing</w:t>
      </w:r>
      <w:proofErr w:type="gramEnd"/>
      <w:r w:rsidRPr="00E91160">
        <w:rPr>
          <w:lang w:val="en-GB"/>
        </w:rPr>
        <w:t xml:space="preserve"> or they were tested in another jurisdiction. Implementation and validation of the risk stratification tool was only feasible because we had high quality data obtained through intensive case investigation by highly trained interviewers. This exhaustive case follow up was only possible during the low-incidence phase of the outbreak. Timely genomic data was very helpful in identifying likely source </w:t>
      </w:r>
      <w:proofErr w:type="gramStart"/>
      <w:r w:rsidRPr="00E91160">
        <w:rPr>
          <w:lang w:val="en-GB"/>
        </w:rPr>
        <w:t>cases, but</w:t>
      </w:r>
      <w:proofErr w:type="gramEnd"/>
      <w:r w:rsidRPr="00E91160">
        <w:rPr>
          <w:lang w:val="en-GB"/>
        </w:rPr>
        <w:t xml:space="preserve"> may not be available in all outbreaks. </w:t>
      </w:r>
    </w:p>
    <w:p w14:paraId="14B86253" w14:textId="18BF60AD" w:rsidR="00E91160" w:rsidRDefault="00E91160" w:rsidP="00E91160">
      <w:pPr>
        <w:rPr>
          <w:lang w:val="en-GB"/>
        </w:rPr>
      </w:pPr>
      <w:r w:rsidRPr="00E91160">
        <w:rPr>
          <w:lang w:val="en-GB"/>
        </w:rPr>
        <w:t>We developed a tool to stratify cases according to a defined system of community transmission risk that reflected contemporaneous public health and social measures and that can be easily understood by the public. In the early stages of outbreaks of diseases for which the mode and ease of transmission has not yet been established, and where intensive case investigation is supported, the validation of such a stratification may be useful to understand transmission dynamics and inform interventions.</w:t>
      </w:r>
      <w:r>
        <w:rPr>
          <w:lang w:val="en-GB"/>
        </w:rPr>
        <w:br w:type="page"/>
      </w:r>
    </w:p>
    <w:p w14:paraId="7584712C" w14:textId="77777777" w:rsidR="00905BC8" w:rsidRPr="00702D05" w:rsidRDefault="00905BC8" w:rsidP="00905BC8">
      <w:pPr>
        <w:pStyle w:val="Heading1"/>
        <w:divId w:val="935526654"/>
        <w:rPr>
          <w:lang w:val="en-GB"/>
        </w:rPr>
      </w:pPr>
      <w:r>
        <w:rPr>
          <w:lang w:val="en-GB"/>
        </w:rPr>
        <w:lastRenderedPageBreak/>
        <w:t>Acknowledgments</w:t>
      </w:r>
    </w:p>
    <w:p w14:paraId="75284586" w14:textId="77777777" w:rsidR="00E91160" w:rsidRPr="00E91160" w:rsidRDefault="00E91160" w:rsidP="00E91160">
      <w:pPr>
        <w:divId w:val="935526654"/>
        <w:rPr>
          <w:lang w:val="en-GB"/>
        </w:rPr>
      </w:pPr>
      <w:r w:rsidRPr="00E91160">
        <w:rPr>
          <w:lang w:val="en-GB"/>
        </w:rPr>
        <w:t>We thank:</w:t>
      </w:r>
    </w:p>
    <w:p w14:paraId="25001733" w14:textId="77777777" w:rsidR="00E91160" w:rsidRPr="00E91160" w:rsidRDefault="00E91160" w:rsidP="00E91160">
      <w:pPr>
        <w:pStyle w:val="CDIBulletsL1"/>
        <w:divId w:val="935526654"/>
      </w:pPr>
      <w:r w:rsidRPr="00E91160">
        <w:t xml:space="preserve">the Case Investigation team in the COVID-19 Taskforce, ACT Health, for their skilful and tireless efforts in gaining high quality case </w:t>
      </w:r>
      <w:proofErr w:type="gramStart"/>
      <w:r w:rsidRPr="00E91160">
        <w:t>data;</w:t>
      </w:r>
      <w:proofErr w:type="gramEnd"/>
    </w:p>
    <w:p w14:paraId="0F86BA33" w14:textId="77777777" w:rsidR="00E91160" w:rsidRPr="00E91160" w:rsidRDefault="00E91160" w:rsidP="00E91160">
      <w:pPr>
        <w:pStyle w:val="CDIBulletsL1"/>
        <w:divId w:val="935526654"/>
      </w:pPr>
      <w:r w:rsidRPr="00E91160">
        <w:t xml:space="preserve">members of the COVID-19 Taskforce Epidemiology team, </w:t>
      </w:r>
      <w:proofErr w:type="gramStart"/>
      <w:r w:rsidRPr="00E91160">
        <w:t>including:</w:t>
      </w:r>
      <w:proofErr w:type="gramEnd"/>
      <w:r w:rsidRPr="00E91160">
        <w:t xml:space="preserve"> Yasmin </w:t>
      </w:r>
      <w:proofErr w:type="spellStart"/>
      <w:r w:rsidRPr="00E91160">
        <w:t>Lisson</w:t>
      </w:r>
      <w:proofErr w:type="spellEnd"/>
      <w:r w:rsidRPr="00E91160">
        <w:t xml:space="preserve">, Keeley Allen, </w:t>
      </w:r>
      <w:proofErr w:type="spellStart"/>
      <w:r w:rsidRPr="00E91160">
        <w:t>Algreg</w:t>
      </w:r>
      <w:proofErr w:type="spellEnd"/>
      <w:r w:rsidRPr="00E91160">
        <w:t xml:space="preserve"> Gomez, Aruna </w:t>
      </w:r>
      <w:proofErr w:type="spellStart"/>
      <w:r w:rsidRPr="00E91160">
        <w:t>Phabmixay</w:t>
      </w:r>
      <w:proofErr w:type="spellEnd"/>
      <w:r w:rsidRPr="00E91160">
        <w:t xml:space="preserve">, Leonie Williamson, Jenny Post, Christina Bareja, Dharshi Thangarajah, Siobhan St George, Ben Polkinghorne, </w:t>
      </w:r>
      <w:proofErr w:type="spellStart"/>
      <w:r w:rsidRPr="00E91160">
        <w:t>Davoud</w:t>
      </w:r>
      <w:proofErr w:type="spellEnd"/>
      <w:r w:rsidRPr="00E91160">
        <w:t xml:space="preserve"> </w:t>
      </w:r>
      <w:proofErr w:type="spellStart"/>
      <w:r w:rsidRPr="00E91160">
        <w:t>Pourmarzi</w:t>
      </w:r>
      <w:proofErr w:type="spellEnd"/>
      <w:r w:rsidRPr="00E91160">
        <w:t xml:space="preserve"> and Professor Martyn Kirk; </w:t>
      </w:r>
    </w:p>
    <w:p w14:paraId="3EA1F29F" w14:textId="77777777" w:rsidR="00E91160" w:rsidRPr="00E91160" w:rsidRDefault="00E91160" w:rsidP="00E91160">
      <w:pPr>
        <w:pStyle w:val="CDIBulletsL1"/>
        <w:divId w:val="935526654"/>
      </w:pPr>
      <w:r w:rsidRPr="00E91160">
        <w:t>Vanessa Johnston, Kerryn Coleman and staff from the COVID-19 Taskforce, ACT Health; and</w:t>
      </w:r>
    </w:p>
    <w:p w14:paraId="74F6A1BD" w14:textId="65E58B29" w:rsidR="00905BC8" w:rsidRPr="00702D05" w:rsidRDefault="00E91160" w:rsidP="00E91160">
      <w:pPr>
        <w:pStyle w:val="CDIBulletsL1"/>
        <w:divId w:val="935526654"/>
      </w:pPr>
      <w:r w:rsidRPr="00E91160">
        <w:t>laboratory staff involved in testing.</w:t>
      </w:r>
    </w:p>
    <w:p w14:paraId="34A7BA22" w14:textId="77777777" w:rsidR="00905BC8" w:rsidRDefault="00905BC8" w:rsidP="00905BC8">
      <w:pPr>
        <w:pStyle w:val="Heading1"/>
        <w:divId w:val="935526654"/>
      </w:pPr>
      <w:r>
        <w:t>Author details</w:t>
      </w:r>
    </w:p>
    <w:p w14:paraId="5C486C54" w14:textId="77777777" w:rsidR="00E91160" w:rsidRDefault="00E91160" w:rsidP="00E91160">
      <w:pPr>
        <w:divId w:val="935526654"/>
      </w:pPr>
      <w:r>
        <w:t>Ms Alexandra Marmor,</w:t>
      </w:r>
      <w:r w:rsidRPr="00E91160">
        <w:rPr>
          <w:vertAlign w:val="superscript"/>
        </w:rPr>
        <w:t>1</w:t>
      </w:r>
    </w:p>
    <w:p w14:paraId="6170CCDF" w14:textId="77777777" w:rsidR="00E91160" w:rsidRDefault="00E91160" w:rsidP="00E91160">
      <w:pPr>
        <w:pStyle w:val="Normal-lessspace"/>
        <w:divId w:val="935526654"/>
      </w:pPr>
      <w:r>
        <w:t xml:space="preserve">Mr </w:t>
      </w:r>
      <w:proofErr w:type="spellStart"/>
      <w:r>
        <w:t>Tze</w:t>
      </w:r>
      <w:proofErr w:type="spellEnd"/>
      <w:r>
        <w:t xml:space="preserve"> </w:t>
      </w:r>
      <w:proofErr w:type="spellStart"/>
      <w:r>
        <w:t>Vun</w:t>
      </w:r>
      <w:proofErr w:type="spellEnd"/>
      <w:r>
        <w:t xml:space="preserve"> Voo,</w:t>
      </w:r>
      <w:r w:rsidRPr="00E91160">
        <w:rPr>
          <w:vertAlign w:val="superscript"/>
        </w:rPr>
        <w:t>1</w:t>
      </w:r>
    </w:p>
    <w:p w14:paraId="3F70789A" w14:textId="77777777" w:rsidR="00E91160" w:rsidRDefault="00E91160" w:rsidP="00E91160">
      <w:pPr>
        <w:pStyle w:val="Normal-lessspace"/>
        <w:divId w:val="935526654"/>
      </w:pPr>
      <w:r>
        <w:t>Dr Meru Sheel,</w:t>
      </w:r>
      <w:r w:rsidRPr="00E91160">
        <w:rPr>
          <w:vertAlign w:val="superscript"/>
        </w:rPr>
        <w:t>2,3,4</w:t>
      </w:r>
    </w:p>
    <w:p w14:paraId="58CF93DF" w14:textId="77777777" w:rsidR="00E91160" w:rsidRDefault="00E91160" w:rsidP="00E91160">
      <w:pPr>
        <w:pStyle w:val="Normal-lessspace"/>
        <w:divId w:val="935526654"/>
      </w:pPr>
      <w:r>
        <w:t>Mr Timothy Sloan-Gardner,</w:t>
      </w:r>
      <w:r w:rsidRPr="00E91160">
        <w:rPr>
          <w:vertAlign w:val="superscript"/>
        </w:rPr>
        <w:t>1</w:t>
      </w:r>
    </w:p>
    <w:p w14:paraId="2E68A961" w14:textId="77777777" w:rsidR="00E91160" w:rsidRDefault="00E91160" w:rsidP="00E91160">
      <w:pPr>
        <w:pStyle w:val="Normal-lessspace"/>
        <w:divId w:val="935526654"/>
      </w:pPr>
      <w:r>
        <w:t>Dr Nevada Pingault.</w:t>
      </w:r>
      <w:r w:rsidRPr="00E91160">
        <w:rPr>
          <w:vertAlign w:val="superscript"/>
        </w:rPr>
        <w:t>1</w:t>
      </w:r>
    </w:p>
    <w:p w14:paraId="0036C024" w14:textId="77777777" w:rsidR="00E91160" w:rsidRDefault="00E91160" w:rsidP="00E91160">
      <w:pPr>
        <w:pStyle w:val="CDINumberedList1L1"/>
        <w:divId w:val="935526654"/>
      </w:pPr>
      <w:r>
        <w:t>ACT Health, Canberra, Australia.</w:t>
      </w:r>
    </w:p>
    <w:p w14:paraId="4F75C6A5" w14:textId="77777777" w:rsidR="00E91160" w:rsidRDefault="00E91160" w:rsidP="00E91160">
      <w:pPr>
        <w:pStyle w:val="CDINumberedList1L1"/>
        <w:divId w:val="935526654"/>
      </w:pPr>
      <w:r>
        <w:t>Sydney School of Public Health, University of Sydney, NSW, Australia.</w:t>
      </w:r>
    </w:p>
    <w:p w14:paraId="7452902A" w14:textId="77777777" w:rsidR="00E91160" w:rsidRDefault="00E91160" w:rsidP="00E91160">
      <w:pPr>
        <w:pStyle w:val="CDINumberedList1L1"/>
        <w:divId w:val="935526654"/>
      </w:pPr>
      <w:r>
        <w:t>Sydney Infectious Diseases Institute, Faculty of Medicine and Health, University of Sydney, NSW Australia.</w:t>
      </w:r>
    </w:p>
    <w:p w14:paraId="1E719CE3" w14:textId="77777777" w:rsidR="00E91160" w:rsidRDefault="00E91160" w:rsidP="00E91160">
      <w:pPr>
        <w:pStyle w:val="CDINumberedList1L1"/>
        <w:divId w:val="935526654"/>
      </w:pPr>
      <w:r>
        <w:t>National Centre for Epidemiology and Public Health, Australian National University, Canberra, Australia.</w:t>
      </w:r>
    </w:p>
    <w:p w14:paraId="079C6D3C" w14:textId="77777777" w:rsidR="00E91160" w:rsidRPr="00E91160" w:rsidRDefault="00E91160" w:rsidP="00E91160">
      <w:pPr>
        <w:divId w:val="935526654"/>
        <w:rPr>
          <w:rStyle w:val="Bold"/>
        </w:rPr>
      </w:pPr>
      <w:r w:rsidRPr="00E91160">
        <w:rPr>
          <w:rStyle w:val="Bold"/>
        </w:rPr>
        <w:t>Corresponding author</w:t>
      </w:r>
    </w:p>
    <w:p w14:paraId="17175630" w14:textId="77777777" w:rsidR="00E91160" w:rsidRDefault="00E91160" w:rsidP="00E91160">
      <w:pPr>
        <w:divId w:val="935526654"/>
      </w:pPr>
      <w:r>
        <w:t>Ms Alexandra Marmor</w:t>
      </w:r>
    </w:p>
    <w:p w14:paraId="75523C89" w14:textId="77777777" w:rsidR="00E91160" w:rsidRDefault="00E91160" w:rsidP="00E91160">
      <w:pPr>
        <w:pStyle w:val="Normal-lessspace"/>
        <w:divId w:val="935526654"/>
      </w:pPr>
      <w:r>
        <w:t>ACT Health</w:t>
      </w:r>
    </w:p>
    <w:p w14:paraId="6EE95073" w14:textId="77777777" w:rsidR="00E91160" w:rsidRDefault="00E91160" w:rsidP="00E91160">
      <w:pPr>
        <w:pStyle w:val="Normal-lessspace"/>
        <w:divId w:val="935526654"/>
      </w:pPr>
      <w:r>
        <w:t>Telephone: +61 2 5124 9210</w:t>
      </w:r>
    </w:p>
    <w:p w14:paraId="0D2ED5FA" w14:textId="285BE390" w:rsidR="00905BC8" w:rsidRPr="007A2D74" w:rsidRDefault="00E91160" w:rsidP="00E91160">
      <w:pPr>
        <w:pStyle w:val="Normal-lessspace"/>
        <w:divId w:val="935526654"/>
      </w:pPr>
      <w:r>
        <w:t>Email: Alexandra.Marmor@act.gov.au</w:t>
      </w:r>
      <w:r w:rsidR="00905BC8" w:rsidRPr="007A2D74">
        <w:br w:type="page"/>
      </w:r>
    </w:p>
    <w:p w14:paraId="13649E54" w14:textId="77777777" w:rsidR="00470C19" w:rsidRDefault="00470C19" w:rsidP="00470C19">
      <w:pPr>
        <w:pStyle w:val="Heading1"/>
        <w:divId w:val="935526654"/>
      </w:pPr>
      <w:r>
        <w:lastRenderedPageBreak/>
        <w:t>References</w:t>
      </w:r>
    </w:p>
    <w:p w14:paraId="17CB2654" w14:textId="77777777" w:rsidR="00E91160" w:rsidRPr="00E91160" w:rsidRDefault="00E91160" w:rsidP="00E91160">
      <w:pPr>
        <w:pStyle w:val="CDINumberedList1L1"/>
        <w:numPr>
          <w:ilvl w:val="0"/>
          <w:numId w:val="33"/>
        </w:numPr>
        <w:divId w:val="935526654"/>
      </w:pPr>
      <w:r w:rsidRPr="00E91160">
        <w:t xml:space="preserve">Australian Capital Territory Government (ACT Government). ACT COVID-19 Update – 26 August 2021. [Internet.] Canberra: ACT Government; 26 August 2021. Available from: https://www.covid19.act.gov.au/news-articles/act-covid-19-update-26august-2021. </w:t>
      </w:r>
    </w:p>
    <w:p w14:paraId="678A1DD5" w14:textId="77777777" w:rsidR="00E91160" w:rsidRPr="00E91160" w:rsidRDefault="00E91160" w:rsidP="00E91160">
      <w:pPr>
        <w:pStyle w:val="CDINumberedList1L1"/>
        <w:divId w:val="935526654"/>
      </w:pPr>
      <w:r w:rsidRPr="00E91160">
        <w:t xml:space="preserve">Sheel M, </w:t>
      </w:r>
      <w:proofErr w:type="spellStart"/>
      <w:r w:rsidRPr="00E91160">
        <w:t>Vun</w:t>
      </w:r>
      <w:proofErr w:type="spellEnd"/>
      <w:r w:rsidRPr="00E91160">
        <w:t xml:space="preserve"> Voo T, Pingault N, Sloan-Gardner TS, Marmor A, Kirk MD et al. Vaccine breakthrough infections in a highly-vaccinated Australian population during a SARS-CoV-2 Delta outbreak. </w:t>
      </w:r>
      <w:r w:rsidRPr="00F059E5">
        <w:rPr>
          <w:i/>
          <w:iCs/>
        </w:rPr>
        <w:t>Comm Dis Intell (2018)</w:t>
      </w:r>
      <w:r w:rsidRPr="00E91160">
        <w:t xml:space="preserve">. 2022;46. doi: https://doi.org/10.33321/cdi.2022.46.32. </w:t>
      </w:r>
    </w:p>
    <w:p w14:paraId="38A772DC" w14:textId="7B4CB15F" w:rsidR="00E91160" w:rsidRPr="00E91160" w:rsidRDefault="00E91160" w:rsidP="00E91160">
      <w:pPr>
        <w:pStyle w:val="CDINumberedList1L1"/>
        <w:divId w:val="935526654"/>
      </w:pPr>
      <w:r w:rsidRPr="00E91160">
        <w:t>ACT Government. COVID-19: Seven-day lockdown for the ACT. [Internet.] Canberra: ACT Government; 12 August 2021. Available from:</w:t>
      </w:r>
      <w:r w:rsidR="00F059E5">
        <w:br/>
      </w:r>
      <w:r w:rsidRPr="00E91160">
        <w:t>https://www.covid19.act.gov.au/news-articles/seven-day-lockdown-for-the-act.</w:t>
      </w:r>
    </w:p>
    <w:p w14:paraId="0AEE2CC7" w14:textId="77777777" w:rsidR="00E91160" w:rsidRPr="00E91160" w:rsidRDefault="00E91160" w:rsidP="00E91160">
      <w:pPr>
        <w:pStyle w:val="CDINumberedList1L1"/>
        <w:divId w:val="935526654"/>
      </w:pPr>
      <w:r w:rsidRPr="00E91160">
        <w:t xml:space="preserve">Australian Capital Territory Government. COVID-19: ACT COVID-19 Update – 14 September 2021. [Internet.] Canberra: ACT Government; 14 September 2021. Available from: https://www.covid19.act.gov.au/news-articles/act-covid-19-update-14-september-2021. </w:t>
      </w:r>
    </w:p>
    <w:p w14:paraId="6E389360" w14:textId="7A0D17EB" w:rsidR="00E91160" w:rsidRPr="00E91160" w:rsidRDefault="00E91160" w:rsidP="00E91160">
      <w:pPr>
        <w:pStyle w:val="CDINumberedList1L1"/>
        <w:divId w:val="935526654"/>
      </w:pPr>
      <w:r w:rsidRPr="00E91160">
        <w:t xml:space="preserve">Harris PA, Taylor </w:t>
      </w:r>
      <w:proofErr w:type="gramStart"/>
      <w:r w:rsidRPr="00E91160">
        <w:t>R ,</w:t>
      </w:r>
      <w:proofErr w:type="spellStart"/>
      <w:r w:rsidRPr="00E91160">
        <w:t>Thielke</w:t>
      </w:r>
      <w:proofErr w:type="spellEnd"/>
      <w:proofErr w:type="gramEnd"/>
      <w:r w:rsidRPr="00E91160">
        <w:t xml:space="preserve"> R, Payne J, Gonzalez N, Conde JG. Research electronic data capture (</w:t>
      </w:r>
      <w:proofErr w:type="spellStart"/>
      <w:r w:rsidRPr="00E91160">
        <w:t>REDCap</w:t>
      </w:r>
      <w:proofErr w:type="spellEnd"/>
      <w:r w:rsidRPr="00E91160">
        <w:t xml:space="preserve">) – a metadata-driven methodology and workflow process for providing translational research informatics support. </w:t>
      </w:r>
      <w:r w:rsidRPr="00F059E5">
        <w:rPr>
          <w:i/>
          <w:iCs/>
        </w:rPr>
        <w:t>J Biomed Inform</w:t>
      </w:r>
      <w:r w:rsidRPr="00E91160">
        <w:t>. 2009;42(2):377–81. doi:</w:t>
      </w:r>
      <w:r w:rsidR="00F059E5">
        <w:t> </w:t>
      </w:r>
      <w:r w:rsidRPr="00E91160">
        <w:t xml:space="preserve">https://doi.org/10.1016/j.jbi.2008.08.010. </w:t>
      </w:r>
    </w:p>
    <w:p w14:paraId="0B7AB5DA" w14:textId="77777777" w:rsidR="00E91160" w:rsidRPr="00E91160" w:rsidRDefault="00E91160" w:rsidP="00E91160">
      <w:pPr>
        <w:pStyle w:val="CDINumberedList1L1"/>
        <w:divId w:val="935526654"/>
      </w:pPr>
      <w:r w:rsidRPr="00E91160">
        <w:t xml:space="preserve">Hall RN, Jones A, </w:t>
      </w:r>
      <w:proofErr w:type="spellStart"/>
      <w:r w:rsidRPr="00E91160">
        <w:t>Crean</w:t>
      </w:r>
      <w:proofErr w:type="spellEnd"/>
      <w:r w:rsidRPr="00E91160">
        <w:t xml:space="preserve"> E, Marriott V, Pingault N, Marmor, A et al. </w:t>
      </w:r>
      <w:proofErr w:type="gramStart"/>
      <w:r w:rsidRPr="00E91160">
        <w:t>Public</w:t>
      </w:r>
      <w:proofErr w:type="gramEnd"/>
      <w:r w:rsidRPr="00E91160">
        <w:t xml:space="preserve"> health interventions successfully mitigated multiple incursions of SARS-CoV-2 Delta variant in the Australian Capital Territory. </w:t>
      </w:r>
      <w:proofErr w:type="spellStart"/>
      <w:r w:rsidRPr="00F059E5">
        <w:rPr>
          <w:i/>
          <w:iCs/>
        </w:rPr>
        <w:t>Epidemiol</w:t>
      </w:r>
      <w:proofErr w:type="spellEnd"/>
      <w:r w:rsidRPr="00F059E5">
        <w:rPr>
          <w:i/>
          <w:iCs/>
        </w:rPr>
        <w:t xml:space="preserve"> Infect</w:t>
      </w:r>
      <w:r w:rsidRPr="00E91160">
        <w:t>. 2023;</w:t>
      </w:r>
      <w:proofErr w:type="gramStart"/>
      <w:r w:rsidRPr="00E91160">
        <w:t>151:e</w:t>
      </w:r>
      <w:proofErr w:type="gramEnd"/>
      <w:r w:rsidRPr="00E91160">
        <w:t xml:space="preserve">30. doi: https://doi.org/10.1017/S0950268823000201. </w:t>
      </w:r>
    </w:p>
    <w:p w14:paraId="7D9F15ED" w14:textId="77777777" w:rsidR="00E91160" w:rsidRPr="00E91160" w:rsidRDefault="00E91160" w:rsidP="00E91160">
      <w:pPr>
        <w:pStyle w:val="CDINumberedList1L1"/>
        <w:divId w:val="935526654"/>
      </w:pPr>
      <w:r w:rsidRPr="00E91160">
        <w:t>ACT Legislation Register. Public Health Act 1997. [Legislation.] Canberra: ACT Government; 2020. Available from: http://www.legislation.act.gov.au/a/1997-69/.</w:t>
      </w:r>
    </w:p>
    <w:p w14:paraId="5B192BF8" w14:textId="77777777" w:rsidR="00E91160" w:rsidRPr="00E91160" w:rsidRDefault="00E91160" w:rsidP="00E91160">
      <w:pPr>
        <w:pStyle w:val="CDINumberedList1L1"/>
        <w:divId w:val="935526654"/>
      </w:pPr>
      <w:proofErr w:type="spellStart"/>
      <w:r w:rsidRPr="00E91160">
        <w:t>Lisson</w:t>
      </w:r>
      <w:proofErr w:type="spellEnd"/>
      <w:r w:rsidRPr="00E91160">
        <w:t xml:space="preserve"> Y, Marmor A, Gomez A, Hall R, Parry AE, Wright R et al. </w:t>
      </w:r>
      <w:proofErr w:type="spellStart"/>
      <w:r w:rsidRPr="00E91160">
        <w:t>Cohorting</w:t>
      </w:r>
      <w:proofErr w:type="spellEnd"/>
      <w:r w:rsidRPr="00E91160">
        <w:t xml:space="preserve"> children in a childcare setting: a strategy to reduce SARS-CoV-2 Delta transmission, August–September 2021. </w:t>
      </w:r>
      <w:r w:rsidRPr="00F059E5">
        <w:rPr>
          <w:i/>
          <w:iCs/>
        </w:rPr>
        <w:t>Comm Dis Intell (2018)</w:t>
      </w:r>
      <w:r w:rsidRPr="00E91160">
        <w:t>. 2023;47. doi: https://doi.org/10.33321/cdi.2023.47.22.</w:t>
      </w:r>
    </w:p>
    <w:p w14:paraId="6FB8A122" w14:textId="77777777" w:rsidR="00E91160" w:rsidRPr="00E91160" w:rsidRDefault="00E91160" w:rsidP="00E91160">
      <w:pPr>
        <w:pStyle w:val="CDINumberedList1L1"/>
        <w:divId w:val="935526654"/>
      </w:pPr>
      <w:proofErr w:type="spellStart"/>
      <w:r w:rsidRPr="00E91160">
        <w:t>Phabmixay</w:t>
      </w:r>
      <w:proofErr w:type="spellEnd"/>
      <w:r w:rsidRPr="00E91160">
        <w:t xml:space="preserve"> A, Polkinghorne B, Marmor A, Pingault N, Sloan-Gardner T, Kirk M. Lessons from a COVID-19 outbreak in the disability support sector, Australian Capital Territory, August 2021. </w:t>
      </w:r>
      <w:r w:rsidRPr="00F059E5">
        <w:rPr>
          <w:i/>
          <w:iCs/>
        </w:rPr>
        <w:t>Comm Dis Intell (2018)</w:t>
      </w:r>
      <w:r w:rsidRPr="00E91160">
        <w:t xml:space="preserve">. 2023;47. doi: https://doi.org/10.33321/cdi.2023.47.34. </w:t>
      </w:r>
    </w:p>
    <w:p w14:paraId="190A7F9A" w14:textId="77777777" w:rsidR="00E91160" w:rsidRPr="00E91160" w:rsidRDefault="00E91160" w:rsidP="00E91160">
      <w:pPr>
        <w:pStyle w:val="CDINumberedList1L1"/>
        <w:divId w:val="935526654"/>
      </w:pPr>
      <w:r w:rsidRPr="00E91160">
        <w:t xml:space="preserve">Durand-Moreau Q, </w:t>
      </w:r>
      <w:proofErr w:type="spellStart"/>
      <w:r w:rsidRPr="00E91160">
        <w:t>Adisesh</w:t>
      </w:r>
      <w:proofErr w:type="spellEnd"/>
      <w:r w:rsidRPr="00E91160">
        <w:t xml:space="preserve"> A, Mackenzie G, Bowley J, </w:t>
      </w:r>
      <w:proofErr w:type="spellStart"/>
      <w:r w:rsidRPr="00E91160">
        <w:t>Straube</w:t>
      </w:r>
      <w:proofErr w:type="spellEnd"/>
      <w:r w:rsidRPr="00E91160">
        <w:t xml:space="preserve"> S, Chan XH et al. COVID-19 in meat and poultry facilities: a rapid review and lay media analysis. [Webpage.] Oxford: University of Oxford, Centre for Evidence Based Medicine; 4 June 2020. Available from: https://www.cebm.net/covid-19/what-explains-the-high-rate-of-sars-cov-2-transmission-in-meat-and-poultry-facilities-2/. </w:t>
      </w:r>
    </w:p>
    <w:p w14:paraId="42CE004D" w14:textId="47612DC6" w:rsidR="00E91160" w:rsidRPr="00E91160" w:rsidRDefault="00E91160" w:rsidP="00E91160">
      <w:pPr>
        <w:pStyle w:val="CDINumberedList1L1"/>
        <w:divId w:val="935526654"/>
      </w:pPr>
      <w:r w:rsidRPr="00E91160">
        <w:t xml:space="preserve">Adam DC, Wu P, Wong JY, Lau EHY, Tsang TK, </w:t>
      </w:r>
      <w:proofErr w:type="spellStart"/>
      <w:r w:rsidRPr="00E91160">
        <w:t>Cauchemez</w:t>
      </w:r>
      <w:proofErr w:type="spellEnd"/>
      <w:r w:rsidRPr="00E91160">
        <w:t xml:space="preserve"> S et al. Clustering and superspreading potential of SARS-CoV-2 infections in Hong Kong. </w:t>
      </w:r>
      <w:r w:rsidRPr="00F059E5">
        <w:rPr>
          <w:i/>
          <w:iCs/>
        </w:rPr>
        <w:t>Nat Med</w:t>
      </w:r>
      <w:r w:rsidRPr="00E91160">
        <w:t xml:space="preserve">. </w:t>
      </w:r>
      <w:proofErr w:type="gramStart"/>
      <w:r w:rsidRPr="00E91160">
        <w:t>2020;26:1714</w:t>
      </w:r>
      <w:proofErr w:type="gramEnd"/>
      <w:r w:rsidRPr="00E91160">
        <w:t>–9. doi:</w:t>
      </w:r>
      <w:r w:rsidR="00F059E5">
        <w:t> </w:t>
      </w:r>
      <w:r w:rsidRPr="00E91160">
        <w:t>https://doi.org/10.1038/s41591-020-1092-0.</w:t>
      </w:r>
    </w:p>
    <w:p w14:paraId="73EE5D24" w14:textId="241CB18B" w:rsidR="00E91160" w:rsidRPr="00E91160" w:rsidRDefault="00E91160" w:rsidP="00E91160">
      <w:pPr>
        <w:pStyle w:val="CDINumberedList1L1"/>
        <w:divId w:val="935526654"/>
      </w:pPr>
      <w:r w:rsidRPr="00E91160">
        <w:lastRenderedPageBreak/>
        <w:t xml:space="preserve">Hasan A, Susanto H, Kasim MF, Nuraini N, Lestari B, </w:t>
      </w:r>
      <w:proofErr w:type="spellStart"/>
      <w:r w:rsidRPr="00E91160">
        <w:t>Triany</w:t>
      </w:r>
      <w:proofErr w:type="spellEnd"/>
      <w:r w:rsidRPr="00E91160">
        <w:t xml:space="preserve"> D et al. Superspreading in early transmissions of COVID-19 in Indonesia. </w:t>
      </w:r>
      <w:r w:rsidRPr="00F059E5">
        <w:rPr>
          <w:i/>
          <w:iCs/>
        </w:rPr>
        <w:t>Sci Rep</w:t>
      </w:r>
      <w:r w:rsidRPr="00E91160">
        <w:t>. 2020;10(1):22386. doi:</w:t>
      </w:r>
      <w:r w:rsidR="00F059E5">
        <w:t> </w:t>
      </w:r>
      <w:r w:rsidRPr="00E91160">
        <w:t xml:space="preserve">https://doi.org/10.1038/s41598-020-79352-5. </w:t>
      </w:r>
    </w:p>
    <w:p w14:paraId="24F91625" w14:textId="389C5F4A" w:rsidR="00620509" w:rsidRPr="00F059E5" w:rsidRDefault="00E91160" w:rsidP="001C4DBE">
      <w:pPr>
        <w:pStyle w:val="CDINumberedList1L1"/>
        <w:divId w:val="935526654"/>
      </w:pPr>
      <w:proofErr w:type="spellStart"/>
      <w:r w:rsidRPr="00E91160">
        <w:t>Kirkegaard</w:t>
      </w:r>
      <w:proofErr w:type="spellEnd"/>
      <w:r w:rsidRPr="00E91160">
        <w:t xml:space="preserve"> JB, </w:t>
      </w:r>
      <w:proofErr w:type="spellStart"/>
      <w:r w:rsidRPr="00E91160">
        <w:t>Sneppen</w:t>
      </w:r>
      <w:proofErr w:type="spellEnd"/>
      <w:r w:rsidRPr="00E91160">
        <w:t xml:space="preserve"> K. Superspreading quantified from bursty epidemic trajectories. </w:t>
      </w:r>
      <w:r w:rsidRPr="00F059E5">
        <w:rPr>
          <w:i/>
          <w:iCs/>
        </w:rPr>
        <w:t>Sci Rep</w:t>
      </w:r>
      <w:r w:rsidRPr="00E91160">
        <w:t>. 2021;11(1):24124. doi: https://doi.org/10.1038/s41598-021-03126-w.</w:t>
      </w:r>
    </w:p>
    <w:p w14:paraId="02D35A11" w14:textId="77777777" w:rsidR="001A26DD" w:rsidRDefault="001A26DD" w:rsidP="0037146D">
      <w:pPr>
        <w:divId w:val="935526654"/>
        <w:sectPr w:rsidR="001A26DD" w:rsidSect="00912A31">
          <w:headerReference w:type="even" r:id="rId10"/>
          <w:headerReference w:type="default" r:id="rId11"/>
          <w:footerReference w:type="even" r:id="rId12"/>
          <w:footerReference w:type="default" r:id="rId13"/>
          <w:headerReference w:type="first" r:id="rId14"/>
          <w:footerReference w:type="first" r:id="rId15"/>
          <w:pgSz w:w="11907" w:h="16840" w:code="9"/>
          <w:pgMar w:top="1304" w:right="1134" w:bottom="1304" w:left="1134" w:header="709" w:footer="527" w:gutter="0"/>
          <w:cols w:space="708"/>
          <w:titlePg/>
          <w:docGrid w:linePitch="360"/>
        </w:sectPr>
      </w:pPr>
    </w:p>
    <w:p w14:paraId="54E2ED90" w14:textId="77777777" w:rsidR="00F059E5" w:rsidRPr="00A65DFA" w:rsidRDefault="00F059E5" w:rsidP="00F059E5">
      <w:pPr>
        <w:pStyle w:val="CDICopyrightTitle"/>
      </w:pPr>
      <w:r>
        <w:lastRenderedPageBreak/>
        <w:t xml:space="preserve">About </w:t>
      </w:r>
      <w:r w:rsidRPr="00A65DFA">
        <w:t xml:space="preserve">Communicable Diseases </w:t>
      </w:r>
      <w:r w:rsidRPr="00194A12">
        <w:t>Intelligence</w:t>
      </w:r>
    </w:p>
    <w:p w14:paraId="20C08AC0" w14:textId="77777777" w:rsidR="00F059E5" w:rsidRPr="0089025E" w:rsidRDefault="00F059E5" w:rsidP="00F059E5">
      <w:pPr>
        <w:pStyle w:val="CDICopyrightText"/>
      </w:pPr>
      <w:r w:rsidRPr="0089025E">
        <w:t xml:space="preserve">Communicable Diseases Intelligence (CDI) is a peer-reviewed scientific journal published by the </w:t>
      </w:r>
      <w:r>
        <w:t>Health Security &amp; Emergency Management Division</w:t>
      </w:r>
      <w:r w:rsidRPr="0089025E">
        <w:t xml:space="preserve">, Department of </w:t>
      </w:r>
      <w:proofErr w:type="gramStart"/>
      <w:r w:rsidRPr="0089025E">
        <w:t>Health</w:t>
      </w:r>
      <w:proofErr w:type="gramEnd"/>
      <w:r w:rsidRPr="0089025E">
        <w:t xml:space="preserve"> and Aged Care. The journal aims to disseminate information on the epidemiology, surveillance, </w:t>
      </w:r>
      <w:proofErr w:type="gramStart"/>
      <w:r w:rsidRPr="0089025E">
        <w:t>prevention</w:t>
      </w:r>
      <w:proofErr w:type="gramEnd"/>
      <w:r w:rsidRPr="0089025E">
        <w:t xml:space="preserve"> and control of communicable diseases of relevance to Australia.</w:t>
      </w:r>
    </w:p>
    <w:p w14:paraId="1597AEA3" w14:textId="77777777" w:rsidR="00F059E5" w:rsidRPr="0089025E" w:rsidRDefault="00F059E5" w:rsidP="00F059E5">
      <w:pPr>
        <w:pStyle w:val="CDICopyrightText"/>
      </w:pPr>
      <w:r w:rsidRPr="0089025E">
        <w:t xml:space="preserve">© </w:t>
      </w:r>
      <w:r>
        <w:fldChar w:fldCharType="begin"/>
      </w:r>
      <w:r>
        <w:instrText xml:space="preserve"> DOCPROPERTY  Year  \* MERGEFORMAT </w:instrText>
      </w:r>
      <w:r>
        <w:fldChar w:fldCharType="separate"/>
      </w:r>
      <w:r>
        <w:t>2024</w:t>
      </w:r>
      <w:r>
        <w:fldChar w:fldCharType="end"/>
      </w:r>
      <w:r w:rsidRPr="0089025E">
        <w:t xml:space="preserve"> Commonwealth of Australia as represented by the Department of Health and Aged Care</w:t>
      </w:r>
    </w:p>
    <w:p w14:paraId="7713503E" w14:textId="77777777" w:rsidR="00F059E5" w:rsidRPr="0089025E" w:rsidRDefault="00F059E5" w:rsidP="00F059E5">
      <w:pPr>
        <w:pStyle w:val="CDICopyrightText"/>
      </w:pPr>
      <w:r w:rsidRPr="0089025E">
        <w:t>ISSN: 2209-6051 Online</w:t>
      </w:r>
    </w:p>
    <w:p w14:paraId="3AFA6118" w14:textId="77777777" w:rsidR="00F059E5" w:rsidRPr="0089025E" w:rsidRDefault="00F059E5" w:rsidP="00F059E5">
      <w:pPr>
        <w:pStyle w:val="CDICopyrightText"/>
      </w:pPr>
      <w:r w:rsidRPr="0089025E">
        <w:t xml:space="preserve">This journal is indexed by Index </w:t>
      </w:r>
      <w:proofErr w:type="spellStart"/>
      <w:r w:rsidRPr="0089025E">
        <w:t>Medicus</w:t>
      </w:r>
      <w:proofErr w:type="spellEnd"/>
      <w:r w:rsidRPr="0089025E">
        <w:t xml:space="preserve"> and Medline.</w:t>
      </w:r>
    </w:p>
    <w:p w14:paraId="326BB840" w14:textId="77777777" w:rsidR="00F059E5" w:rsidRPr="0089025E" w:rsidRDefault="00F059E5" w:rsidP="00F059E5">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 (CC BY-NC-ND) available 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6988439E" w14:textId="77777777" w:rsidR="00F059E5" w:rsidRPr="00194A12" w:rsidRDefault="00F059E5" w:rsidP="00F059E5">
      <w:pPr>
        <w:pStyle w:val="CDICopyrightHeading"/>
      </w:pPr>
      <w:r w:rsidRPr="00194A12">
        <w:t>Restrictions</w:t>
      </w:r>
    </w:p>
    <w:p w14:paraId="2B96F278" w14:textId="77777777" w:rsidR="00F059E5" w:rsidRPr="0089025E" w:rsidRDefault="00F059E5" w:rsidP="00F059E5">
      <w:pPr>
        <w:pStyle w:val="CDICopyrightText"/>
      </w:pPr>
      <w:r w:rsidRPr="0089025E">
        <w:t xml:space="preserve">The Licence does not cover, and there is no permission given for, use of any of the following material found in this publication (if any): </w:t>
      </w:r>
    </w:p>
    <w:p w14:paraId="58E0B8EA" w14:textId="77777777" w:rsidR="00F059E5" w:rsidRPr="008355D9" w:rsidRDefault="00F059E5" w:rsidP="00F059E5">
      <w:pPr>
        <w:pStyle w:val="CDICopyrightBullets"/>
      </w:pPr>
      <w:r w:rsidRPr="008355D9">
        <w:t xml:space="preserve">the Commonwealth Coat of Arms (by way of information, the terms under which the Coat of Arms may be used can be </w:t>
      </w:r>
      <w:r w:rsidRPr="00AC0F5D">
        <w:t>found</w:t>
      </w:r>
      <w:r w:rsidRPr="008355D9">
        <w:t xml:space="preserve"> at www.pmc.gov.au/resources/commonwealth-coat-arms-information-and-guidelines</w:t>
      </w:r>
      <w:proofErr w:type="gramStart"/>
      <w:r w:rsidRPr="008355D9">
        <w:t>);</w:t>
      </w:r>
      <w:proofErr w:type="gramEnd"/>
    </w:p>
    <w:p w14:paraId="4022C23F" w14:textId="77777777" w:rsidR="00F059E5" w:rsidRPr="0089025E" w:rsidRDefault="00F059E5" w:rsidP="00F059E5">
      <w:pPr>
        <w:pStyle w:val="CDICopyrightBullets"/>
      </w:pPr>
      <w:r w:rsidRPr="0089025E">
        <w:t xml:space="preserve">any logos (including the Department of Health and Aged Care’s logo) and </w:t>
      </w:r>
      <w:proofErr w:type="gramStart"/>
      <w:r w:rsidRPr="0089025E">
        <w:t>trademarks;</w:t>
      </w:r>
      <w:proofErr w:type="gramEnd"/>
    </w:p>
    <w:p w14:paraId="1082D18B" w14:textId="77777777" w:rsidR="00F059E5" w:rsidRPr="0089025E" w:rsidRDefault="00F059E5" w:rsidP="00F059E5">
      <w:pPr>
        <w:pStyle w:val="CDICopyrightBullets"/>
      </w:pPr>
      <w:r w:rsidRPr="0089025E">
        <w:t xml:space="preserve">any photographs and </w:t>
      </w:r>
      <w:proofErr w:type="gramStart"/>
      <w:r w:rsidRPr="0089025E">
        <w:t>images;</w:t>
      </w:r>
      <w:proofErr w:type="gramEnd"/>
      <w:r w:rsidRPr="0089025E">
        <w:t xml:space="preserve"> </w:t>
      </w:r>
    </w:p>
    <w:p w14:paraId="05AD6F22" w14:textId="77777777" w:rsidR="00F059E5" w:rsidRPr="0089025E" w:rsidRDefault="00F059E5" w:rsidP="00F059E5">
      <w:pPr>
        <w:pStyle w:val="CDICopyrightBullets"/>
      </w:pPr>
      <w:r w:rsidRPr="0089025E">
        <w:t>any signatures; and</w:t>
      </w:r>
    </w:p>
    <w:p w14:paraId="698D1037" w14:textId="77777777" w:rsidR="00F059E5" w:rsidRPr="0089025E" w:rsidRDefault="00F059E5" w:rsidP="00F059E5">
      <w:pPr>
        <w:pStyle w:val="CDICopyrightBullets"/>
      </w:pPr>
      <w:r w:rsidRPr="0089025E">
        <w:t xml:space="preserve">any material belonging to third parties. </w:t>
      </w:r>
    </w:p>
    <w:p w14:paraId="63B3F5E7" w14:textId="77777777" w:rsidR="00F059E5" w:rsidRPr="0089025E" w:rsidRDefault="00F059E5" w:rsidP="00F059E5">
      <w:pPr>
        <w:pStyle w:val="CDICopyrightHeading"/>
      </w:pPr>
      <w:r w:rsidRPr="0089025E">
        <w:t>Disclaimer</w:t>
      </w:r>
    </w:p>
    <w:p w14:paraId="09ED9CA7" w14:textId="77777777" w:rsidR="00F059E5" w:rsidRPr="0089025E" w:rsidRDefault="00F059E5" w:rsidP="00F059E5">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7B9F5E33" w14:textId="77777777" w:rsidR="00F059E5" w:rsidRPr="0089025E" w:rsidRDefault="00F059E5" w:rsidP="00F059E5">
      <w:pPr>
        <w:pStyle w:val="CDICopyrightHeading"/>
      </w:pPr>
      <w:r w:rsidRPr="0089025E">
        <w:t>Enquiries</w:t>
      </w:r>
    </w:p>
    <w:p w14:paraId="2BEDB8D3" w14:textId="77777777" w:rsidR="00F059E5" w:rsidRPr="0089025E" w:rsidRDefault="00F059E5" w:rsidP="00F059E5">
      <w:pPr>
        <w:pStyle w:val="CDICopyrightText"/>
      </w:pPr>
      <w:r w:rsidRPr="0089025E">
        <w:t xml:space="preserve">Enquiries regarding any other use of this publication should be addressed to the CDI Editor at: </w:t>
      </w:r>
      <w:hyperlink r:id="rId16" w:history="1">
        <w:r w:rsidRPr="005A4A08">
          <w:rPr>
            <w:rStyle w:val="Hyperlink"/>
          </w:rPr>
          <w:t>cdi.editor@health.gov.au</w:t>
        </w:r>
      </w:hyperlink>
      <w:r>
        <w:t xml:space="preserve"> </w:t>
      </w:r>
      <w:r w:rsidRPr="0089025E">
        <w:t xml:space="preserve"> </w:t>
      </w:r>
    </w:p>
    <w:p w14:paraId="59D83883" w14:textId="77777777" w:rsidR="00F059E5" w:rsidRPr="0089025E" w:rsidRDefault="00F059E5" w:rsidP="00F059E5">
      <w:pPr>
        <w:pStyle w:val="CDICopyrightHeading"/>
      </w:pPr>
      <w:r w:rsidRPr="0089025E">
        <w:t>Communicable Diseases Network Australia</w:t>
      </w:r>
    </w:p>
    <w:p w14:paraId="56FCECD4" w14:textId="77777777" w:rsidR="00F059E5" w:rsidRPr="0089025E" w:rsidRDefault="00F059E5" w:rsidP="00F059E5">
      <w:pPr>
        <w:pStyle w:val="CDICopyrightText"/>
      </w:pPr>
      <w:r w:rsidRPr="0089025E">
        <w:t xml:space="preserve">Communicable Diseases Intelligence contributes to the work of the Communicable Diseases Network Australia. </w:t>
      </w:r>
      <w:r w:rsidRPr="008355D9">
        <w:t>www.health.gov.au/cdna</w:t>
      </w:r>
    </w:p>
    <w:p w14:paraId="401668CB" w14:textId="77777777" w:rsidR="00F059E5" w:rsidRPr="0089025E" w:rsidRDefault="00F059E5" w:rsidP="00F059E5">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36BEFD2D" w14:textId="7F98DF65" w:rsidR="00F059E5" w:rsidRPr="0089025E" w:rsidRDefault="00F059E5" w:rsidP="00F059E5">
      <w:pPr>
        <w:pStyle w:val="CDICopyrightText"/>
      </w:pPr>
      <w:r w:rsidRPr="0089025E">
        <w:rPr>
          <w:b/>
          <w:bCs/>
        </w:rPr>
        <w:t>Editorial Advisory Board</w:t>
      </w:r>
      <w:r w:rsidRPr="0089025E">
        <w:t>: David Durrheim, Mark Ferson, Clare Huppatz, John Kaldor, Martyn Kirk</w:t>
      </w:r>
      <w:r>
        <w:t xml:space="preserve"> and M</w:t>
      </w:r>
      <w:r w:rsidRPr="0089025E">
        <w:t>eru Sheel</w:t>
      </w:r>
    </w:p>
    <w:p w14:paraId="5803817C" w14:textId="77777777" w:rsidR="00F059E5" w:rsidRPr="0089025E" w:rsidRDefault="00F059E5" w:rsidP="00F059E5">
      <w:pPr>
        <w:pStyle w:val="CDICopyrightHeading"/>
      </w:pPr>
      <w:r w:rsidRPr="0089025E">
        <w:t>Contacts</w:t>
      </w:r>
    </w:p>
    <w:p w14:paraId="198B5F98" w14:textId="77777777" w:rsidR="00F059E5" w:rsidRDefault="00F059E5" w:rsidP="00F059E5">
      <w:pPr>
        <w:pStyle w:val="CDICopyrightText"/>
      </w:pPr>
      <w:r w:rsidRPr="0089025E">
        <w:t>CDI is produced by</w:t>
      </w:r>
      <w:r>
        <w:t>:</w:t>
      </w:r>
    </w:p>
    <w:p w14:paraId="12DF1321" w14:textId="77777777" w:rsidR="00F059E5" w:rsidRPr="0089025E" w:rsidRDefault="00F059E5" w:rsidP="00F059E5">
      <w:pPr>
        <w:pStyle w:val="CDICopyrightText"/>
      </w:pPr>
      <w:r>
        <w:t>Health Security &amp; Emergency Management Division</w:t>
      </w:r>
      <w:r w:rsidRPr="0089025E">
        <w:t xml:space="preserve">, Australian Government Department of </w:t>
      </w:r>
      <w:proofErr w:type="gramStart"/>
      <w:r w:rsidRPr="0089025E">
        <w:t>Health</w:t>
      </w:r>
      <w:proofErr w:type="gramEnd"/>
      <w:r w:rsidRPr="0089025E">
        <w:t xml:space="preserve"> and Aged Care,</w:t>
      </w:r>
      <w:r>
        <w:br/>
      </w:r>
      <w:r w:rsidRPr="0089025E">
        <w:t>GPO Box 9848, (MDP 6) CANBERRA ACT 2601</w:t>
      </w:r>
    </w:p>
    <w:p w14:paraId="12ED825A" w14:textId="77777777" w:rsidR="00F059E5" w:rsidRPr="0089025E" w:rsidRDefault="00F059E5" w:rsidP="00F059E5">
      <w:pPr>
        <w:pStyle w:val="CDICopyrightText"/>
      </w:pPr>
      <w:r w:rsidRPr="0089025E">
        <w:t xml:space="preserve">Website: </w:t>
      </w:r>
      <w:hyperlink r:id="rId17" w:history="1">
        <w:r w:rsidRPr="000C6EB5">
          <w:rPr>
            <w:rStyle w:val="Hyperlink"/>
          </w:rPr>
          <w:t>www.health.gov.au/cdi</w:t>
        </w:r>
      </w:hyperlink>
      <w:r>
        <w:t xml:space="preserve"> </w:t>
      </w:r>
    </w:p>
    <w:p w14:paraId="3CAE745D" w14:textId="77777777" w:rsidR="00F059E5" w:rsidRPr="0089025E" w:rsidRDefault="00F059E5" w:rsidP="00F059E5">
      <w:pPr>
        <w:pStyle w:val="CDICopyrightText"/>
      </w:pPr>
      <w:r w:rsidRPr="0089025E">
        <w:t xml:space="preserve">Email: </w:t>
      </w:r>
      <w:hyperlink r:id="rId18" w:history="1">
        <w:r w:rsidRPr="000C6EB5">
          <w:rPr>
            <w:rStyle w:val="Hyperlink"/>
          </w:rPr>
          <w:t>cdi.editor@health.gov.au</w:t>
        </w:r>
      </w:hyperlink>
      <w:r>
        <w:t xml:space="preserve"> </w:t>
      </w:r>
    </w:p>
    <w:p w14:paraId="0BB2DA12" w14:textId="77777777" w:rsidR="00F059E5" w:rsidRPr="0089025E" w:rsidRDefault="00F059E5" w:rsidP="00F059E5">
      <w:pPr>
        <w:pStyle w:val="CDICopyrightHeading"/>
      </w:pPr>
      <w:r w:rsidRPr="0089025E">
        <w:t xml:space="preserve">Submit an </w:t>
      </w:r>
      <w:proofErr w:type="gramStart"/>
      <w:r w:rsidRPr="0089025E">
        <w:t>Article</w:t>
      </w:r>
      <w:proofErr w:type="gramEnd"/>
    </w:p>
    <w:p w14:paraId="6764A68C" w14:textId="77777777" w:rsidR="00F059E5" w:rsidRPr="0089025E" w:rsidRDefault="00F059E5" w:rsidP="00F059E5">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Pr="008355D9">
        <w:t>www.health.gov.au/cdi</w:t>
      </w:r>
      <w:r w:rsidRPr="0089025E">
        <w:t xml:space="preserve">. </w:t>
      </w:r>
    </w:p>
    <w:p w14:paraId="691EA1FE" w14:textId="6D081B03" w:rsidR="000A5F42" w:rsidRPr="0089025E" w:rsidRDefault="00F059E5" w:rsidP="00194A12">
      <w:pPr>
        <w:pStyle w:val="CDICopyrightText"/>
      </w:pPr>
      <w:r w:rsidRPr="0089025E">
        <w:t xml:space="preserve">Further enquiries should be directed to: </w:t>
      </w:r>
      <w:hyperlink r:id="rId19" w:history="1">
        <w:r w:rsidRPr="000C6EB5">
          <w:rPr>
            <w:rStyle w:val="Hyperlink"/>
          </w:rPr>
          <w:t>cdi.editor@health.gov.au</w:t>
        </w:r>
      </w:hyperlink>
      <w:r>
        <w:t xml:space="preserve"> </w:t>
      </w:r>
      <w:r w:rsidR="00AC0F5D">
        <w:t xml:space="preserve"> </w:t>
      </w:r>
    </w:p>
    <w:sectPr w:rsidR="000A5F42" w:rsidRPr="0089025E" w:rsidSect="001A26DD">
      <w:footerReference w:type="default" r:id="rId20"/>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4B70C" w14:textId="77777777" w:rsidR="00550D9D" w:rsidRDefault="00550D9D" w:rsidP="00E54DBA">
      <w:r>
        <w:separator/>
      </w:r>
    </w:p>
    <w:p w14:paraId="781F3D38" w14:textId="77777777" w:rsidR="00550D9D" w:rsidRDefault="00550D9D"/>
    <w:p w14:paraId="617C82D4" w14:textId="77777777" w:rsidR="00550D9D" w:rsidRDefault="00550D9D" w:rsidP="008714B0"/>
  </w:endnote>
  <w:endnote w:type="continuationSeparator" w:id="0">
    <w:p w14:paraId="133EE56F" w14:textId="77777777" w:rsidR="00550D9D" w:rsidRDefault="00550D9D" w:rsidP="00E54DBA">
      <w:r>
        <w:continuationSeparator/>
      </w:r>
    </w:p>
    <w:p w14:paraId="6EF49256" w14:textId="77777777" w:rsidR="00550D9D" w:rsidRDefault="00550D9D"/>
    <w:p w14:paraId="379EEFBB" w14:textId="77777777" w:rsidR="00550D9D" w:rsidRDefault="00550D9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DE8B"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806B" w14:textId="54FD014A"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550D9D">
        <w:t>2024</w:t>
      </w:r>
    </w:fldSimple>
    <w:r w:rsidRPr="001D0612">
      <w:t xml:space="preserve"> </w:t>
    </w:r>
    <w:fldSimple w:instr=" DOCPROPERTY  Vol  \* MERGEFORMAT ">
      <w:r w:rsidR="00550D9D">
        <w:t>48</w:t>
      </w:r>
    </w:fldSimple>
    <w:r w:rsidRPr="001D0612">
      <w:t xml:space="preserve">  (</w:t>
    </w:r>
    <w:fldSimple w:instr=" DOCPROPERTY  DOI  \* MERGEFORMAT ">
      <w:r w:rsidR="00905BC8">
        <w:t>https://doi.org/10.33321/cdi.2024.48.40</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905BC8">
        <w:t>23/10/2024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FC7DD"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9C47" w14:textId="29016B87"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F059E5">
      <w:fldChar w:fldCharType="begin"/>
    </w:r>
    <w:r w:rsidR="00F059E5">
      <w:instrText xml:space="preserve"> DOCPROPERTY  Year  \* MERGEFORMAT </w:instrText>
    </w:r>
    <w:r w:rsidR="00F059E5">
      <w:fldChar w:fldCharType="separate"/>
    </w:r>
    <w:r w:rsidR="00550D9D">
      <w:t>2024</w:t>
    </w:r>
    <w:r w:rsidR="00F059E5">
      <w:fldChar w:fldCharType="end"/>
    </w:r>
    <w:r w:rsidRPr="001D0612">
      <w:t xml:space="preserve"> </w:t>
    </w:r>
    <w:r w:rsidR="00F059E5">
      <w:fldChar w:fldCharType="begin"/>
    </w:r>
    <w:r w:rsidR="00F059E5">
      <w:instrText xml:space="preserve"> DOCPROPERTY  Vol  \* MERGEFORMAT </w:instrText>
    </w:r>
    <w:r w:rsidR="00F059E5">
      <w:fldChar w:fldCharType="separate"/>
    </w:r>
    <w:r w:rsidR="00550D9D">
      <w:t>48</w:t>
    </w:r>
    <w:r w:rsidR="00F059E5">
      <w:fldChar w:fldCharType="end"/>
    </w:r>
    <w:r w:rsidRPr="001D0612">
      <w:t xml:space="preserve">  (</w:t>
    </w:r>
    <w:r w:rsidR="00F059E5">
      <w:fldChar w:fldCharType="begin"/>
    </w:r>
    <w:r w:rsidR="00F059E5">
      <w:instrText xml:space="preserve"> DOCPROPERTY  DOI  \* MERGEFORMAT </w:instrText>
    </w:r>
    <w:r w:rsidR="00F059E5">
      <w:fldChar w:fldCharType="separate"/>
    </w:r>
    <w:r w:rsidR="00905BC8">
      <w:t>https://doi.org/10.33321/cdi.2024.48.40</w:t>
    </w:r>
    <w:r w:rsidR="00F059E5">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F059E5">
      <w:fldChar w:fldCharType="begin"/>
    </w:r>
    <w:r w:rsidR="00F059E5">
      <w:instrText xml:space="preserve"> DOCPROPERTY  ePubDate  \* MERGEFORMAT </w:instrText>
    </w:r>
    <w:r w:rsidR="00F059E5">
      <w:fldChar w:fldCharType="separate"/>
    </w:r>
    <w:r w:rsidR="00905BC8">
      <w:t>23/10/2024</w:t>
    </w:r>
    <w:r w:rsidR="00F059E5">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97CFE" w14:textId="77777777" w:rsidR="00550D9D" w:rsidRPr="00B91FB5" w:rsidRDefault="00550D9D" w:rsidP="00B91FB5">
      <w:pPr>
        <w:spacing w:line="240" w:lineRule="auto"/>
        <w:rPr>
          <w:sz w:val="18"/>
          <w:szCs w:val="18"/>
        </w:rPr>
      </w:pPr>
      <w:r w:rsidRPr="00B91FB5">
        <w:rPr>
          <w:sz w:val="18"/>
          <w:szCs w:val="18"/>
        </w:rPr>
        <w:separator/>
      </w:r>
    </w:p>
  </w:footnote>
  <w:footnote w:type="continuationSeparator" w:id="0">
    <w:p w14:paraId="7AFAB3B7" w14:textId="77777777" w:rsidR="00550D9D" w:rsidRDefault="00550D9D" w:rsidP="00E54DBA">
      <w:r>
        <w:continuationSeparator/>
      </w:r>
    </w:p>
  </w:footnote>
  <w:footnote w:type="continuationNotice" w:id="1">
    <w:p w14:paraId="2843D01F" w14:textId="77777777" w:rsidR="00550D9D" w:rsidRPr="00224EFF" w:rsidRDefault="00550D9D"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D32FB"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D7A0"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E584"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69D4EF8B" wp14:editId="28F6A980">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72537267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9D"/>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765A6"/>
    <w:rsid w:val="00081655"/>
    <w:rsid w:val="00084BAB"/>
    <w:rsid w:val="000864E0"/>
    <w:rsid w:val="00087301"/>
    <w:rsid w:val="000969B3"/>
    <w:rsid w:val="000A5F42"/>
    <w:rsid w:val="000C34E2"/>
    <w:rsid w:val="000C3D48"/>
    <w:rsid w:val="000C3FB4"/>
    <w:rsid w:val="000D4B4D"/>
    <w:rsid w:val="000D6AF0"/>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50D9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5BC8"/>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206F"/>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116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59E5"/>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44CCC"/>
  <w15:docId w15:val="{99AA9C1A-EAAC-40FF-826A-6C60C72D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247"/>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Italic">
    <w:name w:val="Italic"/>
    <w:uiPriority w:val="99"/>
    <w:rsid w:val="00697039"/>
    <w:rPr>
      <w:i/>
      <w:iCs/>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0D6AF0"/>
    <w:pPr>
      <w:spacing w:after="120"/>
    </w:pPr>
  </w:style>
  <w:style w:type="character" w:customStyle="1" w:styleId="BodyTextChar">
    <w:name w:val="Body Text Char"/>
    <w:basedOn w:val="DefaultParagraphFont"/>
    <w:link w:val="BodyText"/>
    <w:uiPriority w:val="99"/>
    <w:semiHidden/>
    <w:rsid w:val="000D6AF0"/>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health.gov.au/cdi"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6</TotalTime>
  <Pages>11</Pages>
  <Words>3668</Words>
  <Characters>21658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Communicable Diseases Intelligence - Validation of a risk stratification tool for SARS-CoV-2 Delta community transmission in the Australian Capital Territory</vt:lpstr>
    </vt:vector>
  </TitlesOfParts>
  <Company>Interim Australian Centre for Disease Control</Company>
  <LinksUpToDate>false</LinksUpToDate>
  <CharactersWithSpaces>25276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Validation of a risk stratification tool for SARS-CoV-2 Delta community transmission in the Australian Capital Territory</dc:title>
  <dc:subject>During the SARS-CoV-2 Delta variant outbreak in the Australian Capital Territory from August to October 2021, a stratification tool was used to assess the risk of community transmission from cases. Rapid validation of the tool against detected onward transmission provided evidence for the effectiveness of public health restrictions.</dc:subject>
  <dc:creator>Alexandra Marmor; Tze Vun Voo; Meru Sheel; Timothy Sloan-Gardner; Nevada Pingault</dc:creator>
  <cp:keywords>COVID-19; SARS-CoV-2 Delta; Australian Capital Territory; transmission; risk stratification; epidemiology</cp:keywords>
  <dc:description>© Commonwealth of Australia CC BY-NC-ND</dc:description>
  <cp:revision>2</cp:revision>
  <cp:lastPrinted>2024-03-07T01:06:00Z</cp:lastPrinted>
  <dcterms:created xsi:type="dcterms:W3CDTF">2024-10-15T01:33:00Z</dcterms:created>
  <dcterms:modified xsi:type="dcterms:W3CDTF">2024-10-15T01:33:00Z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23/10/2024</vt:lpwstr>
  </property>
  <property fmtid="{D5CDD505-2E9C-101B-9397-08002B2CF9AE}" pid="5" name="DOI">
    <vt:lpwstr>https://doi.org/10.33321/cdi.2024.48.40</vt:lpwstr>
  </property>
</Properties>
</file>