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CD93B" w14:textId="6809F10A" w:rsidR="00B50D8D" w:rsidRPr="00341720" w:rsidRDefault="00282B56" w:rsidP="00341720">
      <w:pPr>
        <w:pStyle w:val="CDIDOIInformation"/>
      </w:pPr>
      <w:r>
        <w:fldChar w:fldCharType="begin"/>
      </w:r>
      <w:r>
        <w:instrText xml:space="preserve"> DOCPROPERTY  Year  \* MERGEFORMAT </w:instrText>
      </w:r>
      <w:r>
        <w:fldChar w:fldCharType="separate"/>
      </w:r>
      <w:r w:rsidR="000E17F1">
        <w:t>2024</w:t>
      </w:r>
      <w:r>
        <w:fldChar w:fldCharType="end"/>
      </w:r>
      <w:r w:rsidR="00A623E8" w:rsidRPr="00341720">
        <w:t xml:space="preserve"> • </w:t>
      </w:r>
      <w:r w:rsidR="00B50D8D" w:rsidRPr="00341720">
        <w:t xml:space="preserve">Volume </w:t>
      </w:r>
      <w:fldSimple w:instr=" DOCPROPERTY  Vol  \* MERGEFORMAT ">
        <w:r w:rsidR="000E17F1">
          <w:t>48</w:t>
        </w:r>
      </w:fldSimple>
      <w:r w:rsidR="00725C33" w:rsidRPr="00341720">
        <w:t xml:space="preserve"> </w:t>
      </w:r>
      <w:r w:rsidR="008E3F81" w:rsidRPr="00341720">
        <w:t>•</w:t>
      </w:r>
      <w:r w:rsidR="00725C33" w:rsidRPr="00341720">
        <w:t xml:space="preserve"> </w:t>
      </w:r>
      <w:fldSimple w:instr=" DOCPROPERTY  DOI  \* MERGEFORMAT ">
        <w:r w:rsidR="000E17F1">
          <w:t>https://doi.org/10.33321/cdi.2024.48.45</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0E17F1">
          <w:t>24/06/2024</w:t>
        </w:r>
      </w:fldSimple>
    </w:p>
    <w:p w14:paraId="51E69362" w14:textId="18B27C95" w:rsidR="00E30C30" w:rsidRPr="0037146D" w:rsidRDefault="000E17F1" w:rsidP="0037146D">
      <w:pPr>
        <w:pStyle w:val="Title"/>
        <w:divId w:val="935526654"/>
      </w:pPr>
      <w:r w:rsidRPr="000E17F1">
        <w:t>Epidemiology of respiratory syncytial virus in Central Queensland, Australia</w:t>
      </w:r>
    </w:p>
    <w:p w14:paraId="15B1069F" w14:textId="526AE1F7" w:rsidR="007A33B9" w:rsidRPr="0037146D" w:rsidRDefault="000E17F1" w:rsidP="0037146D">
      <w:pPr>
        <w:pStyle w:val="Subtitle"/>
        <w:divId w:val="935526654"/>
      </w:pPr>
      <w:r w:rsidRPr="000E17F1">
        <w:t>Emma Gale, Nicolas Smoll, Mahmudul Hassan Al Imam, Jacina Walker, Michael Kirk, Sunday Pam, Robert Menzies, Gulam Khandaker</w:t>
      </w:r>
    </w:p>
    <w:p w14:paraId="4357CA71" w14:textId="77777777" w:rsidR="0037146D" w:rsidRDefault="0037146D" w:rsidP="0037146D">
      <w:pPr>
        <w:pStyle w:val="Heading1"/>
        <w:divId w:val="935526654"/>
        <w:rPr>
          <w:lang w:val="en-GB"/>
        </w:rPr>
      </w:pPr>
      <w:r>
        <w:rPr>
          <w:lang w:val="en-GB"/>
        </w:rPr>
        <w:t>Abstract</w:t>
      </w:r>
    </w:p>
    <w:p w14:paraId="2E0B98DB" w14:textId="77777777" w:rsidR="000E17F1" w:rsidRPr="000E17F1" w:rsidRDefault="000E17F1" w:rsidP="000E17F1">
      <w:pPr>
        <w:divId w:val="935526654"/>
        <w:rPr>
          <w:lang w:val="en-GB"/>
        </w:rPr>
      </w:pPr>
      <w:r w:rsidRPr="000E17F1">
        <w:rPr>
          <w:lang w:val="en-GB"/>
        </w:rPr>
        <w:t>Respiratory syncytial virus (RSV) is the leading cause of bronchiolitis and pneumonia in infants. Little is known about the epidemiology, burden, and seasonality of RSV in subtropical regions of Australia like Central Queensland. This information is important to plan prevention strategies, including therapeutics, future vaccines, and health system preparedness.</w:t>
      </w:r>
    </w:p>
    <w:p w14:paraId="0DF3CF65" w14:textId="77777777" w:rsidR="000E17F1" w:rsidRPr="000E17F1" w:rsidRDefault="000E17F1" w:rsidP="000E17F1">
      <w:pPr>
        <w:divId w:val="935526654"/>
        <w:rPr>
          <w:lang w:val="en-GB"/>
        </w:rPr>
      </w:pPr>
      <w:r w:rsidRPr="000E17F1">
        <w:rPr>
          <w:lang w:val="en-GB"/>
        </w:rPr>
        <w:t>We collected data on laboratory-confirmed RSV cases and admissions in Central Queensland for the period 1 July 2021 to 31 December 2022. From July 2021, RSV was listed as a nationally notifiable condition on laboratory-confirmed diagnosis.</w:t>
      </w:r>
    </w:p>
    <w:p w14:paraId="5D681441" w14:textId="77777777" w:rsidR="000E17F1" w:rsidRPr="000E17F1" w:rsidRDefault="000E17F1" w:rsidP="000E17F1">
      <w:pPr>
        <w:divId w:val="935526654"/>
        <w:rPr>
          <w:lang w:val="en-GB"/>
        </w:rPr>
      </w:pPr>
      <w:r w:rsidRPr="000E17F1">
        <w:rPr>
          <w:lang w:val="en-GB"/>
        </w:rPr>
        <w:t>During the study period, 1,142 laboratory-confirmed cases of RSV (50.0% female sex) were reported, with 169 cases (14.8%) requiring hospital admission, 12 of which (7.1%) required intensive care unit/high dependency unit admissions; two deaths occurred. Of cases requiring hospital admission, RSV was listed as the primary diagnosis in 113/169 cases (66.9%); 63/169 admitted cases (37.3%) had a major comorbidity. Of all cases, 55.4% were in children &lt; 5 years of age (20.9% hospitalised); 35.7% in children &lt; 2 years of age (24.3% hospitalised), and 19.1% in children &lt; 12 months of age (27.5% hospitalised). Children under five years of age made up 78.1% of admissions, a rate of 9.0 admissions per 1,000 children over the 18-month study period, with an average age of 15.8 months (standard deviation, SD: 13.1 months) in this cohort. Indigenous children aged &lt; 5 years were over-represented in cases (rate ratio, RR: 1.6; 95% confidence interval [95% CI]: 1.3–1.9) and admissions (RR: 1.6; 95% CI: 1.0–2.4). Antibiotics were prescribed to 48.5% of admitted cases under two years of age, despite documented bacterial infection in only 26.3% of these cases; antibiotic prescription was significantly higher in those who received a chest X-ray (</w:t>
      </w:r>
      <w:r w:rsidRPr="000E17F1">
        <w:rPr>
          <w:i/>
          <w:iCs/>
          <w:lang w:val="en-GB"/>
        </w:rPr>
        <w:t>p</w:t>
      </w:r>
      <w:r w:rsidRPr="000E17F1">
        <w:rPr>
          <w:lang w:val="en-GB"/>
        </w:rPr>
        <w:t xml:space="preserve"> &lt; 0.001). Of all cases, 33.5% occurred in July 2022 alone, with greater than 75.0% of cases occurring during June–August 2022.</w:t>
      </w:r>
    </w:p>
    <w:p w14:paraId="7CDDF526" w14:textId="77777777" w:rsidR="000E17F1" w:rsidRPr="000E17F1" w:rsidRDefault="000E17F1" w:rsidP="000E17F1">
      <w:pPr>
        <w:pStyle w:val="Normal-morespace"/>
        <w:divId w:val="935526654"/>
        <w:rPr>
          <w:lang w:val="en-GB"/>
        </w:rPr>
      </w:pPr>
      <w:r w:rsidRPr="000E17F1">
        <w:rPr>
          <w:lang w:val="en-GB"/>
        </w:rPr>
        <w:lastRenderedPageBreak/>
        <w:t>RSV showed year-round activity with a distinctive winter peak in 2022; however, this season was likely affected by coronavirus disease 2019 (COVID-19) restrictions and behaviours. Ongoing surveillance is required to better understand the epidemiology and seasonality of RSV in Central Queensland.</w:t>
      </w:r>
    </w:p>
    <w:p w14:paraId="54298100" w14:textId="5FE76FEC" w:rsidR="00620509" w:rsidRPr="006D508B" w:rsidRDefault="00620509" w:rsidP="00620509">
      <w:pPr>
        <w:pStyle w:val="CDIBoxTextGreen"/>
        <w:divId w:val="935526654"/>
        <w:rPr>
          <w:lang w:val="en-GB"/>
        </w:rPr>
      </w:pPr>
      <w:r w:rsidRPr="0037146D">
        <w:rPr>
          <w:lang w:val="en-GB"/>
        </w:rPr>
        <w:t xml:space="preserve">Keywords: </w:t>
      </w:r>
      <w:r w:rsidR="000E17F1" w:rsidRPr="000E17F1">
        <w:rPr>
          <w:lang w:val="en-GB"/>
        </w:rPr>
        <w:t>epidemiology; respiratory syncytial virus; seasonality; surveillance; Australia</w:t>
      </w:r>
    </w:p>
    <w:p w14:paraId="1D064093" w14:textId="77777777" w:rsidR="008A0736" w:rsidRDefault="008A0736" w:rsidP="008A0736">
      <w:pPr>
        <w:pStyle w:val="Heading1"/>
        <w:divId w:val="935526654"/>
      </w:pPr>
      <w:r>
        <w:t>Introduction</w:t>
      </w:r>
    </w:p>
    <w:p w14:paraId="62B1403C" w14:textId="77777777" w:rsidR="000E17F1" w:rsidRPr="000E17F1" w:rsidRDefault="000E17F1" w:rsidP="000E17F1">
      <w:pPr>
        <w:divId w:val="935526654"/>
        <w:rPr>
          <w:lang w:val="en-GB"/>
        </w:rPr>
      </w:pPr>
      <w:r w:rsidRPr="000E17F1">
        <w:rPr>
          <w:lang w:val="en-GB"/>
        </w:rPr>
        <w:t>Respiratory syncytial virus (RSV) remains a primary cause of lower respiratory tract infection in infants and young children globally.</w:t>
      </w:r>
      <w:r w:rsidRPr="000E17F1">
        <w:rPr>
          <w:vertAlign w:val="superscript"/>
          <w:lang w:val="en-GB"/>
        </w:rPr>
        <w:t>1,2</w:t>
      </w:r>
      <w:r w:rsidRPr="000E17F1">
        <w:rPr>
          <w:lang w:val="en-GB"/>
        </w:rPr>
        <w:t xml:space="preserve"> It contributes substantially to morbidity and mortality, particularly in those under six months of age.</w:t>
      </w:r>
      <w:r w:rsidRPr="000E17F1">
        <w:rPr>
          <w:vertAlign w:val="superscript"/>
          <w:lang w:val="en-GB"/>
        </w:rPr>
        <w:t>1,3</w:t>
      </w:r>
      <w:r w:rsidRPr="000E17F1">
        <w:rPr>
          <w:lang w:val="en-GB"/>
        </w:rPr>
        <w:t xml:space="preserve"> Up to 70% of children have been infected with RSV by one year of age, and reinfection occurs across the lifetime with protective immunity incomplete and short-lived.</w:t>
      </w:r>
      <w:r w:rsidRPr="000E17F1">
        <w:rPr>
          <w:vertAlign w:val="superscript"/>
          <w:lang w:val="en-GB"/>
        </w:rPr>
        <w:t>1,4</w:t>
      </w:r>
      <w:r w:rsidRPr="000E17F1">
        <w:rPr>
          <w:lang w:val="en-GB"/>
        </w:rPr>
        <w:t xml:space="preserve"> In 2019, RSV was responsible for 3.6 million hospital admissions worldwide in children under five.</w:t>
      </w:r>
      <w:r w:rsidRPr="000E17F1">
        <w:rPr>
          <w:vertAlign w:val="superscript"/>
          <w:lang w:val="en-GB"/>
        </w:rPr>
        <w:t>3</w:t>
      </w:r>
      <w:r w:rsidRPr="000E17F1">
        <w:rPr>
          <w:lang w:val="en-GB"/>
        </w:rPr>
        <w:t xml:space="preserve"> Australia saw 63,814 admissions between 2006 and 2015 with a principal diagnosis code associated with RSV, 94.9% of which were in children under five and equating to a hospitalisation rate of 418 per 100,000 in this age group.</w:t>
      </w:r>
      <w:r w:rsidRPr="000E17F1">
        <w:rPr>
          <w:vertAlign w:val="superscript"/>
          <w:lang w:val="en-GB"/>
        </w:rPr>
        <w:t>5</w:t>
      </w:r>
      <w:r w:rsidRPr="000E17F1">
        <w:rPr>
          <w:lang w:val="en-GB"/>
        </w:rPr>
        <w:t xml:space="preserve"> Modelling suggests that the true burden of RSV admissions may be 30-57% higher.</w:t>
      </w:r>
      <w:r w:rsidRPr="000E17F1">
        <w:rPr>
          <w:vertAlign w:val="superscript"/>
          <w:lang w:val="en-GB"/>
        </w:rPr>
        <w:t>6</w:t>
      </w:r>
      <w:r w:rsidRPr="000E17F1">
        <w:rPr>
          <w:lang w:val="en-GB"/>
        </w:rPr>
        <w:t xml:space="preserve"> The annual cost of care in Australia for children under five hospitalised with RSV was estimated between AU$59 million and AU$121 million in the 2018 season alone,</w:t>
      </w:r>
      <w:r w:rsidRPr="000E17F1">
        <w:rPr>
          <w:vertAlign w:val="superscript"/>
          <w:lang w:val="en-GB"/>
        </w:rPr>
        <w:t>7</w:t>
      </w:r>
      <w:r w:rsidRPr="000E17F1">
        <w:rPr>
          <w:lang w:val="en-GB"/>
        </w:rPr>
        <w:t xml:space="preserve"> highlighting the economic burden RSV has on the Australian health care system. RSV infection is also recognised as a potential cause of severe disease in older adults and adults with chronic cardiorespiratory or immunocompromising conditions although most available studies focus on children.</w:t>
      </w:r>
      <w:r w:rsidRPr="000E17F1">
        <w:rPr>
          <w:vertAlign w:val="superscript"/>
          <w:lang w:val="en-GB"/>
        </w:rPr>
        <w:t>8–11</w:t>
      </w:r>
    </w:p>
    <w:p w14:paraId="44FA34C8" w14:textId="77777777" w:rsidR="000E17F1" w:rsidRPr="000E17F1" w:rsidRDefault="000E17F1" w:rsidP="000E17F1">
      <w:pPr>
        <w:divId w:val="935526654"/>
        <w:rPr>
          <w:lang w:val="en-GB"/>
        </w:rPr>
      </w:pPr>
      <w:r w:rsidRPr="000E17F1">
        <w:rPr>
          <w:lang w:val="en-GB"/>
        </w:rPr>
        <w:t>The clinical presentation of RSV infection varies with age. It most commonly manifests as bronchiolitis in children under twelve months, although can be seen up to twenty-four months of age.</w:t>
      </w:r>
      <w:r w:rsidRPr="000E17F1">
        <w:rPr>
          <w:vertAlign w:val="superscript"/>
          <w:lang w:val="en-GB"/>
        </w:rPr>
        <w:t>12–14</w:t>
      </w:r>
      <w:r w:rsidRPr="000E17F1">
        <w:rPr>
          <w:lang w:val="en-GB"/>
        </w:rPr>
        <w:t xml:space="preserve"> In older children and adults, it may present as an upper respiratory tract infection, viral pneumonia, viral-induced wheeze, acute exacerbation of asthma, or exacerbation of other underlying medical conditions.</w:t>
      </w:r>
      <w:r w:rsidRPr="000E17F1">
        <w:rPr>
          <w:vertAlign w:val="superscript"/>
          <w:lang w:val="en-GB"/>
        </w:rPr>
        <w:t>12,13</w:t>
      </w:r>
      <w:r w:rsidRPr="000E17F1">
        <w:rPr>
          <w:lang w:val="en-GB"/>
        </w:rPr>
        <w:t xml:space="preserve"> Episodes of apnoea can be the only presenting symptoms in neonates.</w:t>
      </w:r>
      <w:r w:rsidRPr="000E17F1">
        <w:rPr>
          <w:vertAlign w:val="superscript"/>
          <w:lang w:val="en-GB"/>
        </w:rPr>
        <w:t>1,13</w:t>
      </w:r>
    </w:p>
    <w:p w14:paraId="4DC7C794" w14:textId="77777777" w:rsidR="000E17F1" w:rsidRPr="000E17F1" w:rsidRDefault="000E17F1" w:rsidP="000E17F1">
      <w:pPr>
        <w:divId w:val="935526654"/>
        <w:rPr>
          <w:lang w:val="en-GB"/>
        </w:rPr>
      </w:pPr>
      <w:r w:rsidRPr="000E17F1">
        <w:rPr>
          <w:lang w:val="en-GB"/>
        </w:rPr>
        <w:t>Since the treatment for RSV remains supportive, preventing severe disease in those at the highest risk is vital.</w:t>
      </w:r>
      <w:r w:rsidRPr="000E17F1">
        <w:rPr>
          <w:vertAlign w:val="superscript"/>
          <w:lang w:val="en-GB"/>
        </w:rPr>
        <w:t>15–17</w:t>
      </w:r>
      <w:r w:rsidRPr="000E17F1">
        <w:rPr>
          <w:lang w:val="en-GB"/>
        </w:rPr>
        <w:t xml:space="preserve"> A number of promising RSV vaccines are under development, although none are licensed at this time.</w:t>
      </w:r>
      <w:r w:rsidRPr="000E17F1">
        <w:rPr>
          <w:vertAlign w:val="superscript"/>
          <w:lang w:val="en-GB"/>
        </w:rPr>
        <w:t>11,18</w:t>
      </w:r>
      <w:r w:rsidRPr="000E17F1">
        <w:rPr>
          <w:lang w:val="en-GB"/>
        </w:rPr>
        <w:t xml:space="preserve"> Passive immunisation with the monoclonal antibody Palivizumab is currently recommended for infants and children with specific medical risk factors at high risk of severe infection, given as a course of five intramuscular injections at monthly intervals throughout the RSV season.</w:t>
      </w:r>
      <w:r w:rsidRPr="000E17F1">
        <w:rPr>
          <w:vertAlign w:val="superscript"/>
          <w:lang w:val="en-GB"/>
        </w:rPr>
        <w:t>15</w:t>
      </w:r>
      <w:r w:rsidRPr="000E17F1">
        <w:rPr>
          <w:lang w:val="en-GB"/>
        </w:rPr>
        <w:t xml:space="preserve"> </w:t>
      </w:r>
      <w:r w:rsidRPr="000E17F1">
        <w:rPr>
          <w:lang w:val="en-GB"/>
        </w:rPr>
        <w:br/>
        <w:t>Indications for use include congenital heart disease, chronic lung disease, preterm birth, pulmonary hypertension, and immunodeficiencies.</w:t>
      </w:r>
      <w:r w:rsidRPr="000E17F1">
        <w:rPr>
          <w:vertAlign w:val="superscript"/>
          <w:lang w:val="en-GB"/>
        </w:rPr>
        <w:t>1,15</w:t>
      </w:r>
      <w:r w:rsidRPr="000E17F1">
        <w:rPr>
          <w:lang w:val="en-GB"/>
        </w:rPr>
        <w:t xml:space="preserve"> This has been shown to reduce hospitalisation for RSV and may reduce the overall risk of infection in these cohorts.</w:t>
      </w:r>
      <w:r w:rsidRPr="000E17F1">
        <w:rPr>
          <w:vertAlign w:val="superscript"/>
          <w:lang w:val="en-GB"/>
        </w:rPr>
        <w:t>1,15</w:t>
      </w:r>
    </w:p>
    <w:p w14:paraId="04405A54" w14:textId="77777777" w:rsidR="000E17F1" w:rsidRPr="000E17F1" w:rsidRDefault="000E17F1" w:rsidP="000E17F1">
      <w:pPr>
        <w:divId w:val="935526654"/>
        <w:rPr>
          <w:lang w:val="en-GB"/>
        </w:rPr>
      </w:pPr>
      <w:r w:rsidRPr="000E17F1">
        <w:rPr>
          <w:lang w:val="en-GB"/>
        </w:rPr>
        <w:t>RSV spreads via contact with infected respiratory droplets with viral viability and epidemics influenced by climate and seasonal factors.</w:t>
      </w:r>
      <w:r w:rsidRPr="000E17F1">
        <w:rPr>
          <w:vertAlign w:val="superscript"/>
          <w:lang w:val="en-GB"/>
        </w:rPr>
        <w:t>17,19</w:t>
      </w:r>
      <w:r w:rsidRPr="000E17F1">
        <w:rPr>
          <w:lang w:val="en-GB"/>
        </w:rPr>
        <w:t xml:space="preserve"> Transmission may be altered by the meteorological conditions and human behaviours in response to weather that can vary across cultures. RSV seasonality is well-defined in temperate regions with annual epidemics occurring over the cooler, winter season and frequently showing a biennial cycle.</w:t>
      </w:r>
      <w:r w:rsidRPr="000E17F1">
        <w:rPr>
          <w:vertAlign w:val="superscript"/>
          <w:lang w:val="en-GB"/>
        </w:rPr>
        <w:t>1,4,20–23</w:t>
      </w:r>
      <w:r w:rsidRPr="000E17F1">
        <w:rPr>
          <w:lang w:val="en-GB"/>
        </w:rPr>
        <w:t xml:space="preserve"> This is driven by the low temperatures enhancing virus survival, increased crowding indoors, and growing evidence for low population vitamin D levels affecting immunity.</w:t>
      </w:r>
      <w:r w:rsidRPr="000E17F1">
        <w:rPr>
          <w:vertAlign w:val="superscript"/>
          <w:lang w:val="en-GB"/>
        </w:rPr>
        <w:t>19,24,25</w:t>
      </w:r>
      <w:r w:rsidRPr="000E17F1">
        <w:rPr>
          <w:lang w:val="en-GB"/>
        </w:rPr>
        <w:t xml:space="preserve"> Tropical and subtropical areas may see peak activity associated with the rainy seasons, however, there is great variability across sites, latitudes, and hemispheres.</w:t>
      </w:r>
      <w:r w:rsidRPr="000E17F1">
        <w:rPr>
          <w:vertAlign w:val="superscript"/>
          <w:lang w:val="en-GB"/>
        </w:rPr>
        <w:t>2,4,22–24</w:t>
      </w:r>
    </w:p>
    <w:p w14:paraId="33D5E8A9" w14:textId="77777777" w:rsidR="000E17F1" w:rsidRPr="000E17F1" w:rsidRDefault="000E17F1" w:rsidP="000E17F1">
      <w:pPr>
        <w:divId w:val="935526654"/>
        <w:rPr>
          <w:lang w:val="en-GB"/>
        </w:rPr>
      </w:pPr>
      <w:r w:rsidRPr="000E17F1">
        <w:rPr>
          <w:lang w:val="en-GB"/>
        </w:rPr>
        <w:lastRenderedPageBreak/>
        <w:t>Other social and environmental factors place infants and children at increased risk of both infection and hospitalisation for RSV. These include being of male sex, timing of birth in relation to RSV season, parental smoking, ethnicity, having older siblings, being of lower socioeconomic status, living in over-crowded conditions, and attending childcare,</w:t>
      </w:r>
      <w:r w:rsidRPr="000E17F1">
        <w:rPr>
          <w:vertAlign w:val="superscript"/>
          <w:lang w:val="en-GB"/>
        </w:rPr>
        <w:t>19,25–27</w:t>
      </w:r>
      <w:r w:rsidRPr="000E17F1">
        <w:rPr>
          <w:lang w:val="en-GB"/>
        </w:rPr>
        <w:t xml:space="preserve"> while breastfeeding is a protective factor.</w:t>
      </w:r>
      <w:r w:rsidRPr="000E17F1">
        <w:rPr>
          <w:vertAlign w:val="superscript"/>
          <w:lang w:val="en-GB"/>
        </w:rPr>
        <w:t>27,28</w:t>
      </w:r>
    </w:p>
    <w:p w14:paraId="304B7250" w14:textId="77777777" w:rsidR="000E17F1" w:rsidRPr="000E17F1" w:rsidRDefault="000E17F1" w:rsidP="000E17F1">
      <w:pPr>
        <w:divId w:val="935526654"/>
        <w:rPr>
          <w:lang w:val="en-GB"/>
        </w:rPr>
      </w:pPr>
      <w:r w:rsidRPr="000E17F1">
        <w:rPr>
          <w:lang w:val="en-GB"/>
        </w:rPr>
        <w:t>Understanding the local epidemiology, burden, management, and seasonality of RSV in the subtropical region of Central Queensland is important to inform local prevention, treatment, and control strategies. This includes informing the timing of RSV prophylaxis for at-risk individuals, and potentially for RSV vaccinations and therapeutics in the future.</w:t>
      </w:r>
      <w:r w:rsidRPr="000E17F1">
        <w:rPr>
          <w:vertAlign w:val="superscript"/>
          <w:lang w:val="en-GB"/>
        </w:rPr>
        <w:t>2</w:t>
      </w:r>
      <w:r w:rsidRPr="000E17F1">
        <w:rPr>
          <w:lang w:val="en-GB"/>
        </w:rPr>
        <w:t xml:space="preserve"> We aimed to define the epidemiology and seasonality of RSV in Central Queensland by utilising routinely collected notifiable disease surveillance data and admission data.</w:t>
      </w:r>
    </w:p>
    <w:p w14:paraId="49A0EC98" w14:textId="77777777" w:rsidR="008A0736" w:rsidRDefault="008A0736" w:rsidP="008A0736">
      <w:pPr>
        <w:pStyle w:val="Heading1"/>
        <w:divId w:val="935526654"/>
        <w:rPr>
          <w:lang w:val="en-GB"/>
        </w:rPr>
      </w:pPr>
      <w:r>
        <w:rPr>
          <w:lang w:val="en-GB"/>
        </w:rPr>
        <w:t>Methods</w:t>
      </w:r>
    </w:p>
    <w:p w14:paraId="3DA160F4" w14:textId="4C6AFAF9" w:rsidR="008A0736" w:rsidRDefault="000F2D45" w:rsidP="000E17F1">
      <w:pPr>
        <w:pStyle w:val="Heading2"/>
        <w:divId w:val="935526654"/>
        <w:rPr>
          <w:lang w:val="en-GB"/>
        </w:rPr>
      </w:pPr>
      <w:r>
        <w:rPr>
          <w:lang w:val="en-GB"/>
        </w:rPr>
        <w:t>Population and setting</w:t>
      </w:r>
    </w:p>
    <w:p w14:paraId="234E893A" w14:textId="77777777" w:rsidR="000F2D45" w:rsidRPr="000F2D45" w:rsidRDefault="000F2D45" w:rsidP="000F2D45">
      <w:pPr>
        <w:divId w:val="935526654"/>
        <w:rPr>
          <w:lang w:val="en-GB"/>
        </w:rPr>
      </w:pPr>
      <w:r w:rsidRPr="000F2D45">
        <w:rPr>
          <w:lang w:val="en-GB"/>
        </w:rPr>
        <w:t>The population of the Central Queensland hospital and health service (HHS) region is estimated at 230,000 people, spread over a large geographical area of 117,800 square kilometres.</w:t>
      </w:r>
      <w:r w:rsidRPr="000F2D45">
        <w:rPr>
          <w:vertAlign w:val="superscript"/>
          <w:lang w:val="en-GB"/>
        </w:rPr>
        <w:t>29,30</w:t>
      </w:r>
      <w:r w:rsidRPr="000F2D45">
        <w:rPr>
          <w:lang w:val="en-GB"/>
        </w:rPr>
        <w:t xml:space="preserve"> Approximately 7.2% of the population identify as Aboriginal and Torres Strait Islander people, of whom 12.4% are aged under five years.</w:t>
      </w:r>
      <w:r w:rsidRPr="000F2D45">
        <w:rPr>
          <w:vertAlign w:val="superscript"/>
          <w:lang w:val="en-GB"/>
        </w:rPr>
        <w:t>30</w:t>
      </w:r>
    </w:p>
    <w:p w14:paraId="16F3486B" w14:textId="77777777" w:rsidR="000F2D45" w:rsidRPr="000F2D45" w:rsidRDefault="000F2D45" w:rsidP="000F2D45">
      <w:pPr>
        <w:divId w:val="935526654"/>
        <w:rPr>
          <w:lang w:val="en-GB"/>
        </w:rPr>
      </w:pPr>
      <w:r w:rsidRPr="000F2D45">
        <w:rPr>
          <w:lang w:val="en-GB"/>
        </w:rPr>
        <w:t>Central Queensland Hospital and Health Service is responsible for the operation of 12 public hospitals and provides services for Aboriginal and Torres Strait Islander health, maternity, cancer care, mental health, alcohol and other drugs, oral health, GP referrals, and outreach specialists.</w:t>
      </w:r>
      <w:r w:rsidRPr="000F2D45">
        <w:rPr>
          <w:vertAlign w:val="superscript"/>
          <w:lang w:val="en-GB"/>
        </w:rPr>
        <w:t>31</w:t>
      </w:r>
    </w:p>
    <w:p w14:paraId="0E2DFC41" w14:textId="77777777" w:rsidR="000F2D45" w:rsidRPr="000F2D45" w:rsidRDefault="000F2D45" w:rsidP="000F2D45">
      <w:pPr>
        <w:divId w:val="935526654"/>
        <w:rPr>
          <w:lang w:val="en-GB"/>
        </w:rPr>
      </w:pPr>
      <w:r w:rsidRPr="000F2D45">
        <w:rPr>
          <w:lang w:val="en-GB"/>
        </w:rPr>
        <w:t>Central Queensland has a subtropical climate with hot, wet summers and warm, dry winters with an average annual temperature of 21 °C.</w:t>
      </w:r>
      <w:r w:rsidRPr="000F2D45">
        <w:rPr>
          <w:vertAlign w:val="superscript"/>
          <w:lang w:val="en-GB"/>
        </w:rPr>
        <w:t>29</w:t>
      </w:r>
      <w:r w:rsidRPr="000F2D45">
        <w:rPr>
          <w:lang w:val="en-GB"/>
        </w:rPr>
        <w:t xml:space="preserve"> Rainfall varies across the region annually and </w:t>
      </w:r>
      <w:proofErr w:type="gramStart"/>
      <w:r w:rsidRPr="000F2D45">
        <w:rPr>
          <w:lang w:val="en-GB"/>
        </w:rPr>
        <w:t>seasonally, but</w:t>
      </w:r>
      <w:proofErr w:type="gramEnd"/>
      <w:r w:rsidRPr="000F2D45">
        <w:rPr>
          <w:lang w:val="en-GB"/>
        </w:rPr>
        <w:t xml:space="preserve"> is greatest in the summer months of December to February.</w:t>
      </w:r>
    </w:p>
    <w:p w14:paraId="0D25C8F5" w14:textId="2F0EFC3D" w:rsidR="000E17F1" w:rsidRDefault="000F2D45" w:rsidP="000F2D45">
      <w:pPr>
        <w:pStyle w:val="Heading2"/>
        <w:divId w:val="935526654"/>
        <w:rPr>
          <w:lang w:val="en-GB"/>
        </w:rPr>
      </w:pPr>
      <w:r>
        <w:rPr>
          <w:lang w:val="en-GB"/>
        </w:rPr>
        <w:t>Data collection</w:t>
      </w:r>
    </w:p>
    <w:p w14:paraId="277FF4C0" w14:textId="77777777" w:rsidR="000F2D45" w:rsidRPr="000F2D45" w:rsidRDefault="000F2D45" w:rsidP="000F2D45">
      <w:pPr>
        <w:divId w:val="935526654"/>
        <w:rPr>
          <w:lang w:val="en-GB"/>
        </w:rPr>
      </w:pPr>
      <w:r w:rsidRPr="000F2D45">
        <w:rPr>
          <w:lang w:val="en-GB"/>
        </w:rPr>
        <w:t>This is a retrospective study of laboratory-confirmed RSV cases and admissions over an eighteen-month period from 1 July 2021 to 31 December 2022. RSV was listed as a nationally notifiable condition on pathological diagnosis from July 2021, with all positive Queensland samples required to be reported to the state Notifiable Conditions Surveillance (NOCS) database from this date.</w:t>
      </w:r>
      <w:r w:rsidRPr="000F2D45">
        <w:rPr>
          <w:vertAlign w:val="superscript"/>
          <w:lang w:val="en-GB"/>
        </w:rPr>
        <w:t>32</w:t>
      </w:r>
    </w:p>
    <w:p w14:paraId="72DD29E3" w14:textId="77777777" w:rsidR="000F2D45" w:rsidRPr="000F2D45" w:rsidRDefault="000F2D45" w:rsidP="000F2D45">
      <w:pPr>
        <w:divId w:val="935526654"/>
        <w:rPr>
          <w:lang w:val="en-GB"/>
        </w:rPr>
      </w:pPr>
      <w:r w:rsidRPr="000F2D45">
        <w:rPr>
          <w:lang w:val="en-GB"/>
        </w:rPr>
        <w:t xml:space="preserve">Data for confirmed RSV cases with a postcode listed in the Central Queensland Hospital and Health Service region was extracted from the statewide NOCS database. RSV admission data from the two major public acute care services, Rockhampton, and Gladstone Hospitals, were retrieved from Queensland Hospital Admitted Patient Data Collection (QHAPDC) using selected </w:t>
      </w:r>
      <w:r w:rsidRPr="000F2D45">
        <w:rPr>
          <w:i/>
          <w:iCs/>
          <w:lang w:val="en-GB"/>
        </w:rPr>
        <w:t>International Classification of Diseases, Tenth Revision</w:t>
      </w:r>
      <w:r w:rsidRPr="000F2D45">
        <w:rPr>
          <w:lang w:val="en-GB"/>
        </w:rPr>
        <w:t xml:space="preserve"> (ICD-10) diagnostic codes. RSV-specific codes included for extraction were J12.1 (respiratory syncytial virus pneumonia), J21.0 (acute bronchiolitis due to RSV), J20.5 (acute bronchitis due to RSV) and B97.4 (RSV as the cause of disease classified elsewhere). Other non-RSV bronchiolitis diagnostic codes </w:t>
      </w:r>
      <w:r w:rsidRPr="000F2D45">
        <w:rPr>
          <w:lang w:val="en-GB"/>
        </w:rPr>
        <w:lastRenderedPageBreak/>
        <w:t>included were J21.9 (unspecified bronchiolitis), J21.8 (bronchiolitis due to other specified organisms), and J21.1 (bronchiolitis due to human metapneumovirus) to capture any misclassified paediatric admissions.</w:t>
      </w:r>
    </w:p>
    <w:p w14:paraId="299CD5E3" w14:textId="77777777" w:rsidR="000F2D45" w:rsidRPr="000F2D45" w:rsidRDefault="000F2D45" w:rsidP="000F2D45">
      <w:pPr>
        <w:divId w:val="935526654"/>
        <w:rPr>
          <w:lang w:val="en-GB"/>
        </w:rPr>
      </w:pPr>
      <w:r w:rsidRPr="000F2D45">
        <w:rPr>
          <w:lang w:val="en-GB"/>
        </w:rPr>
        <w:t>NOCS data and admission data were merged manually using Medicare numbers, dates of birth and first and last names to find those with a laboratory-confirmed diagnosis of RSV. Admissions linked to a confirmed RSV notification within fourteen days either side of admission were included for analysis. Patient encounters with a re-admission for the same illness within 48 hours of discharge were merged. Clinical data for confirmed RSV admissions were gathered from emergency department notes and discharge summaries available on the Viewer data system. This included the collection of details such as the documented presence of concurrent infections with other respiratory diseases (e.g., COVID-19, rhinovirus, adenovirus, influenza A, and human metapneumovirus). Clinical data were limited by the quality of the documentation and a lack of access to inpatient notes.</w:t>
      </w:r>
    </w:p>
    <w:p w14:paraId="00C63904" w14:textId="77777777" w:rsidR="000F2D45" w:rsidRPr="000F2D45" w:rsidRDefault="000F2D45" w:rsidP="000F2D45">
      <w:pPr>
        <w:divId w:val="935526654"/>
        <w:rPr>
          <w:lang w:val="en-GB"/>
        </w:rPr>
      </w:pPr>
      <w:r w:rsidRPr="000F2D45">
        <w:rPr>
          <w:lang w:val="en-GB"/>
        </w:rPr>
        <w:t>Population data for 2021 was obtained from the Australian Bureau of Statistics to calculate infection rates.</w:t>
      </w:r>
      <w:r w:rsidRPr="000F2D45">
        <w:rPr>
          <w:vertAlign w:val="superscript"/>
          <w:lang w:val="en-GB"/>
        </w:rPr>
        <w:t>33</w:t>
      </w:r>
      <w:r w:rsidRPr="000F2D45">
        <w:rPr>
          <w:lang w:val="en-GB"/>
        </w:rPr>
        <w:t xml:space="preserve"> This was used as a proxy for 2022 population data. Climate data were obtained from the Australian Government Bureau of Meteorology Rockhampton Aero station.</w:t>
      </w:r>
      <w:r w:rsidRPr="000F2D45">
        <w:rPr>
          <w:vertAlign w:val="superscript"/>
          <w:lang w:val="en-GB"/>
        </w:rPr>
        <w:t>34</w:t>
      </w:r>
      <w:r w:rsidRPr="000F2D45">
        <w:rPr>
          <w:lang w:val="en-GB"/>
        </w:rPr>
        <w:t xml:space="preserve"> Where rainfall was recorded as a multi-day total, this total was averaged out across the relevant days.</w:t>
      </w:r>
    </w:p>
    <w:p w14:paraId="7BD10813" w14:textId="56082F63" w:rsidR="000E17F1" w:rsidRDefault="000F2D45" w:rsidP="000F2D45">
      <w:pPr>
        <w:pStyle w:val="Heading2"/>
        <w:divId w:val="935526654"/>
        <w:rPr>
          <w:lang w:val="en-GB"/>
        </w:rPr>
      </w:pPr>
      <w:r>
        <w:rPr>
          <w:lang w:val="en-GB"/>
        </w:rPr>
        <w:t>Data analysis</w:t>
      </w:r>
    </w:p>
    <w:p w14:paraId="41FCEFB1" w14:textId="77777777" w:rsidR="000F2D45" w:rsidRPr="000F2D45" w:rsidRDefault="000F2D45" w:rsidP="000F2D45">
      <w:pPr>
        <w:divId w:val="935526654"/>
        <w:rPr>
          <w:lang w:val="en-GB"/>
        </w:rPr>
      </w:pPr>
      <w:r w:rsidRPr="000F2D45">
        <w:rPr>
          <w:lang w:val="en-GB"/>
        </w:rPr>
        <w:t xml:space="preserve">Data analyses were performed using Statistical Package for the Social Sciences (SPSS) version 28.0.1.1 and Microsoft Excel Version 2202 for figure generation. In addition to descriptive statistics, the relative risk was calculated using relevant Central Queensland population data (see Appendix A, Table A.1) as the denominator, a difference in means was calculated using an independent t-test, between-group proportions were compared using the chi-squared test with Yates’ continuity correction for 2 × 2 tables, and Fisher’s exact test for smaller samples where expected counts were less than five in 80% of cells. A </w:t>
      </w:r>
      <w:r w:rsidRPr="000F2D45">
        <w:rPr>
          <w:i/>
          <w:iCs/>
          <w:lang w:val="en-GB"/>
        </w:rPr>
        <w:t>p</w:t>
      </w:r>
      <w:r w:rsidRPr="000F2D45">
        <w:rPr>
          <w:lang w:val="en-GB"/>
        </w:rPr>
        <w:t xml:space="preserve"> value of &lt; 0.05 was taken as significant.</w:t>
      </w:r>
    </w:p>
    <w:p w14:paraId="73115365" w14:textId="77777777" w:rsidR="008A0736" w:rsidRDefault="008A0736" w:rsidP="008A0736">
      <w:pPr>
        <w:pStyle w:val="Heading1"/>
        <w:divId w:val="935526654"/>
        <w:rPr>
          <w:lang w:val="en-GB"/>
        </w:rPr>
      </w:pPr>
      <w:r>
        <w:rPr>
          <w:lang w:val="en-GB"/>
        </w:rPr>
        <w:t>Results</w:t>
      </w:r>
    </w:p>
    <w:p w14:paraId="6C65D3B8" w14:textId="77777777" w:rsidR="000F2D45" w:rsidRPr="000F2D45" w:rsidRDefault="000F2D45" w:rsidP="000F2D45">
      <w:pPr>
        <w:divId w:val="935526654"/>
        <w:rPr>
          <w:lang w:val="en-GB"/>
        </w:rPr>
      </w:pPr>
      <w:r w:rsidRPr="000F2D45">
        <w:rPr>
          <w:lang w:val="en-GB"/>
        </w:rPr>
        <w:t>During the period 1 July 2021 – 31 December 2022, there were 1,142 laboratory-confirmed RSV cases (50.0% female sex) notified in CQ; 169 of these cases (14.8%) required hospital admission (Table 1). Of those admitted, 12 (7.1%) required intensive care or high dependency unit admissions, and there were two in-hospital deaths within four weeks of admission for RSV in patients &gt; 5 years of age with major comorbidities, equating to a case fatality rate of 0.2% for the region.</w:t>
      </w:r>
    </w:p>
    <w:p w14:paraId="197825E5" w14:textId="77777777" w:rsidR="000F2D45" w:rsidRDefault="000F2D45" w:rsidP="000F2D45">
      <w:pPr>
        <w:divId w:val="935526654"/>
        <w:rPr>
          <w:lang w:val="en-GB"/>
        </w:rPr>
      </w:pPr>
      <w:r w:rsidRPr="000F2D45">
        <w:rPr>
          <w:lang w:val="en-GB"/>
        </w:rPr>
        <w:t>A total of 633 cases (55.4%) were children under five years of age, 132 of whom (20.9%) required hospitalisation. This equated to a hospitalisation rate of 9.0 admissions per 1,000 children in this age group, with an average age of 15.8 months (SD: 13.1 months) (Table 1). The proportion of hospitalisation was greatest in infants aged between one and three months, with 43.9% of cases in this age group (18/41) requiring admission (Table 2). Among Aboriginal and Torres Strait Islander children under five years of age, the risk of infection was 1.6 times as high as among non-Indigenous children in the same age group (95% CI: 1.3–1.9); the risk of hospital admission was similarly 1.6 times as high (95% CI: 1.0–2.4) among Aboriginal and Torres Strait Islander children under five years of age as among non-Indigenous children in this age group (Table 3).</w:t>
      </w:r>
    </w:p>
    <w:p w14:paraId="4E3B356C" w14:textId="3164CE9D" w:rsidR="008E4191" w:rsidRDefault="008E4191" w:rsidP="008E4191">
      <w:pPr>
        <w:pStyle w:val="CDIFigure-Table-Title"/>
        <w:divId w:val="935526654"/>
      </w:pPr>
      <w:r w:rsidRPr="008E4191">
        <w:lastRenderedPageBreak/>
        <w:t>Table 1: Demographic characteristics of notified RSV cases and admissions</w:t>
      </w:r>
    </w:p>
    <w:tbl>
      <w:tblPr>
        <w:tblW w:w="9789" w:type="dxa"/>
        <w:tblInd w:w="-8" w:type="dxa"/>
        <w:tblLayout w:type="fixed"/>
        <w:tblCellMar>
          <w:left w:w="0" w:type="dxa"/>
          <w:right w:w="0" w:type="dxa"/>
        </w:tblCellMar>
        <w:tblLook w:val="0000" w:firstRow="0" w:lastRow="0" w:firstColumn="0" w:lastColumn="0" w:noHBand="0" w:noVBand="0"/>
        <w:tblCaption w:val="Table 1: Demographic characteristics of notified RSV cases and admissions"/>
        <w:tblDescription w:val="Table 1 shows the Respiratory Syncytial Virus case numbers, percentages, infection rate and hospital admission rate by demographic characteristics."/>
      </w:tblPr>
      <w:tblGrid>
        <w:gridCol w:w="1077"/>
        <w:gridCol w:w="1531"/>
        <w:gridCol w:w="680"/>
        <w:gridCol w:w="681"/>
        <w:gridCol w:w="793"/>
        <w:gridCol w:w="964"/>
        <w:gridCol w:w="1077"/>
        <w:gridCol w:w="794"/>
        <w:gridCol w:w="1247"/>
        <w:gridCol w:w="945"/>
      </w:tblGrid>
      <w:tr w:rsidR="00C218D9" w:rsidRPr="00C218D9" w14:paraId="700F86F9" w14:textId="77777777" w:rsidTr="004010EA">
        <w:tblPrEx>
          <w:tblCellMar>
            <w:top w:w="0" w:type="dxa"/>
            <w:left w:w="0" w:type="dxa"/>
            <w:bottom w:w="0" w:type="dxa"/>
            <w:right w:w="0" w:type="dxa"/>
          </w:tblCellMar>
        </w:tblPrEx>
        <w:trPr>
          <w:divId w:val="935526654"/>
          <w:trHeight w:val="20"/>
          <w:tblHeader/>
        </w:trPr>
        <w:tc>
          <w:tcPr>
            <w:tcW w:w="1077" w:type="dxa"/>
            <w:vMerge w:val="restart"/>
            <w:shd w:val="clear" w:color="auto" w:fill="033636" w:themeFill="text2"/>
            <w:tcMar>
              <w:top w:w="113" w:type="dxa"/>
              <w:left w:w="113" w:type="dxa"/>
              <w:bottom w:w="113" w:type="dxa"/>
              <w:right w:w="113" w:type="dxa"/>
            </w:tcMar>
            <w:vAlign w:val="bottom"/>
          </w:tcPr>
          <w:p w14:paraId="666E478E" w14:textId="77777777" w:rsidR="00C218D9" w:rsidRPr="00C218D9" w:rsidRDefault="00C218D9" w:rsidP="00C218D9">
            <w:pPr>
              <w:pStyle w:val="CDIFigure-Table-H1Left"/>
            </w:pPr>
            <w:r w:rsidRPr="00C218D9">
              <w:t>Category</w:t>
            </w:r>
          </w:p>
        </w:tc>
        <w:tc>
          <w:tcPr>
            <w:tcW w:w="1531" w:type="dxa"/>
            <w:vMerge w:val="restart"/>
            <w:shd w:val="clear" w:color="auto" w:fill="033636" w:themeFill="text2"/>
            <w:tcMar>
              <w:top w:w="113" w:type="dxa"/>
              <w:left w:w="113" w:type="dxa"/>
              <w:bottom w:w="113" w:type="dxa"/>
              <w:right w:w="113" w:type="dxa"/>
            </w:tcMar>
            <w:vAlign w:val="bottom"/>
          </w:tcPr>
          <w:p w14:paraId="2FBC0620" w14:textId="77777777" w:rsidR="00C218D9" w:rsidRPr="00C218D9" w:rsidRDefault="00C218D9" w:rsidP="00C218D9">
            <w:pPr>
              <w:pStyle w:val="CDIFigure-Table-H1Left"/>
            </w:pPr>
            <w:r w:rsidRPr="00C218D9">
              <w:t>Characteristic</w:t>
            </w:r>
          </w:p>
        </w:tc>
        <w:tc>
          <w:tcPr>
            <w:tcW w:w="1361"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5B43D6E9" w14:textId="77777777" w:rsidR="00C218D9" w:rsidRPr="00C218D9" w:rsidRDefault="00C218D9" w:rsidP="00C218D9">
            <w:pPr>
              <w:pStyle w:val="CDIFigure-Table-H1"/>
            </w:pPr>
            <w:r w:rsidRPr="00C218D9">
              <w:t>Cases</w:t>
            </w:r>
          </w:p>
        </w:tc>
        <w:tc>
          <w:tcPr>
            <w:tcW w:w="1757"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549887F4" w14:textId="77777777" w:rsidR="00C218D9" w:rsidRPr="00C218D9" w:rsidRDefault="00C218D9" w:rsidP="00C218D9">
            <w:pPr>
              <w:pStyle w:val="CDIFigure-Table-H1"/>
            </w:pPr>
            <w:r w:rsidRPr="00C218D9">
              <w:t>Infection rate</w:t>
            </w:r>
          </w:p>
        </w:tc>
        <w:tc>
          <w:tcPr>
            <w:tcW w:w="1871"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7AA47746" w14:textId="77777777" w:rsidR="00C218D9" w:rsidRPr="00C218D9" w:rsidRDefault="00C218D9" w:rsidP="00C218D9">
            <w:pPr>
              <w:pStyle w:val="CDIFigure-Table-H1"/>
            </w:pPr>
            <w:r w:rsidRPr="00C218D9">
              <w:t>Hospital admissions</w:t>
            </w:r>
          </w:p>
        </w:tc>
        <w:tc>
          <w:tcPr>
            <w:tcW w:w="2192"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1280BE41" w14:textId="77777777" w:rsidR="00C218D9" w:rsidRPr="00C218D9" w:rsidRDefault="00C218D9" w:rsidP="00C218D9">
            <w:pPr>
              <w:pStyle w:val="CDIFigure-Table-H1"/>
            </w:pPr>
            <w:r w:rsidRPr="00C218D9">
              <w:t>Admission rate</w:t>
            </w:r>
          </w:p>
        </w:tc>
      </w:tr>
      <w:tr w:rsidR="006D34E9" w:rsidRPr="00C218D9" w14:paraId="074E3EE4" w14:textId="77777777" w:rsidTr="004010EA">
        <w:tblPrEx>
          <w:tblCellMar>
            <w:top w:w="0" w:type="dxa"/>
            <w:left w:w="0" w:type="dxa"/>
            <w:bottom w:w="0" w:type="dxa"/>
            <w:right w:w="0" w:type="dxa"/>
          </w:tblCellMar>
        </w:tblPrEx>
        <w:trPr>
          <w:divId w:val="935526654"/>
          <w:trHeight w:val="20"/>
          <w:tblHeader/>
        </w:trPr>
        <w:tc>
          <w:tcPr>
            <w:tcW w:w="1077" w:type="dxa"/>
            <w:vMerge/>
            <w:shd w:val="clear" w:color="auto" w:fill="033636" w:themeFill="text2"/>
          </w:tcPr>
          <w:p w14:paraId="1EB9E39D" w14:textId="77777777" w:rsidR="00C218D9" w:rsidRPr="00C218D9" w:rsidRDefault="00C218D9" w:rsidP="00C218D9"/>
        </w:tc>
        <w:tc>
          <w:tcPr>
            <w:tcW w:w="1531" w:type="dxa"/>
            <w:vMerge/>
            <w:shd w:val="clear" w:color="auto" w:fill="033636" w:themeFill="text2"/>
          </w:tcPr>
          <w:p w14:paraId="5C5DB9E7" w14:textId="77777777" w:rsidR="00C218D9" w:rsidRPr="00C218D9" w:rsidRDefault="00C218D9" w:rsidP="00C218D9"/>
        </w:tc>
        <w:tc>
          <w:tcPr>
            <w:tcW w:w="680"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12B1B1C8" w14:textId="77777777" w:rsidR="00C218D9" w:rsidRPr="00C218D9" w:rsidRDefault="00C218D9" w:rsidP="00C218D9">
            <w:pPr>
              <w:pStyle w:val="CDIFigure-Table-H1"/>
            </w:pPr>
            <w:r w:rsidRPr="00C218D9">
              <w:t>n</w:t>
            </w:r>
          </w:p>
        </w:tc>
        <w:tc>
          <w:tcPr>
            <w:tcW w:w="681"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45FDF77C" w14:textId="77777777" w:rsidR="00C218D9" w:rsidRPr="00C218D9" w:rsidRDefault="00C218D9" w:rsidP="00C218D9">
            <w:pPr>
              <w:pStyle w:val="CDIFigure-Table-H1"/>
            </w:pPr>
            <w:r w:rsidRPr="00C218D9">
              <w:t>%</w:t>
            </w:r>
          </w:p>
        </w:tc>
        <w:tc>
          <w:tcPr>
            <w:tcW w:w="793"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3B0C21DF" w14:textId="77777777" w:rsidR="00C218D9" w:rsidRPr="00C218D9" w:rsidRDefault="00C218D9" w:rsidP="00C218D9">
            <w:pPr>
              <w:pStyle w:val="CDIFigure-Table-H1"/>
            </w:pPr>
            <w:r w:rsidRPr="00C218D9">
              <w:t>Cases/ 1,000</w:t>
            </w:r>
          </w:p>
        </w:tc>
        <w:tc>
          <w:tcPr>
            <w:tcW w:w="964"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5B7C28F9" w14:textId="06600C7A" w:rsidR="00C218D9" w:rsidRPr="00C218D9" w:rsidRDefault="00C218D9" w:rsidP="00C218D9">
            <w:pPr>
              <w:pStyle w:val="CDIFigure-Table-H1"/>
            </w:pPr>
            <w:r w:rsidRPr="00C218D9">
              <w:t>95%</w:t>
            </w:r>
            <w:r>
              <w:t xml:space="preserve"> </w:t>
            </w:r>
            <w:proofErr w:type="spellStart"/>
            <w:r w:rsidRPr="00C218D9">
              <w:t>CI</w:t>
            </w:r>
            <w:r w:rsidRPr="00C218D9">
              <w:rPr>
                <w:vertAlign w:val="superscript"/>
              </w:rPr>
              <w:t>a</w:t>
            </w:r>
            <w:proofErr w:type="spellEnd"/>
          </w:p>
        </w:tc>
        <w:tc>
          <w:tcPr>
            <w:tcW w:w="107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453CC4CE" w14:textId="77777777" w:rsidR="00C218D9" w:rsidRPr="00C218D9" w:rsidRDefault="00C218D9" w:rsidP="00C218D9">
            <w:pPr>
              <w:pStyle w:val="CDIFigure-Table-H1"/>
            </w:pPr>
            <w:r w:rsidRPr="00C218D9">
              <w:t>n</w:t>
            </w:r>
          </w:p>
        </w:tc>
        <w:tc>
          <w:tcPr>
            <w:tcW w:w="794"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4756DF56" w14:textId="77777777" w:rsidR="00C218D9" w:rsidRPr="00C218D9" w:rsidRDefault="00C218D9" w:rsidP="00C218D9">
            <w:pPr>
              <w:pStyle w:val="CDIFigure-Table-H1"/>
            </w:pPr>
            <w:r w:rsidRPr="00C218D9">
              <w:t>%</w:t>
            </w:r>
          </w:p>
        </w:tc>
        <w:tc>
          <w:tcPr>
            <w:tcW w:w="124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6AC2D18A" w14:textId="77777777" w:rsidR="00C218D9" w:rsidRPr="00C218D9" w:rsidRDefault="00C218D9" w:rsidP="00C218D9">
            <w:pPr>
              <w:pStyle w:val="CDIFigure-Table-H1"/>
            </w:pPr>
            <w:r w:rsidRPr="00C218D9">
              <w:t>Admissions/ 1,000</w:t>
            </w:r>
          </w:p>
        </w:tc>
        <w:tc>
          <w:tcPr>
            <w:tcW w:w="945"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4EED792B" w14:textId="77777777" w:rsidR="00C218D9" w:rsidRPr="00C218D9" w:rsidRDefault="00C218D9" w:rsidP="00C218D9">
            <w:pPr>
              <w:pStyle w:val="CDIFigure-Table-H1"/>
            </w:pPr>
            <w:r w:rsidRPr="00C218D9">
              <w:t xml:space="preserve">95% </w:t>
            </w:r>
            <w:proofErr w:type="spellStart"/>
            <w:r w:rsidRPr="00C218D9">
              <w:t>CI</w:t>
            </w:r>
            <w:r w:rsidRPr="00C218D9">
              <w:rPr>
                <w:vertAlign w:val="superscript"/>
              </w:rPr>
              <w:t>a</w:t>
            </w:r>
            <w:proofErr w:type="spellEnd"/>
          </w:p>
        </w:tc>
      </w:tr>
      <w:tr w:rsidR="004010EA" w:rsidRPr="00C218D9" w14:paraId="7C296ECB" w14:textId="77777777" w:rsidTr="004010EA">
        <w:tblPrEx>
          <w:tblCellMar>
            <w:top w:w="0" w:type="dxa"/>
            <w:left w:w="0" w:type="dxa"/>
            <w:bottom w:w="0" w:type="dxa"/>
            <w:right w:w="0" w:type="dxa"/>
          </w:tblCellMar>
        </w:tblPrEx>
        <w:trPr>
          <w:divId w:val="935526654"/>
          <w:trHeight w:val="20"/>
        </w:trPr>
        <w:tc>
          <w:tcPr>
            <w:tcW w:w="1077" w:type="dxa"/>
            <w:vMerge w:val="restart"/>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FCF6341" w14:textId="77777777" w:rsidR="00C218D9" w:rsidRPr="00C218D9" w:rsidRDefault="00C218D9" w:rsidP="00C218D9">
            <w:pPr>
              <w:pStyle w:val="CDIFigure-Table-BodyTextLeft"/>
            </w:pPr>
            <w:r w:rsidRPr="00C218D9">
              <w:t>Sex</w:t>
            </w:r>
          </w:p>
        </w:tc>
        <w:tc>
          <w:tcPr>
            <w:tcW w:w="1531" w:type="dxa"/>
            <w:shd w:val="clear" w:color="auto" w:fill="F2F2F2" w:themeFill="background1" w:themeFillShade="F2"/>
            <w:tcMar>
              <w:top w:w="113" w:type="dxa"/>
              <w:left w:w="113" w:type="dxa"/>
              <w:bottom w:w="113" w:type="dxa"/>
              <w:right w:w="113" w:type="dxa"/>
            </w:tcMar>
            <w:vAlign w:val="center"/>
          </w:tcPr>
          <w:p w14:paraId="321F97D2" w14:textId="77777777" w:rsidR="00C218D9" w:rsidRPr="00C218D9" w:rsidRDefault="00C218D9" w:rsidP="00C218D9">
            <w:pPr>
              <w:pStyle w:val="CDIFigure-Table-BodyTextLeft"/>
            </w:pPr>
            <w:r w:rsidRPr="00C218D9">
              <w:t>Female</w:t>
            </w:r>
          </w:p>
        </w:tc>
        <w:tc>
          <w:tcPr>
            <w:tcW w:w="680" w:type="dxa"/>
            <w:shd w:val="clear" w:color="auto" w:fill="F2F2F2" w:themeFill="background1" w:themeFillShade="F2"/>
            <w:tcMar>
              <w:top w:w="113" w:type="dxa"/>
              <w:left w:w="113" w:type="dxa"/>
              <w:bottom w:w="113" w:type="dxa"/>
              <w:right w:w="113" w:type="dxa"/>
            </w:tcMar>
            <w:vAlign w:val="center"/>
          </w:tcPr>
          <w:p w14:paraId="011019A7" w14:textId="77777777" w:rsidR="00C218D9" w:rsidRPr="00C218D9" w:rsidRDefault="00C218D9" w:rsidP="006D34E9">
            <w:pPr>
              <w:pStyle w:val="CDIFigure-Table-BodyTextCentre"/>
            </w:pPr>
            <w:r w:rsidRPr="00C218D9">
              <w:t>571</w:t>
            </w:r>
          </w:p>
        </w:tc>
        <w:tc>
          <w:tcPr>
            <w:tcW w:w="681" w:type="dxa"/>
            <w:shd w:val="clear" w:color="auto" w:fill="F2F2F2" w:themeFill="background1" w:themeFillShade="F2"/>
            <w:tcMar>
              <w:top w:w="113" w:type="dxa"/>
              <w:left w:w="113" w:type="dxa"/>
              <w:bottom w:w="113" w:type="dxa"/>
              <w:right w:w="113" w:type="dxa"/>
            </w:tcMar>
            <w:vAlign w:val="center"/>
          </w:tcPr>
          <w:p w14:paraId="61B4BE48" w14:textId="77777777" w:rsidR="00C218D9" w:rsidRPr="00C218D9" w:rsidRDefault="00C218D9" w:rsidP="006D34E9">
            <w:pPr>
              <w:pStyle w:val="CDIFigure-Table-BodyTextCentre"/>
            </w:pPr>
            <w:r w:rsidRPr="00C218D9">
              <w:t>50.0</w:t>
            </w:r>
          </w:p>
        </w:tc>
        <w:tc>
          <w:tcPr>
            <w:tcW w:w="793" w:type="dxa"/>
            <w:shd w:val="clear" w:color="auto" w:fill="F2F2F2" w:themeFill="background1" w:themeFillShade="F2"/>
            <w:tcMar>
              <w:top w:w="113" w:type="dxa"/>
              <w:left w:w="113" w:type="dxa"/>
              <w:bottom w:w="113" w:type="dxa"/>
              <w:right w:w="113" w:type="dxa"/>
            </w:tcMar>
            <w:vAlign w:val="center"/>
          </w:tcPr>
          <w:p w14:paraId="6DF4CD36" w14:textId="77777777" w:rsidR="00C218D9" w:rsidRPr="00C218D9" w:rsidRDefault="00C218D9" w:rsidP="006D34E9">
            <w:pPr>
              <w:pStyle w:val="CDIFigure-Table-BodyTextCentre"/>
            </w:pPr>
            <w:r w:rsidRPr="00C218D9">
              <w:t>5.0</w:t>
            </w:r>
          </w:p>
        </w:tc>
        <w:tc>
          <w:tcPr>
            <w:tcW w:w="964" w:type="dxa"/>
            <w:shd w:val="clear" w:color="auto" w:fill="F2F2F2" w:themeFill="background1" w:themeFillShade="F2"/>
            <w:tcMar>
              <w:top w:w="113" w:type="dxa"/>
              <w:left w:w="113" w:type="dxa"/>
              <w:bottom w:w="113" w:type="dxa"/>
              <w:right w:w="113" w:type="dxa"/>
            </w:tcMar>
            <w:vAlign w:val="center"/>
          </w:tcPr>
          <w:p w14:paraId="63717BFD" w14:textId="77777777" w:rsidR="00C218D9" w:rsidRPr="00C218D9" w:rsidRDefault="00C218D9" w:rsidP="006D34E9">
            <w:pPr>
              <w:pStyle w:val="CDIFigure-Table-BodyTextCentre"/>
            </w:pPr>
            <w:r w:rsidRPr="00C218D9">
              <w:t>4.6–5.4</w:t>
            </w:r>
          </w:p>
        </w:tc>
        <w:tc>
          <w:tcPr>
            <w:tcW w:w="1077" w:type="dxa"/>
            <w:shd w:val="clear" w:color="auto" w:fill="F2F2F2" w:themeFill="background1" w:themeFillShade="F2"/>
            <w:tcMar>
              <w:top w:w="113" w:type="dxa"/>
              <w:left w:w="113" w:type="dxa"/>
              <w:bottom w:w="113" w:type="dxa"/>
              <w:right w:w="113" w:type="dxa"/>
            </w:tcMar>
            <w:vAlign w:val="center"/>
          </w:tcPr>
          <w:p w14:paraId="13AE7DFE" w14:textId="77777777" w:rsidR="00C218D9" w:rsidRPr="00C218D9" w:rsidRDefault="00C218D9" w:rsidP="006D34E9">
            <w:pPr>
              <w:pStyle w:val="CDIFigure-Table-BodyTextCentre"/>
            </w:pPr>
            <w:r w:rsidRPr="00C218D9">
              <w:t>74</w:t>
            </w:r>
          </w:p>
        </w:tc>
        <w:tc>
          <w:tcPr>
            <w:tcW w:w="794" w:type="dxa"/>
            <w:shd w:val="clear" w:color="auto" w:fill="F2F2F2" w:themeFill="background1" w:themeFillShade="F2"/>
            <w:tcMar>
              <w:top w:w="113" w:type="dxa"/>
              <w:left w:w="113" w:type="dxa"/>
              <w:bottom w:w="113" w:type="dxa"/>
              <w:right w:w="113" w:type="dxa"/>
            </w:tcMar>
            <w:vAlign w:val="center"/>
          </w:tcPr>
          <w:p w14:paraId="28242E06" w14:textId="77777777" w:rsidR="00C218D9" w:rsidRPr="00C218D9" w:rsidRDefault="00C218D9" w:rsidP="006D34E9">
            <w:pPr>
              <w:pStyle w:val="CDIFigure-Table-BodyTextCentre"/>
            </w:pPr>
            <w:r w:rsidRPr="00C218D9">
              <w:t>43.8</w:t>
            </w:r>
          </w:p>
        </w:tc>
        <w:tc>
          <w:tcPr>
            <w:tcW w:w="1247" w:type="dxa"/>
            <w:shd w:val="clear" w:color="auto" w:fill="F2F2F2" w:themeFill="background1" w:themeFillShade="F2"/>
            <w:tcMar>
              <w:top w:w="113" w:type="dxa"/>
              <w:left w:w="113" w:type="dxa"/>
              <w:bottom w:w="113" w:type="dxa"/>
              <w:right w:w="113" w:type="dxa"/>
            </w:tcMar>
            <w:vAlign w:val="center"/>
          </w:tcPr>
          <w:p w14:paraId="0F06713A" w14:textId="77777777" w:rsidR="00C218D9" w:rsidRPr="00C218D9" w:rsidRDefault="00C218D9" w:rsidP="006D34E9">
            <w:pPr>
              <w:pStyle w:val="CDIFigure-Table-BodyTextCentre"/>
            </w:pPr>
            <w:r w:rsidRPr="00C218D9">
              <w:t>0.7</w:t>
            </w:r>
          </w:p>
        </w:tc>
        <w:tc>
          <w:tcPr>
            <w:tcW w:w="945" w:type="dxa"/>
            <w:shd w:val="clear" w:color="auto" w:fill="F2F2F2" w:themeFill="background1" w:themeFillShade="F2"/>
            <w:tcMar>
              <w:top w:w="113" w:type="dxa"/>
              <w:left w:w="113" w:type="dxa"/>
              <w:bottom w:w="113" w:type="dxa"/>
              <w:right w:w="113" w:type="dxa"/>
            </w:tcMar>
            <w:vAlign w:val="center"/>
          </w:tcPr>
          <w:p w14:paraId="053277C5" w14:textId="77777777" w:rsidR="00C218D9" w:rsidRPr="00C218D9" w:rsidRDefault="00C218D9" w:rsidP="006D34E9">
            <w:pPr>
              <w:pStyle w:val="CDIFigure-Table-BodyTextCentre"/>
            </w:pPr>
            <w:r w:rsidRPr="00C218D9">
              <w:t>0.5–0.8</w:t>
            </w:r>
          </w:p>
        </w:tc>
      </w:tr>
      <w:tr w:rsidR="00C218D9" w:rsidRPr="00C218D9" w14:paraId="1AE5093C" w14:textId="77777777" w:rsidTr="004010EA">
        <w:tblPrEx>
          <w:tblCellMar>
            <w:top w:w="0" w:type="dxa"/>
            <w:left w:w="0" w:type="dxa"/>
            <w:bottom w:w="0" w:type="dxa"/>
            <w:right w:w="0" w:type="dxa"/>
          </w:tblCellMar>
        </w:tblPrEx>
        <w:trPr>
          <w:divId w:val="935526654"/>
          <w:trHeight w:val="20"/>
        </w:trPr>
        <w:tc>
          <w:tcPr>
            <w:tcW w:w="1077" w:type="dxa"/>
            <w:vMerge/>
            <w:tcBorders>
              <w:bottom w:val="single" w:sz="6" w:space="0" w:color="033636" w:themeColor="text2"/>
            </w:tcBorders>
            <w:shd w:val="clear" w:color="auto" w:fill="F2F2F2" w:themeFill="background1" w:themeFillShade="F2"/>
          </w:tcPr>
          <w:p w14:paraId="5C8C64B8" w14:textId="77777777" w:rsidR="00C218D9" w:rsidRPr="00C218D9" w:rsidRDefault="00C218D9" w:rsidP="00C218D9">
            <w:pPr>
              <w:pStyle w:val="CDIFigure-Table-BodyTextLeft"/>
            </w:pPr>
          </w:p>
        </w:tc>
        <w:tc>
          <w:tcPr>
            <w:tcW w:w="1531" w:type="dxa"/>
            <w:tcBorders>
              <w:bottom w:val="single" w:sz="6" w:space="0" w:color="033636" w:themeColor="text2"/>
            </w:tcBorders>
            <w:tcMar>
              <w:top w:w="113" w:type="dxa"/>
              <w:left w:w="113" w:type="dxa"/>
              <w:bottom w:w="113" w:type="dxa"/>
              <w:right w:w="113" w:type="dxa"/>
            </w:tcMar>
            <w:vAlign w:val="center"/>
          </w:tcPr>
          <w:p w14:paraId="1100D42B" w14:textId="77777777" w:rsidR="00C218D9" w:rsidRPr="00C218D9" w:rsidRDefault="00C218D9" w:rsidP="00C218D9">
            <w:pPr>
              <w:pStyle w:val="CDIFigure-Table-BodyTextLeft"/>
            </w:pPr>
            <w:r w:rsidRPr="00C218D9">
              <w:t>Male</w:t>
            </w:r>
          </w:p>
        </w:tc>
        <w:tc>
          <w:tcPr>
            <w:tcW w:w="680" w:type="dxa"/>
            <w:tcBorders>
              <w:bottom w:val="single" w:sz="6" w:space="0" w:color="033636" w:themeColor="text2"/>
            </w:tcBorders>
            <w:tcMar>
              <w:top w:w="113" w:type="dxa"/>
              <w:left w:w="113" w:type="dxa"/>
              <w:bottom w:w="113" w:type="dxa"/>
              <w:right w:w="113" w:type="dxa"/>
            </w:tcMar>
            <w:vAlign w:val="center"/>
          </w:tcPr>
          <w:p w14:paraId="67D8299F" w14:textId="77777777" w:rsidR="00C218D9" w:rsidRPr="00C218D9" w:rsidRDefault="00C218D9" w:rsidP="006D34E9">
            <w:pPr>
              <w:pStyle w:val="CDIFigure-Table-BodyTextCentre"/>
            </w:pPr>
            <w:r w:rsidRPr="00C218D9">
              <w:t>571</w:t>
            </w:r>
          </w:p>
        </w:tc>
        <w:tc>
          <w:tcPr>
            <w:tcW w:w="681" w:type="dxa"/>
            <w:tcBorders>
              <w:bottom w:val="single" w:sz="6" w:space="0" w:color="033636" w:themeColor="text2"/>
            </w:tcBorders>
            <w:tcMar>
              <w:top w:w="113" w:type="dxa"/>
              <w:left w:w="113" w:type="dxa"/>
              <w:bottom w:w="113" w:type="dxa"/>
              <w:right w:w="113" w:type="dxa"/>
            </w:tcMar>
            <w:vAlign w:val="center"/>
          </w:tcPr>
          <w:p w14:paraId="6AC194D9" w14:textId="77777777" w:rsidR="00C218D9" w:rsidRPr="00C218D9" w:rsidRDefault="00C218D9" w:rsidP="006D34E9">
            <w:pPr>
              <w:pStyle w:val="CDIFigure-Table-BodyTextCentre"/>
            </w:pPr>
            <w:r w:rsidRPr="00C218D9">
              <w:t>50.0</w:t>
            </w:r>
          </w:p>
        </w:tc>
        <w:tc>
          <w:tcPr>
            <w:tcW w:w="793" w:type="dxa"/>
            <w:tcBorders>
              <w:bottom w:val="single" w:sz="6" w:space="0" w:color="033636" w:themeColor="text2"/>
            </w:tcBorders>
            <w:tcMar>
              <w:top w:w="113" w:type="dxa"/>
              <w:left w:w="113" w:type="dxa"/>
              <w:bottom w:w="113" w:type="dxa"/>
              <w:right w:w="113" w:type="dxa"/>
            </w:tcMar>
            <w:vAlign w:val="center"/>
          </w:tcPr>
          <w:p w14:paraId="1F782BBD" w14:textId="77777777" w:rsidR="00C218D9" w:rsidRPr="00C218D9" w:rsidRDefault="00C218D9" w:rsidP="006D34E9">
            <w:pPr>
              <w:pStyle w:val="CDIFigure-Table-BodyTextCentre"/>
            </w:pPr>
            <w:r w:rsidRPr="00C218D9">
              <w:t>4.9</w:t>
            </w:r>
          </w:p>
        </w:tc>
        <w:tc>
          <w:tcPr>
            <w:tcW w:w="964" w:type="dxa"/>
            <w:tcBorders>
              <w:bottom w:val="single" w:sz="6" w:space="0" w:color="033636" w:themeColor="text2"/>
            </w:tcBorders>
            <w:tcMar>
              <w:top w:w="113" w:type="dxa"/>
              <w:left w:w="113" w:type="dxa"/>
              <w:bottom w:w="113" w:type="dxa"/>
              <w:right w:w="113" w:type="dxa"/>
            </w:tcMar>
            <w:vAlign w:val="center"/>
          </w:tcPr>
          <w:p w14:paraId="6032C282" w14:textId="77777777" w:rsidR="00C218D9" w:rsidRPr="00C218D9" w:rsidRDefault="00C218D9" w:rsidP="006D34E9">
            <w:pPr>
              <w:pStyle w:val="CDIFigure-Table-BodyTextCentre"/>
            </w:pPr>
            <w:r w:rsidRPr="00C218D9">
              <w:t>4.5–5.3</w:t>
            </w:r>
          </w:p>
        </w:tc>
        <w:tc>
          <w:tcPr>
            <w:tcW w:w="1077" w:type="dxa"/>
            <w:tcBorders>
              <w:bottom w:val="single" w:sz="6" w:space="0" w:color="033636" w:themeColor="text2"/>
            </w:tcBorders>
            <w:tcMar>
              <w:top w:w="113" w:type="dxa"/>
              <w:left w:w="113" w:type="dxa"/>
              <w:bottom w:w="113" w:type="dxa"/>
              <w:right w:w="113" w:type="dxa"/>
            </w:tcMar>
            <w:vAlign w:val="center"/>
          </w:tcPr>
          <w:p w14:paraId="165CCEB2" w14:textId="77777777" w:rsidR="00C218D9" w:rsidRPr="00C218D9" w:rsidRDefault="00C218D9" w:rsidP="006D34E9">
            <w:pPr>
              <w:pStyle w:val="CDIFigure-Table-BodyTextCentre"/>
            </w:pPr>
            <w:r w:rsidRPr="00C218D9">
              <w:t>95</w:t>
            </w:r>
          </w:p>
        </w:tc>
        <w:tc>
          <w:tcPr>
            <w:tcW w:w="794" w:type="dxa"/>
            <w:tcBorders>
              <w:bottom w:val="single" w:sz="6" w:space="0" w:color="033636" w:themeColor="text2"/>
            </w:tcBorders>
            <w:tcMar>
              <w:top w:w="113" w:type="dxa"/>
              <w:left w:w="113" w:type="dxa"/>
              <w:bottom w:w="113" w:type="dxa"/>
              <w:right w:w="113" w:type="dxa"/>
            </w:tcMar>
            <w:vAlign w:val="center"/>
          </w:tcPr>
          <w:p w14:paraId="01723180" w14:textId="77777777" w:rsidR="00C218D9" w:rsidRPr="00C218D9" w:rsidRDefault="00C218D9" w:rsidP="006D34E9">
            <w:pPr>
              <w:pStyle w:val="CDIFigure-Table-BodyTextCentre"/>
            </w:pPr>
            <w:r w:rsidRPr="00C218D9">
              <w:t>56.2</w:t>
            </w:r>
          </w:p>
        </w:tc>
        <w:tc>
          <w:tcPr>
            <w:tcW w:w="1247" w:type="dxa"/>
            <w:tcBorders>
              <w:bottom w:val="single" w:sz="6" w:space="0" w:color="033636" w:themeColor="text2"/>
            </w:tcBorders>
            <w:tcMar>
              <w:top w:w="113" w:type="dxa"/>
              <w:left w:w="113" w:type="dxa"/>
              <w:bottom w:w="113" w:type="dxa"/>
              <w:right w:w="113" w:type="dxa"/>
            </w:tcMar>
            <w:vAlign w:val="center"/>
          </w:tcPr>
          <w:p w14:paraId="14E19CC5" w14:textId="77777777" w:rsidR="00C218D9" w:rsidRPr="00C218D9" w:rsidRDefault="00C218D9" w:rsidP="006D34E9">
            <w:pPr>
              <w:pStyle w:val="CDIFigure-Table-BodyTextCentre"/>
            </w:pPr>
            <w:r w:rsidRPr="00C218D9">
              <w:t>0.8</w:t>
            </w:r>
          </w:p>
        </w:tc>
        <w:tc>
          <w:tcPr>
            <w:tcW w:w="945" w:type="dxa"/>
            <w:tcBorders>
              <w:bottom w:val="single" w:sz="6" w:space="0" w:color="033636" w:themeColor="text2"/>
            </w:tcBorders>
            <w:tcMar>
              <w:top w:w="113" w:type="dxa"/>
              <w:left w:w="113" w:type="dxa"/>
              <w:bottom w:w="113" w:type="dxa"/>
              <w:right w:w="113" w:type="dxa"/>
            </w:tcMar>
            <w:vAlign w:val="center"/>
          </w:tcPr>
          <w:p w14:paraId="2E47FDEC" w14:textId="77777777" w:rsidR="00C218D9" w:rsidRPr="00C218D9" w:rsidRDefault="00C218D9" w:rsidP="006D34E9">
            <w:pPr>
              <w:pStyle w:val="CDIFigure-Table-BodyTextCentre"/>
            </w:pPr>
            <w:r w:rsidRPr="00C218D9">
              <w:t>0.6–1.0</w:t>
            </w:r>
          </w:p>
        </w:tc>
      </w:tr>
      <w:tr w:rsidR="004010EA" w:rsidRPr="00C218D9" w14:paraId="4309B06D" w14:textId="77777777" w:rsidTr="004010EA">
        <w:tblPrEx>
          <w:tblCellMar>
            <w:top w:w="0" w:type="dxa"/>
            <w:left w:w="0" w:type="dxa"/>
            <w:bottom w:w="0" w:type="dxa"/>
            <w:right w:w="0" w:type="dxa"/>
          </w:tblCellMar>
        </w:tblPrEx>
        <w:trPr>
          <w:divId w:val="935526654"/>
          <w:trHeight w:val="20"/>
        </w:trPr>
        <w:tc>
          <w:tcPr>
            <w:tcW w:w="1077" w:type="dxa"/>
            <w:vMerge w:val="restart"/>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FA0115C" w14:textId="77777777" w:rsidR="00C218D9" w:rsidRPr="00C218D9" w:rsidRDefault="00C218D9" w:rsidP="00C218D9">
            <w:pPr>
              <w:pStyle w:val="CDIFigure-Table-BodyTextLeft"/>
            </w:pPr>
            <w:r w:rsidRPr="00C218D9">
              <w:t>Age (years)</w:t>
            </w:r>
          </w:p>
        </w:tc>
        <w:tc>
          <w:tcPr>
            <w:tcW w:w="1531"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AC6CE5A" w14:textId="77777777" w:rsidR="00C218D9" w:rsidRPr="00C218D9" w:rsidRDefault="00C218D9" w:rsidP="00C218D9">
            <w:pPr>
              <w:pStyle w:val="CDIFigure-Table-BodyTextLeft"/>
            </w:pPr>
            <w:r w:rsidRPr="00C218D9">
              <w:t>&lt; 5</w:t>
            </w:r>
          </w:p>
        </w:tc>
        <w:tc>
          <w:tcPr>
            <w:tcW w:w="680"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7E71F45" w14:textId="77777777" w:rsidR="00C218D9" w:rsidRPr="00C218D9" w:rsidRDefault="00C218D9" w:rsidP="006D34E9">
            <w:pPr>
              <w:pStyle w:val="CDIFigure-Table-BodyTextCentre"/>
            </w:pPr>
            <w:r w:rsidRPr="00C218D9">
              <w:t>633</w:t>
            </w:r>
          </w:p>
        </w:tc>
        <w:tc>
          <w:tcPr>
            <w:tcW w:w="681"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8A78C55" w14:textId="77777777" w:rsidR="00C218D9" w:rsidRPr="00C218D9" w:rsidRDefault="00C218D9" w:rsidP="006D34E9">
            <w:pPr>
              <w:pStyle w:val="CDIFigure-Table-BodyTextCentre"/>
            </w:pPr>
            <w:r w:rsidRPr="00C218D9">
              <w:t>55.4</w:t>
            </w:r>
          </w:p>
        </w:tc>
        <w:tc>
          <w:tcPr>
            <w:tcW w:w="793"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EBF72CB" w14:textId="77777777" w:rsidR="00C218D9" w:rsidRPr="00C218D9" w:rsidRDefault="00C218D9" w:rsidP="006D34E9">
            <w:pPr>
              <w:pStyle w:val="CDIFigure-Table-BodyTextCentre"/>
            </w:pPr>
            <w:r w:rsidRPr="00C218D9">
              <w:t>43.3</w:t>
            </w:r>
          </w:p>
        </w:tc>
        <w:tc>
          <w:tcPr>
            <w:tcW w:w="96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1A3AE64" w14:textId="77777777" w:rsidR="00C218D9" w:rsidRPr="00C218D9" w:rsidRDefault="00C218D9" w:rsidP="006D34E9">
            <w:pPr>
              <w:pStyle w:val="CDIFigure-Table-BodyTextCentre"/>
            </w:pPr>
            <w:r w:rsidRPr="00C218D9">
              <w:t>39.9–46.6</w:t>
            </w:r>
          </w:p>
        </w:tc>
        <w:tc>
          <w:tcPr>
            <w:tcW w:w="107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F65E13B" w14:textId="77777777" w:rsidR="00C218D9" w:rsidRPr="00C218D9" w:rsidRDefault="00C218D9" w:rsidP="006D34E9">
            <w:pPr>
              <w:pStyle w:val="CDIFigure-Table-BodyTextCentre"/>
            </w:pPr>
            <w:r w:rsidRPr="00C218D9">
              <w:t>132</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27E8967" w14:textId="77777777" w:rsidR="00C218D9" w:rsidRPr="00C218D9" w:rsidRDefault="00C218D9" w:rsidP="006D34E9">
            <w:pPr>
              <w:pStyle w:val="CDIFigure-Table-BodyTextCentre"/>
            </w:pPr>
            <w:r w:rsidRPr="00C218D9">
              <w:t>78.1</w:t>
            </w:r>
          </w:p>
        </w:tc>
        <w:tc>
          <w:tcPr>
            <w:tcW w:w="124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B69E1E6" w14:textId="77777777" w:rsidR="00C218D9" w:rsidRPr="00C218D9" w:rsidRDefault="00C218D9" w:rsidP="006D34E9">
            <w:pPr>
              <w:pStyle w:val="CDIFigure-Table-BodyTextCentre"/>
            </w:pPr>
            <w:r w:rsidRPr="00C218D9">
              <w:t>9.0</w:t>
            </w:r>
          </w:p>
        </w:tc>
        <w:tc>
          <w:tcPr>
            <w:tcW w:w="945"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80C1836" w14:textId="77777777" w:rsidR="00C218D9" w:rsidRPr="00C218D9" w:rsidRDefault="00C218D9" w:rsidP="006D34E9">
            <w:pPr>
              <w:pStyle w:val="CDIFigure-Table-BodyTextCentre"/>
            </w:pPr>
            <w:r w:rsidRPr="00C218D9">
              <w:t>7.5–10.6</w:t>
            </w:r>
          </w:p>
        </w:tc>
      </w:tr>
      <w:tr w:rsidR="00C218D9" w:rsidRPr="00C218D9" w14:paraId="7AB47AC3" w14:textId="77777777" w:rsidTr="004010EA">
        <w:tblPrEx>
          <w:tblCellMar>
            <w:top w:w="0" w:type="dxa"/>
            <w:left w:w="0" w:type="dxa"/>
            <w:bottom w:w="0" w:type="dxa"/>
            <w:right w:w="0" w:type="dxa"/>
          </w:tblCellMar>
        </w:tblPrEx>
        <w:trPr>
          <w:divId w:val="935526654"/>
          <w:trHeight w:val="20"/>
        </w:trPr>
        <w:tc>
          <w:tcPr>
            <w:tcW w:w="1077" w:type="dxa"/>
            <w:vMerge/>
            <w:tcBorders>
              <w:bottom w:val="single" w:sz="6" w:space="0" w:color="033636" w:themeColor="text2"/>
            </w:tcBorders>
            <w:shd w:val="clear" w:color="auto" w:fill="F2F2F2" w:themeFill="background1" w:themeFillShade="F2"/>
          </w:tcPr>
          <w:p w14:paraId="65C21325" w14:textId="77777777" w:rsidR="00C218D9" w:rsidRPr="00C218D9" w:rsidRDefault="00C218D9" w:rsidP="00C218D9">
            <w:pPr>
              <w:pStyle w:val="CDIFigure-Table-BodyTextLeft"/>
            </w:pPr>
          </w:p>
        </w:tc>
        <w:tc>
          <w:tcPr>
            <w:tcW w:w="1531" w:type="dxa"/>
            <w:tcMar>
              <w:top w:w="113" w:type="dxa"/>
              <w:left w:w="113" w:type="dxa"/>
              <w:bottom w:w="113" w:type="dxa"/>
              <w:right w:w="113" w:type="dxa"/>
            </w:tcMar>
            <w:vAlign w:val="center"/>
          </w:tcPr>
          <w:p w14:paraId="61657291" w14:textId="77777777" w:rsidR="00C218D9" w:rsidRPr="00C218D9" w:rsidRDefault="00C218D9" w:rsidP="00C218D9">
            <w:pPr>
              <w:pStyle w:val="CDIFigure-Table-BodyTextLeft"/>
            </w:pPr>
            <w:r w:rsidRPr="00C218D9">
              <w:t>5–19</w:t>
            </w:r>
          </w:p>
        </w:tc>
        <w:tc>
          <w:tcPr>
            <w:tcW w:w="680" w:type="dxa"/>
            <w:tcMar>
              <w:top w:w="113" w:type="dxa"/>
              <w:left w:w="113" w:type="dxa"/>
              <w:bottom w:w="113" w:type="dxa"/>
              <w:right w:w="113" w:type="dxa"/>
            </w:tcMar>
            <w:vAlign w:val="center"/>
          </w:tcPr>
          <w:p w14:paraId="0BE915BF" w14:textId="77777777" w:rsidR="00C218D9" w:rsidRPr="00C218D9" w:rsidRDefault="00C218D9" w:rsidP="006D34E9">
            <w:pPr>
              <w:pStyle w:val="CDIFigure-Table-BodyTextCentre"/>
            </w:pPr>
            <w:r w:rsidRPr="00C218D9">
              <w:t>167</w:t>
            </w:r>
          </w:p>
        </w:tc>
        <w:tc>
          <w:tcPr>
            <w:tcW w:w="681" w:type="dxa"/>
            <w:tcMar>
              <w:top w:w="113" w:type="dxa"/>
              <w:left w:w="113" w:type="dxa"/>
              <w:bottom w:w="113" w:type="dxa"/>
              <w:right w:w="113" w:type="dxa"/>
            </w:tcMar>
            <w:vAlign w:val="center"/>
          </w:tcPr>
          <w:p w14:paraId="07F3F78A" w14:textId="77777777" w:rsidR="00C218D9" w:rsidRPr="00C218D9" w:rsidRDefault="00C218D9" w:rsidP="006D34E9">
            <w:pPr>
              <w:pStyle w:val="CDIFigure-Table-BodyTextCentre"/>
            </w:pPr>
            <w:r w:rsidRPr="00C218D9">
              <w:t>14.6</w:t>
            </w:r>
          </w:p>
        </w:tc>
        <w:tc>
          <w:tcPr>
            <w:tcW w:w="793" w:type="dxa"/>
            <w:tcMar>
              <w:top w:w="113" w:type="dxa"/>
              <w:left w:w="113" w:type="dxa"/>
              <w:bottom w:w="113" w:type="dxa"/>
              <w:right w:w="113" w:type="dxa"/>
            </w:tcMar>
            <w:vAlign w:val="center"/>
          </w:tcPr>
          <w:p w14:paraId="356C109F" w14:textId="77777777" w:rsidR="00C218D9" w:rsidRPr="00C218D9" w:rsidRDefault="00C218D9" w:rsidP="006D34E9">
            <w:pPr>
              <w:pStyle w:val="CDIFigure-Table-BodyTextCentre"/>
            </w:pPr>
            <w:r w:rsidRPr="00C218D9">
              <w:t>3.4</w:t>
            </w:r>
          </w:p>
        </w:tc>
        <w:tc>
          <w:tcPr>
            <w:tcW w:w="964" w:type="dxa"/>
            <w:tcMar>
              <w:top w:w="113" w:type="dxa"/>
              <w:left w:w="113" w:type="dxa"/>
              <w:bottom w:w="113" w:type="dxa"/>
              <w:right w:w="113" w:type="dxa"/>
            </w:tcMar>
            <w:vAlign w:val="center"/>
          </w:tcPr>
          <w:p w14:paraId="0DC6730A" w14:textId="77777777" w:rsidR="00C218D9" w:rsidRPr="00C218D9" w:rsidRDefault="00C218D9" w:rsidP="006D34E9">
            <w:pPr>
              <w:pStyle w:val="CDIFigure-Table-BodyTextCentre"/>
            </w:pPr>
            <w:r w:rsidRPr="00C218D9">
              <w:t>2.9–4.0</w:t>
            </w:r>
          </w:p>
        </w:tc>
        <w:tc>
          <w:tcPr>
            <w:tcW w:w="1077" w:type="dxa"/>
            <w:tcMar>
              <w:top w:w="113" w:type="dxa"/>
              <w:left w:w="113" w:type="dxa"/>
              <w:bottom w:w="113" w:type="dxa"/>
              <w:right w:w="113" w:type="dxa"/>
            </w:tcMar>
            <w:vAlign w:val="center"/>
          </w:tcPr>
          <w:p w14:paraId="113800DB" w14:textId="77777777" w:rsidR="00C218D9" w:rsidRPr="00C218D9" w:rsidRDefault="00C218D9" w:rsidP="006D34E9">
            <w:pPr>
              <w:pStyle w:val="CDIFigure-Table-BodyTextCentre"/>
            </w:pPr>
            <w:r w:rsidRPr="00C218D9">
              <w:t>5</w:t>
            </w:r>
          </w:p>
        </w:tc>
        <w:tc>
          <w:tcPr>
            <w:tcW w:w="794" w:type="dxa"/>
            <w:tcMar>
              <w:top w:w="113" w:type="dxa"/>
              <w:left w:w="113" w:type="dxa"/>
              <w:bottom w:w="113" w:type="dxa"/>
              <w:right w:w="113" w:type="dxa"/>
            </w:tcMar>
            <w:vAlign w:val="center"/>
          </w:tcPr>
          <w:p w14:paraId="2C858A35" w14:textId="77777777" w:rsidR="00C218D9" w:rsidRPr="00C218D9" w:rsidRDefault="00C218D9" w:rsidP="006D34E9">
            <w:pPr>
              <w:pStyle w:val="CDIFigure-Table-BodyTextCentre"/>
            </w:pPr>
            <w:r w:rsidRPr="00C218D9">
              <w:t>3.0</w:t>
            </w:r>
          </w:p>
        </w:tc>
        <w:tc>
          <w:tcPr>
            <w:tcW w:w="1247" w:type="dxa"/>
            <w:tcMar>
              <w:top w:w="113" w:type="dxa"/>
              <w:left w:w="113" w:type="dxa"/>
              <w:bottom w:w="113" w:type="dxa"/>
              <w:right w:w="113" w:type="dxa"/>
            </w:tcMar>
            <w:vAlign w:val="center"/>
          </w:tcPr>
          <w:p w14:paraId="1A13D305" w14:textId="77777777" w:rsidR="00C218D9" w:rsidRPr="00C218D9" w:rsidRDefault="00C218D9" w:rsidP="006D34E9">
            <w:pPr>
              <w:pStyle w:val="CDIFigure-Table-BodyTextCentre"/>
            </w:pPr>
            <w:r w:rsidRPr="00C218D9">
              <w:t>0.1</w:t>
            </w:r>
          </w:p>
        </w:tc>
        <w:tc>
          <w:tcPr>
            <w:tcW w:w="945" w:type="dxa"/>
            <w:tcMar>
              <w:top w:w="113" w:type="dxa"/>
              <w:left w:w="113" w:type="dxa"/>
              <w:bottom w:w="113" w:type="dxa"/>
              <w:right w:w="113" w:type="dxa"/>
            </w:tcMar>
            <w:vAlign w:val="center"/>
          </w:tcPr>
          <w:p w14:paraId="05933066" w14:textId="77777777" w:rsidR="00C218D9" w:rsidRPr="00C218D9" w:rsidRDefault="00C218D9" w:rsidP="006D34E9">
            <w:pPr>
              <w:pStyle w:val="CDIFigure-Table-BodyTextCentre"/>
            </w:pPr>
            <w:r w:rsidRPr="00C218D9">
              <w:t>0.0–0.2</w:t>
            </w:r>
          </w:p>
        </w:tc>
      </w:tr>
      <w:tr w:rsidR="004010EA" w:rsidRPr="00C218D9" w14:paraId="07A0EA02" w14:textId="77777777" w:rsidTr="004010EA">
        <w:tblPrEx>
          <w:tblCellMar>
            <w:top w:w="0" w:type="dxa"/>
            <w:left w:w="0" w:type="dxa"/>
            <w:bottom w:w="0" w:type="dxa"/>
            <w:right w:w="0" w:type="dxa"/>
          </w:tblCellMar>
        </w:tblPrEx>
        <w:trPr>
          <w:divId w:val="935526654"/>
          <w:trHeight w:val="20"/>
        </w:trPr>
        <w:tc>
          <w:tcPr>
            <w:tcW w:w="1077" w:type="dxa"/>
            <w:vMerge/>
            <w:tcBorders>
              <w:bottom w:val="single" w:sz="6" w:space="0" w:color="033636" w:themeColor="text2"/>
            </w:tcBorders>
            <w:shd w:val="clear" w:color="auto" w:fill="F2F2F2" w:themeFill="background1" w:themeFillShade="F2"/>
          </w:tcPr>
          <w:p w14:paraId="78D69681" w14:textId="77777777" w:rsidR="00C218D9" w:rsidRPr="00C218D9" w:rsidRDefault="00C218D9" w:rsidP="00C218D9">
            <w:pPr>
              <w:pStyle w:val="CDIFigure-Table-BodyTextLeft"/>
            </w:pPr>
          </w:p>
        </w:tc>
        <w:tc>
          <w:tcPr>
            <w:tcW w:w="1531" w:type="dxa"/>
            <w:shd w:val="clear" w:color="auto" w:fill="F2F2F2" w:themeFill="background1" w:themeFillShade="F2"/>
            <w:tcMar>
              <w:top w:w="113" w:type="dxa"/>
              <w:left w:w="113" w:type="dxa"/>
              <w:bottom w:w="113" w:type="dxa"/>
              <w:right w:w="113" w:type="dxa"/>
            </w:tcMar>
            <w:vAlign w:val="center"/>
          </w:tcPr>
          <w:p w14:paraId="5B58C2E1" w14:textId="77777777" w:rsidR="00C218D9" w:rsidRPr="00C218D9" w:rsidRDefault="00C218D9" w:rsidP="00C218D9">
            <w:pPr>
              <w:pStyle w:val="CDIFigure-Table-BodyTextLeft"/>
            </w:pPr>
            <w:r w:rsidRPr="00C218D9">
              <w:t>20–64</w:t>
            </w:r>
          </w:p>
        </w:tc>
        <w:tc>
          <w:tcPr>
            <w:tcW w:w="680" w:type="dxa"/>
            <w:shd w:val="clear" w:color="auto" w:fill="F2F2F2" w:themeFill="background1" w:themeFillShade="F2"/>
            <w:tcMar>
              <w:top w:w="113" w:type="dxa"/>
              <w:left w:w="113" w:type="dxa"/>
              <w:bottom w:w="113" w:type="dxa"/>
              <w:right w:w="113" w:type="dxa"/>
            </w:tcMar>
            <w:vAlign w:val="center"/>
          </w:tcPr>
          <w:p w14:paraId="773920DB" w14:textId="77777777" w:rsidR="00C218D9" w:rsidRPr="00C218D9" w:rsidRDefault="00C218D9" w:rsidP="006D34E9">
            <w:pPr>
              <w:pStyle w:val="CDIFigure-Table-BodyTextCentre"/>
            </w:pPr>
            <w:r w:rsidRPr="00C218D9">
              <w:t>230</w:t>
            </w:r>
          </w:p>
        </w:tc>
        <w:tc>
          <w:tcPr>
            <w:tcW w:w="681" w:type="dxa"/>
            <w:shd w:val="clear" w:color="auto" w:fill="F2F2F2" w:themeFill="background1" w:themeFillShade="F2"/>
            <w:tcMar>
              <w:top w:w="113" w:type="dxa"/>
              <w:left w:w="113" w:type="dxa"/>
              <w:bottom w:w="113" w:type="dxa"/>
              <w:right w:w="113" w:type="dxa"/>
            </w:tcMar>
            <w:vAlign w:val="center"/>
          </w:tcPr>
          <w:p w14:paraId="65AE59B5" w14:textId="77777777" w:rsidR="00C218D9" w:rsidRPr="00C218D9" w:rsidRDefault="00C218D9" w:rsidP="006D34E9">
            <w:pPr>
              <w:pStyle w:val="CDIFigure-Table-BodyTextCentre"/>
            </w:pPr>
            <w:r w:rsidRPr="00C218D9">
              <w:t>20.1</w:t>
            </w:r>
          </w:p>
        </w:tc>
        <w:tc>
          <w:tcPr>
            <w:tcW w:w="793" w:type="dxa"/>
            <w:shd w:val="clear" w:color="auto" w:fill="F2F2F2" w:themeFill="background1" w:themeFillShade="F2"/>
            <w:tcMar>
              <w:top w:w="113" w:type="dxa"/>
              <w:left w:w="113" w:type="dxa"/>
              <w:bottom w:w="113" w:type="dxa"/>
              <w:right w:w="113" w:type="dxa"/>
            </w:tcMar>
            <w:vAlign w:val="center"/>
          </w:tcPr>
          <w:p w14:paraId="6CB4612C" w14:textId="77777777" w:rsidR="00C218D9" w:rsidRPr="00C218D9" w:rsidRDefault="00C218D9" w:rsidP="006D34E9">
            <w:pPr>
              <w:pStyle w:val="CDIFigure-Table-BodyTextCentre"/>
            </w:pPr>
            <w:r w:rsidRPr="00C218D9">
              <w:t>1.7</w:t>
            </w:r>
          </w:p>
        </w:tc>
        <w:tc>
          <w:tcPr>
            <w:tcW w:w="964" w:type="dxa"/>
            <w:shd w:val="clear" w:color="auto" w:fill="F2F2F2" w:themeFill="background1" w:themeFillShade="F2"/>
            <w:tcMar>
              <w:top w:w="113" w:type="dxa"/>
              <w:left w:w="113" w:type="dxa"/>
              <w:bottom w:w="113" w:type="dxa"/>
              <w:right w:w="113" w:type="dxa"/>
            </w:tcMar>
            <w:vAlign w:val="center"/>
          </w:tcPr>
          <w:p w14:paraId="5F00CED1" w14:textId="77777777" w:rsidR="00C218D9" w:rsidRPr="00C218D9" w:rsidRDefault="00C218D9" w:rsidP="006D34E9">
            <w:pPr>
              <w:pStyle w:val="CDIFigure-Table-BodyTextCentre"/>
            </w:pPr>
            <w:r w:rsidRPr="00C218D9">
              <w:t>1.5–2.0</w:t>
            </w:r>
          </w:p>
        </w:tc>
        <w:tc>
          <w:tcPr>
            <w:tcW w:w="1077" w:type="dxa"/>
            <w:shd w:val="clear" w:color="auto" w:fill="F2F2F2" w:themeFill="background1" w:themeFillShade="F2"/>
            <w:tcMar>
              <w:top w:w="113" w:type="dxa"/>
              <w:left w:w="113" w:type="dxa"/>
              <w:bottom w:w="113" w:type="dxa"/>
              <w:right w:w="113" w:type="dxa"/>
            </w:tcMar>
            <w:vAlign w:val="center"/>
          </w:tcPr>
          <w:p w14:paraId="3D0B0F41" w14:textId="77777777" w:rsidR="00C218D9" w:rsidRPr="00C218D9" w:rsidRDefault="00C218D9" w:rsidP="006D34E9">
            <w:pPr>
              <w:pStyle w:val="CDIFigure-Table-BodyTextCentre"/>
            </w:pPr>
            <w:r w:rsidRPr="00C218D9">
              <w:t>7</w:t>
            </w:r>
          </w:p>
        </w:tc>
        <w:tc>
          <w:tcPr>
            <w:tcW w:w="794" w:type="dxa"/>
            <w:shd w:val="clear" w:color="auto" w:fill="F2F2F2" w:themeFill="background1" w:themeFillShade="F2"/>
            <w:tcMar>
              <w:top w:w="113" w:type="dxa"/>
              <w:left w:w="113" w:type="dxa"/>
              <w:bottom w:w="113" w:type="dxa"/>
              <w:right w:w="113" w:type="dxa"/>
            </w:tcMar>
            <w:vAlign w:val="center"/>
          </w:tcPr>
          <w:p w14:paraId="6C54F698" w14:textId="77777777" w:rsidR="00C218D9" w:rsidRPr="00C218D9" w:rsidRDefault="00C218D9" w:rsidP="006D34E9">
            <w:pPr>
              <w:pStyle w:val="CDIFigure-Table-BodyTextCentre"/>
            </w:pPr>
            <w:r w:rsidRPr="00C218D9">
              <w:t>4.1</w:t>
            </w:r>
          </w:p>
        </w:tc>
        <w:tc>
          <w:tcPr>
            <w:tcW w:w="1247" w:type="dxa"/>
            <w:shd w:val="clear" w:color="auto" w:fill="F2F2F2" w:themeFill="background1" w:themeFillShade="F2"/>
            <w:tcMar>
              <w:top w:w="113" w:type="dxa"/>
              <w:left w:w="113" w:type="dxa"/>
              <w:bottom w:w="113" w:type="dxa"/>
              <w:right w:w="113" w:type="dxa"/>
            </w:tcMar>
            <w:vAlign w:val="center"/>
          </w:tcPr>
          <w:p w14:paraId="12851816" w14:textId="77777777" w:rsidR="00C218D9" w:rsidRPr="00C218D9" w:rsidRDefault="00C218D9" w:rsidP="006D34E9">
            <w:pPr>
              <w:pStyle w:val="CDIFigure-Table-BodyTextCentre"/>
            </w:pPr>
            <w:r w:rsidRPr="00C218D9">
              <w:t>0.1</w:t>
            </w:r>
          </w:p>
        </w:tc>
        <w:tc>
          <w:tcPr>
            <w:tcW w:w="945" w:type="dxa"/>
            <w:shd w:val="clear" w:color="auto" w:fill="F2F2F2" w:themeFill="background1" w:themeFillShade="F2"/>
            <w:tcMar>
              <w:top w:w="113" w:type="dxa"/>
              <w:left w:w="113" w:type="dxa"/>
              <w:bottom w:w="113" w:type="dxa"/>
              <w:right w:w="113" w:type="dxa"/>
            </w:tcMar>
            <w:vAlign w:val="center"/>
          </w:tcPr>
          <w:p w14:paraId="16F9C901" w14:textId="77777777" w:rsidR="00C218D9" w:rsidRPr="00C218D9" w:rsidRDefault="00C218D9" w:rsidP="006D34E9">
            <w:pPr>
              <w:pStyle w:val="CDIFigure-Table-BodyTextCentre"/>
            </w:pPr>
            <w:r w:rsidRPr="00C218D9">
              <w:t>0.0–0.1</w:t>
            </w:r>
          </w:p>
        </w:tc>
      </w:tr>
      <w:tr w:rsidR="00C218D9" w:rsidRPr="00C218D9" w14:paraId="24CB21B3" w14:textId="77777777" w:rsidTr="004010EA">
        <w:tblPrEx>
          <w:tblCellMar>
            <w:top w:w="0" w:type="dxa"/>
            <w:left w:w="0" w:type="dxa"/>
            <w:bottom w:w="0" w:type="dxa"/>
            <w:right w:w="0" w:type="dxa"/>
          </w:tblCellMar>
        </w:tblPrEx>
        <w:trPr>
          <w:divId w:val="935526654"/>
          <w:trHeight w:val="20"/>
        </w:trPr>
        <w:tc>
          <w:tcPr>
            <w:tcW w:w="1077" w:type="dxa"/>
            <w:vMerge/>
            <w:tcBorders>
              <w:bottom w:val="single" w:sz="6" w:space="0" w:color="033636" w:themeColor="text2"/>
            </w:tcBorders>
            <w:shd w:val="clear" w:color="auto" w:fill="F2F2F2" w:themeFill="background1" w:themeFillShade="F2"/>
          </w:tcPr>
          <w:p w14:paraId="433DFC82" w14:textId="77777777" w:rsidR="00C218D9" w:rsidRPr="00C218D9" w:rsidRDefault="00C218D9" w:rsidP="00C218D9">
            <w:pPr>
              <w:pStyle w:val="CDIFigure-Table-BodyTextLeft"/>
            </w:pPr>
          </w:p>
        </w:tc>
        <w:tc>
          <w:tcPr>
            <w:tcW w:w="1531" w:type="dxa"/>
            <w:tcBorders>
              <w:bottom w:val="single" w:sz="6" w:space="0" w:color="033636" w:themeColor="text2"/>
            </w:tcBorders>
            <w:tcMar>
              <w:top w:w="113" w:type="dxa"/>
              <w:left w:w="113" w:type="dxa"/>
              <w:bottom w:w="113" w:type="dxa"/>
              <w:right w:w="113" w:type="dxa"/>
            </w:tcMar>
            <w:vAlign w:val="center"/>
          </w:tcPr>
          <w:p w14:paraId="3C0CE064" w14:textId="77777777" w:rsidR="00C218D9" w:rsidRPr="00C218D9" w:rsidRDefault="00C218D9" w:rsidP="00C218D9">
            <w:pPr>
              <w:pStyle w:val="CDIFigure-Table-BodyTextLeft"/>
            </w:pPr>
            <w:r w:rsidRPr="00C218D9">
              <w:t>65+</w:t>
            </w:r>
          </w:p>
        </w:tc>
        <w:tc>
          <w:tcPr>
            <w:tcW w:w="680" w:type="dxa"/>
            <w:tcBorders>
              <w:bottom w:val="single" w:sz="6" w:space="0" w:color="033636" w:themeColor="text2"/>
            </w:tcBorders>
            <w:tcMar>
              <w:top w:w="113" w:type="dxa"/>
              <w:left w:w="113" w:type="dxa"/>
              <w:bottom w:w="113" w:type="dxa"/>
              <w:right w:w="113" w:type="dxa"/>
            </w:tcMar>
            <w:vAlign w:val="center"/>
          </w:tcPr>
          <w:p w14:paraId="55093C03" w14:textId="77777777" w:rsidR="00C218D9" w:rsidRPr="00C218D9" w:rsidRDefault="00C218D9" w:rsidP="006D34E9">
            <w:pPr>
              <w:pStyle w:val="CDIFigure-Table-BodyTextCentre"/>
            </w:pPr>
            <w:r w:rsidRPr="00C218D9">
              <w:t>112</w:t>
            </w:r>
          </w:p>
        </w:tc>
        <w:tc>
          <w:tcPr>
            <w:tcW w:w="681" w:type="dxa"/>
            <w:tcBorders>
              <w:bottom w:val="single" w:sz="6" w:space="0" w:color="033636" w:themeColor="text2"/>
            </w:tcBorders>
            <w:tcMar>
              <w:top w:w="113" w:type="dxa"/>
              <w:left w:w="113" w:type="dxa"/>
              <w:bottom w:w="113" w:type="dxa"/>
              <w:right w:w="113" w:type="dxa"/>
            </w:tcMar>
            <w:vAlign w:val="center"/>
          </w:tcPr>
          <w:p w14:paraId="5E501734" w14:textId="77777777" w:rsidR="00C218D9" w:rsidRPr="00C218D9" w:rsidRDefault="00C218D9" w:rsidP="006D34E9">
            <w:pPr>
              <w:pStyle w:val="CDIFigure-Table-BodyTextCentre"/>
            </w:pPr>
            <w:r w:rsidRPr="00C218D9">
              <w:t>9.8</w:t>
            </w:r>
          </w:p>
        </w:tc>
        <w:tc>
          <w:tcPr>
            <w:tcW w:w="793" w:type="dxa"/>
            <w:tcBorders>
              <w:bottom w:val="single" w:sz="6" w:space="0" w:color="033636" w:themeColor="text2"/>
            </w:tcBorders>
            <w:tcMar>
              <w:top w:w="113" w:type="dxa"/>
              <w:left w:w="113" w:type="dxa"/>
              <w:bottom w:w="113" w:type="dxa"/>
              <w:right w:w="113" w:type="dxa"/>
            </w:tcMar>
            <w:vAlign w:val="center"/>
          </w:tcPr>
          <w:p w14:paraId="4197171C" w14:textId="77777777" w:rsidR="00C218D9" w:rsidRPr="00C218D9" w:rsidRDefault="00C218D9" w:rsidP="006D34E9">
            <w:pPr>
              <w:pStyle w:val="CDIFigure-Table-BodyTextCentre"/>
            </w:pPr>
            <w:r w:rsidRPr="00C218D9">
              <w:t>3.2</w:t>
            </w:r>
          </w:p>
        </w:tc>
        <w:tc>
          <w:tcPr>
            <w:tcW w:w="964" w:type="dxa"/>
            <w:tcBorders>
              <w:bottom w:val="single" w:sz="6" w:space="0" w:color="033636" w:themeColor="text2"/>
            </w:tcBorders>
            <w:tcMar>
              <w:top w:w="113" w:type="dxa"/>
              <w:left w:w="113" w:type="dxa"/>
              <w:bottom w:w="113" w:type="dxa"/>
              <w:right w:w="113" w:type="dxa"/>
            </w:tcMar>
            <w:vAlign w:val="center"/>
          </w:tcPr>
          <w:p w14:paraId="5C5E5241" w14:textId="77777777" w:rsidR="00C218D9" w:rsidRPr="00C218D9" w:rsidRDefault="00C218D9" w:rsidP="006D34E9">
            <w:pPr>
              <w:pStyle w:val="CDIFigure-Table-BodyTextCentre"/>
            </w:pPr>
            <w:r w:rsidRPr="00C218D9">
              <w:t>2.6–3.8</w:t>
            </w:r>
          </w:p>
        </w:tc>
        <w:tc>
          <w:tcPr>
            <w:tcW w:w="1077" w:type="dxa"/>
            <w:tcBorders>
              <w:bottom w:val="single" w:sz="6" w:space="0" w:color="033636" w:themeColor="text2"/>
            </w:tcBorders>
            <w:tcMar>
              <w:top w:w="113" w:type="dxa"/>
              <w:left w:w="113" w:type="dxa"/>
              <w:bottom w:w="113" w:type="dxa"/>
              <w:right w:w="113" w:type="dxa"/>
            </w:tcMar>
            <w:vAlign w:val="center"/>
          </w:tcPr>
          <w:p w14:paraId="29867396" w14:textId="77777777" w:rsidR="00C218D9" w:rsidRPr="00C218D9" w:rsidRDefault="00C218D9" w:rsidP="006D34E9">
            <w:pPr>
              <w:pStyle w:val="CDIFigure-Table-BodyTextCentre"/>
            </w:pPr>
            <w:r w:rsidRPr="00C218D9">
              <w:t>25</w:t>
            </w:r>
          </w:p>
        </w:tc>
        <w:tc>
          <w:tcPr>
            <w:tcW w:w="794" w:type="dxa"/>
            <w:tcBorders>
              <w:bottom w:val="single" w:sz="6" w:space="0" w:color="033636" w:themeColor="text2"/>
            </w:tcBorders>
            <w:tcMar>
              <w:top w:w="113" w:type="dxa"/>
              <w:left w:w="113" w:type="dxa"/>
              <w:bottom w:w="113" w:type="dxa"/>
              <w:right w:w="113" w:type="dxa"/>
            </w:tcMar>
            <w:vAlign w:val="center"/>
          </w:tcPr>
          <w:p w14:paraId="260D1184" w14:textId="77777777" w:rsidR="00C218D9" w:rsidRPr="00C218D9" w:rsidRDefault="00C218D9" w:rsidP="006D34E9">
            <w:pPr>
              <w:pStyle w:val="CDIFigure-Table-BodyTextCentre"/>
            </w:pPr>
            <w:r w:rsidRPr="00C218D9">
              <w:t>14.8</w:t>
            </w:r>
          </w:p>
        </w:tc>
        <w:tc>
          <w:tcPr>
            <w:tcW w:w="1247" w:type="dxa"/>
            <w:tcBorders>
              <w:bottom w:val="single" w:sz="6" w:space="0" w:color="033636" w:themeColor="text2"/>
            </w:tcBorders>
            <w:tcMar>
              <w:top w:w="113" w:type="dxa"/>
              <w:left w:w="113" w:type="dxa"/>
              <w:bottom w:w="113" w:type="dxa"/>
              <w:right w:w="113" w:type="dxa"/>
            </w:tcMar>
            <w:vAlign w:val="center"/>
          </w:tcPr>
          <w:p w14:paraId="5E65CE7E" w14:textId="77777777" w:rsidR="00C218D9" w:rsidRPr="00C218D9" w:rsidRDefault="00C218D9" w:rsidP="006D34E9">
            <w:pPr>
              <w:pStyle w:val="CDIFigure-Table-BodyTextCentre"/>
            </w:pPr>
            <w:r w:rsidRPr="00C218D9">
              <w:t>0.7</w:t>
            </w:r>
          </w:p>
        </w:tc>
        <w:tc>
          <w:tcPr>
            <w:tcW w:w="945" w:type="dxa"/>
            <w:tcBorders>
              <w:bottom w:val="single" w:sz="6" w:space="0" w:color="033636" w:themeColor="text2"/>
            </w:tcBorders>
            <w:tcMar>
              <w:top w:w="113" w:type="dxa"/>
              <w:left w:w="113" w:type="dxa"/>
              <w:bottom w:w="113" w:type="dxa"/>
              <w:right w:w="113" w:type="dxa"/>
            </w:tcMar>
            <w:vAlign w:val="center"/>
          </w:tcPr>
          <w:p w14:paraId="02AF93F0" w14:textId="77777777" w:rsidR="00C218D9" w:rsidRPr="00C218D9" w:rsidRDefault="00C218D9" w:rsidP="006D34E9">
            <w:pPr>
              <w:pStyle w:val="CDIFigure-Table-BodyTextCentre"/>
            </w:pPr>
            <w:r w:rsidRPr="00C218D9">
              <w:t>0.4–1.0</w:t>
            </w:r>
          </w:p>
        </w:tc>
      </w:tr>
      <w:tr w:rsidR="004010EA" w:rsidRPr="00C218D9" w14:paraId="24BD3CCE" w14:textId="77777777" w:rsidTr="004010EA">
        <w:tblPrEx>
          <w:tblCellMar>
            <w:top w:w="0" w:type="dxa"/>
            <w:left w:w="0" w:type="dxa"/>
            <w:bottom w:w="0" w:type="dxa"/>
            <w:right w:w="0" w:type="dxa"/>
          </w:tblCellMar>
        </w:tblPrEx>
        <w:trPr>
          <w:divId w:val="935526654"/>
          <w:trHeight w:val="20"/>
        </w:trPr>
        <w:tc>
          <w:tcPr>
            <w:tcW w:w="1077" w:type="dxa"/>
            <w:vMerge w:val="restart"/>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FD89CC2" w14:textId="77777777" w:rsidR="00C218D9" w:rsidRPr="00C218D9" w:rsidRDefault="00C218D9" w:rsidP="00C218D9">
            <w:pPr>
              <w:pStyle w:val="CDIFigure-Table-BodyTextLeft"/>
            </w:pPr>
            <w:r w:rsidRPr="00C218D9">
              <w:t>Identified status</w:t>
            </w:r>
          </w:p>
        </w:tc>
        <w:tc>
          <w:tcPr>
            <w:tcW w:w="1531"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40288F4" w14:textId="77777777" w:rsidR="00C218D9" w:rsidRPr="00C218D9" w:rsidRDefault="00C218D9" w:rsidP="00C218D9">
            <w:pPr>
              <w:pStyle w:val="CDIFigure-Table-BodyTextLeft"/>
            </w:pPr>
            <w:r w:rsidRPr="00C218D9">
              <w:t>Aboriginal and/or Torres Strait Islander</w:t>
            </w:r>
          </w:p>
        </w:tc>
        <w:tc>
          <w:tcPr>
            <w:tcW w:w="680"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04CE79D" w14:textId="77777777" w:rsidR="00C218D9" w:rsidRPr="00C218D9" w:rsidRDefault="00C218D9" w:rsidP="006D34E9">
            <w:pPr>
              <w:pStyle w:val="CDIFigure-Table-BodyTextCentre"/>
            </w:pPr>
            <w:r w:rsidRPr="00C218D9">
              <w:t>181</w:t>
            </w:r>
          </w:p>
        </w:tc>
        <w:tc>
          <w:tcPr>
            <w:tcW w:w="681"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15E25E3" w14:textId="77777777" w:rsidR="00C218D9" w:rsidRPr="00C218D9" w:rsidRDefault="00C218D9" w:rsidP="006D34E9">
            <w:pPr>
              <w:pStyle w:val="CDIFigure-Table-BodyTextCentre"/>
            </w:pPr>
            <w:r w:rsidRPr="00C218D9">
              <w:t>15.8</w:t>
            </w:r>
          </w:p>
        </w:tc>
        <w:tc>
          <w:tcPr>
            <w:tcW w:w="793"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3E0439E" w14:textId="77777777" w:rsidR="00C218D9" w:rsidRPr="00C218D9" w:rsidRDefault="00C218D9" w:rsidP="006D34E9">
            <w:pPr>
              <w:pStyle w:val="CDIFigure-Table-BodyTextCentre"/>
            </w:pPr>
            <w:r w:rsidRPr="00C218D9">
              <w:t>11.0</w:t>
            </w:r>
          </w:p>
        </w:tc>
        <w:tc>
          <w:tcPr>
            <w:tcW w:w="96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D8ED792" w14:textId="77777777" w:rsidR="00C218D9" w:rsidRPr="00C218D9" w:rsidRDefault="00C218D9" w:rsidP="006D34E9">
            <w:pPr>
              <w:pStyle w:val="CDIFigure-Table-BodyTextCentre"/>
            </w:pPr>
            <w:r w:rsidRPr="00C218D9">
              <w:t>9.4–12.6</w:t>
            </w:r>
          </w:p>
        </w:tc>
        <w:tc>
          <w:tcPr>
            <w:tcW w:w="107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BF0C758" w14:textId="77777777" w:rsidR="00C218D9" w:rsidRPr="00C218D9" w:rsidRDefault="00C218D9" w:rsidP="006D34E9">
            <w:pPr>
              <w:pStyle w:val="CDIFigure-Table-BodyTextCentre"/>
            </w:pPr>
            <w:r w:rsidRPr="00C218D9">
              <w:t>30</w:t>
            </w:r>
          </w:p>
        </w:tc>
        <w:tc>
          <w:tcPr>
            <w:tcW w:w="79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F1C4380" w14:textId="77777777" w:rsidR="00C218D9" w:rsidRPr="00C218D9" w:rsidRDefault="00C218D9" w:rsidP="006D34E9">
            <w:pPr>
              <w:pStyle w:val="CDIFigure-Table-BodyTextCentre"/>
            </w:pPr>
            <w:r w:rsidRPr="00C218D9">
              <w:t>17.8</w:t>
            </w:r>
          </w:p>
        </w:tc>
        <w:tc>
          <w:tcPr>
            <w:tcW w:w="1247"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A5658C0" w14:textId="77777777" w:rsidR="00C218D9" w:rsidRPr="00C218D9" w:rsidRDefault="00C218D9" w:rsidP="006D34E9">
            <w:pPr>
              <w:pStyle w:val="CDIFigure-Table-BodyTextCentre"/>
            </w:pPr>
            <w:r w:rsidRPr="00C218D9">
              <w:t>1.8</w:t>
            </w:r>
          </w:p>
        </w:tc>
        <w:tc>
          <w:tcPr>
            <w:tcW w:w="945"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D9769A9" w14:textId="77777777" w:rsidR="00C218D9" w:rsidRPr="00C218D9" w:rsidRDefault="00C218D9" w:rsidP="006D34E9">
            <w:pPr>
              <w:pStyle w:val="CDIFigure-Table-BodyTextCentre"/>
            </w:pPr>
            <w:r w:rsidRPr="00C218D9">
              <w:t>1.2–2.5</w:t>
            </w:r>
          </w:p>
        </w:tc>
      </w:tr>
      <w:tr w:rsidR="00C218D9" w:rsidRPr="00C218D9" w14:paraId="5CFE1148" w14:textId="77777777" w:rsidTr="004010EA">
        <w:tblPrEx>
          <w:tblCellMar>
            <w:top w:w="0" w:type="dxa"/>
            <w:left w:w="0" w:type="dxa"/>
            <w:bottom w:w="0" w:type="dxa"/>
            <w:right w:w="0" w:type="dxa"/>
          </w:tblCellMar>
        </w:tblPrEx>
        <w:trPr>
          <w:divId w:val="935526654"/>
          <w:trHeight w:val="20"/>
        </w:trPr>
        <w:tc>
          <w:tcPr>
            <w:tcW w:w="1077" w:type="dxa"/>
            <w:vMerge/>
            <w:shd w:val="clear" w:color="auto" w:fill="F2F2F2" w:themeFill="background1" w:themeFillShade="F2"/>
          </w:tcPr>
          <w:p w14:paraId="0AD27E76" w14:textId="77777777" w:rsidR="00C218D9" w:rsidRPr="00C218D9" w:rsidRDefault="00C218D9" w:rsidP="00C218D9"/>
        </w:tc>
        <w:tc>
          <w:tcPr>
            <w:tcW w:w="1531" w:type="dxa"/>
            <w:tcMar>
              <w:top w:w="113" w:type="dxa"/>
              <w:left w:w="113" w:type="dxa"/>
              <w:bottom w:w="113" w:type="dxa"/>
              <w:right w:w="113" w:type="dxa"/>
            </w:tcMar>
            <w:vAlign w:val="center"/>
          </w:tcPr>
          <w:p w14:paraId="484A1D41" w14:textId="77777777" w:rsidR="00C218D9" w:rsidRPr="00C218D9" w:rsidRDefault="00C218D9" w:rsidP="00C218D9">
            <w:pPr>
              <w:pStyle w:val="CDIFigure-Table-BodyTextLeft"/>
            </w:pPr>
            <w:r w:rsidRPr="00C218D9">
              <w:t>non-Indigenous, or not recorded</w:t>
            </w:r>
          </w:p>
        </w:tc>
        <w:tc>
          <w:tcPr>
            <w:tcW w:w="680" w:type="dxa"/>
            <w:tcMar>
              <w:top w:w="113" w:type="dxa"/>
              <w:left w:w="113" w:type="dxa"/>
              <w:bottom w:w="113" w:type="dxa"/>
              <w:right w:w="113" w:type="dxa"/>
            </w:tcMar>
            <w:vAlign w:val="center"/>
          </w:tcPr>
          <w:p w14:paraId="5E511CC7" w14:textId="77777777" w:rsidR="00C218D9" w:rsidRPr="00C218D9" w:rsidRDefault="00C218D9" w:rsidP="006D34E9">
            <w:pPr>
              <w:pStyle w:val="CDIFigure-Table-BodyTextCentre"/>
            </w:pPr>
            <w:r w:rsidRPr="00C218D9">
              <w:t>961</w:t>
            </w:r>
          </w:p>
        </w:tc>
        <w:tc>
          <w:tcPr>
            <w:tcW w:w="681" w:type="dxa"/>
            <w:tcMar>
              <w:top w:w="113" w:type="dxa"/>
              <w:left w:w="113" w:type="dxa"/>
              <w:bottom w:w="113" w:type="dxa"/>
              <w:right w:w="113" w:type="dxa"/>
            </w:tcMar>
            <w:vAlign w:val="center"/>
          </w:tcPr>
          <w:p w14:paraId="68C9FA26" w14:textId="77777777" w:rsidR="00C218D9" w:rsidRPr="00C218D9" w:rsidRDefault="00C218D9" w:rsidP="006D34E9">
            <w:pPr>
              <w:pStyle w:val="CDIFigure-Table-BodyTextCentre"/>
            </w:pPr>
            <w:r w:rsidRPr="00C218D9">
              <w:t>84.2</w:t>
            </w:r>
          </w:p>
        </w:tc>
        <w:tc>
          <w:tcPr>
            <w:tcW w:w="793" w:type="dxa"/>
            <w:tcMar>
              <w:top w:w="113" w:type="dxa"/>
              <w:left w:w="113" w:type="dxa"/>
              <w:bottom w:w="113" w:type="dxa"/>
              <w:right w:w="113" w:type="dxa"/>
            </w:tcMar>
            <w:vAlign w:val="center"/>
          </w:tcPr>
          <w:p w14:paraId="278E6750" w14:textId="77777777" w:rsidR="00C218D9" w:rsidRPr="00C218D9" w:rsidRDefault="00C218D9" w:rsidP="006D34E9">
            <w:pPr>
              <w:pStyle w:val="CDIFigure-Table-BodyTextCentre"/>
            </w:pPr>
            <w:r w:rsidRPr="00C218D9">
              <w:t>4.5</w:t>
            </w:r>
          </w:p>
        </w:tc>
        <w:tc>
          <w:tcPr>
            <w:tcW w:w="964" w:type="dxa"/>
            <w:tcMar>
              <w:top w:w="113" w:type="dxa"/>
              <w:left w:w="113" w:type="dxa"/>
              <w:bottom w:w="113" w:type="dxa"/>
              <w:right w:w="113" w:type="dxa"/>
            </w:tcMar>
            <w:vAlign w:val="center"/>
          </w:tcPr>
          <w:p w14:paraId="1D1E23EF" w14:textId="77777777" w:rsidR="00C218D9" w:rsidRPr="00C218D9" w:rsidRDefault="00C218D9" w:rsidP="006D34E9">
            <w:pPr>
              <w:pStyle w:val="CDIFigure-Table-BodyTextCentre"/>
            </w:pPr>
            <w:r w:rsidRPr="00C218D9">
              <w:t>4.2–4.8</w:t>
            </w:r>
          </w:p>
        </w:tc>
        <w:tc>
          <w:tcPr>
            <w:tcW w:w="1077" w:type="dxa"/>
            <w:tcMar>
              <w:top w:w="113" w:type="dxa"/>
              <w:left w:w="113" w:type="dxa"/>
              <w:bottom w:w="113" w:type="dxa"/>
              <w:right w:w="113" w:type="dxa"/>
            </w:tcMar>
            <w:vAlign w:val="center"/>
          </w:tcPr>
          <w:p w14:paraId="28554052" w14:textId="77777777" w:rsidR="00C218D9" w:rsidRPr="00C218D9" w:rsidRDefault="00C218D9" w:rsidP="006D34E9">
            <w:pPr>
              <w:pStyle w:val="CDIFigure-Table-BodyTextCentre"/>
            </w:pPr>
            <w:r w:rsidRPr="00C218D9">
              <w:t>139</w:t>
            </w:r>
          </w:p>
        </w:tc>
        <w:tc>
          <w:tcPr>
            <w:tcW w:w="794" w:type="dxa"/>
            <w:tcMar>
              <w:top w:w="113" w:type="dxa"/>
              <w:left w:w="113" w:type="dxa"/>
              <w:bottom w:w="113" w:type="dxa"/>
              <w:right w:w="113" w:type="dxa"/>
            </w:tcMar>
            <w:vAlign w:val="center"/>
          </w:tcPr>
          <w:p w14:paraId="699161FA" w14:textId="77777777" w:rsidR="00C218D9" w:rsidRPr="00C218D9" w:rsidRDefault="00C218D9" w:rsidP="006D34E9">
            <w:pPr>
              <w:pStyle w:val="CDIFigure-Table-BodyTextCentre"/>
            </w:pPr>
            <w:r w:rsidRPr="00C218D9">
              <w:t>82.2</w:t>
            </w:r>
          </w:p>
        </w:tc>
        <w:tc>
          <w:tcPr>
            <w:tcW w:w="1247" w:type="dxa"/>
            <w:tcMar>
              <w:top w:w="113" w:type="dxa"/>
              <w:left w:w="113" w:type="dxa"/>
              <w:bottom w:w="113" w:type="dxa"/>
              <w:right w:w="113" w:type="dxa"/>
            </w:tcMar>
            <w:vAlign w:val="center"/>
          </w:tcPr>
          <w:p w14:paraId="0968AC02" w14:textId="77777777" w:rsidR="00C218D9" w:rsidRPr="00C218D9" w:rsidRDefault="00C218D9" w:rsidP="006D34E9">
            <w:pPr>
              <w:pStyle w:val="CDIFigure-Table-BodyTextCentre"/>
            </w:pPr>
            <w:r w:rsidRPr="00C218D9">
              <w:t>0.6</w:t>
            </w:r>
          </w:p>
        </w:tc>
        <w:tc>
          <w:tcPr>
            <w:tcW w:w="945" w:type="dxa"/>
            <w:tcMar>
              <w:top w:w="113" w:type="dxa"/>
              <w:left w:w="113" w:type="dxa"/>
              <w:bottom w:w="113" w:type="dxa"/>
              <w:right w:w="113" w:type="dxa"/>
            </w:tcMar>
            <w:vAlign w:val="center"/>
          </w:tcPr>
          <w:p w14:paraId="0F9B89B1" w14:textId="77777777" w:rsidR="00C218D9" w:rsidRPr="00C218D9" w:rsidRDefault="00C218D9" w:rsidP="006D34E9">
            <w:pPr>
              <w:pStyle w:val="CDIFigure-Table-BodyTextCentre"/>
            </w:pPr>
            <w:r w:rsidRPr="00C218D9">
              <w:t>0.5–0.8</w:t>
            </w:r>
          </w:p>
        </w:tc>
      </w:tr>
      <w:tr w:rsidR="004010EA" w:rsidRPr="00C218D9" w14:paraId="7452307A" w14:textId="77777777" w:rsidTr="004010EA">
        <w:tblPrEx>
          <w:tblCellMar>
            <w:top w:w="0" w:type="dxa"/>
            <w:left w:w="0" w:type="dxa"/>
            <w:bottom w:w="0" w:type="dxa"/>
            <w:right w:w="0" w:type="dxa"/>
          </w:tblCellMar>
        </w:tblPrEx>
        <w:trPr>
          <w:divId w:val="935526654"/>
          <w:trHeight w:val="20"/>
        </w:trPr>
        <w:tc>
          <w:tcPr>
            <w:tcW w:w="1077" w:type="dxa"/>
            <w:shd w:val="clear" w:color="auto" w:fill="C5FFEF" w:themeFill="background2" w:themeFillTint="33"/>
            <w:tcMar>
              <w:top w:w="113" w:type="dxa"/>
              <w:left w:w="113" w:type="dxa"/>
              <w:bottom w:w="113" w:type="dxa"/>
              <w:right w:w="113" w:type="dxa"/>
            </w:tcMar>
            <w:vAlign w:val="center"/>
          </w:tcPr>
          <w:p w14:paraId="19E9EA06" w14:textId="77777777" w:rsidR="00C218D9" w:rsidRPr="00C218D9" w:rsidRDefault="00C218D9" w:rsidP="006D34E9">
            <w:pPr>
              <w:pStyle w:val="CDIFigure-Table-TotalLeft"/>
            </w:pPr>
            <w:r w:rsidRPr="00C218D9">
              <w:t>Total</w:t>
            </w:r>
          </w:p>
        </w:tc>
        <w:tc>
          <w:tcPr>
            <w:tcW w:w="1531" w:type="dxa"/>
            <w:shd w:val="clear" w:color="auto" w:fill="C5FFEF" w:themeFill="background2" w:themeFillTint="33"/>
            <w:tcMar>
              <w:top w:w="113" w:type="dxa"/>
              <w:left w:w="113" w:type="dxa"/>
              <w:bottom w:w="113" w:type="dxa"/>
              <w:right w:w="113" w:type="dxa"/>
            </w:tcMar>
            <w:vAlign w:val="center"/>
          </w:tcPr>
          <w:p w14:paraId="3DC3AD1D" w14:textId="77777777" w:rsidR="00C218D9" w:rsidRPr="00C218D9" w:rsidRDefault="00C218D9" w:rsidP="006D34E9">
            <w:pPr>
              <w:pStyle w:val="CDIFigure-Table-TotalLeft"/>
            </w:pPr>
          </w:p>
        </w:tc>
        <w:tc>
          <w:tcPr>
            <w:tcW w:w="680" w:type="dxa"/>
            <w:shd w:val="clear" w:color="auto" w:fill="C5FFEF" w:themeFill="background2" w:themeFillTint="33"/>
            <w:tcMar>
              <w:top w:w="113" w:type="dxa"/>
              <w:left w:w="113" w:type="dxa"/>
              <w:bottom w:w="113" w:type="dxa"/>
              <w:right w:w="113" w:type="dxa"/>
            </w:tcMar>
            <w:vAlign w:val="center"/>
          </w:tcPr>
          <w:p w14:paraId="16D50F93" w14:textId="77777777" w:rsidR="00C218D9" w:rsidRPr="00C218D9" w:rsidRDefault="00C218D9" w:rsidP="006D34E9">
            <w:pPr>
              <w:pStyle w:val="CDIFigure-Table-TotalCentre"/>
            </w:pPr>
            <w:r w:rsidRPr="00C218D9">
              <w:t>1,142</w:t>
            </w:r>
          </w:p>
        </w:tc>
        <w:tc>
          <w:tcPr>
            <w:tcW w:w="681" w:type="dxa"/>
            <w:shd w:val="clear" w:color="auto" w:fill="C5FFEF" w:themeFill="background2" w:themeFillTint="33"/>
            <w:tcMar>
              <w:top w:w="113" w:type="dxa"/>
              <w:left w:w="113" w:type="dxa"/>
              <w:bottom w:w="113" w:type="dxa"/>
              <w:right w:w="113" w:type="dxa"/>
            </w:tcMar>
            <w:vAlign w:val="center"/>
          </w:tcPr>
          <w:p w14:paraId="06C32C4F" w14:textId="77777777" w:rsidR="00C218D9" w:rsidRPr="00C218D9" w:rsidRDefault="00C218D9" w:rsidP="006D34E9">
            <w:pPr>
              <w:pStyle w:val="CDIFigure-Table-TotalCentre"/>
            </w:pPr>
            <w:r w:rsidRPr="00C218D9">
              <w:t>100.0</w:t>
            </w:r>
          </w:p>
        </w:tc>
        <w:tc>
          <w:tcPr>
            <w:tcW w:w="793" w:type="dxa"/>
            <w:shd w:val="clear" w:color="auto" w:fill="C5FFEF" w:themeFill="background2" w:themeFillTint="33"/>
            <w:tcMar>
              <w:top w:w="113" w:type="dxa"/>
              <w:left w:w="113" w:type="dxa"/>
              <w:bottom w:w="113" w:type="dxa"/>
              <w:right w:w="113" w:type="dxa"/>
            </w:tcMar>
            <w:vAlign w:val="center"/>
          </w:tcPr>
          <w:p w14:paraId="08878521" w14:textId="77777777" w:rsidR="00C218D9" w:rsidRPr="00C218D9" w:rsidRDefault="00C218D9" w:rsidP="006D34E9">
            <w:pPr>
              <w:pStyle w:val="CDIFigure-Table-TotalCentre"/>
            </w:pPr>
            <w:r w:rsidRPr="00C218D9">
              <w:t>4.9</w:t>
            </w:r>
          </w:p>
        </w:tc>
        <w:tc>
          <w:tcPr>
            <w:tcW w:w="964" w:type="dxa"/>
            <w:shd w:val="clear" w:color="auto" w:fill="C5FFEF" w:themeFill="background2" w:themeFillTint="33"/>
            <w:tcMar>
              <w:top w:w="113" w:type="dxa"/>
              <w:left w:w="113" w:type="dxa"/>
              <w:bottom w:w="113" w:type="dxa"/>
              <w:right w:w="113" w:type="dxa"/>
            </w:tcMar>
            <w:vAlign w:val="center"/>
          </w:tcPr>
          <w:p w14:paraId="520AFFD4" w14:textId="77777777" w:rsidR="00C218D9" w:rsidRPr="00C218D9" w:rsidRDefault="00C218D9" w:rsidP="006D34E9">
            <w:pPr>
              <w:pStyle w:val="CDIFigure-Table-TotalCentre"/>
            </w:pPr>
            <w:r w:rsidRPr="00C218D9">
              <w:t>4.7–5.2</w:t>
            </w:r>
          </w:p>
        </w:tc>
        <w:tc>
          <w:tcPr>
            <w:tcW w:w="1077" w:type="dxa"/>
            <w:shd w:val="clear" w:color="auto" w:fill="C5FFEF" w:themeFill="background2" w:themeFillTint="33"/>
            <w:tcMar>
              <w:top w:w="113" w:type="dxa"/>
              <w:left w:w="113" w:type="dxa"/>
              <w:bottom w:w="113" w:type="dxa"/>
              <w:right w:w="113" w:type="dxa"/>
            </w:tcMar>
            <w:vAlign w:val="center"/>
          </w:tcPr>
          <w:p w14:paraId="0B0554BD" w14:textId="77777777" w:rsidR="00C218D9" w:rsidRPr="00C218D9" w:rsidRDefault="00C218D9" w:rsidP="006D34E9">
            <w:pPr>
              <w:pStyle w:val="CDIFigure-Table-TotalCentre"/>
            </w:pPr>
            <w:r w:rsidRPr="00C218D9">
              <w:t>169</w:t>
            </w:r>
          </w:p>
        </w:tc>
        <w:tc>
          <w:tcPr>
            <w:tcW w:w="794" w:type="dxa"/>
            <w:shd w:val="clear" w:color="auto" w:fill="C5FFEF" w:themeFill="background2" w:themeFillTint="33"/>
            <w:tcMar>
              <w:top w:w="113" w:type="dxa"/>
              <w:left w:w="113" w:type="dxa"/>
              <w:bottom w:w="113" w:type="dxa"/>
              <w:right w:w="113" w:type="dxa"/>
            </w:tcMar>
            <w:vAlign w:val="center"/>
          </w:tcPr>
          <w:p w14:paraId="66909FA3" w14:textId="77777777" w:rsidR="00C218D9" w:rsidRPr="00C218D9" w:rsidRDefault="00C218D9" w:rsidP="006D34E9">
            <w:pPr>
              <w:pStyle w:val="CDIFigure-Table-TotalCentre"/>
            </w:pPr>
            <w:r w:rsidRPr="00C218D9">
              <w:t>100.00</w:t>
            </w:r>
          </w:p>
        </w:tc>
        <w:tc>
          <w:tcPr>
            <w:tcW w:w="1247" w:type="dxa"/>
            <w:shd w:val="clear" w:color="auto" w:fill="C5FFEF" w:themeFill="background2" w:themeFillTint="33"/>
            <w:tcMar>
              <w:top w:w="113" w:type="dxa"/>
              <w:left w:w="113" w:type="dxa"/>
              <w:bottom w:w="113" w:type="dxa"/>
              <w:right w:w="113" w:type="dxa"/>
            </w:tcMar>
            <w:vAlign w:val="center"/>
          </w:tcPr>
          <w:p w14:paraId="55492D45" w14:textId="77777777" w:rsidR="00C218D9" w:rsidRPr="00C218D9" w:rsidRDefault="00C218D9" w:rsidP="006D34E9">
            <w:pPr>
              <w:pStyle w:val="CDIFigure-Table-TotalCentre"/>
            </w:pPr>
            <w:r w:rsidRPr="00C218D9">
              <w:t>0.7</w:t>
            </w:r>
          </w:p>
        </w:tc>
        <w:tc>
          <w:tcPr>
            <w:tcW w:w="945" w:type="dxa"/>
            <w:shd w:val="clear" w:color="auto" w:fill="C5FFEF" w:themeFill="background2" w:themeFillTint="33"/>
            <w:tcMar>
              <w:top w:w="113" w:type="dxa"/>
              <w:left w:w="113" w:type="dxa"/>
              <w:bottom w:w="113" w:type="dxa"/>
              <w:right w:w="113" w:type="dxa"/>
            </w:tcMar>
            <w:vAlign w:val="center"/>
          </w:tcPr>
          <w:p w14:paraId="735A8FF9" w14:textId="77777777" w:rsidR="00C218D9" w:rsidRPr="00C218D9" w:rsidRDefault="00C218D9" w:rsidP="006D34E9">
            <w:pPr>
              <w:pStyle w:val="CDIFigure-Table-TotalCentre"/>
            </w:pPr>
            <w:r w:rsidRPr="00C218D9">
              <w:t>0.6–0.8</w:t>
            </w:r>
          </w:p>
        </w:tc>
      </w:tr>
    </w:tbl>
    <w:p w14:paraId="3AA69608" w14:textId="6AAA61E0" w:rsidR="008E4191" w:rsidRDefault="008E4191" w:rsidP="008E4191">
      <w:pPr>
        <w:pStyle w:val="CDIFigure-Table-FirstFootnote"/>
        <w:divId w:val="935526654"/>
      </w:pPr>
      <w:r w:rsidRPr="008E4191">
        <w:t>a</w:t>
      </w:r>
      <w:r w:rsidRPr="008E4191">
        <w:tab/>
        <w:t>95% CI: 95% confidence interval.</w:t>
      </w:r>
    </w:p>
    <w:p w14:paraId="482B018A" w14:textId="66B2470E" w:rsidR="008E4191" w:rsidRDefault="008E4191" w:rsidP="008E4191">
      <w:pPr>
        <w:pStyle w:val="CDIFigure-Table-Title"/>
        <w:divId w:val="935526654"/>
      </w:pPr>
      <w:r w:rsidRPr="008E4191">
        <w:t>Table 2: Notified RSV cases and hospital admissions among children &lt; 5 years of age</w:t>
      </w:r>
    </w:p>
    <w:tbl>
      <w:tblPr>
        <w:tblW w:w="0" w:type="auto"/>
        <w:tblInd w:w="-8" w:type="dxa"/>
        <w:tblLayout w:type="fixed"/>
        <w:tblCellMar>
          <w:left w:w="0" w:type="dxa"/>
          <w:right w:w="0" w:type="dxa"/>
        </w:tblCellMar>
        <w:tblLook w:val="0000" w:firstRow="0" w:lastRow="0" w:firstColumn="0" w:lastColumn="0" w:noHBand="0" w:noVBand="0"/>
        <w:tblCaption w:val="Table 2: Notified RSV cases and hospital admissions among children &lt; 5 years of age"/>
        <w:tblDescription w:val="Table 2 shows the Respiratory Syncytial Virus case numbers, percentages, infection rate and hospital admission rate among children aged less than 5 years."/>
      </w:tblPr>
      <w:tblGrid>
        <w:gridCol w:w="2551"/>
        <w:gridCol w:w="2361"/>
        <w:gridCol w:w="2360"/>
        <w:gridCol w:w="2361"/>
      </w:tblGrid>
      <w:tr w:rsidR="006D34E9" w:rsidRPr="006D34E9" w14:paraId="76F38B62" w14:textId="77777777" w:rsidTr="004010EA">
        <w:tblPrEx>
          <w:tblCellMar>
            <w:top w:w="0" w:type="dxa"/>
            <w:left w:w="0" w:type="dxa"/>
            <w:bottom w:w="0" w:type="dxa"/>
            <w:right w:w="0" w:type="dxa"/>
          </w:tblCellMar>
        </w:tblPrEx>
        <w:trPr>
          <w:divId w:val="935526654"/>
          <w:trHeight w:val="20"/>
          <w:tblHeader/>
        </w:trPr>
        <w:tc>
          <w:tcPr>
            <w:tcW w:w="2551" w:type="dxa"/>
            <w:vMerge w:val="restart"/>
            <w:shd w:val="clear" w:color="auto" w:fill="033636" w:themeFill="text2"/>
            <w:tcMar>
              <w:top w:w="113" w:type="dxa"/>
              <w:left w:w="113" w:type="dxa"/>
              <w:bottom w:w="113" w:type="dxa"/>
              <w:right w:w="113" w:type="dxa"/>
            </w:tcMar>
            <w:vAlign w:val="bottom"/>
          </w:tcPr>
          <w:p w14:paraId="0E1D12E6" w14:textId="77777777" w:rsidR="006D34E9" w:rsidRPr="006D34E9" w:rsidRDefault="006D34E9" w:rsidP="004010EA">
            <w:pPr>
              <w:pStyle w:val="CDIFigure-Table-H1Left"/>
            </w:pPr>
            <w:r w:rsidRPr="006D34E9">
              <w:t>Age</w:t>
            </w:r>
          </w:p>
        </w:tc>
        <w:tc>
          <w:tcPr>
            <w:tcW w:w="2361" w:type="dxa"/>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0C6AABF8" w14:textId="77777777" w:rsidR="006D34E9" w:rsidRPr="006D34E9" w:rsidRDefault="006D34E9" w:rsidP="004010EA">
            <w:pPr>
              <w:pStyle w:val="CDIFigure-Table-H1"/>
            </w:pPr>
            <w:r w:rsidRPr="006D34E9">
              <w:t>Cases</w:t>
            </w:r>
          </w:p>
        </w:tc>
        <w:tc>
          <w:tcPr>
            <w:tcW w:w="4721"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7353F539" w14:textId="77777777" w:rsidR="006D34E9" w:rsidRPr="006D34E9" w:rsidRDefault="006D34E9" w:rsidP="004010EA">
            <w:pPr>
              <w:pStyle w:val="CDIFigure-Table-H1"/>
            </w:pPr>
            <w:r w:rsidRPr="006D34E9">
              <w:t>Hospital admissions</w:t>
            </w:r>
          </w:p>
        </w:tc>
      </w:tr>
      <w:tr w:rsidR="006D34E9" w:rsidRPr="006D34E9" w14:paraId="0FBB5D55" w14:textId="77777777" w:rsidTr="004010EA">
        <w:tblPrEx>
          <w:tblCellMar>
            <w:top w:w="0" w:type="dxa"/>
            <w:left w:w="0" w:type="dxa"/>
            <w:bottom w:w="0" w:type="dxa"/>
            <w:right w:w="0" w:type="dxa"/>
          </w:tblCellMar>
        </w:tblPrEx>
        <w:trPr>
          <w:divId w:val="935526654"/>
          <w:trHeight w:val="20"/>
          <w:tblHeader/>
        </w:trPr>
        <w:tc>
          <w:tcPr>
            <w:tcW w:w="2551" w:type="dxa"/>
            <w:vMerge/>
            <w:shd w:val="clear" w:color="auto" w:fill="033636" w:themeFill="text2"/>
          </w:tcPr>
          <w:p w14:paraId="78371C38" w14:textId="77777777" w:rsidR="006D34E9" w:rsidRPr="006D34E9" w:rsidRDefault="006D34E9" w:rsidP="006D34E9"/>
        </w:tc>
        <w:tc>
          <w:tcPr>
            <w:tcW w:w="2361"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754286A7" w14:textId="77777777" w:rsidR="006D34E9" w:rsidRPr="006D34E9" w:rsidRDefault="006D34E9" w:rsidP="004010EA">
            <w:pPr>
              <w:pStyle w:val="CDIFigure-Table-H1"/>
            </w:pPr>
            <w:r w:rsidRPr="006D34E9">
              <w:t>n</w:t>
            </w:r>
          </w:p>
        </w:tc>
        <w:tc>
          <w:tcPr>
            <w:tcW w:w="2360"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1434ADAE" w14:textId="77777777" w:rsidR="006D34E9" w:rsidRPr="006D34E9" w:rsidRDefault="006D34E9" w:rsidP="004010EA">
            <w:pPr>
              <w:pStyle w:val="CDIFigure-Table-H1"/>
            </w:pPr>
            <w:r w:rsidRPr="006D34E9">
              <w:t>n</w:t>
            </w:r>
          </w:p>
        </w:tc>
        <w:tc>
          <w:tcPr>
            <w:tcW w:w="2361"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43F7AD2D" w14:textId="77777777" w:rsidR="006D34E9" w:rsidRPr="006D34E9" w:rsidRDefault="006D34E9" w:rsidP="004010EA">
            <w:pPr>
              <w:pStyle w:val="CDIFigure-Table-H1"/>
            </w:pPr>
            <w:r w:rsidRPr="006D34E9">
              <w:t>%</w:t>
            </w:r>
            <w:r w:rsidRPr="004010EA">
              <w:rPr>
                <w:vertAlign w:val="superscript"/>
              </w:rPr>
              <w:t>a</w:t>
            </w:r>
          </w:p>
        </w:tc>
      </w:tr>
      <w:tr w:rsidR="006D34E9" w:rsidRPr="006D34E9" w14:paraId="41C7BC3C" w14:textId="77777777" w:rsidTr="004010EA">
        <w:tblPrEx>
          <w:tblCellMar>
            <w:top w:w="0" w:type="dxa"/>
            <w:left w:w="0" w:type="dxa"/>
            <w:bottom w:w="0" w:type="dxa"/>
            <w:right w:w="0" w:type="dxa"/>
          </w:tblCellMar>
        </w:tblPrEx>
        <w:trPr>
          <w:divId w:val="935526654"/>
          <w:trHeight w:val="20"/>
        </w:trPr>
        <w:tc>
          <w:tcPr>
            <w:tcW w:w="2551" w:type="dxa"/>
            <w:tcMar>
              <w:top w:w="108" w:type="dxa"/>
              <w:left w:w="113" w:type="dxa"/>
              <w:bottom w:w="108" w:type="dxa"/>
              <w:right w:w="113" w:type="dxa"/>
            </w:tcMar>
            <w:vAlign w:val="center"/>
          </w:tcPr>
          <w:p w14:paraId="21F85262" w14:textId="77777777" w:rsidR="006D34E9" w:rsidRPr="006D34E9" w:rsidRDefault="006D34E9" w:rsidP="004010EA">
            <w:pPr>
              <w:pStyle w:val="CDIFigure-Table-BodyTextLeft"/>
            </w:pPr>
            <w:r w:rsidRPr="006D34E9">
              <w:t>&lt; 1 month</w:t>
            </w:r>
          </w:p>
        </w:tc>
        <w:tc>
          <w:tcPr>
            <w:tcW w:w="2361" w:type="dxa"/>
            <w:tcMar>
              <w:top w:w="108" w:type="dxa"/>
              <w:left w:w="113" w:type="dxa"/>
              <w:bottom w:w="108" w:type="dxa"/>
              <w:right w:w="113" w:type="dxa"/>
            </w:tcMar>
            <w:vAlign w:val="center"/>
          </w:tcPr>
          <w:p w14:paraId="4E7D3E89" w14:textId="77777777" w:rsidR="006D34E9" w:rsidRPr="006D34E9" w:rsidRDefault="006D34E9" w:rsidP="004010EA">
            <w:pPr>
              <w:pStyle w:val="CDIFigure-Table-BodyTextCentre"/>
            </w:pPr>
            <w:r w:rsidRPr="006D34E9">
              <w:t>18</w:t>
            </w:r>
          </w:p>
        </w:tc>
        <w:tc>
          <w:tcPr>
            <w:tcW w:w="2360" w:type="dxa"/>
            <w:tcMar>
              <w:top w:w="108" w:type="dxa"/>
              <w:left w:w="113" w:type="dxa"/>
              <w:bottom w:w="108" w:type="dxa"/>
              <w:right w:w="113" w:type="dxa"/>
            </w:tcMar>
            <w:vAlign w:val="center"/>
          </w:tcPr>
          <w:p w14:paraId="35D4EBCE" w14:textId="77777777" w:rsidR="006D34E9" w:rsidRPr="006D34E9" w:rsidRDefault="006D34E9" w:rsidP="004010EA">
            <w:pPr>
              <w:pStyle w:val="CDIFigure-Table-BodyTextCentre"/>
            </w:pPr>
            <w:r w:rsidRPr="006D34E9">
              <w:t>6</w:t>
            </w:r>
          </w:p>
        </w:tc>
        <w:tc>
          <w:tcPr>
            <w:tcW w:w="2361" w:type="dxa"/>
            <w:tcMar>
              <w:top w:w="108" w:type="dxa"/>
              <w:left w:w="113" w:type="dxa"/>
              <w:bottom w:w="108" w:type="dxa"/>
              <w:right w:w="113" w:type="dxa"/>
            </w:tcMar>
            <w:vAlign w:val="center"/>
          </w:tcPr>
          <w:p w14:paraId="4467161A" w14:textId="77777777" w:rsidR="006D34E9" w:rsidRPr="006D34E9" w:rsidRDefault="006D34E9" w:rsidP="004010EA">
            <w:pPr>
              <w:pStyle w:val="CDIFigure-Table-BodyTextCentre"/>
            </w:pPr>
            <w:r w:rsidRPr="006D34E9">
              <w:t>33.3</w:t>
            </w:r>
          </w:p>
        </w:tc>
      </w:tr>
      <w:tr w:rsidR="006D34E9" w:rsidRPr="006D34E9" w14:paraId="2D4E24F9" w14:textId="77777777" w:rsidTr="004010EA">
        <w:tblPrEx>
          <w:tblCellMar>
            <w:top w:w="0" w:type="dxa"/>
            <w:left w:w="0" w:type="dxa"/>
            <w:bottom w:w="0" w:type="dxa"/>
            <w:right w:w="0" w:type="dxa"/>
          </w:tblCellMar>
        </w:tblPrEx>
        <w:trPr>
          <w:divId w:val="935526654"/>
          <w:trHeight w:val="20"/>
        </w:trPr>
        <w:tc>
          <w:tcPr>
            <w:tcW w:w="2551" w:type="dxa"/>
            <w:tcMar>
              <w:top w:w="108" w:type="dxa"/>
              <w:left w:w="113" w:type="dxa"/>
              <w:bottom w:w="108" w:type="dxa"/>
              <w:right w:w="113" w:type="dxa"/>
            </w:tcMar>
            <w:vAlign w:val="center"/>
          </w:tcPr>
          <w:p w14:paraId="268D2D01" w14:textId="77777777" w:rsidR="006D34E9" w:rsidRPr="006D34E9" w:rsidRDefault="006D34E9" w:rsidP="004010EA">
            <w:pPr>
              <w:pStyle w:val="CDIFigure-Table-BodyTextLeft"/>
            </w:pPr>
            <w:r w:rsidRPr="006D34E9">
              <w:t>1–2 months</w:t>
            </w:r>
          </w:p>
        </w:tc>
        <w:tc>
          <w:tcPr>
            <w:tcW w:w="2361" w:type="dxa"/>
            <w:tcMar>
              <w:top w:w="108" w:type="dxa"/>
              <w:left w:w="113" w:type="dxa"/>
              <w:bottom w:w="108" w:type="dxa"/>
              <w:right w:w="113" w:type="dxa"/>
            </w:tcMar>
            <w:vAlign w:val="center"/>
          </w:tcPr>
          <w:p w14:paraId="110445B9" w14:textId="77777777" w:rsidR="006D34E9" w:rsidRPr="006D34E9" w:rsidRDefault="006D34E9" w:rsidP="004010EA">
            <w:pPr>
              <w:pStyle w:val="CDIFigure-Table-BodyTextCentre"/>
            </w:pPr>
            <w:r w:rsidRPr="006D34E9">
              <w:t>41</w:t>
            </w:r>
          </w:p>
        </w:tc>
        <w:tc>
          <w:tcPr>
            <w:tcW w:w="2360" w:type="dxa"/>
            <w:tcMar>
              <w:top w:w="108" w:type="dxa"/>
              <w:left w:w="113" w:type="dxa"/>
              <w:bottom w:w="108" w:type="dxa"/>
              <w:right w:w="113" w:type="dxa"/>
            </w:tcMar>
            <w:vAlign w:val="center"/>
          </w:tcPr>
          <w:p w14:paraId="6BF3932F" w14:textId="77777777" w:rsidR="006D34E9" w:rsidRPr="006D34E9" w:rsidRDefault="006D34E9" w:rsidP="004010EA">
            <w:pPr>
              <w:pStyle w:val="CDIFigure-Table-BodyTextCentre"/>
            </w:pPr>
            <w:r w:rsidRPr="006D34E9">
              <w:t>18</w:t>
            </w:r>
          </w:p>
        </w:tc>
        <w:tc>
          <w:tcPr>
            <w:tcW w:w="2361" w:type="dxa"/>
            <w:tcMar>
              <w:top w:w="108" w:type="dxa"/>
              <w:left w:w="113" w:type="dxa"/>
              <w:bottom w:w="108" w:type="dxa"/>
              <w:right w:w="113" w:type="dxa"/>
            </w:tcMar>
            <w:vAlign w:val="center"/>
          </w:tcPr>
          <w:p w14:paraId="7A626F20" w14:textId="77777777" w:rsidR="006D34E9" w:rsidRPr="006D34E9" w:rsidRDefault="006D34E9" w:rsidP="004010EA">
            <w:pPr>
              <w:pStyle w:val="CDIFigure-Table-BodyTextCentre"/>
            </w:pPr>
            <w:r w:rsidRPr="006D34E9">
              <w:t>43.9</w:t>
            </w:r>
          </w:p>
        </w:tc>
      </w:tr>
      <w:tr w:rsidR="006D34E9" w:rsidRPr="006D34E9" w14:paraId="2CCC74F8" w14:textId="77777777" w:rsidTr="004010EA">
        <w:tblPrEx>
          <w:tblCellMar>
            <w:top w:w="0" w:type="dxa"/>
            <w:left w:w="0" w:type="dxa"/>
            <w:bottom w:w="0" w:type="dxa"/>
            <w:right w:w="0" w:type="dxa"/>
          </w:tblCellMar>
        </w:tblPrEx>
        <w:trPr>
          <w:divId w:val="935526654"/>
          <w:trHeight w:val="20"/>
        </w:trPr>
        <w:tc>
          <w:tcPr>
            <w:tcW w:w="2551" w:type="dxa"/>
            <w:tcMar>
              <w:top w:w="108" w:type="dxa"/>
              <w:left w:w="113" w:type="dxa"/>
              <w:bottom w:w="108" w:type="dxa"/>
              <w:right w:w="113" w:type="dxa"/>
            </w:tcMar>
            <w:vAlign w:val="center"/>
          </w:tcPr>
          <w:p w14:paraId="29ED3229" w14:textId="77777777" w:rsidR="006D34E9" w:rsidRPr="006D34E9" w:rsidRDefault="006D34E9" w:rsidP="004010EA">
            <w:pPr>
              <w:pStyle w:val="CDIFigure-Table-BodyTextLeft"/>
            </w:pPr>
            <w:r w:rsidRPr="006D34E9">
              <w:t>3–5 months</w:t>
            </w:r>
          </w:p>
        </w:tc>
        <w:tc>
          <w:tcPr>
            <w:tcW w:w="2361" w:type="dxa"/>
            <w:tcMar>
              <w:top w:w="108" w:type="dxa"/>
              <w:left w:w="113" w:type="dxa"/>
              <w:bottom w:w="108" w:type="dxa"/>
              <w:right w:w="113" w:type="dxa"/>
            </w:tcMar>
            <w:vAlign w:val="center"/>
          </w:tcPr>
          <w:p w14:paraId="0BAA103C" w14:textId="77777777" w:rsidR="006D34E9" w:rsidRPr="006D34E9" w:rsidRDefault="006D34E9" w:rsidP="004010EA">
            <w:pPr>
              <w:pStyle w:val="CDIFigure-Table-BodyTextCentre"/>
            </w:pPr>
            <w:r w:rsidRPr="006D34E9">
              <w:t>230</w:t>
            </w:r>
          </w:p>
        </w:tc>
        <w:tc>
          <w:tcPr>
            <w:tcW w:w="2360" w:type="dxa"/>
            <w:tcMar>
              <w:top w:w="108" w:type="dxa"/>
              <w:left w:w="113" w:type="dxa"/>
              <w:bottom w:w="108" w:type="dxa"/>
              <w:right w:w="113" w:type="dxa"/>
            </w:tcMar>
            <w:vAlign w:val="center"/>
          </w:tcPr>
          <w:p w14:paraId="163D9043" w14:textId="77777777" w:rsidR="006D34E9" w:rsidRPr="006D34E9" w:rsidRDefault="006D34E9" w:rsidP="004010EA">
            <w:pPr>
              <w:pStyle w:val="CDIFigure-Table-BodyTextCentre"/>
            </w:pPr>
            <w:r w:rsidRPr="006D34E9">
              <w:t>10</w:t>
            </w:r>
          </w:p>
        </w:tc>
        <w:tc>
          <w:tcPr>
            <w:tcW w:w="2361" w:type="dxa"/>
            <w:tcMar>
              <w:top w:w="108" w:type="dxa"/>
              <w:left w:w="113" w:type="dxa"/>
              <w:bottom w:w="108" w:type="dxa"/>
              <w:right w:w="113" w:type="dxa"/>
            </w:tcMar>
            <w:vAlign w:val="center"/>
          </w:tcPr>
          <w:p w14:paraId="52D4123C" w14:textId="77777777" w:rsidR="006D34E9" w:rsidRPr="006D34E9" w:rsidRDefault="006D34E9" w:rsidP="004010EA">
            <w:pPr>
              <w:pStyle w:val="CDIFigure-Table-BodyTextCentre"/>
            </w:pPr>
            <w:r w:rsidRPr="006D34E9">
              <w:t>16.4</w:t>
            </w:r>
          </w:p>
        </w:tc>
      </w:tr>
      <w:tr w:rsidR="006D34E9" w:rsidRPr="006D34E9" w14:paraId="251F7AC5" w14:textId="77777777" w:rsidTr="004010EA">
        <w:tblPrEx>
          <w:tblCellMar>
            <w:top w:w="0" w:type="dxa"/>
            <w:left w:w="0" w:type="dxa"/>
            <w:bottom w:w="0" w:type="dxa"/>
            <w:right w:w="0" w:type="dxa"/>
          </w:tblCellMar>
        </w:tblPrEx>
        <w:trPr>
          <w:divId w:val="935526654"/>
          <w:trHeight w:val="20"/>
        </w:trPr>
        <w:tc>
          <w:tcPr>
            <w:tcW w:w="2551" w:type="dxa"/>
            <w:tcMar>
              <w:top w:w="108" w:type="dxa"/>
              <w:left w:w="113" w:type="dxa"/>
              <w:bottom w:w="108" w:type="dxa"/>
              <w:right w:w="113" w:type="dxa"/>
            </w:tcMar>
            <w:vAlign w:val="center"/>
          </w:tcPr>
          <w:p w14:paraId="3AB01A85" w14:textId="77777777" w:rsidR="006D34E9" w:rsidRPr="006D34E9" w:rsidRDefault="006D34E9" w:rsidP="004010EA">
            <w:pPr>
              <w:pStyle w:val="CDIFigure-Table-BodyTextLeft"/>
            </w:pPr>
            <w:r w:rsidRPr="006D34E9">
              <w:t>6–11 months</w:t>
            </w:r>
          </w:p>
        </w:tc>
        <w:tc>
          <w:tcPr>
            <w:tcW w:w="2361" w:type="dxa"/>
            <w:tcMar>
              <w:top w:w="108" w:type="dxa"/>
              <w:left w:w="113" w:type="dxa"/>
              <w:bottom w:w="108" w:type="dxa"/>
              <w:right w:w="113" w:type="dxa"/>
            </w:tcMar>
            <w:vAlign w:val="center"/>
          </w:tcPr>
          <w:p w14:paraId="10F644A6" w14:textId="77777777" w:rsidR="006D34E9" w:rsidRPr="006D34E9" w:rsidRDefault="006D34E9" w:rsidP="004010EA">
            <w:pPr>
              <w:pStyle w:val="CDIFigure-Table-BodyTextCentre"/>
            </w:pPr>
            <w:r w:rsidRPr="006D34E9">
              <w:t>181</w:t>
            </w:r>
          </w:p>
        </w:tc>
        <w:tc>
          <w:tcPr>
            <w:tcW w:w="2360" w:type="dxa"/>
            <w:tcMar>
              <w:top w:w="108" w:type="dxa"/>
              <w:left w:w="113" w:type="dxa"/>
              <w:bottom w:w="108" w:type="dxa"/>
              <w:right w:w="113" w:type="dxa"/>
            </w:tcMar>
            <w:vAlign w:val="center"/>
          </w:tcPr>
          <w:p w14:paraId="52B45019" w14:textId="77777777" w:rsidR="006D34E9" w:rsidRPr="006D34E9" w:rsidRDefault="006D34E9" w:rsidP="004010EA">
            <w:pPr>
              <w:pStyle w:val="CDIFigure-Table-BodyTextCentre"/>
            </w:pPr>
            <w:r w:rsidRPr="006D34E9">
              <w:t>26</w:t>
            </w:r>
          </w:p>
        </w:tc>
        <w:tc>
          <w:tcPr>
            <w:tcW w:w="2361" w:type="dxa"/>
            <w:tcMar>
              <w:top w:w="108" w:type="dxa"/>
              <w:left w:w="113" w:type="dxa"/>
              <w:bottom w:w="108" w:type="dxa"/>
              <w:right w:w="113" w:type="dxa"/>
            </w:tcMar>
            <w:vAlign w:val="center"/>
          </w:tcPr>
          <w:p w14:paraId="6A71A6F8" w14:textId="77777777" w:rsidR="006D34E9" w:rsidRPr="006D34E9" w:rsidRDefault="006D34E9" w:rsidP="004010EA">
            <w:pPr>
              <w:pStyle w:val="CDIFigure-Table-BodyTextCentre"/>
            </w:pPr>
            <w:r w:rsidRPr="006D34E9">
              <w:t>26.5</w:t>
            </w:r>
          </w:p>
        </w:tc>
      </w:tr>
      <w:tr w:rsidR="006D34E9" w:rsidRPr="006D34E9" w14:paraId="3CACC347" w14:textId="77777777" w:rsidTr="004010EA">
        <w:tblPrEx>
          <w:tblCellMar>
            <w:top w:w="0" w:type="dxa"/>
            <w:left w:w="0" w:type="dxa"/>
            <w:bottom w:w="0" w:type="dxa"/>
            <w:right w:w="0" w:type="dxa"/>
          </w:tblCellMar>
        </w:tblPrEx>
        <w:trPr>
          <w:divId w:val="935526654"/>
          <w:trHeight w:val="20"/>
        </w:trPr>
        <w:tc>
          <w:tcPr>
            <w:tcW w:w="2551" w:type="dxa"/>
            <w:shd w:val="clear" w:color="auto" w:fill="C5FFEF" w:themeFill="background2" w:themeFillTint="33"/>
            <w:tcMar>
              <w:top w:w="108" w:type="dxa"/>
              <w:left w:w="113" w:type="dxa"/>
              <w:bottom w:w="108" w:type="dxa"/>
              <w:right w:w="113" w:type="dxa"/>
            </w:tcMar>
            <w:vAlign w:val="center"/>
          </w:tcPr>
          <w:p w14:paraId="43B5A903" w14:textId="77777777" w:rsidR="006D34E9" w:rsidRPr="006D34E9" w:rsidRDefault="006D34E9" w:rsidP="004010EA">
            <w:pPr>
              <w:pStyle w:val="CDIFigure-Table-TotalLeft"/>
            </w:pPr>
            <w:r w:rsidRPr="006D34E9">
              <w:t>Total aged under one year</w:t>
            </w:r>
          </w:p>
        </w:tc>
        <w:tc>
          <w:tcPr>
            <w:tcW w:w="2361" w:type="dxa"/>
            <w:shd w:val="clear" w:color="auto" w:fill="C5FFEF" w:themeFill="background2" w:themeFillTint="33"/>
            <w:tcMar>
              <w:top w:w="108" w:type="dxa"/>
              <w:left w:w="113" w:type="dxa"/>
              <w:bottom w:w="108" w:type="dxa"/>
              <w:right w:w="113" w:type="dxa"/>
            </w:tcMar>
            <w:vAlign w:val="center"/>
          </w:tcPr>
          <w:p w14:paraId="2B21C2F0" w14:textId="77777777" w:rsidR="006D34E9" w:rsidRPr="006D34E9" w:rsidRDefault="006D34E9" w:rsidP="004010EA">
            <w:pPr>
              <w:pStyle w:val="CDIFigure-Table-TotalCentre"/>
            </w:pPr>
            <w:r w:rsidRPr="006D34E9">
              <w:t>61</w:t>
            </w:r>
          </w:p>
        </w:tc>
        <w:tc>
          <w:tcPr>
            <w:tcW w:w="2360" w:type="dxa"/>
            <w:shd w:val="clear" w:color="auto" w:fill="C5FFEF" w:themeFill="background2" w:themeFillTint="33"/>
            <w:tcMar>
              <w:top w:w="108" w:type="dxa"/>
              <w:left w:w="113" w:type="dxa"/>
              <w:bottom w:w="108" w:type="dxa"/>
              <w:right w:w="113" w:type="dxa"/>
            </w:tcMar>
            <w:vAlign w:val="center"/>
          </w:tcPr>
          <w:p w14:paraId="49404BC7" w14:textId="77777777" w:rsidR="006D34E9" w:rsidRPr="006D34E9" w:rsidRDefault="006D34E9" w:rsidP="004010EA">
            <w:pPr>
              <w:pStyle w:val="CDIFigure-Table-TotalCentre"/>
            </w:pPr>
            <w:r w:rsidRPr="006D34E9">
              <w:t>60</w:t>
            </w:r>
          </w:p>
        </w:tc>
        <w:tc>
          <w:tcPr>
            <w:tcW w:w="2361" w:type="dxa"/>
            <w:shd w:val="clear" w:color="auto" w:fill="C5FFEF" w:themeFill="background2" w:themeFillTint="33"/>
            <w:tcMar>
              <w:top w:w="108" w:type="dxa"/>
              <w:left w:w="113" w:type="dxa"/>
              <w:bottom w:w="108" w:type="dxa"/>
              <w:right w:w="113" w:type="dxa"/>
            </w:tcMar>
            <w:vAlign w:val="center"/>
          </w:tcPr>
          <w:p w14:paraId="42A7DBEC" w14:textId="77777777" w:rsidR="006D34E9" w:rsidRPr="006D34E9" w:rsidRDefault="006D34E9" w:rsidP="004010EA">
            <w:pPr>
              <w:pStyle w:val="CDIFigure-Table-TotalCentre"/>
            </w:pPr>
            <w:r w:rsidRPr="006D34E9">
              <w:t>27.5</w:t>
            </w:r>
          </w:p>
        </w:tc>
      </w:tr>
      <w:tr w:rsidR="006D34E9" w:rsidRPr="006D34E9" w14:paraId="447A3F49" w14:textId="77777777" w:rsidTr="004010EA">
        <w:tblPrEx>
          <w:tblCellMar>
            <w:top w:w="0" w:type="dxa"/>
            <w:left w:w="0" w:type="dxa"/>
            <w:bottom w:w="0" w:type="dxa"/>
            <w:right w:w="0" w:type="dxa"/>
          </w:tblCellMar>
        </w:tblPrEx>
        <w:trPr>
          <w:divId w:val="935526654"/>
          <w:trHeight w:val="20"/>
        </w:trPr>
        <w:tc>
          <w:tcPr>
            <w:tcW w:w="2551" w:type="dxa"/>
            <w:tcMar>
              <w:top w:w="108" w:type="dxa"/>
              <w:left w:w="113" w:type="dxa"/>
              <w:bottom w:w="108" w:type="dxa"/>
              <w:right w:w="113" w:type="dxa"/>
            </w:tcMar>
            <w:vAlign w:val="center"/>
          </w:tcPr>
          <w:p w14:paraId="4ACC4CC4" w14:textId="77777777" w:rsidR="006D34E9" w:rsidRPr="006D34E9" w:rsidRDefault="006D34E9" w:rsidP="004010EA">
            <w:pPr>
              <w:pStyle w:val="CDIFigure-Table-BodyTextLeft"/>
            </w:pPr>
            <w:r w:rsidRPr="006D34E9">
              <w:t>12–23 months</w:t>
            </w:r>
          </w:p>
        </w:tc>
        <w:tc>
          <w:tcPr>
            <w:tcW w:w="2361" w:type="dxa"/>
            <w:tcMar>
              <w:top w:w="108" w:type="dxa"/>
              <w:left w:w="113" w:type="dxa"/>
              <w:bottom w:w="108" w:type="dxa"/>
              <w:right w:w="113" w:type="dxa"/>
            </w:tcMar>
            <w:vAlign w:val="center"/>
          </w:tcPr>
          <w:p w14:paraId="1AA9CA1B" w14:textId="77777777" w:rsidR="006D34E9" w:rsidRPr="006D34E9" w:rsidRDefault="006D34E9" w:rsidP="004010EA">
            <w:pPr>
              <w:pStyle w:val="CDIFigure-Table-BodyTextCentre"/>
            </w:pPr>
            <w:r w:rsidRPr="006D34E9">
              <w:t>98</w:t>
            </w:r>
          </w:p>
        </w:tc>
        <w:tc>
          <w:tcPr>
            <w:tcW w:w="2360" w:type="dxa"/>
            <w:tcMar>
              <w:top w:w="108" w:type="dxa"/>
              <w:left w:w="113" w:type="dxa"/>
              <w:bottom w:w="108" w:type="dxa"/>
              <w:right w:w="113" w:type="dxa"/>
            </w:tcMar>
            <w:vAlign w:val="center"/>
          </w:tcPr>
          <w:p w14:paraId="7EBB2B8C" w14:textId="77777777" w:rsidR="006D34E9" w:rsidRPr="006D34E9" w:rsidRDefault="006D34E9" w:rsidP="004010EA">
            <w:pPr>
              <w:pStyle w:val="CDIFigure-Table-BodyTextCentre"/>
            </w:pPr>
            <w:r w:rsidRPr="006D34E9">
              <w:t>39</w:t>
            </w:r>
          </w:p>
        </w:tc>
        <w:tc>
          <w:tcPr>
            <w:tcW w:w="2361" w:type="dxa"/>
            <w:tcMar>
              <w:top w:w="108" w:type="dxa"/>
              <w:left w:w="113" w:type="dxa"/>
              <w:bottom w:w="108" w:type="dxa"/>
              <w:right w:w="113" w:type="dxa"/>
            </w:tcMar>
            <w:vAlign w:val="center"/>
          </w:tcPr>
          <w:p w14:paraId="6D828D79" w14:textId="77777777" w:rsidR="006D34E9" w:rsidRPr="006D34E9" w:rsidRDefault="006D34E9" w:rsidP="004010EA">
            <w:pPr>
              <w:pStyle w:val="CDIFigure-Table-BodyTextCentre"/>
            </w:pPr>
            <w:r w:rsidRPr="006D34E9">
              <w:t>20.5</w:t>
            </w:r>
          </w:p>
        </w:tc>
      </w:tr>
      <w:tr w:rsidR="006D34E9" w:rsidRPr="006D34E9" w14:paraId="4E7A1FAC" w14:textId="77777777" w:rsidTr="004010EA">
        <w:tblPrEx>
          <w:tblCellMar>
            <w:top w:w="0" w:type="dxa"/>
            <w:left w:w="0" w:type="dxa"/>
            <w:bottom w:w="0" w:type="dxa"/>
            <w:right w:w="0" w:type="dxa"/>
          </w:tblCellMar>
        </w:tblPrEx>
        <w:trPr>
          <w:divId w:val="935526654"/>
          <w:trHeight w:val="20"/>
        </w:trPr>
        <w:tc>
          <w:tcPr>
            <w:tcW w:w="2551" w:type="dxa"/>
            <w:shd w:val="clear" w:color="auto" w:fill="C5FFEF" w:themeFill="background2" w:themeFillTint="33"/>
            <w:tcMar>
              <w:top w:w="108" w:type="dxa"/>
              <w:left w:w="113" w:type="dxa"/>
              <w:bottom w:w="108" w:type="dxa"/>
              <w:right w:w="113" w:type="dxa"/>
            </w:tcMar>
            <w:vAlign w:val="center"/>
          </w:tcPr>
          <w:p w14:paraId="20DAB5C1" w14:textId="77777777" w:rsidR="006D34E9" w:rsidRPr="006D34E9" w:rsidRDefault="006D34E9" w:rsidP="004010EA">
            <w:pPr>
              <w:pStyle w:val="CDIFigure-Table-TotalLeft"/>
            </w:pPr>
            <w:r w:rsidRPr="006D34E9">
              <w:t>Total aged under two years</w:t>
            </w:r>
          </w:p>
        </w:tc>
        <w:tc>
          <w:tcPr>
            <w:tcW w:w="2361" w:type="dxa"/>
            <w:shd w:val="clear" w:color="auto" w:fill="C5FFEF" w:themeFill="background2" w:themeFillTint="33"/>
            <w:tcMar>
              <w:top w:w="108" w:type="dxa"/>
              <w:left w:w="113" w:type="dxa"/>
              <w:bottom w:w="108" w:type="dxa"/>
              <w:right w:w="113" w:type="dxa"/>
            </w:tcMar>
            <w:vAlign w:val="center"/>
          </w:tcPr>
          <w:p w14:paraId="017B659D" w14:textId="77777777" w:rsidR="006D34E9" w:rsidRPr="006D34E9" w:rsidRDefault="006D34E9" w:rsidP="004010EA">
            <w:pPr>
              <w:pStyle w:val="CDIFigure-Table-TotalCentre"/>
            </w:pPr>
            <w:r w:rsidRPr="006D34E9">
              <w:t>218</w:t>
            </w:r>
          </w:p>
        </w:tc>
        <w:tc>
          <w:tcPr>
            <w:tcW w:w="2360" w:type="dxa"/>
            <w:shd w:val="clear" w:color="auto" w:fill="C5FFEF" w:themeFill="background2" w:themeFillTint="33"/>
            <w:tcMar>
              <w:top w:w="108" w:type="dxa"/>
              <w:left w:w="113" w:type="dxa"/>
              <w:bottom w:w="108" w:type="dxa"/>
              <w:right w:w="113" w:type="dxa"/>
            </w:tcMar>
            <w:vAlign w:val="center"/>
          </w:tcPr>
          <w:p w14:paraId="75F5E9DC" w14:textId="77777777" w:rsidR="006D34E9" w:rsidRPr="006D34E9" w:rsidRDefault="006D34E9" w:rsidP="004010EA">
            <w:pPr>
              <w:pStyle w:val="CDIFigure-Table-TotalCentre"/>
            </w:pPr>
            <w:r w:rsidRPr="006D34E9">
              <w:t>99</w:t>
            </w:r>
          </w:p>
        </w:tc>
        <w:tc>
          <w:tcPr>
            <w:tcW w:w="2361" w:type="dxa"/>
            <w:shd w:val="clear" w:color="auto" w:fill="C5FFEF" w:themeFill="background2" w:themeFillTint="33"/>
            <w:tcMar>
              <w:top w:w="108" w:type="dxa"/>
              <w:left w:w="113" w:type="dxa"/>
              <w:bottom w:w="108" w:type="dxa"/>
              <w:right w:w="113" w:type="dxa"/>
            </w:tcMar>
            <w:vAlign w:val="center"/>
          </w:tcPr>
          <w:p w14:paraId="7619951B" w14:textId="77777777" w:rsidR="006D34E9" w:rsidRPr="006D34E9" w:rsidRDefault="006D34E9" w:rsidP="004010EA">
            <w:pPr>
              <w:pStyle w:val="CDIFigure-Table-TotalCentre"/>
            </w:pPr>
            <w:r w:rsidRPr="006D34E9">
              <w:t>24.3</w:t>
            </w:r>
          </w:p>
        </w:tc>
      </w:tr>
      <w:tr w:rsidR="006D34E9" w:rsidRPr="006D34E9" w14:paraId="481626CE" w14:textId="77777777" w:rsidTr="004010EA">
        <w:tblPrEx>
          <w:tblCellMar>
            <w:top w:w="0" w:type="dxa"/>
            <w:left w:w="0" w:type="dxa"/>
            <w:bottom w:w="0" w:type="dxa"/>
            <w:right w:w="0" w:type="dxa"/>
          </w:tblCellMar>
        </w:tblPrEx>
        <w:trPr>
          <w:divId w:val="935526654"/>
          <w:trHeight w:val="20"/>
        </w:trPr>
        <w:tc>
          <w:tcPr>
            <w:tcW w:w="2551" w:type="dxa"/>
            <w:tcMar>
              <w:top w:w="108" w:type="dxa"/>
              <w:left w:w="113" w:type="dxa"/>
              <w:bottom w:w="108" w:type="dxa"/>
              <w:right w:w="113" w:type="dxa"/>
            </w:tcMar>
            <w:vAlign w:val="center"/>
          </w:tcPr>
          <w:p w14:paraId="3E1DF4DB" w14:textId="77777777" w:rsidR="006D34E9" w:rsidRPr="006D34E9" w:rsidRDefault="006D34E9" w:rsidP="004010EA">
            <w:pPr>
              <w:pStyle w:val="CDIFigure-Table-BodyTextLeft"/>
            </w:pPr>
            <w:r w:rsidRPr="006D34E9">
              <w:t>2–4 years</w:t>
            </w:r>
          </w:p>
        </w:tc>
        <w:tc>
          <w:tcPr>
            <w:tcW w:w="2361" w:type="dxa"/>
            <w:tcMar>
              <w:top w:w="108" w:type="dxa"/>
              <w:left w:w="113" w:type="dxa"/>
              <w:bottom w:w="108" w:type="dxa"/>
              <w:right w:w="113" w:type="dxa"/>
            </w:tcMar>
            <w:vAlign w:val="center"/>
          </w:tcPr>
          <w:p w14:paraId="1E475A90" w14:textId="77777777" w:rsidR="006D34E9" w:rsidRPr="006D34E9" w:rsidRDefault="006D34E9" w:rsidP="004010EA">
            <w:pPr>
              <w:pStyle w:val="CDIFigure-Table-BodyTextCentre"/>
            </w:pPr>
            <w:r w:rsidRPr="006D34E9">
              <w:t>190</w:t>
            </w:r>
          </w:p>
        </w:tc>
        <w:tc>
          <w:tcPr>
            <w:tcW w:w="2360" w:type="dxa"/>
            <w:tcMar>
              <w:top w:w="108" w:type="dxa"/>
              <w:left w:w="113" w:type="dxa"/>
              <w:bottom w:w="108" w:type="dxa"/>
              <w:right w:w="113" w:type="dxa"/>
            </w:tcMar>
            <w:vAlign w:val="center"/>
          </w:tcPr>
          <w:p w14:paraId="326A1A75" w14:textId="77777777" w:rsidR="006D34E9" w:rsidRPr="006D34E9" w:rsidRDefault="006D34E9" w:rsidP="004010EA">
            <w:pPr>
              <w:pStyle w:val="CDIFigure-Table-BodyTextCentre"/>
            </w:pPr>
            <w:r w:rsidRPr="006D34E9">
              <w:t>33</w:t>
            </w:r>
          </w:p>
        </w:tc>
        <w:tc>
          <w:tcPr>
            <w:tcW w:w="2361" w:type="dxa"/>
            <w:tcMar>
              <w:top w:w="108" w:type="dxa"/>
              <w:left w:w="113" w:type="dxa"/>
              <w:bottom w:w="108" w:type="dxa"/>
              <w:right w:w="113" w:type="dxa"/>
            </w:tcMar>
            <w:vAlign w:val="center"/>
          </w:tcPr>
          <w:p w14:paraId="2B85D3AC" w14:textId="77777777" w:rsidR="006D34E9" w:rsidRPr="006D34E9" w:rsidRDefault="006D34E9" w:rsidP="004010EA">
            <w:pPr>
              <w:pStyle w:val="CDIFigure-Table-BodyTextCentre"/>
            </w:pPr>
            <w:r w:rsidRPr="006D34E9">
              <w:t>14.7</w:t>
            </w:r>
          </w:p>
        </w:tc>
      </w:tr>
      <w:tr w:rsidR="006D34E9" w:rsidRPr="006D34E9" w14:paraId="46698373" w14:textId="77777777" w:rsidTr="004010EA">
        <w:tblPrEx>
          <w:tblCellMar>
            <w:top w:w="0" w:type="dxa"/>
            <w:left w:w="0" w:type="dxa"/>
            <w:bottom w:w="0" w:type="dxa"/>
            <w:right w:w="0" w:type="dxa"/>
          </w:tblCellMar>
        </w:tblPrEx>
        <w:trPr>
          <w:divId w:val="935526654"/>
          <w:trHeight w:val="20"/>
        </w:trPr>
        <w:tc>
          <w:tcPr>
            <w:tcW w:w="2551" w:type="dxa"/>
            <w:shd w:val="clear" w:color="auto" w:fill="C5FFEF" w:themeFill="background2" w:themeFillTint="33"/>
            <w:tcMar>
              <w:top w:w="108" w:type="dxa"/>
              <w:left w:w="113" w:type="dxa"/>
              <w:bottom w:w="108" w:type="dxa"/>
              <w:right w:w="113" w:type="dxa"/>
            </w:tcMar>
            <w:vAlign w:val="center"/>
          </w:tcPr>
          <w:p w14:paraId="14DB84F4" w14:textId="77777777" w:rsidR="006D34E9" w:rsidRPr="006D34E9" w:rsidRDefault="006D34E9" w:rsidP="004010EA">
            <w:pPr>
              <w:pStyle w:val="CDIFigure-Table-TotalLeft"/>
            </w:pPr>
            <w:r w:rsidRPr="006D34E9">
              <w:t>Total aged under five years</w:t>
            </w:r>
          </w:p>
        </w:tc>
        <w:tc>
          <w:tcPr>
            <w:tcW w:w="2361" w:type="dxa"/>
            <w:shd w:val="clear" w:color="auto" w:fill="C5FFEF" w:themeFill="background2" w:themeFillTint="33"/>
            <w:tcMar>
              <w:top w:w="108" w:type="dxa"/>
              <w:left w:w="113" w:type="dxa"/>
              <w:bottom w:w="108" w:type="dxa"/>
              <w:right w:w="113" w:type="dxa"/>
            </w:tcMar>
            <w:vAlign w:val="center"/>
          </w:tcPr>
          <w:p w14:paraId="44884F7E" w14:textId="77777777" w:rsidR="006D34E9" w:rsidRPr="006D34E9" w:rsidRDefault="006D34E9" w:rsidP="004010EA">
            <w:pPr>
              <w:pStyle w:val="CDIFigure-Table-TotalCentre"/>
            </w:pPr>
            <w:r w:rsidRPr="006D34E9">
              <w:t>633</w:t>
            </w:r>
          </w:p>
        </w:tc>
        <w:tc>
          <w:tcPr>
            <w:tcW w:w="2360" w:type="dxa"/>
            <w:shd w:val="clear" w:color="auto" w:fill="C5FFEF" w:themeFill="background2" w:themeFillTint="33"/>
            <w:tcMar>
              <w:top w:w="108" w:type="dxa"/>
              <w:left w:w="113" w:type="dxa"/>
              <w:bottom w:w="108" w:type="dxa"/>
              <w:right w:w="113" w:type="dxa"/>
            </w:tcMar>
            <w:vAlign w:val="center"/>
          </w:tcPr>
          <w:p w14:paraId="3C5E8039" w14:textId="77777777" w:rsidR="006D34E9" w:rsidRPr="006D34E9" w:rsidRDefault="006D34E9" w:rsidP="004010EA">
            <w:pPr>
              <w:pStyle w:val="CDIFigure-Table-TotalCentre"/>
            </w:pPr>
            <w:r w:rsidRPr="006D34E9">
              <w:t>132</w:t>
            </w:r>
          </w:p>
        </w:tc>
        <w:tc>
          <w:tcPr>
            <w:tcW w:w="2361" w:type="dxa"/>
            <w:shd w:val="clear" w:color="auto" w:fill="C5FFEF" w:themeFill="background2" w:themeFillTint="33"/>
            <w:tcMar>
              <w:top w:w="108" w:type="dxa"/>
              <w:left w:w="113" w:type="dxa"/>
              <w:bottom w:w="108" w:type="dxa"/>
              <w:right w:w="113" w:type="dxa"/>
            </w:tcMar>
            <w:vAlign w:val="center"/>
          </w:tcPr>
          <w:p w14:paraId="1069D052" w14:textId="77777777" w:rsidR="006D34E9" w:rsidRPr="006D34E9" w:rsidRDefault="006D34E9" w:rsidP="004010EA">
            <w:pPr>
              <w:pStyle w:val="CDIFigure-Table-TotalCentre"/>
            </w:pPr>
            <w:r w:rsidRPr="006D34E9">
              <w:t>20.9</w:t>
            </w:r>
          </w:p>
        </w:tc>
      </w:tr>
    </w:tbl>
    <w:p w14:paraId="2C3BE105" w14:textId="09157F65" w:rsidR="008E4191" w:rsidRDefault="008E4191" w:rsidP="008E4191">
      <w:pPr>
        <w:pStyle w:val="CDIFigure-Table-FirstFootnote"/>
        <w:divId w:val="935526654"/>
      </w:pPr>
      <w:r w:rsidRPr="008E4191">
        <w:t>a</w:t>
      </w:r>
      <w:r w:rsidRPr="008E4191">
        <w:tab/>
        <w:t>Percentage of cases in indicated age group who were hospitalised.</w:t>
      </w:r>
    </w:p>
    <w:p w14:paraId="3F5B25D4" w14:textId="419E32E0" w:rsidR="008E4191" w:rsidRDefault="001A647B" w:rsidP="001A647B">
      <w:pPr>
        <w:pStyle w:val="CDIFigure-Table-Title"/>
        <w:divId w:val="935526654"/>
      </w:pPr>
      <w:r w:rsidRPr="001A647B">
        <w:lastRenderedPageBreak/>
        <w:t>Table 3: Notified cases and admissions by identified status in children &lt; 5 years of age</w:t>
      </w:r>
    </w:p>
    <w:tbl>
      <w:tblPr>
        <w:tblW w:w="9648" w:type="dxa"/>
        <w:tblInd w:w="-8" w:type="dxa"/>
        <w:tblLayout w:type="fixed"/>
        <w:tblCellMar>
          <w:left w:w="0" w:type="dxa"/>
          <w:right w:w="0" w:type="dxa"/>
        </w:tblCellMar>
        <w:tblLook w:val="0000" w:firstRow="0" w:lastRow="0" w:firstColumn="0" w:lastColumn="0" w:noHBand="0" w:noVBand="0"/>
        <w:tblCaption w:val="Table 3: Notified cases and admissions by identified status in children &lt; 5 years of age"/>
        <w:tblDescription w:val="Table 3 shows the Respiratory Syncytial Virus case numbers, percentages, infection rate and hospital admission rate among children aged less than 5 years by identified Indigenous status."/>
      </w:tblPr>
      <w:tblGrid>
        <w:gridCol w:w="2494"/>
        <w:gridCol w:w="681"/>
        <w:gridCol w:w="680"/>
        <w:gridCol w:w="794"/>
        <w:gridCol w:w="1020"/>
        <w:gridCol w:w="1020"/>
        <w:gridCol w:w="832"/>
        <w:gridCol w:w="1209"/>
        <w:gridCol w:w="918"/>
      </w:tblGrid>
      <w:tr w:rsidR="006D34E9" w:rsidRPr="006D34E9" w14:paraId="771DBAB8" w14:textId="77777777" w:rsidTr="00A17AE7">
        <w:trPr>
          <w:divId w:val="935526654"/>
          <w:trHeight w:val="20"/>
          <w:tblHeader/>
        </w:trPr>
        <w:tc>
          <w:tcPr>
            <w:tcW w:w="2494" w:type="dxa"/>
            <w:vMerge w:val="restart"/>
            <w:shd w:val="clear" w:color="auto" w:fill="033636" w:themeFill="text2"/>
            <w:tcMar>
              <w:top w:w="113" w:type="dxa"/>
              <w:left w:w="113" w:type="dxa"/>
              <w:bottom w:w="113" w:type="dxa"/>
              <w:right w:w="113" w:type="dxa"/>
            </w:tcMar>
            <w:vAlign w:val="bottom"/>
          </w:tcPr>
          <w:p w14:paraId="7DC55081" w14:textId="77777777" w:rsidR="006D34E9" w:rsidRPr="006D34E9" w:rsidRDefault="006D34E9" w:rsidP="00A17AE7">
            <w:pPr>
              <w:pStyle w:val="CDIFigure-Table-H1Left"/>
            </w:pPr>
            <w:r w:rsidRPr="006D34E9">
              <w:t>Identified status</w:t>
            </w:r>
          </w:p>
        </w:tc>
        <w:tc>
          <w:tcPr>
            <w:tcW w:w="1361"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15AE4FF0" w14:textId="77777777" w:rsidR="006D34E9" w:rsidRPr="006D34E9" w:rsidRDefault="006D34E9" w:rsidP="00A17AE7">
            <w:pPr>
              <w:pStyle w:val="CDIFigure-Table-H1"/>
            </w:pPr>
            <w:r w:rsidRPr="006D34E9">
              <w:t>Cases</w:t>
            </w:r>
          </w:p>
        </w:tc>
        <w:tc>
          <w:tcPr>
            <w:tcW w:w="1814"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5B3D7364" w14:textId="77777777" w:rsidR="006D34E9" w:rsidRPr="006D34E9" w:rsidRDefault="006D34E9" w:rsidP="00A17AE7">
            <w:pPr>
              <w:pStyle w:val="CDIFigure-Table-H1"/>
            </w:pPr>
            <w:r w:rsidRPr="006D34E9">
              <w:t>Infection rate</w:t>
            </w:r>
          </w:p>
        </w:tc>
        <w:tc>
          <w:tcPr>
            <w:tcW w:w="1852"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5F80AEEC" w14:textId="77777777" w:rsidR="006D34E9" w:rsidRPr="006D34E9" w:rsidRDefault="006D34E9" w:rsidP="00A17AE7">
            <w:pPr>
              <w:pStyle w:val="CDIFigure-Table-H1"/>
            </w:pPr>
            <w:r w:rsidRPr="006D34E9">
              <w:t>Hospital admissions</w:t>
            </w:r>
          </w:p>
        </w:tc>
        <w:tc>
          <w:tcPr>
            <w:tcW w:w="2126"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66C38DA4" w14:textId="77777777" w:rsidR="006D34E9" w:rsidRPr="006D34E9" w:rsidRDefault="006D34E9" w:rsidP="00A17AE7">
            <w:pPr>
              <w:pStyle w:val="CDIFigure-Table-H1"/>
            </w:pPr>
            <w:r w:rsidRPr="006D34E9">
              <w:t>Admission rate</w:t>
            </w:r>
          </w:p>
        </w:tc>
      </w:tr>
      <w:tr w:rsidR="00A17AE7" w:rsidRPr="006D34E9" w14:paraId="77B0E8FB" w14:textId="77777777" w:rsidTr="00A17AE7">
        <w:trPr>
          <w:divId w:val="935526654"/>
          <w:trHeight w:val="20"/>
          <w:tblHeader/>
        </w:trPr>
        <w:tc>
          <w:tcPr>
            <w:tcW w:w="2494" w:type="dxa"/>
            <w:vMerge/>
            <w:shd w:val="clear" w:color="auto" w:fill="033636" w:themeFill="text2"/>
          </w:tcPr>
          <w:p w14:paraId="4A91257F" w14:textId="77777777" w:rsidR="006D34E9" w:rsidRPr="006D34E9" w:rsidRDefault="006D34E9" w:rsidP="006D34E9">
            <w:pPr>
              <w:rPr>
                <w:lang w:val="en-GB"/>
              </w:rPr>
            </w:pPr>
          </w:p>
        </w:tc>
        <w:tc>
          <w:tcPr>
            <w:tcW w:w="681"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3D584E55" w14:textId="77777777" w:rsidR="006D34E9" w:rsidRPr="006D34E9" w:rsidRDefault="006D34E9" w:rsidP="004010EA">
            <w:pPr>
              <w:pStyle w:val="CDIFigure-Table-H1"/>
            </w:pPr>
            <w:r w:rsidRPr="006D34E9">
              <w:t>n</w:t>
            </w:r>
          </w:p>
        </w:tc>
        <w:tc>
          <w:tcPr>
            <w:tcW w:w="680"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7FC1DA82" w14:textId="77777777" w:rsidR="006D34E9" w:rsidRPr="006D34E9" w:rsidRDefault="006D34E9" w:rsidP="004010EA">
            <w:pPr>
              <w:pStyle w:val="CDIFigure-Table-H1"/>
            </w:pPr>
            <w:r w:rsidRPr="006D34E9">
              <w:t>%</w:t>
            </w:r>
          </w:p>
        </w:tc>
        <w:tc>
          <w:tcPr>
            <w:tcW w:w="794"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4AE89FF1" w14:textId="77777777" w:rsidR="006D34E9" w:rsidRPr="006D34E9" w:rsidRDefault="006D34E9" w:rsidP="004010EA">
            <w:pPr>
              <w:pStyle w:val="CDIFigure-Table-H1"/>
            </w:pPr>
            <w:r w:rsidRPr="006D34E9">
              <w:t>Cases/ 1,000</w:t>
            </w:r>
          </w:p>
        </w:tc>
        <w:tc>
          <w:tcPr>
            <w:tcW w:w="1020"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594CBDFC" w14:textId="316E6141" w:rsidR="006D34E9" w:rsidRPr="006D34E9" w:rsidRDefault="006D34E9" w:rsidP="004010EA">
            <w:pPr>
              <w:pStyle w:val="CDIFigure-Table-H1"/>
            </w:pPr>
            <w:r w:rsidRPr="006D34E9">
              <w:t>95%</w:t>
            </w:r>
            <w:r w:rsidR="004010EA">
              <w:t xml:space="preserve"> </w:t>
            </w:r>
            <w:proofErr w:type="spellStart"/>
            <w:r w:rsidRPr="006D34E9">
              <w:t>CI</w:t>
            </w:r>
            <w:r w:rsidRPr="004010EA">
              <w:rPr>
                <w:vertAlign w:val="superscript"/>
              </w:rPr>
              <w:t>a</w:t>
            </w:r>
            <w:proofErr w:type="spellEnd"/>
          </w:p>
        </w:tc>
        <w:tc>
          <w:tcPr>
            <w:tcW w:w="1020"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702159CA" w14:textId="77777777" w:rsidR="006D34E9" w:rsidRPr="006D34E9" w:rsidRDefault="006D34E9" w:rsidP="004010EA">
            <w:pPr>
              <w:pStyle w:val="CDIFigure-Table-H1"/>
            </w:pPr>
            <w:r w:rsidRPr="006D34E9">
              <w:t>n</w:t>
            </w:r>
          </w:p>
        </w:tc>
        <w:tc>
          <w:tcPr>
            <w:tcW w:w="832"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4A7E9424" w14:textId="77777777" w:rsidR="006D34E9" w:rsidRPr="006D34E9" w:rsidRDefault="006D34E9" w:rsidP="004010EA">
            <w:pPr>
              <w:pStyle w:val="CDIFigure-Table-H1"/>
            </w:pPr>
            <w:r w:rsidRPr="006D34E9">
              <w:t>%</w:t>
            </w:r>
          </w:p>
        </w:tc>
        <w:tc>
          <w:tcPr>
            <w:tcW w:w="1209"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7506095C" w14:textId="77777777" w:rsidR="006D34E9" w:rsidRPr="006D34E9" w:rsidRDefault="006D34E9" w:rsidP="004010EA">
            <w:pPr>
              <w:pStyle w:val="CDIFigure-Table-H1"/>
            </w:pPr>
            <w:r w:rsidRPr="006D34E9">
              <w:t>Admissions/ 1,000</w:t>
            </w:r>
          </w:p>
        </w:tc>
        <w:tc>
          <w:tcPr>
            <w:tcW w:w="918"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03A1F7ED" w14:textId="761E992D" w:rsidR="006D34E9" w:rsidRPr="006D34E9" w:rsidRDefault="006D34E9" w:rsidP="004010EA">
            <w:pPr>
              <w:pStyle w:val="CDIFigure-Table-H1"/>
            </w:pPr>
            <w:r w:rsidRPr="006D34E9">
              <w:t>95%</w:t>
            </w:r>
            <w:r w:rsidR="004010EA">
              <w:t xml:space="preserve"> </w:t>
            </w:r>
            <w:proofErr w:type="spellStart"/>
            <w:r w:rsidRPr="006D34E9">
              <w:t>CI</w:t>
            </w:r>
            <w:r w:rsidRPr="004010EA">
              <w:rPr>
                <w:vertAlign w:val="superscript"/>
              </w:rPr>
              <w:t>a</w:t>
            </w:r>
            <w:proofErr w:type="spellEnd"/>
          </w:p>
        </w:tc>
      </w:tr>
      <w:tr w:rsidR="006D34E9" w:rsidRPr="006D34E9" w14:paraId="1DCD9CF1" w14:textId="77777777" w:rsidTr="006D34E9">
        <w:trPr>
          <w:divId w:val="935526654"/>
          <w:trHeight w:val="20"/>
        </w:trPr>
        <w:tc>
          <w:tcPr>
            <w:tcW w:w="2494" w:type="dxa"/>
            <w:tcMar>
              <w:top w:w="102" w:type="dxa"/>
              <w:left w:w="113" w:type="dxa"/>
              <w:bottom w:w="102" w:type="dxa"/>
              <w:right w:w="113" w:type="dxa"/>
            </w:tcMar>
            <w:vAlign w:val="center"/>
          </w:tcPr>
          <w:p w14:paraId="58E6D3A0" w14:textId="77777777" w:rsidR="006D34E9" w:rsidRPr="006D34E9" w:rsidRDefault="006D34E9" w:rsidP="004010EA">
            <w:pPr>
              <w:pStyle w:val="CDIFigure-Table-BodyTextLeft"/>
            </w:pPr>
            <w:r w:rsidRPr="006D34E9">
              <w:t>Aboriginal and/or Torres Strait Islander</w:t>
            </w:r>
          </w:p>
        </w:tc>
        <w:tc>
          <w:tcPr>
            <w:tcW w:w="681" w:type="dxa"/>
            <w:tcMar>
              <w:top w:w="102" w:type="dxa"/>
              <w:left w:w="113" w:type="dxa"/>
              <w:bottom w:w="102" w:type="dxa"/>
              <w:right w:w="113" w:type="dxa"/>
            </w:tcMar>
            <w:vAlign w:val="center"/>
          </w:tcPr>
          <w:p w14:paraId="2A519770" w14:textId="77777777" w:rsidR="006D34E9" w:rsidRPr="006D34E9" w:rsidRDefault="006D34E9" w:rsidP="004010EA">
            <w:pPr>
              <w:pStyle w:val="CDIFigure-Table-BodyTextCentre"/>
            </w:pPr>
            <w:r w:rsidRPr="006D34E9">
              <w:t>128</w:t>
            </w:r>
          </w:p>
        </w:tc>
        <w:tc>
          <w:tcPr>
            <w:tcW w:w="680" w:type="dxa"/>
            <w:tcMar>
              <w:top w:w="102" w:type="dxa"/>
              <w:left w:w="113" w:type="dxa"/>
              <w:bottom w:w="102" w:type="dxa"/>
              <w:right w:w="113" w:type="dxa"/>
            </w:tcMar>
            <w:vAlign w:val="center"/>
          </w:tcPr>
          <w:p w14:paraId="172B7643" w14:textId="77777777" w:rsidR="006D34E9" w:rsidRPr="006D34E9" w:rsidRDefault="006D34E9" w:rsidP="004010EA">
            <w:pPr>
              <w:pStyle w:val="CDIFigure-Table-BodyTextCentre"/>
            </w:pPr>
            <w:r w:rsidRPr="006D34E9">
              <w:t>20.2</w:t>
            </w:r>
          </w:p>
        </w:tc>
        <w:tc>
          <w:tcPr>
            <w:tcW w:w="794" w:type="dxa"/>
            <w:tcMar>
              <w:top w:w="102" w:type="dxa"/>
              <w:left w:w="113" w:type="dxa"/>
              <w:bottom w:w="102" w:type="dxa"/>
              <w:right w:w="113" w:type="dxa"/>
            </w:tcMar>
            <w:vAlign w:val="center"/>
          </w:tcPr>
          <w:p w14:paraId="7964A242" w14:textId="77777777" w:rsidR="006D34E9" w:rsidRPr="006D34E9" w:rsidRDefault="006D34E9" w:rsidP="004010EA">
            <w:pPr>
              <w:pStyle w:val="CDIFigure-Table-BodyTextCentre"/>
            </w:pPr>
            <w:r w:rsidRPr="006D34E9">
              <w:t>62.7</w:t>
            </w:r>
          </w:p>
        </w:tc>
        <w:tc>
          <w:tcPr>
            <w:tcW w:w="1020" w:type="dxa"/>
            <w:tcMar>
              <w:top w:w="102" w:type="dxa"/>
              <w:left w:w="113" w:type="dxa"/>
              <w:bottom w:w="102" w:type="dxa"/>
              <w:right w:w="113" w:type="dxa"/>
            </w:tcMar>
            <w:vAlign w:val="center"/>
          </w:tcPr>
          <w:p w14:paraId="24B1A77A" w14:textId="77777777" w:rsidR="006D34E9" w:rsidRPr="006D34E9" w:rsidRDefault="006D34E9" w:rsidP="004010EA">
            <w:pPr>
              <w:pStyle w:val="CDIFigure-Table-BodyTextCentre"/>
            </w:pPr>
            <w:r w:rsidRPr="006D34E9">
              <w:t>51.8–73.5</w:t>
            </w:r>
          </w:p>
        </w:tc>
        <w:tc>
          <w:tcPr>
            <w:tcW w:w="1020" w:type="dxa"/>
            <w:tcMar>
              <w:top w:w="102" w:type="dxa"/>
              <w:left w:w="113" w:type="dxa"/>
              <w:bottom w:w="102" w:type="dxa"/>
              <w:right w:w="113" w:type="dxa"/>
            </w:tcMar>
            <w:vAlign w:val="center"/>
          </w:tcPr>
          <w:p w14:paraId="4E72C391" w14:textId="77777777" w:rsidR="006D34E9" w:rsidRPr="006D34E9" w:rsidRDefault="006D34E9" w:rsidP="004010EA">
            <w:pPr>
              <w:pStyle w:val="CDIFigure-Table-BodyTextCentre"/>
            </w:pPr>
            <w:r w:rsidRPr="006D34E9">
              <w:t>27</w:t>
            </w:r>
          </w:p>
        </w:tc>
        <w:tc>
          <w:tcPr>
            <w:tcW w:w="832" w:type="dxa"/>
            <w:tcMar>
              <w:top w:w="102" w:type="dxa"/>
              <w:left w:w="113" w:type="dxa"/>
              <w:bottom w:w="102" w:type="dxa"/>
              <w:right w:w="113" w:type="dxa"/>
            </w:tcMar>
            <w:vAlign w:val="center"/>
          </w:tcPr>
          <w:p w14:paraId="23C5801F" w14:textId="77777777" w:rsidR="006D34E9" w:rsidRPr="006D34E9" w:rsidRDefault="006D34E9" w:rsidP="004010EA">
            <w:pPr>
              <w:pStyle w:val="CDIFigure-Table-BodyTextCentre"/>
            </w:pPr>
            <w:r w:rsidRPr="006D34E9">
              <w:t>20.5</w:t>
            </w:r>
          </w:p>
        </w:tc>
        <w:tc>
          <w:tcPr>
            <w:tcW w:w="1209" w:type="dxa"/>
            <w:tcMar>
              <w:top w:w="102" w:type="dxa"/>
              <w:left w:w="113" w:type="dxa"/>
              <w:bottom w:w="102" w:type="dxa"/>
              <w:right w:w="113" w:type="dxa"/>
            </w:tcMar>
            <w:vAlign w:val="center"/>
          </w:tcPr>
          <w:p w14:paraId="6AD0F50F" w14:textId="77777777" w:rsidR="006D34E9" w:rsidRPr="006D34E9" w:rsidRDefault="006D34E9" w:rsidP="004010EA">
            <w:pPr>
              <w:pStyle w:val="CDIFigure-Table-BodyTextCentre"/>
            </w:pPr>
            <w:r w:rsidRPr="006D34E9">
              <w:t>13.2</w:t>
            </w:r>
          </w:p>
        </w:tc>
        <w:tc>
          <w:tcPr>
            <w:tcW w:w="918" w:type="dxa"/>
            <w:tcMar>
              <w:top w:w="102" w:type="dxa"/>
              <w:left w:w="113" w:type="dxa"/>
              <w:bottom w:w="102" w:type="dxa"/>
              <w:right w:w="113" w:type="dxa"/>
            </w:tcMar>
            <w:vAlign w:val="center"/>
          </w:tcPr>
          <w:p w14:paraId="6D562B72" w14:textId="77777777" w:rsidR="006D34E9" w:rsidRPr="006D34E9" w:rsidRDefault="006D34E9" w:rsidP="004010EA">
            <w:pPr>
              <w:pStyle w:val="CDIFigure-Table-BodyTextCentre"/>
            </w:pPr>
            <w:r w:rsidRPr="006D34E9">
              <w:t>8.2–18.2</w:t>
            </w:r>
          </w:p>
        </w:tc>
      </w:tr>
      <w:tr w:rsidR="006D34E9" w:rsidRPr="006D34E9" w14:paraId="5EDDA218" w14:textId="77777777" w:rsidTr="006D34E9">
        <w:trPr>
          <w:divId w:val="935526654"/>
          <w:trHeight w:val="20"/>
        </w:trPr>
        <w:tc>
          <w:tcPr>
            <w:tcW w:w="2494" w:type="dxa"/>
            <w:tcMar>
              <w:top w:w="102" w:type="dxa"/>
              <w:left w:w="113" w:type="dxa"/>
              <w:bottom w:w="102" w:type="dxa"/>
              <w:right w:w="113" w:type="dxa"/>
            </w:tcMar>
            <w:vAlign w:val="center"/>
          </w:tcPr>
          <w:p w14:paraId="740A8C02" w14:textId="77777777" w:rsidR="006D34E9" w:rsidRPr="006D34E9" w:rsidRDefault="006D34E9" w:rsidP="004010EA">
            <w:pPr>
              <w:pStyle w:val="CDIFigure-Table-BodyTextLeft"/>
            </w:pPr>
            <w:r w:rsidRPr="006D34E9">
              <w:t>Neither Aboriginal and/or Torres Strait Islander, or not recorded</w:t>
            </w:r>
          </w:p>
        </w:tc>
        <w:tc>
          <w:tcPr>
            <w:tcW w:w="681" w:type="dxa"/>
            <w:tcMar>
              <w:top w:w="102" w:type="dxa"/>
              <w:left w:w="113" w:type="dxa"/>
              <w:bottom w:w="102" w:type="dxa"/>
              <w:right w:w="113" w:type="dxa"/>
            </w:tcMar>
            <w:vAlign w:val="center"/>
          </w:tcPr>
          <w:p w14:paraId="53AA2D59" w14:textId="77777777" w:rsidR="006D34E9" w:rsidRPr="006D34E9" w:rsidRDefault="006D34E9" w:rsidP="004010EA">
            <w:pPr>
              <w:pStyle w:val="CDIFigure-Table-BodyTextCentre"/>
            </w:pPr>
            <w:r w:rsidRPr="006D34E9">
              <w:t>505</w:t>
            </w:r>
          </w:p>
        </w:tc>
        <w:tc>
          <w:tcPr>
            <w:tcW w:w="680" w:type="dxa"/>
            <w:tcMar>
              <w:top w:w="102" w:type="dxa"/>
              <w:left w:w="113" w:type="dxa"/>
              <w:bottom w:w="102" w:type="dxa"/>
              <w:right w:w="113" w:type="dxa"/>
            </w:tcMar>
            <w:vAlign w:val="center"/>
          </w:tcPr>
          <w:p w14:paraId="429A9CA7" w14:textId="77777777" w:rsidR="006D34E9" w:rsidRPr="006D34E9" w:rsidRDefault="006D34E9" w:rsidP="004010EA">
            <w:pPr>
              <w:pStyle w:val="CDIFigure-Table-BodyTextCentre"/>
            </w:pPr>
            <w:r w:rsidRPr="006D34E9">
              <w:t>79.8</w:t>
            </w:r>
          </w:p>
        </w:tc>
        <w:tc>
          <w:tcPr>
            <w:tcW w:w="794" w:type="dxa"/>
            <w:tcMar>
              <w:top w:w="102" w:type="dxa"/>
              <w:left w:w="113" w:type="dxa"/>
              <w:bottom w:w="102" w:type="dxa"/>
              <w:right w:w="113" w:type="dxa"/>
            </w:tcMar>
            <w:vAlign w:val="center"/>
          </w:tcPr>
          <w:p w14:paraId="40788D08" w14:textId="77777777" w:rsidR="006D34E9" w:rsidRPr="006D34E9" w:rsidRDefault="006D34E9" w:rsidP="004010EA">
            <w:pPr>
              <w:pStyle w:val="CDIFigure-Table-BodyTextCentre"/>
            </w:pPr>
            <w:r w:rsidRPr="006D34E9">
              <w:t>40.1</w:t>
            </w:r>
          </w:p>
        </w:tc>
        <w:tc>
          <w:tcPr>
            <w:tcW w:w="1020" w:type="dxa"/>
            <w:tcMar>
              <w:top w:w="102" w:type="dxa"/>
              <w:left w:w="113" w:type="dxa"/>
              <w:bottom w:w="102" w:type="dxa"/>
              <w:right w:w="113" w:type="dxa"/>
            </w:tcMar>
            <w:vAlign w:val="center"/>
          </w:tcPr>
          <w:p w14:paraId="6BC747FE" w14:textId="77777777" w:rsidR="006D34E9" w:rsidRPr="006D34E9" w:rsidRDefault="006D34E9" w:rsidP="004010EA">
            <w:pPr>
              <w:pStyle w:val="CDIFigure-Table-BodyTextCentre"/>
            </w:pPr>
            <w:r w:rsidRPr="006D34E9">
              <w:t>36.6–43.6</w:t>
            </w:r>
          </w:p>
        </w:tc>
        <w:tc>
          <w:tcPr>
            <w:tcW w:w="1020" w:type="dxa"/>
            <w:tcMar>
              <w:top w:w="102" w:type="dxa"/>
              <w:left w:w="113" w:type="dxa"/>
              <w:bottom w:w="102" w:type="dxa"/>
              <w:right w:w="113" w:type="dxa"/>
            </w:tcMar>
            <w:vAlign w:val="center"/>
          </w:tcPr>
          <w:p w14:paraId="5721BE2D" w14:textId="77777777" w:rsidR="006D34E9" w:rsidRPr="006D34E9" w:rsidRDefault="006D34E9" w:rsidP="004010EA">
            <w:pPr>
              <w:pStyle w:val="CDIFigure-Table-BodyTextCentre"/>
            </w:pPr>
            <w:r w:rsidRPr="006D34E9">
              <w:t>105</w:t>
            </w:r>
          </w:p>
        </w:tc>
        <w:tc>
          <w:tcPr>
            <w:tcW w:w="832" w:type="dxa"/>
            <w:tcMar>
              <w:top w:w="102" w:type="dxa"/>
              <w:left w:w="113" w:type="dxa"/>
              <w:bottom w:w="102" w:type="dxa"/>
              <w:right w:w="113" w:type="dxa"/>
            </w:tcMar>
            <w:vAlign w:val="center"/>
          </w:tcPr>
          <w:p w14:paraId="4489BB8F" w14:textId="77777777" w:rsidR="006D34E9" w:rsidRPr="006D34E9" w:rsidRDefault="006D34E9" w:rsidP="004010EA">
            <w:pPr>
              <w:pStyle w:val="CDIFigure-Table-BodyTextCentre"/>
            </w:pPr>
            <w:r w:rsidRPr="006D34E9">
              <w:t>79.5</w:t>
            </w:r>
          </w:p>
        </w:tc>
        <w:tc>
          <w:tcPr>
            <w:tcW w:w="1209" w:type="dxa"/>
            <w:tcMar>
              <w:top w:w="102" w:type="dxa"/>
              <w:left w:w="113" w:type="dxa"/>
              <w:bottom w:w="102" w:type="dxa"/>
              <w:right w:w="113" w:type="dxa"/>
            </w:tcMar>
            <w:vAlign w:val="center"/>
          </w:tcPr>
          <w:p w14:paraId="72ED3669" w14:textId="77777777" w:rsidR="006D34E9" w:rsidRPr="006D34E9" w:rsidRDefault="006D34E9" w:rsidP="004010EA">
            <w:pPr>
              <w:pStyle w:val="CDIFigure-Table-BodyTextCentre"/>
            </w:pPr>
            <w:r w:rsidRPr="006D34E9">
              <w:t>8.3</w:t>
            </w:r>
          </w:p>
        </w:tc>
        <w:tc>
          <w:tcPr>
            <w:tcW w:w="918" w:type="dxa"/>
            <w:tcMar>
              <w:top w:w="102" w:type="dxa"/>
              <w:left w:w="113" w:type="dxa"/>
              <w:bottom w:w="102" w:type="dxa"/>
              <w:right w:w="113" w:type="dxa"/>
            </w:tcMar>
            <w:vAlign w:val="center"/>
          </w:tcPr>
          <w:p w14:paraId="114D55B4" w14:textId="77777777" w:rsidR="006D34E9" w:rsidRPr="006D34E9" w:rsidRDefault="006D34E9" w:rsidP="004010EA">
            <w:pPr>
              <w:pStyle w:val="CDIFigure-Table-BodyTextCentre"/>
            </w:pPr>
            <w:r w:rsidRPr="006D34E9">
              <w:t>6.7–9.9</w:t>
            </w:r>
          </w:p>
        </w:tc>
      </w:tr>
      <w:tr w:rsidR="006D34E9" w:rsidRPr="006D34E9" w14:paraId="2433C179" w14:textId="77777777" w:rsidTr="006D34E9">
        <w:trPr>
          <w:divId w:val="935526654"/>
          <w:trHeight w:val="20"/>
        </w:trPr>
        <w:tc>
          <w:tcPr>
            <w:tcW w:w="2494" w:type="dxa"/>
            <w:shd w:val="clear" w:color="auto" w:fill="C5FFEF" w:themeFill="background2" w:themeFillTint="33"/>
            <w:tcMar>
              <w:top w:w="113" w:type="dxa"/>
              <w:left w:w="113" w:type="dxa"/>
              <w:bottom w:w="113" w:type="dxa"/>
              <w:right w:w="113" w:type="dxa"/>
            </w:tcMar>
            <w:vAlign w:val="center"/>
          </w:tcPr>
          <w:p w14:paraId="77A06C66" w14:textId="77777777" w:rsidR="006D34E9" w:rsidRPr="006D34E9" w:rsidRDefault="006D34E9" w:rsidP="004010EA">
            <w:pPr>
              <w:pStyle w:val="CDIFigure-Table-TotalLeft"/>
            </w:pPr>
            <w:r w:rsidRPr="006D34E9">
              <w:t>Total</w:t>
            </w:r>
          </w:p>
        </w:tc>
        <w:tc>
          <w:tcPr>
            <w:tcW w:w="681" w:type="dxa"/>
            <w:shd w:val="clear" w:color="auto" w:fill="C5FFEF" w:themeFill="background2" w:themeFillTint="33"/>
            <w:tcMar>
              <w:top w:w="113" w:type="dxa"/>
              <w:left w:w="113" w:type="dxa"/>
              <w:bottom w:w="113" w:type="dxa"/>
              <w:right w:w="113" w:type="dxa"/>
            </w:tcMar>
            <w:vAlign w:val="center"/>
          </w:tcPr>
          <w:p w14:paraId="606B84A8" w14:textId="77777777" w:rsidR="006D34E9" w:rsidRPr="006D34E9" w:rsidRDefault="006D34E9" w:rsidP="004010EA">
            <w:pPr>
              <w:pStyle w:val="CDIFigure-Table-TotalCentre"/>
            </w:pPr>
            <w:r w:rsidRPr="006D34E9">
              <w:t>633</w:t>
            </w:r>
          </w:p>
        </w:tc>
        <w:tc>
          <w:tcPr>
            <w:tcW w:w="680" w:type="dxa"/>
            <w:shd w:val="clear" w:color="auto" w:fill="C5FFEF" w:themeFill="background2" w:themeFillTint="33"/>
            <w:tcMar>
              <w:top w:w="113" w:type="dxa"/>
              <w:left w:w="113" w:type="dxa"/>
              <w:bottom w:w="113" w:type="dxa"/>
              <w:right w:w="113" w:type="dxa"/>
            </w:tcMar>
            <w:vAlign w:val="center"/>
          </w:tcPr>
          <w:p w14:paraId="17CD07C3" w14:textId="77777777" w:rsidR="006D34E9" w:rsidRPr="006D34E9" w:rsidRDefault="006D34E9" w:rsidP="004010EA">
            <w:pPr>
              <w:pStyle w:val="CDIFigure-Table-TotalCentre"/>
            </w:pPr>
            <w:r w:rsidRPr="006D34E9">
              <w:t>100.0</w:t>
            </w:r>
          </w:p>
        </w:tc>
        <w:tc>
          <w:tcPr>
            <w:tcW w:w="794" w:type="dxa"/>
            <w:shd w:val="clear" w:color="auto" w:fill="C5FFEF" w:themeFill="background2" w:themeFillTint="33"/>
            <w:tcMar>
              <w:top w:w="113" w:type="dxa"/>
              <w:left w:w="113" w:type="dxa"/>
              <w:bottom w:w="113" w:type="dxa"/>
              <w:right w:w="113" w:type="dxa"/>
            </w:tcMar>
            <w:vAlign w:val="center"/>
          </w:tcPr>
          <w:p w14:paraId="2FAF7871" w14:textId="77777777" w:rsidR="006D34E9" w:rsidRPr="006D34E9" w:rsidRDefault="006D34E9" w:rsidP="004010EA">
            <w:pPr>
              <w:pStyle w:val="CDIFigure-Table-TotalCentre"/>
            </w:pPr>
            <w:r w:rsidRPr="006D34E9">
              <w:t>43.3</w:t>
            </w:r>
          </w:p>
        </w:tc>
        <w:tc>
          <w:tcPr>
            <w:tcW w:w="1020" w:type="dxa"/>
            <w:shd w:val="clear" w:color="auto" w:fill="C5FFEF" w:themeFill="background2" w:themeFillTint="33"/>
            <w:tcMar>
              <w:top w:w="113" w:type="dxa"/>
              <w:left w:w="113" w:type="dxa"/>
              <w:bottom w:w="113" w:type="dxa"/>
              <w:right w:w="113" w:type="dxa"/>
            </w:tcMar>
            <w:vAlign w:val="center"/>
          </w:tcPr>
          <w:p w14:paraId="79AC4E28" w14:textId="77777777" w:rsidR="006D34E9" w:rsidRPr="006D34E9" w:rsidRDefault="006D34E9" w:rsidP="004010EA">
            <w:pPr>
              <w:pStyle w:val="CDIFigure-Table-TotalCentre"/>
            </w:pPr>
            <w:r w:rsidRPr="006D34E9">
              <w:t>39.9–46.6</w:t>
            </w:r>
          </w:p>
        </w:tc>
        <w:tc>
          <w:tcPr>
            <w:tcW w:w="1020" w:type="dxa"/>
            <w:shd w:val="clear" w:color="auto" w:fill="C5FFEF" w:themeFill="background2" w:themeFillTint="33"/>
            <w:tcMar>
              <w:top w:w="113" w:type="dxa"/>
              <w:left w:w="113" w:type="dxa"/>
              <w:bottom w:w="113" w:type="dxa"/>
              <w:right w:w="113" w:type="dxa"/>
            </w:tcMar>
            <w:vAlign w:val="center"/>
          </w:tcPr>
          <w:p w14:paraId="623F3CD4" w14:textId="77777777" w:rsidR="006D34E9" w:rsidRPr="006D34E9" w:rsidRDefault="006D34E9" w:rsidP="004010EA">
            <w:pPr>
              <w:pStyle w:val="CDIFigure-Table-TotalCentre"/>
            </w:pPr>
            <w:r w:rsidRPr="006D34E9">
              <w:t>169</w:t>
            </w:r>
          </w:p>
        </w:tc>
        <w:tc>
          <w:tcPr>
            <w:tcW w:w="832" w:type="dxa"/>
            <w:shd w:val="clear" w:color="auto" w:fill="C5FFEF" w:themeFill="background2" w:themeFillTint="33"/>
            <w:tcMar>
              <w:top w:w="113" w:type="dxa"/>
              <w:left w:w="113" w:type="dxa"/>
              <w:bottom w:w="113" w:type="dxa"/>
              <w:right w:w="113" w:type="dxa"/>
            </w:tcMar>
            <w:vAlign w:val="center"/>
          </w:tcPr>
          <w:p w14:paraId="2F0D8B3A" w14:textId="77777777" w:rsidR="006D34E9" w:rsidRPr="006D34E9" w:rsidRDefault="006D34E9" w:rsidP="004010EA">
            <w:pPr>
              <w:pStyle w:val="CDIFigure-Table-TotalCentre"/>
            </w:pPr>
            <w:r w:rsidRPr="006D34E9">
              <w:t>78.1</w:t>
            </w:r>
          </w:p>
        </w:tc>
        <w:tc>
          <w:tcPr>
            <w:tcW w:w="1209" w:type="dxa"/>
            <w:shd w:val="clear" w:color="auto" w:fill="C5FFEF" w:themeFill="background2" w:themeFillTint="33"/>
            <w:tcMar>
              <w:top w:w="113" w:type="dxa"/>
              <w:left w:w="113" w:type="dxa"/>
              <w:bottom w:w="113" w:type="dxa"/>
              <w:right w:w="113" w:type="dxa"/>
            </w:tcMar>
            <w:vAlign w:val="center"/>
          </w:tcPr>
          <w:p w14:paraId="35A2ED5D" w14:textId="77777777" w:rsidR="006D34E9" w:rsidRPr="006D34E9" w:rsidRDefault="006D34E9" w:rsidP="004010EA">
            <w:pPr>
              <w:pStyle w:val="CDIFigure-Table-TotalCentre"/>
            </w:pPr>
            <w:r w:rsidRPr="006D34E9">
              <w:t>9.0</w:t>
            </w:r>
          </w:p>
        </w:tc>
        <w:tc>
          <w:tcPr>
            <w:tcW w:w="918" w:type="dxa"/>
            <w:shd w:val="clear" w:color="auto" w:fill="C5FFEF" w:themeFill="background2" w:themeFillTint="33"/>
            <w:tcMar>
              <w:top w:w="113" w:type="dxa"/>
              <w:left w:w="113" w:type="dxa"/>
              <w:bottom w:w="113" w:type="dxa"/>
              <w:right w:w="113" w:type="dxa"/>
            </w:tcMar>
            <w:vAlign w:val="center"/>
          </w:tcPr>
          <w:p w14:paraId="4678D297" w14:textId="77777777" w:rsidR="006D34E9" w:rsidRPr="006D34E9" w:rsidRDefault="006D34E9" w:rsidP="004010EA">
            <w:pPr>
              <w:pStyle w:val="CDIFigure-Table-TotalCentre"/>
            </w:pPr>
            <w:r w:rsidRPr="006D34E9">
              <w:t>7.5–10.6</w:t>
            </w:r>
          </w:p>
        </w:tc>
      </w:tr>
    </w:tbl>
    <w:p w14:paraId="05ED848D" w14:textId="5D0141D9" w:rsidR="001A647B" w:rsidRDefault="001A647B" w:rsidP="001A647B">
      <w:pPr>
        <w:pStyle w:val="CDIFigure-Table-FirstFootnote"/>
        <w:divId w:val="935526654"/>
      </w:pPr>
      <w:r w:rsidRPr="001A647B">
        <w:t>a</w:t>
      </w:r>
      <w:r w:rsidRPr="001A647B">
        <w:tab/>
        <w:t>95% CI: 95% confidence interval.</w:t>
      </w:r>
    </w:p>
    <w:p w14:paraId="3AB86EF6" w14:textId="75C18A74" w:rsidR="000F2D45" w:rsidRDefault="000F2D45" w:rsidP="000F2D45">
      <w:pPr>
        <w:pStyle w:val="Heading2"/>
        <w:divId w:val="935526654"/>
      </w:pPr>
      <w:r w:rsidRPr="000F2D45">
        <w:t>Clinical features of admitted patients</w:t>
      </w:r>
    </w:p>
    <w:p w14:paraId="0F032F7D" w14:textId="77777777" w:rsidR="000F2D45" w:rsidRPr="000F2D45" w:rsidRDefault="000F2D45" w:rsidP="000F2D45">
      <w:pPr>
        <w:divId w:val="935526654"/>
        <w:rPr>
          <w:lang w:val="en-GB"/>
        </w:rPr>
      </w:pPr>
      <w:r w:rsidRPr="000F2D45">
        <w:rPr>
          <w:lang w:val="en-GB"/>
        </w:rPr>
        <w:t>RSV was listed as the primary diagnosis in 113/169 admitted patients (66.9%) and was documented as hospital-acquired in two patients (1.2%). Compared to patients under two years of age, admitted patients between two and five years of age were more likely to have one or more major comorbidities (</w:t>
      </w:r>
      <w:r w:rsidRPr="000F2D45">
        <w:rPr>
          <w:i/>
          <w:iCs/>
          <w:lang w:val="en-GB"/>
        </w:rPr>
        <w:t>p</w:t>
      </w:r>
      <w:r w:rsidRPr="000F2D45">
        <w:rPr>
          <w:lang w:val="en-GB"/>
        </w:rPr>
        <w:t xml:space="preserve"> = 0.035) (Table 4). Cough was the </w:t>
      </w:r>
      <w:proofErr w:type="gramStart"/>
      <w:r w:rsidRPr="000F2D45">
        <w:rPr>
          <w:lang w:val="en-GB"/>
        </w:rPr>
        <w:t>most commonly documented</w:t>
      </w:r>
      <w:proofErr w:type="gramEnd"/>
      <w:r w:rsidRPr="000F2D45">
        <w:rPr>
          <w:lang w:val="en-GB"/>
        </w:rPr>
        <w:t xml:space="preserve"> symptom in both age groups, with dyspnoea or increased work of breathing significantly more common in those under two years of age (</w:t>
      </w:r>
      <w:r w:rsidRPr="000F2D45">
        <w:rPr>
          <w:i/>
          <w:iCs/>
          <w:lang w:val="en-GB"/>
        </w:rPr>
        <w:t>p</w:t>
      </w:r>
      <w:r w:rsidRPr="000F2D45">
        <w:rPr>
          <w:lang w:val="en-GB"/>
        </w:rPr>
        <w:t xml:space="preserve"> = 0.047) and malaise or lethargy significantly more common in those over two years old (</w:t>
      </w:r>
      <w:r w:rsidRPr="000F2D45">
        <w:rPr>
          <w:i/>
          <w:iCs/>
          <w:lang w:val="en-GB"/>
        </w:rPr>
        <w:t>p</w:t>
      </w:r>
      <w:r w:rsidRPr="000F2D45">
        <w:rPr>
          <w:lang w:val="en-GB"/>
        </w:rPr>
        <w:t xml:space="preserve"> = 0.031). Twenty-five patients across all age groups (14.8%) were documented as also positive for one or more respiratory viruses alongside RSV, including COVID-19, rhinovirus, adenovirus, influenza A, and human metapneumovirus. The average length of hospital stay (LOS) with RSV was 3.4 days overall (95% CI: 2.8–3.9 days). Among those with a major comorbidity, the average LOS was significantly higher at 4.5 days (</w:t>
      </w:r>
      <w:r w:rsidRPr="000F2D45">
        <w:rPr>
          <w:i/>
          <w:iCs/>
          <w:lang w:val="en-GB"/>
        </w:rPr>
        <w:t>p</w:t>
      </w:r>
      <w:r w:rsidRPr="000F2D45">
        <w:rPr>
          <w:lang w:val="en-GB"/>
        </w:rPr>
        <w:t xml:space="preserve"> = 0.011).</w:t>
      </w:r>
    </w:p>
    <w:p w14:paraId="4411C581" w14:textId="54FFDBAC" w:rsidR="00A17AE7" w:rsidRDefault="000F2D45" w:rsidP="00A17AE7">
      <w:pPr>
        <w:rPr>
          <w:lang w:val="en-GB"/>
        </w:rPr>
      </w:pPr>
      <w:r w:rsidRPr="000F2D45">
        <w:rPr>
          <w:lang w:val="en-GB"/>
        </w:rPr>
        <w:t>In admitted children less than two years of age, respiratory support was required via low-flow oxygen in 27/99 cases (27.3%) and/or non-invasive ventilation in 30/99 cases (30.3%) (Table 5). Hydration support was needed via nasogastric tube in 39 (39.4%) and/or intravenous therapy in 14 (14.1%). Bacterial pneumonia or another bacterial infection was documented in 26/99 admitted children under two years of age (26.3%), yet antibiotics were prescribed to 48/99 admitted children in this age group (48.5%), either during admission or prior in the community. Chest X-ray (CXR) was performed in 52/99 patients in this age group (52.5%); the proportion on whom CXR was performed was significantly higher among patients who received antibiotics (</w:t>
      </w:r>
      <w:r w:rsidRPr="000F2D45">
        <w:rPr>
          <w:i/>
          <w:iCs/>
          <w:lang w:val="en-GB"/>
        </w:rPr>
        <w:t>p</w:t>
      </w:r>
      <w:r w:rsidRPr="000F2D45">
        <w:rPr>
          <w:lang w:val="en-GB"/>
        </w:rPr>
        <w:t xml:space="preserve"> &lt; 0.001) (Table 5).</w:t>
      </w:r>
      <w:r w:rsidR="00A17AE7">
        <w:rPr>
          <w:lang w:val="en-GB"/>
        </w:rPr>
        <w:br w:type="page"/>
      </w:r>
    </w:p>
    <w:p w14:paraId="2C4EDBF7" w14:textId="66E8AF1E" w:rsidR="001A647B" w:rsidRDefault="001A647B" w:rsidP="001A647B">
      <w:pPr>
        <w:pStyle w:val="CDIFigure-Table-Title"/>
        <w:divId w:val="935526654"/>
      </w:pPr>
      <w:r w:rsidRPr="001A647B">
        <w:lastRenderedPageBreak/>
        <w:t>Table 4: Clinical details of admitted patients with RSV infection</w:t>
      </w:r>
    </w:p>
    <w:tbl>
      <w:tblPr>
        <w:tblW w:w="0" w:type="auto"/>
        <w:tblInd w:w="-8" w:type="dxa"/>
        <w:tblLayout w:type="fixed"/>
        <w:tblCellMar>
          <w:left w:w="0" w:type="dxa"/>
          <w:right w:w="0" w:type="dxa"/>
        </w:tblCellMar>
        <w:tblLook w:val="0000" w:firstRow="0" w:lastRow="0" w:firstColumn="0" w:lastColumn="0" w:noHBand="0" w:noVBand="0"/>
        <w:tblCaption w:val="Table 4: Clinical details of admitted patients with RSV infection"/>
        <w:tblDescription w:val="Table 4 shows the clinical characteristics of admitted Respiratory Syncytial Virus cases among children aged less than 2 years and children aged 2-5 years."/>
      </w:tblPr>
      <w:tblGrid>
        <w:gridCol w:w="1984"/>
        <w:gridCol w:w="3402"/>
        <w:gridCol w:w="850"/>
        <w:gridCol w:w="851"/>
        <w:gridCol w:w="850"/>
        <w:gridCol w:w="850"/>
        <w:gridCol w:w="851"/>
      </w:tblGrid>
      <w:tr w:rsidR="00B121C5" w:rsidRPr="00A17AE7" w14:paraId="038808DC" w14:textId="77777777" w:rsidTr="00B121C5">
        <w:trPr>
          <w:divId w:val="935526654"/>
          <w:trHeight w:val="20"/>
          <w:tblHeader/>
        </w:trPr>
        <w:tc>
          <w:tcPr>
            <w:tcW w:w="1984" w:type="dxa"/>
            <w:vMerge w:val="restart"/>
            <w:shd w:val="clear" w:color="auto" w:fill="033636" w:themeFill="text2"/>
            <w:tcMar>
              <w:top w:w="113" w:type="dxa"/>
              <w:left w:w="113" w:type="dxa"/>
              <w:bottom w:w="113" w:type="dxa"/>
              <w:right w:w="113" w:type="dxa"/>
            </w:tcMar>
            <w:vAlign w:val="bottom"/>
          </w:tcPr>
          <w:p w14:paraId="4CC6F252" w14:textId="77777777" w:rsidR="00A17AE7" w:rsidRPr="00A17AE7" w:rsidRDefault="00A17AE7" w:rsidP="00A17AE7">
            <w:pPr>
              <w:pStyle w:val="CDIFigure-Table-H1Left"/>
            </w:pPr>
            <w:r w:rsidRPr="00A17AE7">
              <w:t>Category</w:t>
            </w:r>
          </w:p>
        </w:tc>
        <w:tc>
          <w:tcPr>
            <w:tcW w:w="3402" w:type="dxa"/>
            <w:vMerge w:val="restart"/>
            <w:shd w:val="clear" w:color="auto" w:fill="033636" w:themeFill="text2"/>
            <w:tcMar>
              <w:top w:w="113" w:type="dxa"/>
              <w:left w:w="113" w:type="dxa"/>
              <w:bottom w:w="113" w:type="dxa"/>
              <w:right w:w="113" w:type="dxa"/>
            </w:tcMar>
            <w:vAlign w:val="bottom"/>
          </w:tcPr>
          <w:p w14:paraId="074B00F8" w14:textId="77777777" w:rsidR="00A17AE7" w:rsidRPr="00A17AE7" w:rsidRDefault="00A17AE7" w:rsidP="00A17AE7">
            <w:pPr>
              <w:pStyle w:val="CDIFigure-Table-H1Left"/>
            </w:pPr>
            <w:r w:rsidRPr="00A17AE7">
              <w:t>Clinical characteristic</w:t>
            </w:r>
          </w:p>
        </w:tc>
        <w:tc>
          <w:tcPr>
            <w:tcW w:w="1701"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6370E104" w14:textId="4E8C65A3" w:rsidR="00A17AE7" w:rsidRPr="00A17AE7" w:rsidRDefault="00A17AE7" w:rsidP="00A17AE7">
            <w:pPr>
              <w:pStyle w:val="CDIFigure-Table-H1"/>
            </w:pPr>
            <w:r w:rsidRPr="00A17AE7">
              <w:t>Aged &lt; 2 years</w:t>
            </w:r>
            <w:r>
              <w:t xml:space="preserve"> </w:t>
            </w:r>
            <w:r w:rsidRPr="00A17AE7">
              <w:t>N</w:t>
            </w:r>
            <w:r>
              <w:t> </w:t>
            </w:r>
            <w:r w:rsidRPr="00A17AE7">
              <w:t>=</w:t>
            </w:r>
            <w:r>
              <w:t> </w:t>
            </w:r>
            <w:r w:rsidRPr="00A17AE7">
              <w:t>99</w:t>
            </w:r>
          </w:p>
        </w:tc>
        <w:tc>
          <w:tcPr>
            <w:tcW w:w="1700" w:type="dxa"/>
            <w:gridSpan w:val="2"/>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7C7535C2" w14:textId="7A376397" w:rsidR="00A17AE7" w:rsidRPr="00A17AE7" w:rsidRDefault="00A17AE7" w:rsidP="00A17AE7">
            <w:pPr>
              <w:pStyle w:val="CDIFigure-Table-H1"/>
            </w:pPr>
            <w:r w:rsidRPr="00A17AE7">
              <w:t>Aged 2–5 years</w:t>
            </w:r>
            <w:r>
              <w:t xml:space="preserve"> </w:t>
            </w:r>
            <w:r w:rsidRPr="00A17AE7">
              <w:t>N</w:t>
            </w:r>
            <w:r>
              <w:t> </w:t>
            </w:r>
            <w:r w:rsidRPr="00A17AE7">
              <w:t>=</w:t>
            </w:r>
            <w:r>
              <w:t> </w:t>
            </w:r>
            <w:r w:rsidRPr="00A17AE7">
              <w:t>33</w:t>
            </w:r>
          </w:p>
        </w:tc>
        <w:tc>
          <w:tcPr>
            <w:tcW w:w="851" w:type="dxa"/>
            <w:vMerge w:val="restart"/>
            <w:shd w:val="clear" w:color="auto" w:fill="033636" w:themeFill="text2"/>
            <w:tcMar>
              <w:top w:w="113" w:type="dxa"/>
              <w:left w:w="113" w:type="dxa"/>
              <w:bottom w:w="113" w:type="dxa"/>
              <w:right w:w="113" w:type="dxa"/>
            </w:tcMar>
            <w:vAlign w:val="bottom"/>
          </w:tcPr>
          <w:p w14:paraId="379C557A" w14:textId="5B213175" w:rsidR="00A17AE7" w:rsidRPr="00A17AE7" w:rsidRDefault="00A17AE7" w:rsidP="00A17AE7">
            <w:pPr>
              <w:pStyle w:val="CDIFigure-Table-H1"/>
            </w:pPr>
            <w:r>
              <w:rPr>
                <w:i/>
                <w:iCs/>
              </w:rPr>
              <w:t>p</w:t>
            </w:r>
            <w:r>
              <w:t xml:space="preserve"> </w:t>
            </w:r>
            <w:proofErr w:type="spellStart"/>
            <w:r w:rsidRPr="00A17AE7">
              <w:t>value</w:t>
            </w:r>
            <w:r w:rsidRPr="00A17AE7">
              <w:rPr>
                <w:vertAlign w:val="superscript"/>
              </w:rPr>
              <w:t>a</w:t>
            </w:r>
            <w:proofErr w:type="spellEnd"/>
          </w:p>
        </w:tc>
      </w:tr>
      <w:tr w:rsidR="00B121C5" w:rsidRPr="00A17AE7" w14:paraId="351491D8" w14:textId="77777777" w:rsidTr="00B121C5">
        <w:trPr>
          <w:divId w:val="935526654"/>
          <w:trHeight w:val="20"/>
          <w:tblHeader/>
        </w:trPr>
        <w:tc>
          <w:tcPr>
            <w:tcW w:w="1984" w:type="dxa"/>
            <w:vMerge/>
            <w:shd w:val="clear" w:color="auto" w:fill="033636" w:themeFill="text2"/>
          </w:tcPr>
          <w:p w14:paraId="14C883BE" w14:textId="77777777" w:rsidR="00A17AE7" w:rsidRPr="00A17AE7" w:rsidRDefault="00A17AE7" w:rsidP="00A17AE7"/>
        </w:tc>
        <w:tc>
          <w:tcPr>
            <w:tcW w:w="3402" w:type="dxa"/>
            <w:vMerge/>
            <w:shd w:val="clear" w:color="auto" w:fill="033636" w:themeFill="text2"/>
          </w:tcPr>
          <w:p w14:paraId="6B72BCC1" w14:textId="77777777" w:rsidR="00A17AE7" w:rsidRPr="00A17AE7" w:rsidRDefault="00A17AE7" w:rsidP="00A17AE7"/>
        </w:tc>
        <w:tc>
          <w:tcPr>
            <w:tcW w:w="850"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2BC022D0" w14:textId="77777777" w:rsidR="00A17AE7" w:rsidRPr="00A17AE7" w:rsidRDefault="00A17AE7" w:rsidP="00A17AE7">
            <w:pPr>
              <w:pStyle w:val="CDIFigure-Table-H1"/>
            </w:pPr>
            <w:r w:rsidRPr="00A17AE7">
              <w:t>n</w:t>
            </w:r>
          </w:p>
        </w:tc>
        <w:tc>
          <w:tcPr>
            <w:tcW w:w="851"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05045238" w14:textId="77777777" w:rsidR="00A17AE7" w:rsidRPr="00A17AE7" w:rsidRDefault="00A17AE7" w:rsidP="00A17AE7">
            <w:pPr>
              <w:pStyle w:val="CDIFigure-Table-H1"/>
            </w:pPr>
            <w:r w:rsidRPr="00A17AE7">
              <w:t>%</w:t>
            </w:r>
          </w:p>
        </w:tc>
        <w:tc>
          <w:tcPr>
            <w:tcW w:w="850"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11D2DADB" w14:textId="77777777" w:rsidR="00A17AE7" w:rsidRPr="00A17AE7" w:rsidRDefault="00A17AE7" w:rsidP="00A17AE7">
            <w:pPr>
              <w:pStyle w:val="CDIFigure-Table-H1"/>
            </w:pPr>
            <w:r w:rsidRPr="00A17AE7">
              <w:t>n</w:t>
            </w:r>
          </w:p>
        </w:tc>
        <w:tc>
          <w:tcPr>
            <w:tcW w:w="850"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6122B2FD" w14:textId="77777777" w:rsidR="00A17AE7" w:rsidRPr="00A17AE7" w:rsidRDefault="00A17AE7" w:rsidP="00A17AE7">
            <w:pPr>
              <w:pStyle w:val="CDIFigure-Table-H1"/>
            </w:pPr>
            <w:r w:rsidRPr="00A17AE7">
              <w:t>%</w:t>
            </w:r>
          </w:p>
        </w:tc>
        <w:tc>
          <w:tcPr>
            <w:tcW w:w="851" w:type="dxa"/>
            <w:vMerge/>
            <w:tcBorders>
              <w:left w:val="single" w:sz="6" w:space="0" w:color="FFFFFF" w:themeColor="background1"/>
            </w:tcBorders>
            <w:shd w:val="clear" w:color="auto" w:fill="033636" w:themeFill="text2"/>
          </w:tcPr>
          <w:p w14:paraId="0B396CEE" w14:textId="77777777" w:rsidR="00A17AE7" w:rsidRPr="00A17AE7" w:rsidRDefault="00A17AE7" w:rsidP="00A17AE7"/>
        </w:tc>
      </w:tr>
      <w:tr w:rsidR="00A17AE7" w:rsidRPr="00A17AE7" w14:paraId="4787651A" w14:textId="77777777" w:rsidTr="00B121C5">
        <w:trPr>
          <w:divId w:val="935526654"/>
          <w:trHeight w:val="20"/>
        </w:trPr>
        <w:tc>
          <w:tcPr>
            <w:tcW w:w="1984" w:type="dxa"/>
            <w:vMerge w:val="restart"/>
            <w:tcBorders>
              <w:bottom w:val="single" w:sz="6" w:space="0" w:color="033636" w:themeColor="text2"/>
            </w:tcBorders>
            <w:shd w:val="clear" w:color="auto" w:fill="C5FFEF" w:themeFill="background2" w:themeFillTint="33"/>
            <w:tcMar>
              <w:top w:w="99" w:type="dxa"/>
              <w:left w:w="113" w:type="dxa"/>
              <w:bottom w:w="99" w:type="dxa"/>
              <w:right w:w="113" w:type="dxa"/>
            </w:tcMar>
            <w:vAlign w:val="center"/>
          </w:tcPr>
          <w:p w14:paraId="712BEBD3" w14:textId="77777777" w:rsidR="00A17AE7" w:rsidRPr="00A17AE7" w:rsidRDefault="00A17AE7" w:rsidP="00A17AE7">
            <w:pPr>
              <w:pStyle w:val="CDIFigure-Table-BodyTextLeft"/>
            </w:pPr>
            <w:r w:rsidRPr="00A17AE7">
              <w:t>Major comorbidities listed</w:t>
            </w:r>
          </w:p>
        </w:tc>
        <w:tc>
          <w:tcPr>
            <w:tcW w:w="3402" w:type="dxa"/>
            <w:shd w:val="clear" w:color="auto" w:fill="F2F2F2" w:themeFill="background1" w:themeFillShade="F2"/>
            <w:tcMar>
              <w:top w:w="99" w:type="dxa"/>
              <w:left w:w="113" w:type="dxa"/>
              <w:bottom w:w="99" w:type="dxa"/>
              <w:right w:w="113" w:type="dxa"/>
            </w:tcMar>
            <w:vAlign w:val="center"/>
          </w:tcPr>
          <w:p w14:paraId="3D02EE1F" w14:textId="77777777" w:rsidR="00A17AE7" w:rsidRPr="00A17AE7" w:rsidRDefault="00A17AE7" w:rsidP="00A17AE7">
            <w:pPr>
              <w:pStyle w:val="CDIFigure-Table-BodyTextLeft"/>
            </w:pPr>
            <w:r w:rsidRPr="00A17AE7">
              <w:t>Any major comorbidity</w:t>
            </w:r>
          </w:p>
        </w:tc>
        <w:tc>
          <w:tcPr>
            <w:tcW w:w="850" w:type="dxa"/>
            <w:shd w:val="clear" w:color="auto" w:fill="F2F2F2" w:themeFill="background1" w:themeFillShade="F2"/>
            <w:tcMar>
              <w:top w:w="99" w:type="dxa"/>
              <w:left w:w="113" w:type="dxa"/>
              <w:bottom w:w="99" w:type="dxa"/>
              <w:right w:w="113" w:type="dxa"/>
            </w:tcMar>
            <w:vAlign w:val="center"/>
          </w:tcPr>
          <w:p w14:paraId="3475E777" w14:textId="77777777" w:rsidR="00A17AE7" w:rsidRPr="00A17AE7" w:rsidRDefault="00A17AE7" w:rsidP="00A17AE7">
            <w:pPr>
              <w:pStyle w:val="CDIFigure-Table-BodyTextCentre"/>
            </w:pPr>
            <w:r w:rsidRPr="00A17AE7">
              <w:t>19</w:t>
            </w:r>
          </w:p>
        </w:tc>
        <w:tc>
          <w:tcPr>
            <w:tcW w:w="851" w:type="dxa"/>
            <w:shd w:val="clear" w:color="auto" w:fill="F2F2F2" w:themeFill="background1" w:themeFillShade="F2"/>
            <w:tcMar>
              <w:top w:w="99" w:type="dxa"/>
              <w:left w:w="113" w:type="dxa"/>
              <w:bottom w:w="99" w:type="dxa"/>
              <w:right w:w="113" w:type="dxa"/>
            </w:tcMar>
            <w:vAlign w:val="center"/>
          </w:tcPr>
          <w:p w14:paraId="2A3D8FA8" w14:textId="77777777" w:rsidR="00A17AE7" w:rsidRPr="00A17AE7" w:rsidRDefault="00A17AE7" w:rsidP="00A17AE7">
            <w:pPr>
              <w:pStyle w:val="CDIFigure-Table-BodyTextCentre"/>
            </w:pPr>
            <w:r w:rsidRPr="00A17AE7">
              <w:t>19.2</w:t>
            </w:r>
          </w:p>
        </w:tc>
        <w:tc>
          <w:tcPr>
            <w:tcW w:w="850" w:type="dxa"/>
            <w:shd w:val="clear" w:color="auto" w:fill="F2F2F2" w:themeFill="background1" w:themeFillShade="F2"/>
            <w:tcMar>
              <w:top w:w="99" w:type="dxa"/>
              <w:left w:w="113" w:type="dxa"/>
              <w:bottom w:w="99" w:type="dxa"/>
              <w:right w:w="113" w:type="dxa"/>
            </w:tcMar>
            <w:vAlign w:val="center"/>
          </w:tcPr>
          <w:p w14:paraId="16BCE831" w14:textId="77777777" w:rsidR="00A17AE7" w:rsidRPr="00A17AE7" w:rsidRDefault="00A17AE7" w:rsidP="00A17AE7">
            <w:pPr>
              <w:pStyle w:val="CDIFigure-Table-BodyTextCentre"/>
            </w:pPr>
            <w:r w:rsidRPr="00A17AE7">
              <w:t>13</w:t>
            </w:r>
          </w:p>
        </w:tc>
        <w:tc>
          <w:tcPr>
            <w:tcW w:w="850" w:type="dxa"/>
            <w:shd w:val="clear" w:color="auto" w:fill="F2F2F2" w:themeFill="background1" w:themeFillShade="F2"/>
            <w:tcMar>
              <w:top w:w="99" w:type="dxa"/>
              <w:left w:w="113" w:type="dxa"/>
              <w:bottom w:w="99" w:type="dxa"/>
              <w:right w:w="113" w:type="dxa"/>
            </w:tcMar>
            <w:vAlign w:val="center"/>
          </w:tcPr>
          <w:p w14:paraId="68245034" w14:textId="77777777" w:rsidR="00A17AE7" w:rsidRPr="00A17AE7" w:rsidRDefault="00A17AE7" w:rsidP="00A17AE7">
            <w:pPr>
              <w:pStyle w:val="CDIFigure-Table-BodyTextCentre"/>
            </w:pPr>
            <w:r w:rsidRPr="00A17AE7">
              <w:t>39.4</w:t>
            </w:r>
          </w:p>
        </w:tc>
        <w:tc>
          <w:tcPr>
            <w:tcW w:w="851" w:type="dxa"/>
            <w:shd w:val="clear" w:color="auto" w:fill="F2F2F2" w:themeFill="background1" w:themeFillShade="F2"/>
            <w:tcMar>
              <w:top w:w="99" w:type="dxa"/>
              <w:left w:w="113" w:type="dxa"/>
              <w:bottom w:w="99" w:type="dxa"/>
              <w:right w:w="113" w:type="dxa"/>
            </w:tcMar>
            <w:vAlign w:val="center"/>
          </w:tcPr>
          <w:p w14:paraId="5425C1C4" w14:textId="77777777" w:rsidR="00A17AE7" w:rsidRPr="00B121C5" w:rsidRDefault="00A17AE7" w:rsidP="00A17AE7">
            <w:pPr>
              <w:pStyle w:val="CDIFigure-Table-BodyTextCentre"/>
              <w:rPr>
                <w:b/>
                <w:bCs/>
              </w:rPr>
            </w:pPr>
            <w:r w:rsidRPr="00B121C5">
              <w:rPr>
                <w:b/>
                <w:bCs/>
              </w:rPr>
              <w:t>0.035</w:t>
            </w:r>
          </w:p>
        </w:tc>
      </w:tr>
      <w:tr w:rsidR="00A17AE7" w:rsidRPr="00A17AE7" w14:paraId="68CB0098"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303E7BAD" w14:textId="77777777" w:rsidR="00A17AE7" w:rsidRPr="00A17AE7" w:rsidRDefault="00A17AE7" w:rsidP="00A17AE7">
            <w:pPr>
              <w:pStyle w:val="CDIFigure-Table-BodyTextLeft"/>
            </w:pPr>
          </w:p>
        </w:tc>
        <w:tc>
          <w:tcPr>
            <w:tcW w:w="3402" w:type="dxa"/>
            <w:tcMar>
              <w:top w:w="99" w:type="dxa"/>
              <w:left w:w="113" w:type="dxa"/>
              <w:bottom w:w="99" w:type="dxa"/>
              <w:right w:w="113" w:type="dxa"/>
            </w:tcMar>
            <w:vAlign w:val="center"/>
          </w:tcPr>
          <w:p w14:paraId="681B5E88" w14:textId="77777777" w:rsidR="00A17AE7" w:rsidRPr="00A17AE7" w:rsidRDefault="00A17AE7" w:rsidP="00A17AE7">
            <w:pPr>
              <w:pStyle w:val="CDIFigure-Table-BodyTextLeft"/>
            </w:pPr>
            <w:r w:rsidRPr="00A17AE7">
              <w:t>Respiratory (excluding asthma)</w:t>
            </w:r>
          </w:p>
        </w:tc>
        <w:tc>
          <w:tcPr>
            <w:tcW w:w="850" w:type="dxa"/>
            <w:tcMar>
              <w:top w:w="99" w:type="dxa"/>
              <w:left w:w="113" w:type="dxa"/>
              <w:bottom w:w="99" w:type="dxa"/>
              <w:right w:w="113" w:type="dxa"/>
            </w:tcMar>
            <w:vAlign w:val="center"/>
          </w:tcPr>
          <w:p w14:paraId="7D067A91" w14:textId="77777777" w:rsidR="00A17AE7" w:rsidRPr="00A17AE7" w:rsidRDefault="00A17AE7" w:rsidP="00A17AE7">
            <w:pPr>
              <w:pStyle w:val="CDIFigure-Table-BodyTextCentre"/>
            </w:pPr>
            <w:r w:rsidRPr="00A17AE7">
              <w:t>7</w:t>
            </w:r>
          </w:p>
        </w:tc>
        <w:tc>
          <w:tcPr>
            <w:tcW w:w="851" w:type="dxa"/>
            <w:tcMar>
              <w:top w:w="99" w:type="dxa"/>
              <w:left w:w="113" w:type="dxa"/>
              <w:bottom w:w="99" w:type="dxa"/>
              <w:right w:w="113" w:type="dxa"/>
            </w:tcMar>
            <w:vAlign w:val="center"/>
          </w:tcPr>
          <w:p w14:paraId="7C9913D8" w14:textId="77777777" w:rsidR="00A17AE7" w:rsidRPr="00A17AE7" w:rsidRDefault="00A17AE7" w:rsidP="00A17AE7">
            <w:pPr>
              <w:pStyle w:val="CDIFigure-Table-BodyTextCentre"/>
            </w:pPr>
            <w:r w:rsidRPr="00A17AE7">
              <w:t>7.1</w:t>
            </w:r>
          </w:p>
        </w:tc>
        <w:tc>
          <w:tcPr>
            <w:tcW w:w="850" w:type="dxa"/>
            <w:tcMar>
              <w:top w:w="99" w:type="dxa"/>
              <w:left w:w="113" w:type="dxa"/>
              <w:bottom w:w="99" w:type="dxa"/>
              <w:right w:w="113" w:type="dxa"/>
            </w:tcMar>
            <w:vAlign w:val="center"/>
          </w:tcPr>
          <w:p w14:paraId="179B3963" w14:textId="77777777" w:rsidR="00A17AE7" w:rsidRPr="00A17AE7" w:rsidRDefault="00A17AE7" w:rsidP="00A17AE7">
            <w:pPr>
              <w:pStyle w:val="CDIFigure-Table-BodyTextCentre"/>
            </w:pPr>
            <w:r w:rsidRPr="00A17AE7">
              <w:t>2</w:t>
            </w:r>
          </w:p>
        </w:tc>
        <w:tc>
          <w:tcPr>
            <w:tcW w:w="850" w:type="dxa"/>
            <w:tcMar>
              <w:top w:w="99" w:type="dxa"/>
              <w:left w:w="113" w:type="dxa"/>
              <w:bottom w:w="99" w:type="dxa"/>
              <w:right w:w="113" w:type="dxa"/>
            </w:tcMar>
            <w:vAlign w:val="center"/>
          </w:tcPr>
          <w:p w14:paraId="38F53E71" w14:textId="77777777" w:rsidR="00A17AE7" w:rsidRPr="00A17AE7" w:rsidRDefault="00A17AE7" w:rsidP="00A17AE7">
            <w:pPr>
              <w:pStyle w:val="CDIFigure-Table-BodyTextCentre"/>
            </w:pPr>
            <w:r w:rsidRPr="00A17AE7">
              <w:t>6.1</w:t>
            </w:r>
          </w:p>
        </w:tc>
        <w:tc>
          <w:tcPr>
            <w:tcW w:w="851" w:type="dxa"/>
            <w:tcMar>
              <w:top w:w="99" w:type="dxa"/>
              <w:left w:w="113" w:type="dxa"/>
              <w:bottom w:w="99" w:type="dxa"/>
              <w:right w:w="113" w:type="dxa"/>
            </w:tcMar>
            <w:vAlign w:val="center"/>
          </w:tcPr>
          <w:p w14:paraId="336946B9" w14:textId="77777777" w:rsidR="00A17AE7" w:rsidRPr="00A17AE7" w:rsidRDefault="00A17AE7" w:rsidP="00A17AE7">
            <w:pPr>
              <w:pStyle w:val="CDIFigure-Table-BodyTextCentre"/>
            </w:pPr>
            <w:r w:rsidRPr="00A17AE7">
              <w:t>1.000</w:t>
            </w:r>
          </w:p>
        </w:tc>
      </w:tr>
      <w:tr w:rsidR="00A17AE7" w:rsidRPr="00A17AE7" w14:paraId="4765ACDA"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4EE2BBCE" w14:textId="77777777" w:rsidR="00A17AE7" w:rsidRPr="00A17AE7" w:rsidRDefault="00A17AE7" w:rsidP="00A17AE7">
            <w:pPr>
              <w:pStyle w:val="CDIFigure-Table-BodyTextLeft"/>
            </w:pPr>
          </w:p>
        </w:tc>
        <w:tc>
          <w:tcPr>
            <w:tcW w:w="3402" w:type="dxa"/>
            <w:shd w:val="clear" w:color="auto" w:fill="F2F2F2" w:themeFill="background1" w:themeFillShade="F2"/>
            <w:tcMar>
              <w:top w:w="99" w:type="dxa"/>
              <w:left w:w="113" w:type="dxa"/>
              <w:bottom w:w="99" w:type="dxa"/>
              <w:right w:w="113" w:type="dxa"/>
            </w:tcMar>
            <w:vAlign w:val="center"/>
          </w:tcPr>
          <w:p w14:paraId="6B4BBFF3" w14:textId="77777777" w:rsidR="00A17AE7" w:rsidRPr="00A17AE7" w:rsidRDefault="00A17AE7" w:rsidP="00A17AE7">
            <w:pPr>
              <w:pStyle w:val="CDIFigure-Table-BodyTextLeft"/>
            </w:pPr>
            <w:r w:rsidRPr="00A17AE7">
              <w:t>Asthma</w:t>
            </w:r>
          </w:p>
        </w:tc>
        <w:tc>
          <w:tcPr>
            <w:tcW w:w="850" w:type="dxa"/>
            <w:shd w:val="clear" w:color="auto" w:fill="F2F2F2" w:themeFill="background1" w:themeFillShade="F2"/>
            <w:tcMar>
              <w:top w:w="99" w:type="dxa"/>
              <w:left w:w="113" w:type="dxa"/>
              <w:bottom w:w="99" w:type="dxa"/>
              <w:right w:w="113" w:type="dxa"/>
            </w:tcMar>
            <w:vAlign w:val="center"/>
          </w:tcPr>
          <w:p w14:paraId="540FBF9E" w14:textId="77777777" w:rsidR="00A17AE7" w:rsidRPr="00A17AE7" w:rsidRDefault="00A17AE7" w:rsidP="00A17AE7">
            <w:pPr>
              <w:pStyle w:val="CDIFigure-Table-BodyTextCentre"/>
            </w:pPr>
            <w:r w:rsidRPr="00A17AE7">
              <w:t>0</w:t>
            </w:r>
          </w:p>
        </w:tc>
        <w:tc>
          <w:tcPr>
            <w:tcW w:w="851" w:type="dxa"/>
            <w:shd w:val="clear" w:color="auto" w:fill="F2F2F2" w:themeFill="background1" w:themeFillShade="F2"/>
            <w:tcMar>
              <w:top w:w="99" w:type="dxa"/>
              <w:left w:w="113" w:type="dxa"/>
              <w:bottom w:w="99" w:type="dxa"/>
              <w:right w:w="113" w:type="dxa"/>
            </w:tcMar>
            <w:vAlign w:val="center"/>
          </w:tcPr>
          <w:p w14:paraId="7B36F16D" w14:textId="77777777" w:rsidR="00A17AE7" w:rsidRPr="00A17AE7" w:rsidRDefault="00A17AE7" w:rsidP="00A17AE7">
            <w:pPr>
              <w:pStyle w:val="CDIFigure-Table-BodyTextCentre"/>
            </w:pPr>
            <w:r w:rsidRPr="00A17AE7">
              <w:t>0.0</w:t>
            </w:r>
          </w:p>
        </w:tc>
        <w:tc>
          <w:tcPr>
            <w:tcW w:w="850" w:type="dxa"/>
            <w:shd w:val="clear" w:color="auto" w:fill="F2F2F2" w:themeFill="background1" w:themeFillShade="F2"/>
            <w:tcMar>
              <w:top w:w="99" w:type="dxa"/>
              <w:left w:w="113" w:type="dxa"/>
              <w:bottom w:w="99" w:type="dxa"/>
              <w:right w:w="113" w:type="dxa"/>
            </w:tcMar>
            <w:vAlign w:val="center"/>
          </w:tcPr>
          <w:p w14:paraId="05D8EB6C" w14:textId="77777777" w:rsidR="00A17AE7" w:rsidRPr="00A17AE7" w:rsidRDefault="00A17AE7" w:rsidP="00A17AE7">
            <w:pPr>
              <w:pStyle w:val="CDIFigure-Table-BodyTextCentre"/>
            </w:pPr>
            <w:r w:rsidRPr="00A17AE7">
              <w:t>5</w:t>
            </w:r>
          </w:p>
        </w:tc>
        <w:tc>
          <w:tcPr>
            <w:tcW w:w="850" w:type="dxa"/>
            <w:shd w:val="clear" w:color="auto" w:fill="F2F2F2" w:themeFill="background1" w:themeFillShade="F2"/>
            <w:tcMar>
              <w:top w:w="99" w:type="dxa"/>
              <w:left w:w="113" w:type="dxa"/>
              <w:bottom w:w="99" w:type="dxa"/>
              <w:right w:w="113" w:type="dxa"/>
            </w:tcMar>
            <w:vAlign w:val="center"/>
          </w:tcPr>
          <w:p w14:paraId="6DCC356B" w14:textId="77777777" w:rsidR="00A17AE7" w:rsidRPr="00A17AE7" w:rsidRDefault="00A17AE7" w:rsidP="00A17AE7">
            <w:pPr>
              <w:pStyle w:val="CDIFigure-Table-BodyTextCentre"/>
            </w:pPr>
            <w:r w:rsidRPr="00A17AE7">
              <w:t>15.2</w:t>
            </w:r>
          </w:p>
        </w:tc>
        <w:tc>
          <w:tcPr>
            <w:tcW w:w="851" w:type="dxa"/>
            <w:shd w:val="clear" w:color="auto" w:fill="F2F2F2" w:themeFill="background1" w:themeFillShade="F2"/>
            <w:tcMar>
              <w:top w:w="99" w:type="dxa"/>
              <w:left w:w="113" w:type="dxa"/>
              <w:bottom w:w="99" w:type="dxa"/>
              <w:right w:w="113" w:type="dxa"/>
            </w:tcMar>
            <w:vAlign w:val="center"/>
          </w:tcPr>
          <w:p w14:paraId="4E2A49FF" w14:textId="77777777" w:rsidR="00A17AE7" w:rsidRPr="00B121C5" w:rsidRDefault="00A17AE7" w:rsidP="00A17AE7">
            <w:pPr>
              <w:pStyle w:val="CDIFigure-Table-BodyTextCentre"/>
              <w:rPr>
                <w:b/>
                <w:bCs/>
              </w:rPr>
            </w:pPr>
            <w:r w:rsidRPr="00B121C5">
              <w:rPr>
                <w:b/>
                <w:bCs/>
              </w:rPr>
              <w:t>&lt; 0.001</w:t>
            </w:r>
          </w:p>
        </w:tc>
      </w:tr>
      <w:tr w:rsidR="00A17AE7" w:rsidRPr="00A17AE7" w14:paraId="79AEC712"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22A512A5" w14:textId="77777777" w:rsidR="00A17AE7" w:rsidRPr="00A17AE7" w:rsidRDefault="00A17AE7" w:rsidP="00A17AE7">
            <w:pPr>
              <w:pStyle w:val="CDIFigure-Table-BodyTextLeft"/>
            </w:pPr>
          </w:p>
        </w:tc>
        <w:tc>
          <w:tcPr>
            <w:tcW w:w="3402" w:type="dxa"/>
            <w:tcMar>
              <w:top w:w="99" w:type="dxa"/>
              <w:left w:w="113" w:type="dxa"/>
              <w:bottom w:w="99" w:type="dxa"/>
              <w:right w:w="113" w:type="dxa"/>
            </w:tcMar>
            <w:vAlign w:val="center"/>
          </w:tcPr>
          <w:p w14:paraId="31C9098D" w14:textId="77777777" w:rsidR="00A17AE7" w:rsidRPr="00A17AE7" w:rsidRDefault="00A17AE7" w:rsidP="00A17AE7">
            <w:pPr>
              <w:pStyle w:val="CDIFigure-Table-BodyTextLeft"/>
            </w:pPr>
            <w:r w:rsidRPr="00A17AE7">
              <w:t>Cardiac</w:t>
            </w:r>
          </w:p>
        </w:tc>
        <w:tc>
          <w:tcPr>
            <w:tcW w:w="850" w:type="dxa"/>
            <w:tcMar>
              <w:top w:w="99" w:type="dxa"/>
              <w:left w:w="113" w:type="dxa"/>
              <w:bottom w:w="99" w:type="dxa"/>
              <w:right w:w="113" w:type="dxa"/>
            </w:tcMar>
            <w:vAlign w:val="center"/>
          </w:tcPr>
          <w:p w14:paraId="08803640" w14:textId="77777777" w:rsidR="00A17AE7" w:rsidRPr="00A17AE7" w:rsidRDefault="00A17AE7" w:rsidP="00A17AE7">
            <w:pPr>
              <w:pStyle w:val="CDIFigure-Table-BodyTextCentre"/>
            </w:pPr>
            <w:r w:rsidRPr="00A17AE7">
              <w:t>3</w:t>
            </w:r>
          </w:p>
        </w:tc>
        <w:tc>
          <w:tcPr>
            <w:tcW w:w="851" w:type="dxa"/>
            <w:tcMar>
              <w:top w:w="99" w:type="dxa"/>
              <w:left w:w="113" w:type="dxa"/>
              <w:bottom w:w="99" w:type="dxa"/>
              <w:right w:w="113" w:type="dxa"/>
            </w:tcMar>
            <w:vAlign w:val="center"/>
          </w:tcPr>
          <w:p w14:paraId="39ADE86D" w14:textId="77777777" w:rsidR="00A17AE7" w:rsidRPr="00A17AE7" w:rsidRDefault="00A17AE7" w:rsidP="00A17AE7">
            <w:pPr>
              <w:pStyle w:val="CDIFigure-Table-BodyTextCentre"/>
            </w:pPr>
            <w:r w:rsidRPr="00A17AE7">
              <w:t>3.0</w:t>
            </w:r>
          </w:p>
        </w:tc>
        <w:tc>
          <w:tcPr>
            <w:tcW w:w="850" w:type="dxa"/>
            <w:tcMar>
              <w:top w:w="99" w:type="dxa"/>
              <w:left w:w="113" w:type="dxa"/>
              <w:bottom w:w="99" w:type="dxa"/>
              <w:right w:w="113" w:type="dxa"/>
            </w:tcMar>
            <w:vAlign w:val="center"/>
          </w:tcPr>
          <w:p w14:paraId="5FBA79C2" w14:textId="77777777" w:rsidR="00A17AE7" w:rsidRPr="00A17AE7" w:rsidRDefault="00A17AE7" w:rsidP="00A17AE7">
            <w:pPr>
              <w:pStyle w:val="CDIFigure-Table-BodyTextCentre"/>
            </w:pPr>
            <w:r w:rsidRPr="00A17AE7">
              <w:t>3</w:t>
            </w:r>
          </w:p>
        </w:tc>
        <w:tc>
          <w:tcPr>
            <w:tcW w:w="850" w:type="dxa"/>
            <w:tcMar>
              <w:top w:w="99" w:type="dxa"/>
              <w:left w:w="113" w:type="dxa"/>
              <w:bottom w:w="99" w:type="dxa"/>
              <w:right w:w="113" w:type="dxa"/>
            </w:tcMar>
            <w:vAlign w:val="center"/>
          </w:tcPr>
          <w:p w14:paraId="0FDDF15A" w14:textId="77777777" w:rsidR="00A17AE7" w:rsidRPr="00A17AE7" w:rsidRDefault="00A17AE7" w:rsidP="00A17AE7">
            <w:pPr>
              <w:pStyle w:val="CDIFigure-Table-BodyTextCentre"/>
            </w:pPr>
            <w:r w:rsidRPr="00A17AE7">
              <w:t>9.1</w:t>
            </w:r>
          </w:p>
        </w:tc>
        <w:tc>
          <w:tcPr>
            <w:tcW w:w="851" w:type="dxa"/>
            <w:tcMar>
              <w:top w:w="99" w:type="dxa"/>
              <w:left w:w="113" w:type="dxa"/>
              <w:bottom w:w="99" w:type="dxa"/>
              <w:right w:w="113" w:type="dxa"/>
            </w:tcMar>
            <w:vAlign w:val="center"/>
          </w:tcPr>
          <w:p w14:paraId="5080D66C" w14:textId="77777777" w:rsidR="00A17AE7" w:rsidRPr="00A17AE7" w:rsidRDefault="00A17AE7" w:rsidP="00A17AE7">
            <w:pPr>
              <w:pStyle w:val="CDIFigure-Table-BodyTextCentre"/>
            </w:pPr>
            <w:r w:rsidRPr="00A17AE7">
              <w:t>0.165</w:t>
            </w:r>
          </w:p>
        </w:tc>
      </w:tr>
      <w:tr w:rsidR="00A17AE7" w:rsidRPr="00A17AE7" w14:paraId="65B27FAE"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4117F593" w14:textId="77777777" w:rsidR="00A17AE7" w:rsidRPr="00A17AE7" w:rsidRDefault="00A17AE7" w:rsidP="00A17AE7">
            <w:pPr>
              <w:pStyle w:val="CDIFigure-Table-BodyTextLeft"/>
            </w:pPr>
          </w:p>
        </w:tc>
        <w:tc>
          <w:tcPr>
            <w:tcW w:w="3402" w:type="dxa"/>
            <w:shd w:val="clear" w:color="auto" w:fill="F2F2F2" w:themeFill="background1" w:themeFillShade="F2"/>
            <w:tcMar>
              <w:top w:w="99" w:type="dxa"/>
              <w:left w:w="113" w:type="dxa"/>
              <w:bottom w:w="99" w:type="dxa"/>
              <w:right w:w="113" w:type="dxa"/>
            </w:tcMar>
            <w:vAlign w:val="center"/>
          </w:tcPr>
          <w:p w14:paraId="4F34E1F1" w14:textId="77777777" w:rsidR="00A17AE7" w:rsidRPr="00A17AE7" w:rsidRDefault="00A17AE7" w:rsidP="00A17AE7">
            <w:pPr>
              <w:pStyle w:val="CDIFigure-Table-BodyTextLeft"/>
            </w:pPr>
            <w:r w:rsidRPr="00A17AE7">
              <w:t>Preterm infant (&lt; 37 weeks)</w:t>
            </w:r>
          </w:p>
        </w:tc>
        <w:tc>
          <w:tcPr>
            <w:tcW w:w="850" w:type="dxa"/>
            <w:shd w:val="clear" w:color="auto" w:fill="F2F2F2" w:themeFill="background1" w:themeFillShade="F2"/>
            <w:tcMar>
              <w:top w:w="99" w:type="dxa"/>
              <w:left w:w="113" w:type="dxa"/>
              <w:bottom w:w="99" w:type="dxa"/>
              <w:right w:w="113" w:type="dxa"/>
            </w:tcMar>
            <w:vAlign w:val="center"/>
          </w:tcPr>
          <w:p w14:paraId="3ACCB6B7" w14:textId="77777777" w:rsidR="00A17AE7" w:rsidRPr="00A17AE7" w:rsidRDefault="00A17AE7" w:rsidP="00A17AE7">
            <w:pPr>
              <w:pStyle w:val="CDIFigure-Table-BodyTextCentre"/>
            </w:pPr>
            <w:r w:rsidRPr="00A17AE7">
              <w:t>10</w:t>
            </w:r>
          </w:p>
        </w:tc>
        <w:tc>
          <w:tcPr>
            <w:tcW w:w="851" w:type="dxa"/>
            <w:shd w:val="clear" w:color="auto" w:fill="F2F2F2" w:themeFill="background1" w:themeFillShade="F2"/>
            <w:tcMar>
              <w:top w:w="99" w:type="dxa"/>
              <w:left w:w="113" w:type="dxa"/>
              <w:bottom w:w="99" w:type="dxa"/>
              <w:right w:w="113" w:type="dxa"/>
            </w:tcMar>
            <w:vAlign w:val="center"/>
          </w:tcPr>
          <w:p w14:paraId="5A8A4DFD" w14:textId="77777777" w:rsidR="00A17AE7" w:rsidRPr="00A17AE7" w:rsidRDefault="00A17AE7" w:rsidP="00A17AE7">
            <w:pPr>
              <w:pStyle w:val="CDIFigure-Table-BodyTextCentre"/>
            </w:pPr>
            <w:r w:rsidRPr="00A17AE7">
              <w:t>10.1</w:t>
            </w:r>
          </w:p>
        </w:tc>
        <w:tc>
          <w:tcPr>
            <w:tcW w:w="850" w:type="dxa"/>
            <w:shd w:val="clear" w:color="auto" w:fill="F2F2F2" w:themeFill="background1" w:themeFillShade="F2"/>
            <w:tcMar>
              <w:top w:w="99" w:type="dxa"/>
              <w:left w:w="113" w:type="dxa"/>
              <w:bottom w:w="99" w:type="dxa"/>
              <w:right w:w="113" w:type="dxa"/>
            </w:tcMar>
            <w:vAlign w:val="center"/>
          </w:tcPr>
          <w:p w14:paraId="06DED601" w14:textId="77777777" w:rsidR="00A17AE7" w:rsidRPr="00A17AE7" w:rsidRDefault="00A17AE7" w:rsidP="00A17AE7">
            <w:pPr>
              <w:pStyle w:val="CDIFigure-Table-BodyTextCentre"/>
            </w:pPr>
            <w:r w:rsidRPr="00A17AE7">
              <w:t>4</w:t>
            </w:r>
          </w:p>
        </w:tc>
        <w:tc>
          <w:tcPr>
            <w:tcW w:w="850" w:type="dxa"/>
            <w:shd w:val="clear" w:color="auto" w:fill="F2F2F2" w:themeFill="background1" w:themeFillShade="F2"/>
            <w:tcMar>
              <w:top w:w="99" w:type="dxa"/>
              <w:left w:w="113" w:type="dxa"/>
              <w:bottom w:w="99" w:type="dxa"/>
              <w:right w:w="113" w:type="dxa"/>
            </w:tcMar>
            <w:vAlign w:val="center"/>
          </w:tcPr>
          <w:p w14:paraId="2DC497D7" w14:textId="77777777" w:rsidR="00A17AE7" w:rsidRPr="00A17AE7" w:rsidRDefault="00A17AE7" w:rsidP="00A17AE7">
            <w:pPr>
              <w:pStyle w:val="CDIFigure-Table-BodyTextCentre"/>
            </w:pPr>
            <w:r w:rsidRPr="00A17AE7">
              <w:t>12.1</w:t>
            </w:r>
          </w:p>
        </w:tc>
        <w:tc>
          <w:tcPr>
            <w:tcW w:w="851" w:type="dxa"/>
            <w:shd w:val="clear" w:color="auto" w:fill="F2F2F2" w:themeFill="background1" w:themeFillShade="F2"/>
            <w:tcMar>
              <w:top w:w="99" w:type="dxa"/>
              <w:left w:w="113" w:type="dxa"/>
              <w:bottom w:w="99" w:type="dxa"/>
              <w:right w:w="113" w:type="dxa"/>
            </w:tcMar>
            <w:vAlign w:val="center"/>
          </w:tcPr>
          <w:p w14:paraId="6A01E4C6" w14:textId="77777777" w:rsidR="00A17AE7" w:rsidRPr="00A17AE7" w:rsidRDefault="00A17AE7" w:rsidP="00A17AE7">
            <w:pPr>
              <w:pStyle w:val="CDIFigure-Table-BodyTextCentre"/>
            </w:pPr>
            <w:r w:rsidRPr="00A17AE7">
              <w:t>0.749</w:t>
            </w:r>
          </w:p>
        </w:tc>
      </w:tr>
      <w:tr w:rsidR="00A17AE7" w:rsidRPr="00A17AE7" w14:paraId="170EA706"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0BD92ACE" w14:textId="77777777" w:rsidR="00A17AE7" w:rsidRPr="00A17AE7" w:rsidRDefault="00A17AE7" w:rsidP="00A17AE7">
            <w:pPr>
              <w:pStyle w:val="CDIFigure-Table-BodyTextLeft"/>
            </w:pPr>
          </w:p>
        </w:tc>
        <w:tc>
          <w:tcPr>
            <w:tcW w:w="3402" w:type="dxa"/>
            <w:tcMar>
              <w:top w:w="99" w:type="dxa"/>
              <w:left w:w="113" w:type="dxa"/>
              <w:bottom w:w="99" w:type="dxa"/>
              <w:right w:w="113" w:type="dxa"/>
            </w:tcMar>
            <w:vAlign w:val="center"/>
          </w:tcPr>
          <w:p w14:paraId="254BC63A" w14:textId="77777777" w:rsidR="00A17AE7" w:rsidRPr="00A17AE7" w:rsidRDefault="00A17AE7" w:rsidP="00A17AE7">
            <w:pPr>
              <w:pStyle w:val="CDIFigure-Table-BodyTextLeft"/>
            </w:pPr>
            <w:r w:rsidRPr="00A17AE7">
              <w:t>Neurological/genetic</w:t>
            </w:r>
          </w:p>
        </w:tc>
        <w:tc>
          <w:tcPr>
            <w:tcW w:w="850" w:type="dxa"/>
            <w:tcMar>
              <w:top w:w="99" w:type="dxa"/>
              <w:left w:w="113" w:type="dxa"/>
              <w:bottom w:w="99" w:type="dxa"/>
              <w:right w:w="113" w:type="dxa"/>
            </w:tcMar>
            <w:vAlign w:val="center"/>
          </w:tcPr>
          <w:p w14:paraId="67006B0C" w14:textId="77777777" w:rsidR="00A17AE7" w:rsidRPr="00A17AE7" w:rsidRDefault="00A17AE7" w:rsidP="00A17AE7">
            <w:pPr>
              <w:pStyle w:val="CDIFigure-Table-BodyTextCentre"/>
            </w:pPr>
            <w:r w:rsidRPr="00A17AE7">
              <w:t>4</w:t>
            </w:r>
          </w:p>
        </w:tc>
        <w:tc>
          <w:tcPr>
            <w:tcW w:w="851" w:type="dxa"/>
            <w:tcMar>
              <w:top w:w="99" w:type="dxa"/>
              <w:left w:w="113" w:type="dxa"/>
              <w:bottom w:w="99" w:type="dxa"/>
              <w:right w:w="113" w:type="dxa"/>
            </w:tcMar>
            <w:vAlign w:val="center"/>
          </w:tcPr>
          <w:p w14:paraId="16178C3F" w14:textId="77777777" w:rsidR="00A17AE7" w:rsidRPr="00A17AE7" w:rsidRDefault="00A17AE7" w:rsidP="00A17AE7">
            <w:pPr>
              <w:pStyle w:val="CDIFigure-Table-BodyTextCentre"/>
            </w:pPr>
            <w:r w:rsidRPr="00A17AE7">
              <w:t>4.0</w:t>
            </w:r>
          </w:p>
        </w:tc>
        <w:tc>
          <w:tcPr>
            <w:tcW w:w="850" w:type="dxa"/>
            <w:tcMar>
              <w:top w:w="99" w:type="dxa"/>
              <w:left w:w="113" w:type="dxa"/>
              <w:bottom w:w="99" w:type="dxa"/>
              <w:right w:w="113" w:type="dxa"/>
            </w:tcMar>
            <w:vAlign w:val="center"/>
          </w:tcPr>
          <w:p w14:paraId="206BFB0B" w14:textId="77777777" w:rsidR="00A17AE7" w:rsidRPr="00A17AE7" w:rsidRDefault="00A17AE7" w:rsidP="00A17AE7">
            <w:pPr>
              <w:pStyle w:val="CDIFigure-Table-BodyTextCentre"/>
            </w:pPr>
            <w:r w:rsidRPr="00A17AE7">
              <w:t>4</w:t>
            </w:r>
          </w:p>
        </w:tc>
        <w:tc>
          <w:tcPr>
            <w:tcW w:w="850" w:type="dxa"/>
            <w:tcMar>
              <w:top w:w="99" w:type="dxa"/>
              <w:left w:w="113" w:type="dxa"/>
              <w:bottom w:w="99" w:type="dxa"/>
              <w:right w:w="113" w:type="dxa"/>
            </w:tcMar>
            <w:vAlign w:val="center"/>
          </w:tcPr>
          <w:p w14:paraId="698AAAA3" w14:textId="77777777" w:rsidR="00A17AE7" w:rsidRPr="00A17AE7" w:rsidRDefault="00A17AE7" w:rsidP="00A17AE7">
            <w:pPr>
              <w:pStyle w:val="CDIFigure-Table-BodyTextCentre"/>
            </w:pPr>
            <w:r w:rsidRPr="00A17AE7">
              <w:t>12.1</w:t>
            </w:r>
          </w:p>
        </w:tc>
        <w:tc>
          <w:tcPr>
            <w:tcW w:w="851" w:type="dxa"/>
            <w:tcMar>
              <w:top w:w="99" w:type="dxa"/>
              <w:left w:w="113" w:type="dxa"/>
              <w:bottom w:w="99" w:type="dxa"/>
              <w:right w:w="113" w:type="dxa"/>
            </w:tcMar>
            <w:vAlign w:val="center"/>
          </w:tcPr>
          <w:p w14:paraId="07C120A9" w14:textId="77777777" w:rsidR="00A17AE7" w:rsidRPr="00A17AE7" w:rsidRDefault="00A17AE7" w:rsidP="00A17AE7">
            <w:pPr>
              <w:pStyle w:val="CDIFigure-Table-BodyTextCentre"/>
            </w:pPr>
            <w:r w:rsidRPr="00A17AE7">
              <w:t>0.107</w:t>
            </w:r>
          </w:p>
        </w:tc>
      </w:tr>
      <w:tr w:rsidR="00A17AE7" w:rsidRPr="00A17AE7" w14:paraId="0D905902"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282A4A6D" w14:textId="77777777" w:rsidR="00A17AE7" w:rsidRPr="00A17AE7" w:rsidRDefault="00A17AE7" w:rsidP="00A17AE7">
            <w:pPr>
              <w:pStyle w:val="CDIFigure-Table-BodyTextLeft"/>
            </w:pPr>
          </w:p>
        </w:tc>
        <w:tc>
          <w:tcPr>
            <w:tcW w:w="3402"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797608BE" w14:textId="77777777" w:rsidR="00A17AE7" w:rsidRPr="00A17AE7" w:rsidRDefault="00A17AE7" w:rsidP="00A17AE7">
            <w:pPr>
              <w:pStyle w:val="CDIFigure-Table-BodyTextLeft"/>
            </w:pPr>
            <w:r w:rsidRPr="00A17AE7">
              <w:t>Gastrointestinal/genitourinary</w:t>
            </w:r>
          </w:p>
        </w:tc>
        <w:tc>
          <w:tcPr>
            <w:tcW w:w="850"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403A565D" w14:textId="77777777" w:rsidR="00A17AE7" w:rsidRPr="00A17AE7" w:rsidRDefault="00A17AE7" w:rsidP="00A17AE7">
            <w:pPr>
              <w:pStyle w:val="CDIFigure-Table-BodyTextCentre"/>
            </w:pPr>
            <w:r w:rsidRPr="00A17AE7">
              <w:t>1</w:t>
            </w:r>
          </w:p>
        </w:tc>
        <w:tc>
          <w:tcPr>
            <w:tcW w:w="851"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190FF2A6" w14:textId="77777777" w:rsidR="00A17AE7" w:rsidRPr="00A17AE7" w:rsidRDefault="00A17AE7" w:rsidP="00A17AE7">
            <w:pPr>
              <w:pStyle w:val="CDIFigure-Table-BodyTextCentre"/>
            </w:pPr>
            <w:r w:rsidRPr="00A17AE7">
              <w:t>1.0</w:t>
            </w:r>
          </w:p>
        </w:tc>
        <w:tc>
          <w:tcPr>
            <w:tcW w:w="850"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13DC7B03" w14:textId="77777777" w:rsidR="00A17AE7" w:rsidRPr="00A17AE7" w:rsidRDefault="00A17AE7" w:rsidP="00A17AE7">
            <w:pPr>
              <w:pStyle w:val="CDIFigure-Table-BodyTextCentre"/>
            </w:pPr>
            <w:r w:rsidRPr="00A17AE7">
              <w:t>2</w:t>
            </w:r>
          </w:p>
        </w:tc>
        <w:tc>
          <w:tcPr>
            <w:tcW w:w="850"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0C67D81E" w14:textId="77777777" w:rsidR="00A17AE7" w:rsidRPr="00A17AE7" w:rsidRDefault="00A17AE7" w:rsidP="00A17AE7">
            <w:pPr>
              <w:pStyle w:val="CDIFigure-Table-BodyTextCentre"/>
            </w:pPr>
            <w:r w:rsidRPr="00A17AE7">
              <w:t>6.1</w:t>
            </w:r>
          </w:p>
        </w:tc>
        <w:tc>
          <w:tcPr>
            <w:tcW w:w="851"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06DAA8F4" w14:textId="77777777" w:rsidR="00A17AE7" w:rsidRPr="00A17AE7" w:rsidRDefault="00A17AE7" w:rsidP="00A17AE7">
            <w:pPr>
              <w:pStyle w:val="CDIFigure-Table-BodyTextCentre"/>
            </w:pPr>
            <w:r w:rsidRPr="00A17AE7">
              <w:t>0.154</w:t>
            </w:r>
          </w:p>
        </w:tc>
      </w:tr>
      <w:tr w:rsidR="00A17AE7" w:rsidRPr="00A17AE7" w14:paraId="7BE372CA" w14:textId="77777777" w:rsidTr="00B121C5">
        <w:trPr>
          <w:divId w:val="935526654"/>
          <w:trHeight w:val="20"/>
        </w:trPr>
        <w:tc>
          <w:tcPr>
            <w:tcW w:w="1984" w:type="dxa"/>
            <w:vMerge w:val="restart"/>
            <w:tcBorders>
              <w:bottom w:val="single" w:sz="6" w:space="0" w:color="033636" w:themeColor="text2"/>
            </w:tcBorders>
            <w:shd w:val="clear" w:color="auto" w:fill="C5FFEF" w:themeFill="background2" w:themeFillTint="33"/>
            <w:tcMar>
              <w:top w:w="99" w:type="dxa"/>
              <w:left w:w="113" w:type="dxa"/>
              <w:bottom w:w="99" w:type="dxa"/>
              <w:right w:w="113" w:type="dxa"/>
            </w:tcMar>
            <w:vAlign w:val="center"/>
          </w:tcPr>
          <w:p w14:paraId="75B35653" w14:textId="77777777" w:rsidR="00A17AE7" w:rsidRPr="00A17AE7" w:rsidRDefault="00A17AE7" w:rsidP="00A17AE7">
            <w:pPr>
              <w:pStyle w:val="CDIFigure-Table-BodyTextLeft"/>
            </w:pPr>
            <w:r w:rsidRPr="00A17AE7">
              <w:t>Symptoms</w:t>
            </w:r>
          </w:p>
        </w:tc>
        <w:tc>
          <w:tcPr>
            <w:tcW w:w="3402" w:type="dxa"/>
            <w:tcBorders>
              <w:top w:val="single" w:sz="6" w:space="0" w:color="033636" w:themeColor="text2"/>
            </w:tcBorders>
            <w:tcMar>
              <w:top w:w="99" w:type="dxa"/>
              <w:left w:w="113" w:type="dxa"/>
              <w:bottom w:w="99" w:type="dxa"/>
              <w:right w:w="113" w:type="dxa"/>
            </w:tcMar>
            <w:vAlign w:val="center"/>
          </w:tcPr>
          <w:p w14:paraId="7C039B9F" w14:textId="77777777" w:rsidR="00A17AE7" w:rsidRPr="00A17AE7" w:rsidRDefault="00A17AE7" w:rsidP="00A17AE7">
            <w:pPr>
              <w:pStyle w:val="CDIFigure-Table-BodyTextLeft"/>
            </w:pPr>
            <w:r w:rsidRPr="00A17AE7">
              <w:t>Cough</w:t>
            </w:r>
          </w:p>
        </w:tc>
        <w:tc>
          <w:tcPr>
            <w:tcW w:w="850" w:type="dxa"/>
            <w:tcBorders>
              <w:top w:val="single" w:sz="6" w:space="0" w:color="033636" w:themeColor="text2"/>
            </w:tcBorders>
            <w:tcMar>
              <w:top w:w="99" w:type="dxa"/>
              <w:left w:w="113" w:type="dxa"/>
              <w:bottom w:w="99" w:type="dxa"/>
              <w:right w:w="113" w:type="dxa"/>
            </w:tcMar>
            <w:vAlign w:val="center"/>
          </w:tcPr>
          <w:p w14:paraId="31760B23" w14:textId="77777777" w:rsidR="00A17AE7" w:rsidRPr="00A17AE7" w:rsidRDefault="00A17AE7" w:rsidP="00A17AE7">
            <w:pPr>
              <w:pStyle w:val="CDIFigure-Table-BodyTextCentre"/>
            </w:pPr>
            <w:r w:rsidRPr="00A17AE7">
              <w:t>90</w:t>
            </w:r>
          </w:p>
        </w:tc>
        <w:tc>
          <w:tcPr>
            <w:tcW w:w="851" w:type="dxa"/>
            <w:tcBorders>
              <w:top w:val="single" w:sz="6" w:space="0" w:color="033636" w:themeColor="text2"/>
            </w:tcBorders>
            <w:tcMar>
              <w:top w:w="99" w:type="dxa"/>
              <w:left w:w="113" w:type="dxa"/>
              <w:bottom w:w="99" w:type="dxa"/>
              <w:right w:w="113" w:type="dxa"/>
            </w:tcMar>
            <w:vAlign w:val="center"/>
          </w:tcPr>
          <w:p w14:paraId="1896189B" w14:textId="77777777" w:rsidR="00A17AE7" w:rsidRPr="00A17AE7" w:rsidRDefault="00A17AE7" w:rsidP="00A17AE7">
            <w:pPr>
              <w:pStyle w:val="CDIFigure-Table-BodyTextCentre"/>
            </w:pPr>
            <w:r w:rsidRPr="00A17AE7">
              <w:t>90.9</w:t>
            </w:r>
          </w:p>
        </w:tc>
        <w:tc>
          <w:tcPr>
            <w:tcW w:w="850" w:type="dxa"/>
            <w:tcBorders>
              <w:top w:val="single" w:sz="6" w:space="0" w:color="033636" w:themeColor="text2"/>
            </w:tcBorders>
            <w:tcMar>
              <w:top w:w="99" w:type="dxa"/>
              <w:left w:w="113" w:type="dxa"/>
              <w:bottom w:w="99" w:type="dxa"/>
              <w:right w:w="113" w:type="dxa"/>
            </w:tcMar>
            <w:vAlign w:val="center"/>
          </w:tcPr>
          <w:p w14:paraId="513AB272" w14:textId="77777777" w:rsidR="00A17AE7" w:rsidRPr="00A17AE7" w:rsidRDefault="00A17AE7" w:rsidP="00A17AE7">
            <w:pPr>
              <w:pStyle w:val="CDIFigure-Table-BodyTextCentre"/>
            </w:pPr>
            <w:r w:rsidRPr="00A17AE7">
              <w:t>32</w:t>
            </w:r>
          </w:p>
        </w:tc>
        <w:tc>
          <w:tcPr>
            <w:tcW w:w="850" w:type="dxa"/>
            <w:tcBorders>
              <w:top w:val="single" w:sz="6" w:space="0" w:color="033636" w:themeColor="text2"/>
            </w:tcBorders>
            <w:tcMar>
              <w:top w:w="99" w:type="dxa"/>
              <w:left w:w="113" w:type="dxa"/>
              <w:bottom w:w="99" w:type="dxa"/>
              <w:right w:w="113" w:type="dxa"/>
            </w:tcMar>
            <w:vAlign w:val="center"/>
          </w:tcPr>
          <w:p w14:paraId="53DCABD6" w14:textId="77777777" w:rsidR="00A17AE7" w:rsidRPr="00A17AE7" w:rsidRDefault="00A17AE7" w:rsidP="00A17AE7">
            <w:pPr>
              <w:pStyle w:val="CDIFigure-Table-BodyTextCentre"/>
            </w:pPr>
            <w:r w:rsidRPr="00A17AE7">
              <w:t>97.0</w:t>
            </w:r>
          </w:p>
        </w:tc>
        <w:tc>
          <w:tcPr>
            <w:tcW w:w="851" w:type="dxa"/>
            <w:tcBorders>
              <w:top w:val="single" w:sz="6" w:space="0" w:color="033636" w:themeColor="text2"/>
            </w:tcBorders>
            <w:tcMar>
              <w:top w:w="99" w:type="dxa"/>
              <w:left w:w="113" w:type="dxa"/>
              <w:bottom w:w="99" w:type="dxa"/>
              <w:right w:w="113" w:type="dxa"/>
            </w:tcMar>
            <w:vAlign w:val="center"/>
          </w:tcPr>
          <w:p w14:paraId="53B90436" w14:textId="77777777" w:rsidR="00A17AE7" w:rsidRPr="00A17AE7" w:rsidRDefault="00A17AE7" w:rsidP="00A17AE7">
            <w:pPr>
              <w:pStyle w:val="CDIFigure-Table-BodyTextCentre"/>
            </w:pPr>
            <w:r w:rsidRPr="00A17AE7">
              <w:t>0.449</w:t>
            </w:r>
          </w:p>
        </w:tc>
      </w:tr>
      <w:tr w:rsidR="00A17AE7" w:rsidRPr="00A17AE7" w14:paraId="16ED1306"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5FB7B427" w14:textId="77777777" w:rsidR="00A17AE7" w:rsidRPr="00A17AE7" w:rsidRDefault="00A17AE7" w:rsidP="00A17AE7"/>
        </w:tc>
        <w:tc>
          <w:tcPr>
            <w:tcW w:w="3402" w:type="dxa"/>
            <w:shd w:val="clear" w:color="auto" w:fill="F2F2F2" w:themeFill="background1" w:themeFillShade="F2"/>
            <w:tcMar>
              <w:top w:w="99" w:type="dxa"/>
              <w:left w:w="113" w:type="dxa"/>
              <w:bottom w:w="99" w:type="dxa"/>
              <w:right w:w="113" w:type="dxa"/>
            </w:tcMar>
            <w:vAlign w:val="center"/>
          </w:tcPr>
          <w:p w14:paraId="25873747" w14:textId="77777777" w:rsidR="00A17AE7" w:rsidRPr="00A17AE7" w:rsidRDefault="00A17AE7" w:rsidP="00A17AE7">
            <w:pPr>
              <w:pStyle w:val="CDIFigure-Table-BodyTextLeft"/>
            </w:pPr>
            <w:r w:rsidRPr="00A17AE7">
              <w:t>Dyspnoea or increased work of breathing</w:t>
            </w:r>
          </w:p>
        </w:tc>
        <w:tc>
          <w:tcPr>
            <w:tcW w:w="850" w:type="dxa"/>
            <w:shd w:val="clear" w:color="auto" w:fill="F2F2F2" w:themeFill="background1" w:themeFillShade="F2"/>
            <w:tcMar>
              <w:top w:w="99" w:type="dxa"/>
              <w:left w:w="113" w:type="dxa"/>
              <w:bottom w:w="99" w:type="dxa"/>
              <w:right w:w="113" w:type="dxa"/>
            </w:tcMar>
            <w:vAlign w:val="center"/>
          </w:tcPr>
          <w:p w14:paraId="4F6062FA" w14:textId="77777777" w:rsidR="00A17AE7" w:rsidRPr="00A17AE7" w:rsidRDefault="00A17AE7" w:rsidP="00A17AE7">
            <w:pPr>
              <w:pStyle w:val="CDIFigure-Table-BodyTextCentre"/>
            </w:pPr>
            <w:r w:rsidRPr="00A17AE7">
              <w:t>86</w:t>
            </w:r>
          </w:p>
        </w:tc>
        <w:tc>
          <w:tcPr>
            <w:tcW w:w="851" w:type="dxa"/>
            <w:shd w:val="clear" w:color="auto" w:fill="F2F2F2" w:themeFill="background1" w:themeFillShade="F2"/>
            <w:tcMar>
              <w:top w:w="99" w:type="dxa"/>
              <w:left w:w="113" w:type="dxa"/>
              <w:bottom w:w="99" w:type="dxa"/>
              <w:right w:w="113" w:type="dxa"/>
            </w:tcMar>
            <w:vAlign w:val="center"/>
          </w:tcPr>
          <w:p w14:paraId="3FC1F5E6" w14:textId="77777777" w:rsidR="00A17AE7" w:rsidRPr="00A17AE7" w:rsidRDefault="00A17AE7" w:rsidP="00A17AE7">
            <w:pPr>
              <w:pStyle w:val="CDIFigure-Table-BodyTextCentre"/>
            </w:pPr>
            <w:r w:rsidRPr="00A17AE7">
              <w:t>86.9</w:t>
            </w:r>
          </w:p>
        </w:tc>
        <w:tc>
          <w:tcPr>
            <w:tcW w:w="850" w:type="dxa"/>
            <w:shd w:val="clear" w:color="auto" w:fill="F2F2F2" w:themeFill="background1" w:themeFillShade="F2"/>
            <w:tcMar>
              <w:top w:w="99" w:type="dxa"/>
              <w:left w:w="113" w:type="dxa"/>
              <w:bottom w:w="99" w:type="dxa"/>
              <w:right w:w="113" w:type="dxa"/>
            </w:tcMar>
            <w:vAlign w:val="center"/>
          </w:tcPr>
          <w:p w14:paraId="0F0353AC" w14:textId="77777777" w:rsidR="00A17AE7" w:rsidRPr="00A17AE7" w:rsidRDefault="00A17AE7" w:rsidP="00A17AE7">
            <w:pPr>
              <w:pStyle w:val="CDIFigure-Table-BodyTextCentre"/>
            </w:pPr>
            <w:r w:rsidRPr="00A17AE7">
              <w:t>23</w:t>
            </w:r>
          </w:p>
        </w:tc>
        <w:tc>
          <w:tcPr>
            <w:tcW w:w="850" w:type="dxa"/>
            <w:shd w:val="clear" w:color="auto" w:fill="F2F2F2" w:themeFill="background1" w:themeFillShade="F2"/>
            <w:tcMar>
              <w:top w:w="99" w:type="dxa"/>
              <w:left w:w="113" w:type="dxa"/>
              <w:bottom w:w="99" w:type="dxa"/>
              <w:right w:w="113" w:type="dxa"/>
            </w:tcMar>
            <w:vAlign w:val="center"/>
          </w:tcPr>
          <w:p w14:paraId="0DAD9C2B" w14:textId="77777777" w:rsidR="00A17AE7" w:rsidRPr="00A17AE7" w:rsidRDefault="00A17AE7" w:rsidP="00A17AE7">
            <w:pPr>
              <w:pStyle w:val="CDIFigure-Table-BodyTextCentre"/>
            </w:pPr>
            <w:r w:rsidRPr="00A17AE7">
              <w:t>69.7</w:t>
            </w:r>
          </w:p>
        </w:tc>
        <w:tc>
          <w:tcPr>
            <w:tcW w:w="851" w:type="dxa"/>
            <w:shd w:val="clear" w:color="auto" w:fill="F2F2F2" w:themeFill="background1" w:themeFillShade="F2"/>
            <w:tcMar>
              <w:top w:w="99" w:type="dxa"/>
              <w:left w:w="113" w:type="dxa"/>
              <w:bottom w:w="99" w:type="dxa"/>
              <w:right w:w="113" w:type="dxa"/>
            </w:tcMar>
            <w:vAlign w:val="center"/>
          </w:tcPr>
          <w:p w14:paraId="584CD751" w14:textId="77777777" w:rsidR="00A17AE7" w:rsidRPr="00B121C5" w:rsidRDefault="00A17AE7" w:rsidP="00A17AE7">
            <w:pPr>
              <w:pStyle w:val="CDIFigure-Table-BodyTextCentre"/>
              <w:rPr>
                <w:b/>
                <w:bCs/>
              </w:rPr>
            </w:pPr>
            <w:r w:rsidRPr="00B121C5">
              <w:rPr>
                <w:b/>
                <w:bCs/>
              </w:rPr>
              <w:t>0.047</w:t>
            </w:r>
          </w:p>
        </w:tc>
      </w:tr>
      <w:tr w:rsidR="00A17AE7" w:rsidRPr="00A17AE7" w14:paraId="67DD9157"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1FFF836E" w14:textId="77777777" w:rsidR="00A17AE7" w:rsidRPr="00A17AE7" w:rsidRDefault="00A17AE7" w:rsidP="00A17AE7"/>
        </w:tc>
        <w:tc>
          <w:tcPr>
            <w:tcW w:w="3402" w:type="dxa"/>
            <w:tcMar>
              <w:top w:w="99" w:type="dxa"/>
              <w:left w:w="113" w:type="dxa"/>
              <w:bottom w:w="99" w:type="dxa"/>
              <w:right w:w="113" w:type="dxa"/>
            </w:tcMar>
            <w:vAlign w:val="center"/>
          </w:tcPr>
          <w:p w14:paraId="2861D9EB" w14:textId="77777777" w:rsidR="00A17AE7" w:rsidRPr="00A17AE7" w:rsidRDefault="00A17AE7" w:rsidP="00A17AE7">
            <w:pPr>
              <w:pStyle w:val="CDIFigure-Table-BodyTextLeft"/>
            </w:pPr>
            <w:r w:rsidRPr="00A17AE7">
              <w:t>Fever</w:t>
            </w:r>
          </w:p>
        </w:tc>
        <w:tc>
          <w:tcPr>
            <w:tcW w:w="850" w:type="dxa"/>
            <w:tcMar>
              <w:top w:w="99" w:type="dxa"/>
              <w:left w:w="113" w:type="dxa"/>
              <w:bottom w:w="99" w:type="dxa"/>
              <w:right w:w="113" w:type="dxa"/>
            </w:tcMar>
            <w:vAlign w:val="center"/>
          </w:tcPr>
          <w:p w14:paraId="4CF1E6BC" w14:textId="77777777" w:rsidR="00A17AE7" w:rsidRPr="00A17AE7" w:rsidRDefault="00A17AE7" w:rsidP="00A17AE7">
            <w:pPr>
              <w:pStyle w:val="CDIFigure-Table-BodyTextCentre"/>
            </w:pPr>
            <w:r w:rsidRPr="00A17AE7">
              <w:t>69</w:t>
            </w:r>
          </w:p>
        </w:tc>
        <w:tc>
          <w:tcPr>
            <w:tcW w:w="851" w:type="dxa"/>
            <w:tcMar>
              <w:top w:w="99" w:type="dxa"/>
              <w:left w:w="113" w:type="dxa"/>
              <w:bottom w:w="99" w:type="dxa"/>
              <w:right w:w="113" w:type="dxa"/>
            </w:tcMar>
            <w:vAlign w:val="center"/>
          </w:tcPr>
          <w:p w14:paraId="772D9661" w14:textId="77777777" w:rsidR="00A17AE7" w:rsidRPr="00A17AE7" w:rsidRDefault="00A17AE7" w:rsidP="00A17AE7">
            <w:pPr>
              <w:pStyle w:val="CDIFigure-Table-BodyTextCentre"/>
            </w:pPr>
            <w:r w:rsidRPr="00A17AE7">
              <w:t>69.9</w:t>
            </w:r>
          </w:p>
        </w:tc>
        <w:tc>
          <w:tcPr>
            <w:tcW w:w="850" w:type="dxa"/>
            <w:tcMar>
              <w:top w:w="99" w:type="dxa"/>
              <w:left w:w="113" w:type="dxa"/>
              <w:bottom w:w="99" w:type="dxa"/>
              <w:right w:w="113" w:type="dxa"/>
            </w:tcMar>
            <w:vAlign w:val="center"/>
          </w:tcPr>
          <w:p w14:paraId="2AEF1082" w14:textId="77777777" w:rsidR="00A17AE7" w:rsidRPr="00A17AE7" w:rsidRDefault="00A17AE7" w:rsidP="00A17AE7">
            <w:pPr>
              <w:pStyle w:val="CDIFigure-Table-BodyTextCentre"/>
            </w:pPr>
            <w:r w:rsidRPr="00A17AE7">
              <w:t>29</w:t>
            </w:r>
          </w:p>
        </w:tc>
        <w:tc>
          <w:tcPr>
            <w:tcW w:w="850" w:type="dxa"/>
            <w:tcMar>
              <w:top w:w="99" w:type="dxa"/>
              <w:left w:w="113" w:type="dxa"/>
              <w:bottom w:w="99" w:type="dxa"/>
              <w:right w:w="113" w:type="dxa"/>
            </w:tcMar>
            <w:vAlign w:val="center"/>
          </w:tcPr>
          <w:p w14:paraId="30591C13" w14:textId="77777777" w:rsidR="00A17AE7" w:rsidRPr="00A17AE7" w:rsidRDefault="00A17AE7" w:rsidP="00A17AE7">
            <w:pPr>
              <w:pStyle w:val="CDIFigure-Table-BodyTextCentre"/>
            </w:pPr>
            <w:r w:rsidRPr="00A17AE7">
              <w:t>87.9</w:t>
            </w:r>
          </w:p>
        </w:tc>
        <w:tc>
          <w:tcPr>
            <w:tcW w:w="851" w:type="dxa"/>
            <w:tcMar>
              <w:top w:w="99" w:type="dxa"/>
              <w:left w:w="113" w:type="dxa"/>
              <w:bottom w:w="99" w:type="dxa"/>
              <w:right w:w="113" w:type="dxa"/>
            </w:tcMar>
            <w:vAlign w:val="center"/>
          </w:tcPr>
          <w:p w14:paraId="6596DE5D" w14:textId="77777777" w:rsidR="00A17AE7" w:rsidRPr="00A17AE7" w:rsidRDefault="00A17AE7" w:rsidP="00A17AE7">
            <w:pPr>
              <w:pStyle w:val="CDIFigure-Table-BodyTextCentre"/>
            </w:pPr>
            <w:r w:rsidRPr="00A17AE7">
              <w:t>0.082</w:t>
            </w:r>
          </w:p>
        </w:tc>
      </w:tr>
      <w:tr w:rsidR="00A17AE7" w:rsidRPr="00A17AE7" w14:paraId="1868E913"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3A1DA49A" w14:textId="77777777" w:rsidR="00A17AE7" w:rsidRPr="00A17AE7" w:rsidRDefault="00A17AE7" w:rsidP="00A17AE7"/>
        </w:tc>
        <w:tc>
          <w:tcPr>
            <w:tcW w:w="3402" w:type="dxa"/>
            <w:shd w:val="clear" w:color="auto" w:fill="F2F2F2" w:themeFill="background1" w:themeFillShade="F2"/>
            <w:tcMar>
              <w:top w:w="99" w:type="dxa"/>
              <w:left w:w="113" w:type="dxa"/>
              <w:bottom w:w="99" w:type="dxa"/>
              <w:right w:w="113" w:type="dxa"/>
            </w:tcMar>
            <w:vAlign w:val="center"/>
          </w:tcPr>
          <w:p w14:paraId="1E40744D" w14:textId="77777777" w:rsidR="00A17AE7" w:rsidRPr="00A17AE7" w:rsidRDefault="00A17AE7" w:rsidP="00A17AE7">
            <w:pPr>
              <w:pStyle w:val="CDIFigure-Table-BodyTextLeft"/>
            </w:pPr>
            <w:r w:rsidRPr="00A17AE7">
              <w:t>Coryza</w:t>
            </w:r>
          </w:p>
        </w:tc>
        <w:tc>
          <w:tcPr>
            <w:tcW w:w="850" w:type="dxa"/>
            <w:shd w:val="clear" w:color="auto" w:fill="F2F2F2" w:themeFill="background1" w:themeFillShade="F2"/>
            <w:tcMar>
              <w:top w:w="99" w:type="dxa"/>
              <w:left w:w="113" w:type="dxa"/>
              <w:bottom w:w="99" w:type="dxa"/>
              <w:right w:w="113" w:type="dxa"/>
            </w:tcMar>
            <w:vAlign w:val="center"/>
          </w:tcPr>
          <w:p w14:paraId="29BA64F9" w14:textId="77777777" w:rsidR="00A17AE7" w:rsidRPr="00A17AE7" w:rsidRDefault="00A17AE7" w:rsidP="00A17AE7">
            <w:pPr>
              <w:pStyle w:val="CDIFigure-Table-BodyTextCentre"/>
            </w:pPr>
            <w:r w:rsidRPr="00A17AE7">
              <w:t>68</w:t>
            </w:r>
          </w:p>
        </w:tc>
        <w:tc>
          <w:tcPr>
            <w:tcW w:w="851" w:type="dxa"/>
            <w:shd w:val="clear" w:color="auto" w:fill="F2F2F2" w:themeFill="background1" w:themeFillShade="F2"/>
            <w:tcMar>
              <w:top w:w="99" w:type="dxa"/>
              <w:left w:w="113" w:type="dxa"/>
              <w:bottom w:w="99" w:type="dxa"/>
              <w:right w:w="113" w:type="dxa"/>
            </w:tcMar>
            <w:vAlign w:val="center"/>
          </w:tcPr>
          <w:p w14:paraId="6EC0645E" w14:textId="77777777" w:rsidR="00A17AE7" w:rsidRPr="00A17AE7" w:rsidRDefault="00A17AE7" w:rsidP="00A17AE7">
            <w:pPr>
              <w:pStyle w:val="CDIFigure-Table-BodyTextCentre"/>
            </w:pPr>
            <w:r w:rsidRPr="00A17AE7">
              <w:t>68.7</w:t>
            </w:r>
          </w:p>
        </w:tc>
        <w:tc>
          <w:tcPr>
            <w:tcW w:w="850" w:type="dxa"/>
            <w:shd w:val="clear" w:color="auto" w:fill="F2F2F2" w:themeFill="background1" w:themeFillShade="F2"/>
            <w:tcMar>
              <w:top w:w="99" w:type="dxa"/>
              <w:left w:w="113" w:type="dxa"/>
              <w:bottom w:w="99" w:type="dxa"/>
              <w:right w:w="113" w:type="dxa"/>
            </w:tcMar>
            <w:vAlign w:val="center"/>
          </w:tcPr>
          <w:p w14:paraId="65D76807" w14:textId="77777777" w:rsidR="00A17AE7" w:rsidRPr="00A17AE7" w:rsidRDefault="00A17AE7" w:rsidP="00A17AE7">
            <w:pPr>
              <w:pStyle w:val="CDIFigure-Table-BodyTextCentre"/>
            </w:pPr>
            <w:r w:rsidRPr="00A17AE7">
              <w:t>24</w:t>
            </w:r>
          </w:p>
        </w:tc>
        <w:tc>
          <w:tcPr>
            <w:tcW w:w="850" w:type="dxa"/>
            <w:shd w:val="clear" w:color="auto" w:fill="F2F2F2" w:themeFill="background1" w:themeFillShade="F2"/>
            <w:tcMar>
              <w:top w:w="99" w:type="dxa"/>
              <w:left w:w="113" w:type="dxa"/>
              <w:bottom w:w="99" w:type="dxa"/>
              <w:right w:w="113" w:type="dxa"/>
            </w:tcMar>
            <w:vAlign w:val="center"/>
          </w:tcPr>
          <w:p w14:paraId="13BEB461" w14:textId="77777777" w:rsidR="00A17AE7" w:rsidRPr="00A17AE7" w:rsidRDefault="00A17AE7" w:rsidP="00A17AE7">
            <w:pPr>
              <w:pStyle w:val="CDIFigure-Table-BodyTextCentre"/>
            </w:pPr>
            <w:r w:rsidRPr="00A17AE7">
              <w:t>72.7</w:t>
            </w:r>
          </w:p>
        </w:tc>
        <w:tc>
          <w:tcPr>
            <w:tcW w:w="851" w:type="dxa"/>
            <w:shd w:val="clear" w:color="auto" w:fill="F2F2F2" w:themeFill="background1" w:themeFillShade="F2"/>
            <w:tcMar>
              <w:top w:w="99" w:type="dxa"/>
              <w:left w:w="113" w:type="dxa"/>
              <w:bottom w:w="99" w:type="dxa"/>
              <w:right w:w="113" w:type="dxa"/>
            </w:tcMar>
            <w:vAlign w:val="center"/>
          </w:tcPr>
          <w:p w14:paraId="161AACEE" w14:textId="77777777" w:rsidR="00A17AE7" w:rsidRPr="00A17AE7" w:rsidRDefault="00A17AE7" w:rsidP="00A17AE7">
            <w:pPr>
              <w:pStyle w:val="CDIFigure-Table-BodyTextCentre"/>
            </w:pPr>
            <w:r w:rsidRPr="00A17AE7">
              <w:t>0.827</w:t>
            </w:r>
          </w:p>
        </w:tc>
      </w:tr>
      <w:tr w:rsidR="00A17AE7" w:rsidRPr="00A17AE7" w14:paraId="4D9BA786"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0BC243BD" w14:textId="77777777" w:rsidR="00A17AE7" w:rsidRPr="00A17AE7" w:rsidRDefault="00A17AE7" w:rsidP="00A17AE7"/>
        </w:tc>
        <w:tc>
          <w:tcPr>
            <w:tcW w:w="3402" w:type="dxa"/>
            <w:tcMar>
              <w:top w:w="99" w:type="dxa"/>
              <w:left w:w="113" w:type="dxa"/>
              <w:bottom w:w="99" w:type="dxa"/>
              <w:right w:w="113" w:type="dxa"/>
            </w:tcMar>
            <w:vAlign w:val="center"/>
          </w:tcPr>
          <w:p w14:paraId="36AD683A" w14:textId="77777777" w:rsidR="00A17AE7" w:rsidRPr="00A17AE7" w:rsidRDefault="00A17AE7" w:rsidP="00A17AE7">
            <w:pPr>
              <w:pStyle w:val="CDIFigure-Table-BodyTextLeft"/>
            </w:pPr>
            <w:r w:rsidRPr="00A17AE7">
              <w:t>Decreased oral intake</w:t>
            </w:r>
          </w:p>
        </w:tc>
        <w:tc>
          <w:tcPr>
            <w:tcW w:w="850" w:type="dxa"/>
            <w:tcMar>
              <w:top w:w="99" w:type="dxa"/>
              <w:left w:w="113" w:type="dxa"/>
              <w:bottom w:w="99" w:type="dxa"/>
              <w:right w:w="113" w:type="dxa"/>
            </w:tcMar>
            <w:vAlign w:val="center"/>
          </w:tcPr>
          <w:p w14:paraId="3584463F" w14:textId="77777777" w:rsidR="00A17AE7" w:rsidRPr="00A17AE7" w:rsidRDefault="00A17AE7" w:rsidP="00A17AE7">
            <w:pPr>
              <w:pStyle w:val="CDIFigure-Table-BodyTextCentre"/>
            </w:pPr>
            <w:r w:rsidRPr="00A17AE7">
              <w:t>70</w:t>
            </w:r>
          </w:p>
        </w:tc>
        <w:tc>
          <w:tcPr>
            <w:tcW w:w="851" w:type="dxa"/>
            <w:tcMar>
              <w:top w:w="99" w:type="dxa"/>
              <w:left w:w="113" w:type="dxa"/>
              <w:bottom w:w="99" w:type="dxa"/>
              <w:right w:w="113" w:type="dxa"/>
            </w:tcMar>
            <w:vAlign w:val="center"/>
          </w:tcPr>
          <w:p w14:paraId="2E87BC2D" w14:textId="77777777" w:rsidR="00A17AE7" w:rsidRPr="00A17AE7" w:rsidRDefault="00A17AE7" w:rsidP="00A17AE7">
            <w:pPr>
              <w:pStyle w:val="CDIFigure-Table-BodyTextCentre"/>
            </w:pPr>
            <w:r w:rsidRPr="00A17AE7">
              <w:t>70.7</w:t>
            </w:r>
          </w:p>
        </w:tc>
        <w:tc>
          <w:tcPr>
            <w:tcW w:w="850" w:type="dxa"/>
            <w:tcMar>
              <w:top w:w="99" w:type="dxa"/>
              <w:left w:w="113" w:type="dxa"/>
              <w:bottom w:w="99" w:type="dxa"/>
              <w:right w:w="113" w:type="dxa"/>
            </w:tcMar>
            <w:vAlign w:val="center"/>
          </w:tcPr>
          <w:p w14:paraId="284AC34C" w14:textId="77777777" w:rsidR="00A17AE7" w:rsidRPr="00A17AE7" w:rsidRDefault="00A17AE7" w:rsidP="00A17AE7">
            <w:pPr>
              <w:pStyle w:val="CDIFigure-Table-BodyTextCentre"/>
            </w:pPr>
            <w:r w:rsidRPr="00A17AE7">
              <w:t>22</w:t>
            </w:r>
          </w:p>
        </w:tc>
        <w:tc>
          <w:tcPr>
            <w:tcW w:w="850" w:type="dxa"/>
            <w:tcMar>
              <w:top w:w="99" w:type="dxa"/>
              <w:left w:w="113" w:type="dxa"/>
              <w:bottom w:w="99" w:type="dxa"/>
              <w:right w:w="113" w:type="dxa"/>
            </w:tcMar>
            <w:vAlign w:val="center"/>
          </w:tcPr>
          <w:p w14:paraId="5732EFE2" w14:textId="77777777" w:rsidR="00A17AE7" w:rsidRPr="00A17AE7" w:rsidRDefault="00A17AE7" w:rsidP="00A17AE7">
            <w:pPr>
              <w:pStyle w:val="CDIFigure-Table-BodyTextCentre"/>
            </w:pPr>
            <w:r w:rsidRPr="00A17AE7">
              <w:t>66.7</w:t>
            </w:r>
          </w:p>
        </w:tc>
        <w:tc>
          <w:tcPr>
            <w:tcW w:w="851" w:type="dxa"/>
            <w:tcMar>
              <w:top w:w="99" w:type="dxa"/>
              <w:left w:w="113" w:type="dxa"/>
              <w:bottom w:w="99" w:type="dxa"/>
              <w:right w:w="113" w:type="dxa"/>
            </w:tcMar>
            <w:vAlign w:val="center"/>
          </w:tcPr>
          <w:p w14:paraId="5829908F" w14:textId="77777777" w:rsidR="00A17AE7" w:rsidRPr="00A17AE7" w:rsidRDefault="00A17AE7" w:rsidP="00A17AE7">
            <w:pPr>
              <w:pStyle w:val="CDIFigure-Table-BodyTextCentre"/>
            </w:pPr>
            <w:r w:rsidRPr="00A17AE7">
              <w:t>0.827</w:t>
            </w:r>
          </w:p>
        </w:tc>
      </w:tr>
      <w:tr w:rsidR="00A17AE7" w:rsidRPr="00A17AE7" w14:paraId="3C662C28"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677696E5" w14:textId="77777777" w:rsidR="00A17AE7" w:rsidRPr="00A17AE7" w:rsidRDefault="00A17AE7" w:rsidP="00A17AE7"/>
        </w:tc>
        <w:tc>
          <w:tcPr>
            <w:tcW w:w="3402" w:type="dxa"/>
            <w:shd w:val="clear" w:color="auto" w:fill="F2F2F2" w:themeFill="background1" w:themeFillShade="F2"/>
            <w:tcMar>
              <w:top w:w="99" w:type="dxa"/>
              <w:left w:w="113" w:type="dxa"/>
              <w:bottom w:w="99" w:type="dxa"/>
              <w:right w:w="113" w:type="dxa"/>
            </w:tcMar>
            <w:vAlign w:val="center"/>
          </w:tcPr>
          <w:p w14:paraId="4B87B984" w14:textId="77777777" w:rsidR="00A17AE7" w:rsidRPr="00A17AE7" w:rsidRDefault="00A17AE7" w:rsidP="00A17AE7">
            <w:pPr>
              <w:pStyle w:val="CDIFigure-Table-BodyTextLeft"/>
            </w:pPr>
            <w:r w:rsidRPr="00A17AE7">
              <w:t>Wheeze</w:t>
            </w:r>
          </w:p>
        </w:tc>
        <w:tc>
          <w:tcPr>
            <w:tcW w:w="850" w:type="dxa"/>
            <w:shd w:val="clear" w:color="auto" w:fill="F2F2F2" w:themeFill="background1" w:themeFillShade="F2"/>
            <w:tcMar>
              <w:top w:w="99" w:type="dxa"/>
              <w:left w:w="113" w:type="dxa"/>
              <w:bottom w:w="99" w:type="dxa"/>
              <w:right w:w="113" w:type="dxa"/>
            </w:tcMar>
            <w:vAlign w:val="center"/>
          </w:tcPr>
          <w:p w14:paraId="30E4CD21" w14:textId="77777777" w:rsidR="00A17AE7" w:rsidRPr="00A17AE7" w:rsidRDefault="00A17AE7" w:rsidP="00A17AE7">
            <w:pPr>
              <w:pStyle w:val="CDIFigure-Table-BodyTextCentre"/>
            </w:pPr>
            <w:r w:rsidRPr="00A17AE7">
              <w:t>38</w:t>
            </w:r>
          </w:p>
        </w:tc>
        <w:tc>
          <w:tcPr>
            <w:tcW w:w="851" w:type="dxa"/>
            <w:shd w:val="clear" w:color="auto" w:fill="F2F2F2" w:themeFill="background1" w:themeFillShade="F2"/>
            <w:tcMar>
              <w:top w:w="99" w:type="dxa"/>
              <w:left w:w="113" w:type="dxa"/>
              <w:bottom w:w="99" w:type="dxa"/>
              <w:right w:w="113" w:type="dxa"/>
            </w:tcMar>
            <w:vAlign w:val="center"/>
          </w:tcPr>
          <w:p w14:paraId="549E2C1A" w14:textId="77777777" w:rsidR="00A17AE7" w:rsidRPr="00A17AE7" w:rsidRDefault="00A17AE7" w:rsidP="00A17AE7">
            <w:pPr>
              <w:pStyle w:val="CDIFigure-Table-BodyTextCentre"/>
            </w:pPr>
            <w:r w:rsidRPr="00A17AE7">
              <w:t>38.4</w:t>
            </w:r>
          </w:p>
        </w:tc>
        <w:tc>
          <w:tcPr>
            <w:tcW w:w="850" w:type="dxa"/>
            <w:shd w:val="clear" w:color="auto" w:fill="F2F2F2" w:themeFill="background1" w:themeFillShade="F2"/>
            <w:tcMar>
              <w:top w:w="99" w:type="dxa"/>
              <w:left w:w="113" w:type="dxa"/>
              <w:bottom w:w="99" w:type="dxa"/>
              <w:right w:w="113" w:type="dxa"/>
            </w:tcMar>
            <w:vAlign w:val="center"/>
          </w:tcPr>
          <w:p w14:paraId="530EB55D" w14:textId="77777777" w:rsidR="00A17AE7" w:rsidRPr="00A17AE7" w:rsidRDefault="00A17AE7" w:rsidP="00A17AE7">
            <w:pPr>
              <w:pStyle w:val="CDIFigure-Table-BodyTextCentre"/>
            </w:pPr>
            <w:r w:rsidRPr="00A17AE7">
              <w:t>11</w:t>
            </w:r>
          </w:p>
        </w:tc>
        <w:tc>
          <w:tcPr>
            <w:tcW w:w="850" w:type="dxa"/>
            <w:shd w:val="clear" w:color="auto" w:fill="F2F2F2" w:themeFill="background1" w:themeFillShade="F2"/>
            <w:tcMar>
              <w:top w:w="99" w:type="dxa"/>
              <w:left w:w="113" w:type="dxa"/>
              <w:bottom w:w="99" w:type="dxa"/>
              <w:right w:w="113" w:type="dxa"/>
            </w:tcMar>
            <w:vAlign w:val="center"/>
          </w:tcPr>
          <w:p w14:paraId="76509B68" w14:textId="77777777" w:rsidR="00A17AE7" w:rsidRPr="00A17AE7" w:rsidRDefault="00A17AE7" w:rsidP="00A17AE7">
            <w:pPr>
              <w:pStyle w:val="CDIFigure-Table-BodyTextCentre"/>
            </w:pPr>
            <w:r w:rsidRPr="00A17AE7">
              <w:t>33.3</w:t>
            </w:r>
          </w:p>
        </w:tc>
        <w:tc>
          <w:tcPr>
            <w:tcW w:w="851" w:type="dxa"/>
            <w:shd w:val="clear" w:color="auto" w:fill="F2F2F2" w:themeFill="background1" w:themeFillShade="F2"/>
            <w:tcMar>
              <w:top w:w="99" w:type="dxa"/>
              <w:left w:w="113" w:type="dxa"/>
              <w:bottom w:w="99" w:type="dxa"/>
              <w:right w:w="113" w:type="dxa"/>
            </w:tcMar>
            <w:vAlign w:val="center"/>
          </w:tcPr>
          <w:p w14:paraId="0D66D0D5" w14:textId="77777777" w:rsidR="00A17AE7" w:rsidRPr="00A17AE7" w:rsidRDefault="00A17AE7" w:rsidP="00A17AE7">
            <w:pPr>
              <w:pStyle w:val="CDIFigure-Table-BodyTextCentre"/>
            </w:pPr>
            <w:r w:rsidRPr="00A17AE7">
              <w:t>0.755</w:t>
            </w:r>
          </w:p>
        </w:tc>
      </w:tr>
      <w:tr w:rsidR="00A17AE7" w:rsidRPr="00A17AE7" w14:paraId="60768736"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36B8DDE3" w14:textId="77777777" w:rsidR="00A17AE7" w:rsidRPr="00A17AE7" w:rsidRDefault="00A17AE7" w:rsidP="00A17AE7"/>
        </w:tc>
        <w:tc>
          <w:tcPr>
            <w:tcW w:w="3402" w:type="dxa"/>
            <w:tcMar>
              <w:top w:w="99" w:type="dxa"/>
              <w:left w:w="113" w:type="dxa"/>
              <w:bottom w:w="99" w:type="dxa"/>
              <w:right w:w="113" w:type="dxa"/>
            </w:tcMar>
            <w:vAlign w:val="center"/>
          </w:tcPr>
          <w:p w14:paraId="6D2521C2" w14:textId="77777777" w:rsidR="00A17AE7" w:rsidRPr="00A17AE7" w:rsidRDefault="00A17AE7" w:rsidP="00A17AE7">
            <w:pPr>
              <w:pStyle w:val="CDIFigure-Table-BodyTextLeft"/>
            </w:pPr>
            <w:r w:rsidRPr="00A17AE7">
              <w:t>Vomiting</w:t>
            </w:r>
          </w:p>
        </w:tc>
        <w:tc>
          <w:tcPr>
            <w:tcW w:w="850" w:type="dxa"/>
            <w:tcMar>
              <w:top w:w="99" w:type="dxa"/>
              <w:left w:w="113" w:type="dxa"/>
              <w:bottom w:w="99" w:type="dxa"/>
              <w:right w:w="113" w:type="dxa"/>
            </w:tcMar>
            <w:vAlign w:val="center"/>
          </w:tcPr>
          <w:p w14:paraId="448CF694" w14:textId="77777777" w:rsidR="00A17AE7" w:rsidRPr="00A17AE7" w:rsidRDefault="00A17AE7" w:rsidP="00A17AE7">
            <w:pPr>
              <w:pStyle w:val="CDIFigure-Table-BodyTextCentre"/>
            </w:pPr>
            <w:r w:rsidRPr="00A17AE7">
              <w:t>27</w:t>
            </w:r>
          </w:p>
        </w:tc>
        <w:tc>
          <w:tcPr>
            <w:tcW w:w="851" w:type="dxa"/>
            <w:tcMar>
              <w:top w:w="99" w:type="dxa"/>
              <w:left w:w="113" w:type="dxa"/>
              <w:bottom w:w="99" w:type="dxa"/>
              <w:right w:w="113" w:type="dxa"/>
            </w:tcMar>
            <w:vAlign w:val="center"/>
          </w:tcPr>
          <w:p w14:paraId="6EDC6334" w14:textId="77777777" w:rsidR="00A17AE7" w:rsidRPr="00A17AE7" w:rsidRDefault="00A17AE7" w:rsidP="00A17AE7">
            <w:pPr>
              <w:pStyle w:val="CDIFigure-Table-BodyTextCentre"/>
            </w:pPr>
            <w:r w:rsidRPr="00A17AE7">
              <w:t>27.3</w:t>
            </w:r>
          </w:p>
        </w:tc>
        <w:tc>
          <w:tcPr>
            <w:tcW w:w="850" w:type="dxa"/>
            <w:tcMar>
              <w:top w:w="99" w:type="dxa"/>
              <w:left w:w="113" w:type="dxa"/>
              <w:bottom w:w="99" w:type="dxa"/>
              <w:right w:w="113" w:type="dxa"/>
            </w:tcMar>
            <w:vAlign w:val="center"/>
          </w:tcPr>
          <w:p w14:paraId="17D6C11F" w14:textId="77777777" w:rsidR="00A17AE7" w:rsidRPr="00A17AE7" w:rsidRDefault="00A17AE7" w:rsidP="00A17AE7">
            <w:pPr>
              <w:pStyle w:val="CDIFigure-Table-BodyTextCentre"/>
            </w:pPr>
            <w:r w:rsidRPr="00A17AE7">
              <w:t>15</w:t>
            </w:r>
          </w:p>
        </w:tc>
        <w:tc>
          <w:tcPr>
            <w:tcW w:w="850" w:type="dxa"/>
            <w:tcMar>
              <w:top w:w="99" w:type="dxa"/>
              <w:left w:w="113" w:type="dxa"/>
              <w:bottom w:w="99" w:type="dxa"/>
              <w:right w:w="113" w:type="dxa"/>
            </w:tcMar>
            <w:vAlign w:val="center"/>
          </w:tcPr>
          <w:p w14:paraId="24BB8639" w14:textId="77777777" w:rsidR="00A17AE7" w:rsidRPr="00A17AE7" w:rsidRDefault="00A17AE7" w:rsidP="00A17AE7">
            <w:pPr>
              <w:pStyle w:val="CDIFigure-Table-BodyTextCentre"/>
            </w:pPr>
            <w:r w:rsidRPr="00A17AE7">
              <w:t>45.5</w:t>
            </w:r>
          </w:p>
        </w:tc>
        <w:tc>
          <w:tcPr>
            <w:tcW w:w="851" w:type="dxa"/>
            <w:tcMar>
              <w:top w:w="99" w:type="dxa"/>
              <w:left w:w="113" w:type="dxa"/>
              <w:bottom w:w="99" w:type="dxa"/>
              <w:right w:w="113" w:type="dxa"/>
            </w:tcMar>
            <w:vAlign w:val="center"/>
          </w:tcPr>
          <w:p w14:paraId="491908E1" w14:textId="77777777" w:rsidR="00A17AE7" w:rsidRPr="00A17AE7" w:rsidRDefault="00A17AE7" w:rsidP="00A17AE7">
            <w:pPr>
              <w:pStyle w:val="CDIFigure-Table-BodyTextCentre"/>
            </w:pPr>
            <w:r w:rsidRPr="00A17AE7">
              <w:t>0.084</w:t>
            </w:r>
          </w:p>
        </w:tc>
      </w:tr>
      <w:tr w:rsidR="00A17AE7" w:rsidRPr="00A17AE7" w14:paraId="11A179DC"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3E2E1CE7" w14:textId="77777777" w:rsidR="00A17AE7" w:rsidRPr="00A17AE7" w:rsidRDefault="00A17AE7" w:rsidP="00A17AE7"/>
        </w:tc>
        <w:tc>
          <w:tcPr>
            <w:tcW w:w="3402" w:type="dxa"/>
            <w:shd w:val="clear" w:color="auto" w:fill="F2F2F2" w:themeFill="background1" w:themeFillShade="F2"/>
            <w:tcMar>
              <w:top w:w="99" w:type="dxa"/>
              <w:left w:w="113" w:type="dxa"/>
              <w:bottom w:w="99" w:type="dxa"/>
              <w:right w:w="113" w:type="dxa"/>
            </w:tcMar>
            <w:vAlign w:val="center"/>
          </w:tcPr>
          <w:p w14:paraId="0A178E2E" w14:textId="77777777" w:rsidR="00A17AE7" w:rsidRPr="00A17AE7" w:rsidRDefault="00A17AE7" w:rsidP="00A17AE7">
            <w:pPr>
              <w:pStyle w:val="CDIFigure-Table-BodyTextLeft"/>
            </w:pPr>
            <w:r w:rsidRPr="00A17AE7">
              <w:t>Malaise or lethargy</w:t>
            </w:r>
          </w:p>
        </w:tc>
        <w:tc>
          <w:tcPr>
            <w:tcW w:w="850" w:type="dxa"/>
            <w:shd w:val="clear" w:color="auto" w:fill="F2F2F2" w:themeFill="background1" w:themeFillShade="F2"/>
            <w:tcMar>
              <w:top w:w="99" w:type="dxa"/>
              <w:left w:w="113" w:type="dxa"/>
              <w:bottom w:w="99" w:type="dxa"/>
              <w:right w:w="113" w:type="dxa"/>
            </w:tcMar>
            <w:vAlign w:val="center"/>
          </w:tcPr>
          <w:p w14:paraId="44B64065" w14:textId="77777777" w:rsidR="00A17AE7" w:rsidRPr="00A17AE7" w:rsidRDefault="00A17AE7" w:rsidP="00A17AE7">
            <w:pPr>
              <w:pStyle w:val="CDIFigure-Table-BodyTextCentre"/>
            </w:pPr>
            <w:r w:rsidRPr="00A17AE7">
              <w:t>26</w:t>
            </w:r>
          </w:p>
        </w:tc>
        <w:tc>
          <w:tcPr>
            <w:tcW w:w="851" w:type="dxa"/>
            <w:shd w:val="clear" w:color="auto" w:fill="F2F2F2" w:themeFill="background1" w:themeFillShade="F2"/>
            <w:tcMar>
              <w:top w:w="99" w:type="dxa"/>
              <w:left w:w="113" w:type="dxa"/>
              <w:bottom w:w="99" w:type="dxa"/>
              <w:right w:w="113" w:type="dxa"/>
            </w:tcMar>
            <w:vAlign w:val="center"/>
          </w:tcPr>
          <w:p w14:paraId="1ED139AF" w14:textId="77777777" w:rsidR="00A17AE7" w:rsidRPr="00A17AE7" w:rsidRDefault="00A17AE7" w:rsidP="00A17AE7">
            <w:pPr>
              <w:pStyle w:val="CDIFigure-Table-BodyTextCentre"/>
            </w:pPr>
            <w:r w:rsidRPr="00A17AE7">
              <w:t>26.3</w:t>
            </w:r>
          </w:p>
        </w:tc>
        <w:tc>
          <w:tcPr>
            <w:tcW w:w="850" w:type="dxa"/>
            <w:shd w:val="clear" w:color="auto" w:fill="F2F2F2" w:themeFill="background1" w:themeFillShade="F2"/>
            <w:tcMar>
              <w:top w:w="99" w:type="dxa"/>
              <w:left w:w="113" w:type="dxa"/>
              <w:bottom w:w="99" w:type="dxa"/>
              <w:right w:w="113" w:type="dxa"/>
            </w:tcMar>
            <w:vAlign w:val="center"/>
          </w:tcPr>
          <w:p w14:paraId="5B9EC3FE" w14:textId="77777777" w:rsidR="00A17AE7" w:rsidRPr="00A17AE7" w:rsidRDefault="00A17AE7" w:rsidP="00A17AE7">
            <w:pPr>
              <w:pStyle w:val="CDIFigure-Table-BodyTextCentre"/>
            </w:pPr>
            <w:r w:rsidRPr="00A17AE7">
              <w:t>16</w:t>
            </w:r>
          </w:p>
        </w:tc>
        <w:tc>
          <w:tcPr>
            <w:tcW w:w="850" w:type="dxa"/>
            <w:shd w:val="clear" w:color="auto" w:fill="F2F2F2" w:themeFill="background1" w:themeFillShade="F2"/>
            <w:tcMar>
              <w:top w:w="99" w:type="dxa"/>
              <w:left w:w="113" w:type="dxa"/>
              <w:bottom w:w="99" w:type="dxa"/>
              <w:right w:w="113" w:type="dxa"/>
            </w:tcMar>
            <w:vAlign w:val="center"/>
          </w:tcPr>
          <w:p w14:paraId="74D1C3CF" w14:textId="77777777" w:rsidR="00A17AE7" w:rsidRPr="00A17AE7" w:rsidRDefault="00A17AE7" w:rsidP="00A17AE7">
            <w:pPr>
              <w:pStyle w:val="CDIFigure-Table-BodyTextCentre"/>
            </w:pPr>
            <w:r w:rsidRPr="00A17AE7">
              <w:t>48.5</w:t>
            </w:r>
          </w:p>
        </w:tc>
        <w:tc>
          <w:tcPr>
            <w:tcW w:w="851" w:type="dxa"/>
            <w:shd w:val="clear" w:color="auto" w:fill="F2F2F2" w:themeFill="background1" w:themeFillShade="F2"/>
            <w:tcMar>
              <w:top w:w="99" w:type="dxa"/>
              <w:left w:w="113" w:type="dxa"/>
              <w:bottom w:w="99" w:type="dxa"/>
              <w:right w:w="113" w:type="dxa"/>
            </w:tcMar>
            <w:vAlign w:val="center"/>
          </w:tcPr>
          <w:p w14:paraId="2E51C28D" w14:textId="77777777" w:rsidR="00A17AE7" w:rsidRPr="00B121C5" w:rsidRDefault="00A17AE7" w:rsidP="00A17AE7">
            <w:pPr>
              <w:pStyle w:val="CDIFigure-Table-BodyTextCentre"/>
              <w:rPr>
                <w:b/>
                <w:bCs/>
              </w:rPr>
            </w:pPr>
            <w:r w:rsidRPr="00B121C5">
              <w:rPr>
                <w:b/>
                <w:bCs/>
              </w:rPr>
              <w:t>0.031</w:t>
            </w:r>
          </w:p>
        </w:tc>
      </w:tr>
      <w:tr w:rsidR="00A17AE7" w:rsidRPr="00A17AE7" w14:paraId="418A9988"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7ACCB034" w14:textId="77777777" w:rsidR="00A17AE7" w:rsidRPr="00A17AE7" w:rsidRDefault="00A17AE7" w:rsidP="00A17AE7"/>
        </w:tc>
        <w:tc>
          <w:tcPr>
            <w:tcW w:w="3402" w:type="dxa"/>
            <w:tcMar>
              <w:top w:w="99" w:type="dxa"/>
              <w:left w:w="113" w:type="dxa"/>
              <w:bottom w:w="99" w:type="dxa"/>
              <w:right w:w="113" w:type="dxa"/>
            </w:tcMar>
            <w:vAlign w:val="center"/>
          </w:tcPr>
          <w:p w14:paraId="1990BF71" w14:textId="77777777" w:rsidR="00A17AE7" w:rsidRPr="00A17AE7" w:rsidRDefault="00A17AE7" w:rsidP="00A17AE7">
            <w:pPr>
              <w:pStyle w:val="CDIFigure-Table-BodyTextLeft"/>
            </w:pPr>
            <w:r w:rsidRPr="00A17AE7">
              <w:t>Irritability</w:t>
            </w:r>
          </w:p>
        </w:tc>
        <w:tc>
          <w:tcPr>
            <w:tcW w:w="850" w:type="dxa"/>
            <w:tcMar>
              <w:top w:w="99" w:type="dxa"/>
              <w:left w:w="113" w:type="dxa"/>
              <w:bottom w:w="99" w:type="dxa"/>
              <w:right w:w="113" w:type="dxa"/>
            </w:tcMar>
            <w:vAlign w:val="center"/>
          </w:tcPr>
          <w:p w14:paraId="610D11F7" w14:textId="77777777" w:rsidR="00A17AE7" w:rsidRPr="00A17AE7" w:rsidRDefault="00A17AE7" w:rsidP="00A17AE7">
            <w:pPr>
              <w:pStyle w:val="CDIFigure-Table-BodyTextCentre"/>
            </w:pPr>
            <w:r w:rsidRPr="00A17AE7">
              <w:t>19</w:t>
            </w:r>
          </w:p>
        </w:tc>
        <w:tc>
          <w:tcPr>
            <w:tcW w:w="851" w:type="dxa"/>
            <w:tcMar>
              <w:top w:w="99" w:type="dxa"/>
              <w:left w:w="113" w:type="dxa"/>
              <w:bottom w:w="99" w:type="dxa"/>
              <w:right w:w="113" w:type="dxa"/>
            </w:tcMar>
            <w:vAlign w:val="center"/>
          </w:tcPr>
          <w:p w14:paraId="4D77083F" w14:textId="77777777" w:rsidR="00A17AE7" w:rsidRPr="00A17AE7" w:rsidRDefault="00A17AE7" w:rsidP="00A17AE7">
            <w:pPr>
              <w:pStyle w:val="CDIFigure-Table-BodyTextCentre"/>
            </w:pPr>
            <w:r w:rsidRPr="00A17AE7">
              <w:t>19.2</w:t>
            </w:r>
          </w:p>
        </w:tc>
        <w:tc>
          <w:tcPr>
            <w:tcW w:w="850" w:type="dxa"/>
            <w:tcMar>
              <w:top w:w="99" w:type="dxa"/>
              <w:left w:w="113" w:type="dxa"/>
              <w:bottom w:w="99" w:type="dxa"/>
              <w:right w:w="113" w:type="dxa"/>
            </w:tcMar>
            <w:vAlign w:val="center"/>
          </w:tcPr>
          <w:p w14:paraId="6A8438B8" w14:textId="77777777" w:rsidR="00A17AE7" w:rsidRPr="00A17AE7" w:rsidRDefault="00A17AE7" w:rsidP="00A17AE7">
            <w:pPr>
              <w:pStyle w:val="CDIFigure-Table-BodyTextCentre"/>
            </w:pPr>
            <w:r w:rsidRPr="00A17AE7">
              <w:t>7</w:t>
            </w:r>
          </w:p>
        </w:tc>
        <w:tc>
          <w:tcPr>
            <w:tcW w:w="850" w:type="dxa"/>
            <w:tcMar>
              <w:top w:w="99" w:type="dxa"/>
              <w:left w:w="113" w:type="dxa"/>
              <w:bottom w:w="99" w:type="dxa"/>
              <w:right w:w="113" w:type="dxa"/>
            </w:tcMar>
            <w:vAlign w:val="center"/>
          </w:tcPr>
          <w:p w14:paraId="6D80D0E5" w14:textId="77777777" w:rsidR="00A17AE7" w:rsidRPr="00A17AE7" w:rsidRDefault="00A17AE7" w:rsidP="00A17AE7">
            <w:pPr>
              <w:pStyle w:val="CDIFigure-Table-BodyTextCentre"/>
            </w:pPr>
            <w:r w:rsidRPr="00A17AE7">
              <w:t>21.2</w:t>
            </w:r>
          </w:p>
        </w:tc>
        <w:tc>
          <w:tcPr>
            <w:tcW w:w="851" w:type="dxa"/>
            <w:tcMar>
              <w:top w:w="99" w:type="dxa"/>
              <w:left w:w="113" w:type="dxa"/>
              <w:bottom w:w="99" w:type="dxa"/>
              <w:right w:w="113" w:type="dxa"/>
            </w:tcMar>
            <w:vAlign w:val="center"/>
          </w:tcPr>
          <w:p w14:paraId="01DACA2C" w14:textId="77777777" w:rsidR="00A17AE7" w:rsidRPr="00A17AE7" w:rsidRDefault="00A17AE7" w:rsidP="00A17AE7">
            <w:pPr>
              <w:pStyle w:val="CDIFigure-Table-BodyTextCentre"/>
            </w:pPr>
            <w:r w:rsidRPr="00A17AE7">
              <w:t>1.000</w:t>
            </w:r>
          </w:p>
        </w:tc>
      </w:tr>
      <w:tr w:rsidR="00A17AE7" w:rsidRPr="00A17AE7" w14:paraId="1ACB9AB9"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7D30BBF0" w14:textId="77777777" w:rsidR="00A17AE7" w:rsidRPr="00A17AE7" w:rsidRDefault="00A17AE7" w:rsidP="00A17AE7"/>
        </w:tc>
        <w:tc>
          <w:tcPr>
            <w:tcW w:w="3402" w:type="dxa"/>
            <w:shd w:val="clear" w:color="auto" w:fill="F2F2F2" w:themeFill="background1" w:themeFillShade="F2"/>
            <w:tcMar>
              <w:top w:w="99" w:type="dxa"/>
              <w:left w:w="113" w:type="dxa"/>
              <w:bottom w:w="99" w:type="dxa"/>
              <w:right w:w="113" w:type="dxa"/>
            </w:tcMar>
            <w:vAlign w:val="center"/>
          </w:tcPr>
          <w:p w14:paraId="51A6EC9C" w14:textId="77777777" w:rsidR="00A17AE7" w:rsidRPr="00A17AE7" w:rsidRDefault="00A17AE7" w:rsidP="00A17AE7">
            <w:pPr>
              <w:pStyle w:val="CDIFigure-Table-BodyTextLeft"/>
            </w:pPr>
            <w:r w:rsidRPr="00A17AE7">
              <w:t>Diarrhoea</w:t>
            </w:r>
          </w:p>
        </w:tc>
        <w:tc>
          <w:tcPr>
            <w:tcW w:w="850" w:type="dxa"/>
            <w:shd w:val="clear" w:color="auto" w:fill="F2F2F2" w:themeFill="background1" w:themeFillShade="F2"/>
            <w:tcMar>
              <w:top w:w="99" w:type="dxa"/>
              <w:left w:w="113" w:type="dxa"/>
              <w:bottom w:w="99" w:type="dxa"/>
              <w:right w:w="113" w:type="dxa"/>
            </w:tcMar>
            <w:vAlign w:val="center"/>
          </w:tcPr>
          <w:p w14:paraId="0BCFF16B" w14:textId="77777777" w:rsidR="00A17AE7" w:rsidRPr="00A17AE7" w:rsidRDefault="00A17AE7" w:rsidP="00A17AE7">
            <w:pPr>
              <w:pStyle w:val="CDIFigure-Table-BodyTextCentre"/>
            </w:pPr>
            <w:r w:rsidRPr="00A17AE7">
              <w:t>9</w:t>
            </w:r>
          </w:p>
        </w:tc>
        <w:tc>
          <w:tcPr>
            <w:tcW w:w="851" w:type="dxa"/>
            <w:shd w:val="clear" w:color="auto" w:fill="F2F2F2" w:themeFill="background1" w:themeFillShade="F2"/>
            <w:tcMar>
              <w:top w:w="99" w:type="dxa"/>
              <w:left w:w="113" w:type="dxa"/>
              <w:bottom w:w="99" w:type="dxa"/>
              <w:right w:w="113" w:type="dxa"/>
            </w:tcMar>
            <w:vAlign w:val="center"/>
          </w:tcPr>
          <w:p w14:paraId="436D5A0E" w14:textId="77777777" w:rsidR="00A17AE7" w:rsidRPr="00A17AE7" w:rsidRDefault="00A17AE7" w:rsidP="00A17AE7">
            <w:pPr>
              <w:pStyle w:val="CDIFigure-Table-BodyTextCentre"/>
            </w:pPr>
            <w:r w:rsidRPr="00A17AE7">
              <w:t>9.1</w:t>
            </w:r>
          </w:p>
        </w:tc>
        <w:tc>
          <w:tcPr>
            <w:tcW w:w="850" w:type="dxa"/>
            <w:shd w:val="clear" w:color="auto" w:fill="F2F2F2" w:themeFill="background1" w:themeFillShade="F2"/>
            <w:tcMar>
              <w:top w:w="99" w:type="dxa"/>
              <w:left w:w="113" w:type="dxa"/>
              <w:bottom w:w="99" w:type="dxa"/>
              <w:right w:w="113" w:type="dxa"/>
            </w:tcMar>
            <w:vAlign w:val="center"/>
          </w:tcPr>
          <w:p w14:paraId="5524B02A" w14:textId="77777777" w:rsidR="00A17AE7" w:rsidRPr="00A17AE7" w:rsidRDefault="00A17AE7" w:rsidP="00A17AE7">
            <w:pPr>
              <w:pStyle w:val="CDIFigure-Table-BodyTextCentre"/>
            </w:pPr>
            <w:r w:rsidRPr="00A17AE7">
              <w:t>5</w:t>
            </w:r>
          </w:p>
        </w:tc>
        <w:tc>
          <w:tcPr>
            <w:tcW w:w="850" w:type="dxa"/>
            <w:shd w:val="clear" w:color="auto" w:fill="F2F2F2" w:themeFill="background1" w:themeFillShade="F2"/>
            <w:tcMar>
              <w:top w:w="99" w:type="dxa"/>
              <w:left w:w="113" w:type="dxa"/>
              <w:bottom w:w="99" w:type="dxa"/>
              <w:right w:w="113" w:type="dxa"/>
            </w:tcMar>
            <w:vAlign w:val="center"/>
          </w:tcPr>
          <w:p w14:paraId="7B87165E" w14:textId="77777777" w:rsidR="00A17AE7" w:rsidRPr="00A17AE7" w:rsidRDefault="00A17AE7" w:rsidP="00A17AE7">
            <w:pPr>
              <w:pStyle w:val="CDIFigure-Table-BodyTextCentre"/>
            </w:pPr>
            <w:r w:rsidRPr="00A17AE7">
              <w:t>15.2</w:t>
            </w:r>
          </w:p>
        </w:tc>
        <w:tc>
          <w:tcPr>
            <w:tcW w:w="851" w:type="dxa"/>
            <w:shd w:val="clear" w:color="auto" w:fill="F2F2F2" w:themeFill="background1" w:themeFillShade="F2"/>
            <w:tcMar>
              <w:top w:w="99" w:type="dxa"/>
              <w:left w:w="113" w:type="dxa"/>
              <w:bottom w:w="99" w:type="dxa"/>
              <w:right w:w="113" w:type="dxa"/>
            </w:tcMar>
            <w:vAlign w:val="center"/>
          </w:tcPr>
          <w:p w14:paraId="08720F8F" w14:textId="77777777" w:rsidR="00A17AE7" w:rsidRPr="00A17AE7" w:rsidRDefault="00A17AE7" w:rsidP="00A17AE7">
            <w:pPr>
              <w:pStyle w:val="CDIFigure-Table-BodyTextCentre"/>
            </w:pPr>
            <w:r w:rsidRPr="00A17AE7">
              <w:t>0.338</w:t>
            </w:r>
          </w:p>
        </w:tc>
      </w:tr>
      <w:tr w:rsidR="00A17AE7" w:rsidRPr="00A17AE7" w14:paraId="5C018BEF"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0FFB6069" w14:textId="77777777" w:rsidR="00A17AE7" w:rsidRPr="00A17AE7" w:rsidRDefault="00A17AE7" w:rsidP="00A17AE7"/>
        </w:tc>
        <w:tc>
          <w:tcPr>
            <w:tcW w:w="3402" w:type="dxa"/>
            <w:tcMar>
              <w:top w:w="99" w:type="dxa"/>
              <w:left w:w="113" w:type="dxa"/>
              <w:bottom w:w="99" w:type="dxa"/>
              <w:right w:w="113" w:type="dxa"/>
            </w:tcMar>
            <w:vAlign w:val="center"/>
          </w:tcPr>
          <w:p w14:paraId="39AE4E46" w14:textId="77777777" w:rsidR="00A17AE7" w:rsidRPr="00A17AE7" w:rsidRDefault="00A17AE7" w:rsidP="00A17AE7">
            <w:pPr>
              <w:pStyle w:val="CDIFigure-Table-BodyTextLeft"/>
            </w:pPr>
            <w:r w:rsidRPr="00A17AE7">
              <w:t>Sore throat</w:t>
            </w:r>
          </w:p>
        </w:tc>
        <w:tc>
          <w:tcPr>
            <w:tcW w:w="850" w:type="dxa"/>
            <w:tcMar>
              <w:top w:w="99" w:type="dxa"/>
              <w:left w:w="113" w:type="dxa"/>
              <w:bottom w:w="99" w:type="dxa"/>
              <w:right w:w="113" w:type="dxa"/>
            </w:tcMar>
            <w:vAlign w:val="center"/>
          </w:tcPr>
          <w:p w14:paraId="6EFD9AC2" w14:textId="77777777" w:rsidR="00A17AE7" w:rsidRPr="00A17AE7" w:rsidRDefault="00A17AE7" w:rsidP="00A17AE7">
            <w:pPr>
              <w:pStyle w:val="CDIFigure-Table-BodyTextCentre"/>
            </w:pPr>
            <w:r w:rsidRPr="00A17AE7">
              <w:t>1</w:t>
            </w:r>
          </w:p>
        </w:tc>
        <w:tc>
          <w:tcPr>
            <w:tcW w:w="851" w:type="dxa"/>
            <w:tcMar>
              <w:top w:w="99" w:type="dxa"/>
              <w:left w:w="113" w:type="dxa"/>
              <w:bottom w:w="99" w:type="dxa"/>
              <w:right w:w="113" w:type="dxa"/>
            </w:tcMar>
            <w:vAlign w:val="center"/>
          </w:tcPr>
          <w:p w14:paraId="122701AF" w14:textId="77777777" w:rsidR="00A17AE7" w:rsidRPr="00A17AE7" w:rsidRDefault="00A17AE7" w:rsidP="00A17AE7">
            <w:pPr>
              <w:pStyle w:val="CDIFigure-Table-BodyTextCentre"/>
            </w:pPr>
            <w:r w:rsidRPr="00A17AE7">
              <w:t>1.0</w:t>
            </w:r>
          </w:p>
        </w:tc>
        <w:tc>
          <w:tcPr>
            <w:tcW w:w="850" w:type="dxa"/>
            <w:tcMar>
              <w:top w:w="99" w:type="dxa"/>
              <w:left w:w="113" w:type="dxa"/>
              <w:bottom w:w="99" w:type="dxa"/>
              <w:right w:w="113" w:type="dxa"/>
            </w:tcMar>
            <w:vAlign w:val="center"/>
          </w:tcPr>
          <w:p w14:paraId="7D785E21" w14:textId="77777777" w:rsidR="00A17AE7" w:rsidRPr="00A17AE7" w:rsidRDefault="00A17AE7" w:rsidP="00A17AE7">
            <w:pPr>
              <w:pStyle w:val="CDIFigure-Table-BodyTextCentre"/>
            </w:pPr>
            <w:r w:rsidRPr="00A17AE7">
              <w:t>2</w:t>
            </w:r>
          </w:p>
        </w:tc>
        <w:tc>
          <w:tcPr>
            <w:tcW w:w="850" w:type="dxa"/>
            <w:tcMar>
              <w:top w:w="99" w:type="dxa"/>
              <w:left w:w="113" w:type="dxa"/>
              <w:bottom w:w="99" w:type="dxa"/>
              <w:right w:w="113" w:type="dxa"/>
            </w:tcMar>
            <w:vAlign w:val="center"/>
          </w:tcPr>
          <w:p w14:paraId="0DC003BD" w14:textId="77777777" w:rsidR="00A17AE7" w:rsidRPr="00A17AE7" w:rsidRDefault="00A17AE7" w:rsidP="00A17AE7">
            <w:pPr>
              <w:pStyle w:val="CDIFigure-Table-BodyTextCentre"/>
            </w:pPr>
            <w:r w:rsidRPr="00A17AE7">
              <w:t>6.1</w:t>
            </w:r>
          </w:p>
        </w:tc>
        <w:tc>
          <w:tcPr>
            <w:tcW w:w="851" w:type="dxa"/>
            <w:tcMar>
              <w:top w:w="99" w:type="dxa"/>
              <w:left w:w="113" w:type="dxa"/>
              <w:bottom w:w="99" w:type="dxa"/>
              <w:right w:w="113" w:type="dxa"/>
            </w:tcMar>
            <w:vAlign w:val="center"/>
          </w:tcPr>
          <w:p w14:paraId="1A5C24EE" w14:textId="77777777" w:rsidR="00A17AE7" w:rsidRPr="00A17AE7" w:rsidRDefault="00A17AE7" w:rsidP="00A17AE7">
            <w:pPr>
              <w:pStyle w:val="CDIFigure-Table-BodyTextCentre"/>
            </w:pPr>
            <w:r w:rsidRPr="00A17AE7">
              <w:t>0.154</w:t>
            </w:r>
          </w:p>
        </w:tc>
      </w:tr>
      <w:tr w:rsidR="00A17AE7" w:rsidRPr="00A17AE7" w14:paraId="35716836"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426248FC" w14:textId="77777777" w:rsidR="00A17AE7" w:rsidRPr="00A17AE7" w:rsidRDefault="00A17AE7" w:rsidP="00A17AE7"/>
        </w:tc>
        <w:tc>
          <w:tcPr>
            <w:tcW w:w="3402" w:type="dxa"/>
            <w:shd w:val="clear" w:color="auto" w:fill="F2F2F2" w:themeFill="background1" w:themeFillShade="F2"/>
            <w:tcMar>
              <w:top w:w="99" w:type="dxa"/>
              <w:left w:w="113" w:type="dxa"/>
              <w:bottom w:w="99" w:type="dxa"/>
              <w:right w:w="113" w:type="dxa"/>
            </w:tcMar>
            <w:vAlign w:val="center"/>
          </w:tcPr>
          <w:p w14:paraId="4F96BA5F" w14:textId="77777777" w:rsidR="00A17AE7" w:rsidRPr="00A17AE7" w:rsidRDefault="00A17AE7" w:rsidP="00A17AE7">
            <w:pPr>
              <w:pStyle w:val="CDIFigure-Table-BodyTextLeft"/>
            </w:pPr>
            <w:r w:rsidRPr="00A17AE7">
              <w:t>Apnoea</w:t>
            </w:r>
          </w:p>
        </w:tc>
        <w:tc>
          <w:tcPr>
            <w:tcW w:w="850" w:type="dxa"/>
            <w:shd w:val="clear" w:color="auto" w:fill="F2F2F2" w:themeFill="background1" w:themeFillShade="F2"/>
            <w:tcMar>
              <w:top w:w="99" w:type="dxa"/>
              <w:left w:w="113" w:type="dxa"/>
              <w:bottom w:w="99" w:type="dxa"/>
              <w:right w:w="113" w:type="dxa"/>
            </w:tcMar>
            <w:vAlign w:val="center"/>
          </w:tcPr>
          <w:p w14:paraId="6478ABA5" w14:textId="77777777" w:rsidR="00A17AE7" w:rsidRPr="00A17AE7" w:rsidRDefault="00A17AE7" w:rsidP="00A17AE7">
            <w:pPr>
              <w:pStyle w:val="CDIFigure-Table-BodyTextCentre"/>
            </w:pPr>
            <w:r w:rsidRPr="00A17AE7">
              <w:t>4</w:t>
            </w:r>
          </w:p>
        </w:tc>
        <w:tc>
          <w:tcPr>
            <w:tcW w:w="851" w:type="dxa"/>
            <w:shd w:val="clear" w:color="auto" w:fill="F2F2F2" w:themeFill="background1" w:themeFillShade="F2"/>
            <w:tcMar>
              <w:top w:w="99" w:type="dxa"/>
              <w:left w:w="113" w:type="dxa"/>
              <w:bottom w:w="99" w:type="dxa"/>
              <w:right w:w="113" w:type="dxa"/>
            </w:tcMar>
            <w:vAlign w:val="center"/>
          </w:tcPr>
          <w:p w14:paraId="045DD0AE" w14:textId="77777777" w:rsidR="00A17AE7" w:rsidRPr="00A17AE7" w:rsidRDefault="00A17AE7" w:rsidP="00A17AE7">
            <w:pPr>
              <w:pStyle w:val="CDIFigure-Table-BodyTextCentre"/>
            </w:pPr>
            <w:r w:rsidRPr="00A17AE7">
              <w:t>4.0</w:t>
            </w:r>
          </w:p>
        </w:tc>
        <w:tc>
          <w:tcPr>
            <w:tcW w:w="850" w:type="dxa"/>
            <w:shd w:val="clear" w:color="auto" w:fill="F2F2F2" w:themeFill="background1" w:themeFillShade="F2"/>
            <w:tcMar>
              <w:top w:w="99" w:type="dxa"/>
              <w:left w:w="113" w:type="dxa"/>
              <w:bottom w:w="99" w:type="dxa"/>
              <w:right w:w="113" w:type="dxa"/>
            </w:tcMar>
            <w:vAlign w:val="center"/>
          </w:tcPr>
          <w:p w14:paraId="1E1B60BB" w14:textId="77777777" w:rsidR="00A17AE7" w:rsidRPr="00A17AE7" w:rsidRDefault="00A17AE7" w:rsidP="00A17AE7">
            <w:pPr>
              <w:pStyle w:val="CDIFigure-Table-BodyTextCentre"/>
            </w:pPr>
            <w:r w:rsidRPr="00A17AE7">
              <w:t>0</w:t>
            </w:r>
          </w:p>
        </w:tc>
        <w:tc>
          <w:tcPr>
            <w:tcW w:w="850" w:type="dxa"/>
            <w:shd w:val="clear" w:color="auto" w:fill="F2F2F2" w:themeFill="background1" w:themeFillShade="F2"/>
            <w:tcMar>
              <w:top w:w="99" w:type="dxa"/>
              <w:left w:w="113" w:type="dxa"/>
              <w:bottom w:w="99" w:type="dxa"/>
              <w:right w:w="113" w:type="dxa"/>
            </w:tcMar>
            <w:vAlign w:val="center"/>
          </w:tcPr>
          <w:p w14:paraId="1B5A9E48" w14:textId="77777777" w:rsidR="00A17AE7" w:rsidRPr="00A17AE7" w:rsidRDefault="00A17AE7" w:rsidP="00A17AE7">
            <w:pPr>
              <w:pStyle w:val="CDIFigure-Table-BodyTextCentre"/>
            </w:pPr>
            <w:r w:rsidRPr="00A17AE7">
              <w:t>0.0</w:t>
            </w:r>
          </w:p>
        </w:tc>
        <w:tc>
          <w:tcPr>
            <w:tcW w:w="851" w:type="dxa"/>
            <w:shd w:val="clear" w:color="auto" w:fill="F2F2F2" w:themeFill="background1" w:themeFillShade="F2"/>
            <w:tcMar>
              <w:top w:w="99" w:type="dxa"/>
              <w:left w:w="113" w:type="dxa"/>
              <w:bottom w:w="99" w:type="dxa"/>
              <w:right w:w="113" w:type="dxa"/>
            </w:tcMar>
            <w:vAlign w:val="center"/>
          </w:tcPr>
          <w:p w14:paraId="7E76FA68" w14:textId="77777777" w:rsidR="00A17AE7" w:rsidRPr="00A17AE7" w:rsidRDefault="00A17AE7" w:rsidP="00A17AE7">
            <w:pPr>
              <w:pStyle w:val="CDIFigure-Table-BodyTextCentre"/>
            </w:pPr>
            <w:r w:rsidRPr="00A17AE7">
              <w:t>0.527</w:t>
            </w:r>
          </w:p>
        </w:tc>
      </w:tr>
      <w:tr w:rsidR="00A17AE7" w:rsidRPr="00A17AE7" w14:paraId="43EBD526"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5AB79FFB" w14:textId="77777777" w:rsidR="00A17AE7" w:rsidRPr="00A17AE7" w:rsidRDefault="00A17AE7" w:rsidP="00A17AE7"/>
        </w:tc>
        <w:tc>
          <w:tcPr>
            <w:tcW w:w="3402" w:type="dxa"/>
            <w:tcMar>
              <w:top w:w="99" w:type="dxa"/>
              <w:left w:w="113" w:type="dxa"/>
              <w:bottom w:w="99" w:type="dxa"/>
              <w:right w:w="113" w:type="dxa"/>
            </w:tcMar>
            <w:vAlign w:val="center"/>
          </w:tcPr>
          <w:p w14:paraId="51813B25" w14:textId="77777777" w:rsidR="00A17AE7" w:rsidRPr="00A17AE7" w:rsidRDefault="00A17AE7" w:rsidP="00A17AE7">
            <w:pPr>
              <w:pStyle w:val="CDIFigure-Table-BodyTextLeft"/>
            </w:pPr>
            <w:r w:rsidRPr="00A17AE7">
              <w:t>Syncope or atonic episode</w:t>
            </w:r>
          </w:p>
        </w:tc>
        <w:tc>
          <w:tcPr>
            <w:tcW w:w="850" w:type="dxa"/>
            <w:tcMar>
              <w:top w:w="99" w:type="dxa"/>
              <w:left w:w="113" w:type="dxa"/>
              <w:bottom w:w="99" w:type="dxa"/>
              <w:right w:w="113" w:type="dxa"/>
            </w:tcMar>
            <w:vAlign w:val="center"/>
          </w:tcPr>
          <w:p w14:paraId="65C6E7E9" w14:textId="77777777" w:rsidR="00A17AE7" w:rsidRPr="00A17AE7" w:rsidRDefault="00A17AE7" w:rsidP="00A17AE7">
            <w:pPr>
              <w:pStyle w:val="CDIFigure-Table-BodyTextCentre"/>
            </w:pPr>
            <w:r w:rsidRPr="00A17AE7">
              <w:t>1</w:t>
            </w:r>
          </w:p>
        </w:tc>
        <w:tc>
          <w:tcPr>
            <w:tcW w:w="851" w:type="dxa"/>
            <w:tcMar>
              <w:top w:w="99" w:type="dxa"/>
              <w:left w:w="113" w:type="dxa"/>
              <w:bottom w:w="99" w:type="dxa"/>
              <w:right w:w="113" w:type="dxa"/>
            </w:tcMar>
            <w:vAlign w:val="center"/>
          </w:tcPr>
          <w:p w14:paraId="1ABBBDF3" w14:textId="77777777" w:rsidR="00A17AE7" w:rsidRPr="00A17AE7" w:rsidRDefault="00A17AE7" w:rsidP="00A17AE7">
            <w:pPr>
              <w:pStyle w:val="CDIFigure-Table-BodyTextCentre"/>
            </w:pPr>
            <w:r w:rsidRPr="00A17AE7">
              <w:t>1.0</w:t>
            </w:r>
          </w:p>
        </w:tc>
        <w:tc>
          <w:tcPr>
            <w:tcW w:w="850" w:type="dxa"/>
            <w:tcMar>
              <w:top w:w="99" w:type="dxa"/>
              <w:left w:w="113" w:type="dxa"/>
              <w:bottom w:w="99" w:type="dxa"/>
              <w:right w:w="113" w:type="dxa"/>
            </w:tcMar>
            <w:vAlign w:val="center"/>
          </w:tcPr>
          <w:p w14:paraId="2F72C0C3" w14:textId="77777777" w:rsidR="00A17AE7" w:rsidRPr="00A17AE7" w:rsidRDefault="00A17AE7" w:rsidP="00A17AE7">
            <w:pPr>
              <w:pStyle w:val="CDIFigure-Table-BodyTextCentre"/>
            </w:pPr>
            <w:r w:rsidRPr="00A17AE7">
              <w:t>0</w:t>
            </w:r>
          </w:p>
        </w:tc>
        <w:tc>
          <w:tcPr>
            <w:tcW w:w="850" w:type="dxa"/>
            <w:tcMar>
              <w:top w:w="99" w:type="dxa"/>
              <w:left w:w="113" w:type="dxa"/>
              <w:bottom w:w="99" w:type="dxa"/>
              <w:right w:w="113" w:type="dxa"/>
            </w:tcMar>
            <w:vAlign w:val="center"/>
          </w:tcPr>
          <w:p w14:paraId="6059B621" w14:textId="77777777" w:rsidR="00A17AE7" w:rsidRPr="00A17AE7" w:rsidRDefault="00A17AE7" w:rsidP="00A17AE7">
            <w:pPr>
              <w:pStyle w:val="CDIFigure-Table-BodyTextCentre"/>
            </w:pPr>
            <w:r w:rsidRPr="00A17AE7">
              <w:t>0.0</w:t>
            </w:r>
          </w:p>
        </w:tc>
        <w:tc>
          <w:tcPr>
            <w:tcW w:w="851" w:type="dxa"/>
            <w:tcMar>
              <w:top w:w="99" w:type="dxa"/>
              <w:left w:w="113" w:type="dxa"/>
              <w:bottom w:w="99" w:type="dxa"/>
              <w:right w:w="113" w:type="dxa"/>
            </w:tcMar>
            <w:vAlign w:val="center"/>
          </w:tcPr>
          <w:p w14:paraId="6CAD0027" w14:textId="77777777" w:rsidR="00A17AE7" w:rsidRPr="00A17AE7" w:rsidRDefault="00A17AE7" w:rsidP="00A17AE7">
            <w:pPr>
              <w:pStyle w:val="CDIFigure-Table-BodyTextCentre"/>
            </w:pPr>
            <w:r w:rsidRPr="00A17AE7">
              <w:t>1.000</w:t>
            </w:r>
          </w:p>
        </w:tc>
      </w:tr>
      <w:tr w:rsidR="00A17AE7" w:rsidRPr="00A17AE7" w14:paraId="34A3B0A0"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495CEBBF" w14:textId="77777777" w:rsidR="00A17AE7" w:rsidRPr="00A17AE7" w:rsidRDefault="00A17AE7" w:rsidP="00A17AE7"/>
        </w:tc>
        <w:tc>
          <w:tcPr>
            <w:tcW w:w="3402" w:type="dxa"/>
            <w:shd w:val="clear" w:color="auto" w:fill="F2F2F2" w:themeFill="background1" w:themeFillShade="F2"/>
            <w:tcMar>
              <w:top w:w="99" w:type="dxa"/>
              <w:left w:w="113" w:type="dxa"/>
              <w:bottom w:w="99" w:type="dxa"/>
              <w:right w:w="113" w:type="dxa"/>
            </w:tcMar>
            <w:vAlign w:val="center"/>
          </w:tcPr>
          <w:p w14:paraId="0CCCC92B" w14:textId="77777777" w:rsidR="00A17AE7" w:rsidRPr="00A17AE7" w:rsidRDefault="00A17AE7" w:rsidP="00A17AE7">
            <w:pPr>
              <w:pStyle w:val="CDIFigure-Table-BodyTextLeft"/>
            </w:pPr>
            <w:r w:rsidRPr="00A17AE7">
              <w:t>Seizure</w:t>
            </w:r>
          </w:p>
        </w:tc>
        <w:tc>
          <w:tcPr>
            <w:tcW w:w="850" w:type="dxa"/>
            <w:shd w:val="clear" w:color="auto" w:fill="F2F2F2" w:themeFill="background1" w:themeFillShade="F2"/>
            <w:tcMar>
              <w:top w:w="99" w:type="dxa"/>
              <w:left w:w="113" w:type="dxa"/>
              <w:bottom w:w="99" w:type="dxa"/>
              <w:right w:w="113" w:type="dxa"/>
            </w:tcMar>
            <w:vAlign w:val="center"/>
          </w:tcPr>
          <w:p w14:paraId="274E34BD" w14:textId="77777777" w:rsidR="00A17AE7" w:rsidRPr="00A17AE7" w:rsidRDefault="00A17AE7" w:rsidP="00A17AE7">
            <w:pPr>
              <w:pStyle w:val="CDIFigure-Table-BodyTextCentre"/>
            </w:pPr>
            <w:r w:rsidRPr="00A17AE7">
              <w:t>1</w:t>
            </w:r>
          </w:p>
        </w:tc>
        <w:tc>
          <w:tcPr>
            <w:tcW w:w="851" w:type="dxa"/>
            <w:shd w:val="clear" w:color="auto" w:fill="F2F2F2" w:themeFill="background1" w:themeFillShade="F2"/>
            <w:tcMar>
              <w:top w:w="99" w:type="dxa"/>
              <w:left w:w="113" w:type="dxa"/>
              <w:bottom w:w="99" w:type="dxa"/>
              <w:right w:w="113" w:type="dxa"/>
            </w:tcMar>
            <w:vAlign w:val="center"/>
          </w:tcPr>
          <w:p w14:paraId="7E4A0063" w14:textId="77777777" w:rsidR="00A17AE7" w:rsidRPr="00A17AE7" w:rsidRDefault="00A17AE7" w:rsidP="00A17AE7">
            <w:pPr>
              <w:pStyle w:val="CDIFigure-Table-BodyTextCentre"/>
            </w:pPr>
            <w:r w:rsidRPr="00A17AE7">
              <w:t>1.0</w:t>
            </w:r>
          </w:p>
        </w:tc>
        <w:tc>
          <w:tcPr>
            <w:tcW w:w="850" w:type="dxa"/>
            <w:shd w:val="clear" w:color="auto" w:fill="F2F2F2" w:themeFill="background1" w:themeFillShade="F2"/>
            <w:tcMar>
              <w:top w:w="99" w:type="dxa"/>
              <w:left w:w="113" w:type="dxa"/>
              <w:bottom w:w="99" w:type="dxa"/>
              <w:right w:w="113" w:type="dxa"/>
            </w:tcMar>
            <w:vAlign w:val="center"/>
          </w:tcPr>
          <w:p w14:paraId="77FDCBF9" w14:textId="77777777" w:rsidR="00A17AE7" w:rsidRPr="00A17AE7" w:rsidRDefault="00A17AE7" w:rsidP="00A17AE7">
            <w:pPr>
              <w:pStyle w:val="CDIFigure-Table-BodyTextCentre"/>
            </w:pPr>
            <w:r w:rsidRPr="00A17AE7">
              <w:t>0</w:t>
            </w:r>
          </w:p>
        </w:tc>
        <w:tc>
          <w:tcPr>
            <w:tcW w:w="850" w:type="dxa"/>
            <w:shd w:val="clear" w:color="auto" w:fill="F2F2F2" w:themeFill="background1" w:themeFillShade="F2"/>
            <w:tcMar>
              <w:top w:w="99" w:type="dxa"/>
              <w:left w:w="113" w:type="dxa"/>
              <w:bottom w:w="99" w:type="dxa"/>
              <w:right w:w="113" w:type="dxa"/>
            </w:tcMar>
            <w:vAlign w:val="center"/>
          </w:tcPr>
          <w:p w14:paraId="5E8712F4" w14:textId="77777777" w:rsidR="00A17AE7" w:rsidRPr="00A17AE7" w:rsidRDefault="00A17AE7" w:rsidP="00A17AE7">
            <w:pPr>
              <w:pStyle w:val="CDIFigure-Table-BodyTextCentre"/>
            </w:pPr>
            <w:r w:rsidRPr="00A17AE7">
              <w:t>0.0</w:t>
            </w:r>
          </w:p>
        </w:tc>
        <w:tc>
          <w:tcPr>
            <w:tcW w:w="851" w:type="dxa"/>
            <w:shd w:val="clear" w:color="auto" w:fill="F2F2F2" w:themeFill="background1" w:themeFillShade="F2"/>
            <w:tcMar>
              <w:top w:w="99" w:type="dxa"/>
              <w:left w:w="113" w:type="dxa"/>
              <w:bottom w:w="99" w:type="dxa"/>
              <w:right w:w="113" w:type="dxa"/>
            </w:tcMar>
            <w:vAlign w:val="center"/>
          </w:tcPr>
          <w:p w14:paraId="7EEF1273" w14:textId="77777777" w:rsidR="00A17AE7" w:rsidRPr="00A17AE7" w:rsidRDefault="00A17AE7" w:rsidP="00A17AE7">
            <w:pPr>
              <w:pStyle w:val="CDIFigure-Table-BodyTextCentre"/>
            </w:pPr>
            <w:r w:rsidRPr="00A17AE7">
              <w:t>1.000</w:t>
            </w:r>
          </w:p>
        </w:tc>
      </w:tr>
      <w:tr w:rsidR="00A17AE7" w:rsidRPr="00A17AE7" w14:paraId="71F9BC50"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06BBC4DE" w14:textId="77777777" w:rsidR="00A17AE7" w:rsidRPr="00A17AE7" w:rsidRDefault="00A17AE7" w:rsidP="00A17AE7"/>
        </w:tc>
        <w:tc>
          <w:tcPr>
            <w:tcW w:w="3402" w:type="dxa"/>
            <w:tcMar>
              <w:top w:w="99" w:type="dxa"/>
              <w:left w:w="113" w:type="dxa"/>
              <w:bottom w:w="99" w:type="dxa"/>
              <w:right w:w="113" w:type="dxa"/>
            </w:tcMar>
            <w:vAlign w:val="center"/>
          </w:tcPr>
          <w:p w14:paraId="6C7C2AD9" w14:textId="77777777" w:rsidR="00A17AE7" w:rsidRPr="00A17AE7" w:rsidRDefault="00A17AE7" w:rsidP="00A17AE7">
            <w:pPr>
              <w:pStyle w:val="CDIFigure-Table-BodyTextLeft"/>
            </w:pPr>
            <w:r w:rsidRPr="00A17AE7">
              <w:t>Headache</w:t>
            </w:r>
          </w:p>
        </w:tc>
        <w:tc>
          <w:tcPr>
            <w:tcW w:w="850" w:type="dxa"/>
            <w:tcMar>
              <w:top w:w="99" w:type="dxa"/>
              <w:left w:w="113" w:type="dxa"/>
              <w:bottom w:w="99" w:type="dxa"/>
              <w:right w:w="113" w:type="dxa"/>
            </w:tcMar>
            <w:vAlign w:val="center"/>
          </w:tcPr>
          <w:p w14:paraId="7284BB7E" w14:textId="77777777" w:rsidR="00A17AE7" w:rsidRPr="00A17AE7" w:rsidRDefault="00A17AE7" w:rsidP="00A17AE7">
            <w:pPr>
              <w:pStyle w:val="CDIFigure-Table-BodyTextCentre"/>
            </w:pPr>
            <w:r w:rsidRPr="00A17AE7">
              <w:t>0</w:t>
            </w:r>
          </w:p>
        </w:tc>
        <w:tc>
          <w:tcPr>
            <w:tcW w:w="851" w:type="dxa"/>
            <w:tcMar>
              <w:top w:w="99" w:type="dxa"/>
              <w:left w:w="113" w:type="dxa"/>
              <w:bottom w:w="99" w:type="dxa"/>
              <w:right w:w="113" w:type="dxa"/>
            </w:tcMar>
            <w:vAlign w:val="center"/>
          </w:tcPr>
          <w:p w14:paraId="6919C9EE" w14:textId="77777777" w:rsidR="00A17AE7" w:rsidRPr="00A17AE7" w:rsidRDefault="00A17AE7" w:rsidP="00A17AE7">
            <w:pPr>
              <w:pStyle w:val="CDIFigure-Table-BodyTextCentre"/>
            </w:pPr>
            <w:r w:rsidRPr="00A17AE7">
              <w:t>0.0</w:t>
            </w:r>
          </w:p>
        </w:tc>
        <w:tc>
          <w:tcPr>
            <w:tcW w:w="850" w:type="dxa"/>
            <w:tcMar>
              <w:top w:w="99" w:type="dxa"/>
              <w:left w:w="113" w:type="dxa"/>
              <w:bottom w:w="99" w:type="dxa"/>
              <w:right w:w="113" w:type="dxa"/>
            </w:tcMar>
            <w:vAlign w:val="center"/>
          </w:tcPr>
          <w:p w14:paraId="1D64A4BA" w14:textId="77777777" w:rsidR="00A17AE7" w:rsidRPr="00A17AE7" w:rsidRDefault="00A17AE7" w:rsidP="00A17AE7">
            <w:pPr>
              <w:pStyle w:val="CDIFigure-Table-BodyTextCentre"/>
            </w:pPr>
            <w:r w:rsidRPr="00A17AE7">
              <w:t>1</w:t>
            </w:r>
          </w:p>
        </w:tc>
        <w:tc>
          <w:tcPr>
            <w:tcW w:w="850" w:type="dxa"/>
            <w:tcMar>
              <w:top w:w="99" w:type="dxa"/>
              <w:left w:w="113" w:type="dxa"/>
              <w:bottom w:w="99" w:type="dxa"/>
              <w:right w:w="113" w:type="dxa"/>
            </w:tcMar>
            <w:vAlign w:val="center"/>
          </w:tcPr>
          <w:p w14:paraId="39103150" w14:textId="77777777" w:rsidR="00A17AE7" w:rsidRPr="00A17AE7" w:rsidRDefault="00A17AE7" w:rsidP="00A17AE7">
            <w:pPr>
              <w:pStyle w:val="CDIFigure-Table-BodyTextCentre"/>
            </w:pPr>
            <w:r w:rsidRPr="00A17AE7">
              <w:t>3.0</w:t>
            </w:r>
          </w:p>
        </w:tc>
        <w:tc>
          <w:tcPr>
            <w:tcW w:w="851" w:type="dxa"/>
            <w:tcMar>
              <w:top w:w="99" w:type="dxa"/>
              <w:left w:w="113" w:type="dxa"/>
              <w:bottom w:w="99" w:type="dxa"/>
              <w:right w:w="113" w:type="dxa"/>
            </w:tcMar>
            <w:vAlign w:val="center"/>
          </w:tcPr>
          <w:p w14:paraId="3D409750" w14:textId="77777777" w:rsidR="00A17AE7" w:rsidRPr="00A17AE7" w:rsidRDefault="00A17AE7" w:rsidP="00A17AE7">
            <w:pPr>
              <w:pStyle w:val="CDIFigure-Table-BodyTextCentre"/>
            </w:pPr>
            <w:r w:rsidRPr="00A17AE7">
              <w:t>0.250</w:t>
            </w:r>
          </w:p>
        </w:tc>
      </w:tr>
      <w:tr w:rsidR="00A17AE7" w:rsidRPr="00A17AE7" w14:paraId="520314C1"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14BA4A9E" w14:textId="77777777" w:rsidR="00A17AE7" w:rsidRPr="00A17AE7" w:rsidRDefault="00A17AE7" w:rsidP="00A17AE7"/>
        </w:tc>
        <w:tc>
          <w:tcPr>
            <w:tcW w:w="3402"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49CD451F" w14:textId="77777777" w:rsidR="00A17AE7" w:rsidRPr="00A17AE7" w:rsidRDefault="00A17AE7" w:rsidP="00A17AE7">
            <w:pPr>
              <w:pStyle w:val="CDIFigure-Table-BodyTextLeft"/>
            </w:pPr>
            <w:r w:rsidRPr="00A17AE7">
              <w:t>Rash</w:t>
            </w:r>
          </w:p>
        </w:tc>
        <w:tc>
          <w:tcPr>
            <w:tcW w:w="850"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62E1992A" w14:textId="77777777" w:rsidR="00A17AE7" w:rsidRPr="00A17AE7" w:rsidRDefault="00A17AE7" w:rsidP="00A17AE7">
            <w:pPr>
              <w:pStyle w:val="CDIFigure-Table-BodyTextCentre"/>
            </w:pPr>
            <w:r w:rsidRPr="00A17AE7">
              <w:t>1</w:t>
            </w:r>
          </w:p>
        </w:tc>
        <w:tc>
          <w:tcPr>
            <w:tcW w:w="851"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03BDD779" w14:textId="77777777" w:rsidR="00A17AE7" w:rsidRPr="00A17AE7" w:rsidRDefault="00A17AE7" w:rsidP="00A17AE7">
            <w:pPr>
              <w:pStyle w:val="CDIFigure-Table-BodyTextCentre"/>
            </w:pPr>
            <w:r w:rsidRPr="00A17AE7">
              <w:t>1.0</w:t>
            </w:r>
          </w:p>
        </w:tc>
        <w:tc>
          <w:tcPr>
            <w:tcW w:w="850"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24FFF00F" w14:textId="77777777" w:rsidR="00A17AE7" w:rsidRPr="00A17AE7" w:rsidRDefault="00A17AE7" w:rsidP="00A17AE7">
            <w:pPr>
              <w:pStyle w:val="CDIFigure-Table-BodyTextCentre"/>
            </w:pPr>
            <w:r w:rsidRPr="00A17AE7">
              <w:t>0</w:t>
            </w:r>
          </w:p>
        </w:tc>
        <w:tc>
          <w:tcPr>
            <w:tcW w:w="850"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09A944A5" w14:textId="77777777" w:rsidR="00A17AE7" w:rsidRPr="00A17AE7" w:rsidRDefault="00A17AE7" w:rsidP="00A17AE7">
            <w:pPr>
              <w:pStyle w:val="CDIFigure-Table-BodyTextCentre"/>
            </w:pPr>
            <w:r w:rsidRPr="00A17AE7">
              <w:t>0.0</w:t>
            </w:r>
          </w:p>
        </w:tc>
        <w:tc>
          <w:tcPr>
            <w:tcW w:w="851"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3DBB3593" w14:textId="77777777" w:rsidR="00A17AE7" w:rsidRPr="00A17AE7" w:rsidRDefault="00A17AE7" w:rsidP="00A17AE7">
            <w:pPr>
              <w:pStyle w:val="CDIFigure-Table-BodyTextCentre"/>
            </w:pPr>
            <w:r w:rsidRPr="00A17AE7">
              <w:t>1.000</w:t>
            </w:r>
          </w:p>
        </w:tc>
      </w:tr>
      <w:tr w:rsidR="00A17AE7" w:rsidRPr="00A17AE7" w14:paraId="6F2409CE" w14:textId="77777777" w:rsidTr="00B121C5">
        <w:trPr>
          <w:divId w:val="935526654"/>
          <w:trHeight w:val="20"/>
        </w:trPr>
        <w:tc>
          <w:tcPr>
            <w:tcW w:w="1984" w:type="dxa"/>
            <w:vMerge w:val="restart"/>
            <w:tcBorders>
              <w:top w:val="single" w:sz="6" w:space="0" w:color="033636" w:themeColor="text2"/>
            </w:tcBorders>
            <w:shd w:val="clear" w:color="auto" w:fill="C5FFEF" w:themeFill="background2" w:themeFillTint="33"/>
            <w:tcMar>
              <w:top w:w="99" w:type="dxa"/>
              <w:left w:w="113" w:type="dxa"/>
              <w:bottom w:w="99" w:type="dxa"/>
              <w:right w:w="113" w:type="dxa"/>
            </w:tcMar>
            <w:vAlign w:val="center"/>
          </w:tcPr>
          <w:p w14:paraId="5B400D79" w14:textId="77777777" w:rsidR="00A17AE7" w:rsidRPr="00A17AE7" w:rsidRDefault="00A17AE7" w:rsidP="00B121C5">
            <w:pPr>
              <w:pStyle w:val="CDIFigure-Table-BodyTextLeft"/>
            </w:pPr>
            <w:r w:rsidRPr="00A17AE7">
              <w:t>Investigation and treatment</w:t>
            </w:r>
          </w:p>
        </w:tc>
        <w:tc>
          <w:tcPr>
            <w:tcW w:w="3402" w:type="dxa"/>
            <w:tcBorders>
              <w:top w:val="single" w:sz="6" w:space="0" w:color="033636" w:themeColor="text2"/>
            </w:tcBorders>
            <w:tcMar>
              <w:top w:w="99" w:type="dxa"/>
              <w:left w:w="113" w:type="dxa"/>
              <w:bottom w:w="99" w:type="dxa"/>
              <w:right w:w="113" w:type="dxa"/>
            </w:tcMar>
            <w:vAlign w:val="center"/>
          </w:tcPr>
          <w:p w14:paraId="4351C13C" w14:textId="77777777" w:rsidR="00A17AE7" w:rsidRPr="00A17AE7" w:rsidRDefault="00A17AE7" w:rsidP="00A17AE7">
            <w:pPr>
              <w:pStyle w:val="CDIFigure-Table-BodyTextLeft"/>
            </w:pPr>
            <w:r w:rsidRPr="00A17AE7">
              <w:t>Chest X-ray</w:t>
            </w:r>
          </w:p>
        </w:tc>
        <w:tc>
          <w:tcPr>
            <w:tcW w:w="850" w:type="dxa"/>
            <w:tcBorders>
              <w:top w:val="single" w:sz="6" w:space="0" w:color="033636" w:themeColor="text2"/>
            </w:tcBorders>
            <w:tcMar>
              <w:top w:w="99" w:type="dxa"/>
              <w:left w:w="113" w:type="dxa"/>
              <w:bottom w:w="99" w:type="dxa"/>
              <w:right w:w="113" w:type="dxa"/>
            </w:tcMar>
            <w:vAlign w:val="center"/>
          </w:tcPr>
          <w:p w14:paraId="326EF250" w14:textId="77777777" w:rsidR="00A17AE7" w:rsidRPr="00A17AE7" w:rsidRDefault="00A17AE7" w:rsidP="00A17AE7">
            <w:pPr>
              <w:pStyle w:val="CDIFigure-Table-BodyTextCentre"/>
            </w:pPr>
            <w:r w:rsidRPr="00A17AE7">
              <w:t>52</w:t>
            </w:r>
          </w:p>
        </w:tc>
        <w:tc>
          <w:tcPr>
            <w:tcW w:w="851" w:type="dxa"/>
            <w:tcBorders>
              <w:top w:val="single" w:sz="6" w:space="0" w:color="033636" w:themeColor="text2"/>
            </w:tcBorders>
            <w:tcMar>
              <w:top w:w="99" w:type="dxa"/>
              <w:left w:w="113" w:type="dxa"/>
              <w:bottom w:w="99" w:type="dxa"/>
              <w:right w:w="113" w:type="dxa"/>
            </w:tcMar>
            <w:vAlign w:val="center"/>
          </w:tcPr>
          <w:p w14:paraId="6552C6E5" w14:textId="77777777" w:rsidR="00A17AE7" w:rsidRPr="00A17AE7" w:rsidRDefault="00A17AE7" w:rsidP="00A17AE7">
            <w:pPr>
              <w:pStyle w:val="CDIFigure-Table-BodyTextCentre"/>
            </w:pPr>
            <w:r w:rsidRPr="00A17AE7">
              <w:t>52.5</w:t>
            </w:r>
          </w:p>
        </w:tc>
        <w:tc>
          <w:tcPr>
            <w:tcW w:w="850" w:type="dxa"/>
            <w:tcBorders>
              <w:top w:val="single" w:sz="6" w:space="0" w:color="033636" w:themeColor="text2"/>
            </w:tcBorders>
            <w:tcMar>
              <w:top w:w="99" w:type="dxa"/>
              <w:left w:w="113" w:type="dxa"/>
              <w:bottom w:w="99" w:type="dxa"/>
              <w:right w:w="113" w:type="dxa"/>
            </w:tcMar>
            <w:vAlign w:val="center"/>
          </w:tcPr>
          <w:p w14:paraId="33A5253F" w14:textId="77777777" w:rsidR="00A17AE7" w:rsidRPr="00A17AE7" w:rsidRDefault="00A17AE7" w:rsidP="00A17AE7">
            <w:pPr>
              <w:pStyle w:val="CDIFigure-Table-BodyTextCentre"/>
            </w:pPr>
            <w:r w:rsidRPr="00A17AE7">
              <w:t>23</w:t>
            </w:r>
          </w:p>
        </w:tc>
        <w:tc>
          <w:tcPr>
            <w:tcW w:w="850" w:type="dxa"/>
            <w:tcBorders>
              <w:top w:val="single" w:sz="6" w:space="0" w:color="033636" w:themeColor="text2"/>
            </w:tcBorders>
            <w:tcMar>
              <w:top w:w="99" w:type="dxa"/>
              <w:left w:w="113" w:type="dxa"/>
              <w:bottom w:w="99" w:type="dxa"/>
              <w:right w:w="113" w:type="dxa"/>
            </w:tcMar>
            <w:vAlign w:val="center"/>
          </w:tcPr>
          <w:p w14:paraId="6192A47F" w14:textId="77777777" w:rsidR="00A17AE7" w:rsidRPr="00A17AE7" w:rsidRDefault="00A17AE7" w:rsidP="00A17AE7">
            <w:pPr>
              <w:pStyle w:val="CDIFigure-Table-BodyTextCentre"/>
            </w:pPr>
            <w:r w:rsidRPr="00A17AE7">
              <w:t>69.7</w:t>
            </w:r>
          </w:p>
        </w:tc>
        <w:tc>
          <w:tcPr>
            <w:tcW w:w="851" w:type="dxa"/>
            <w:tcBorders>
              <w:top w:val="single" w:sz="6" w:space="0" w:color="033636" w:themeColor="text2"/>
            </w:tcBorders>
            <w:tcMar>
              <w:top w:w="99" w:type="dxa"/>
              <w:left w:w="113" w:type="dxa"/>
              <w:bottom w:w="99" w:type="dxa"/>
              <w:right w:w="113" w:type="dxa"/>
            </w:tcMar>
            <w:vAlign w:val="center"/>
          </w:tcPr>
          <w:p w14:paraId="51BD8855" w14:textId="77777777" w:rsidR="00A17AE7" w:rsidRPr="00A17AE7" w:rsidRDefault="00A17AE7" w:rsidP="00A17AE7">
            <w:pPr>
              <w:pStyle w:val="CDIFigure-Table-BodyTextCentre"/>
            </w:pPr>
            <w:r w:rsidRPr="00A17AE7">
              <w:t>0.128</w:t>
            </w:r>
          </w:p>
        </w:tc>
      </w:tr>
      <w:tr w:rsidR="00A17AE7" w:rsidRPr="00A17AE7" w14:paraId="1472707B" w14:textId="77777777" w:rsidTr="00A17AE7">
        <w:trPr>
          <w:divId w:val="935526654"/>
          <w:trHeight w:val="20"/>
        </w:trPr>
        <w:tc>
          <w:tcPr>
            <w:tcW w:w="1984" w:type="dxa"/>
            <w:vMerge/>
            <w:shd w:val="clear" w:color="auto" w:fill="C5FFEF" w:themeFill="background2" w:themeFillTint="33"/>
          </w:tcPr>
          <w:p w14:paraId="54991760" w14:textId="77777777" w:rsidR="00A17AE7" w:rsidRPr="00A17AE7" w:rsidRDefault="00A17AE7" w:rsidP="00A17AE7"/>
        </w:tc>
        <w:tc>
          <w:tcPr>
            <w:tcW w:w="3402" w:type="dxa"/>
            <w:shd w:val="clear" w:color="auto" w:fill="F2F2F2" w:themeFill="background1" w:themeFillShade="F2"/>
            <w:tcMar>
              <w:top w:w="99" w:type="dxa"/>
              <w:left w:w="113" w:type="dxa"/>
              <w:bottom w:w="99" w:type="dxa"/>
              <w:right w:w="113" w:type="dxa"/>
            </w:tcMar>
            <w:vAlign w:val="center"/>
          </w:tcPr>
          <w:p w14:paraId="10229B50" w14:textId="77777777" w:rsidR="00A17AE7" w:rsidRPr="00A17AE7" w:rsidRDefault="00A17AE7" w:rsidP="00A17AE7">
            <w:pPr>
              <w:pStyle w:val="CDIFigure-Table-BodyTextLeft"/>
            </w:pPr>
            <w:r w:rsidRPr="00A17AE7">
              <w:t>Bronchodilators</w:t>
            </w:r>
          </w:p>
        </w:tc>
        <w:tc>
          <w:tcPr>
            <w:tcW w:w="850" w:type="dxa"/>
            <w:shd w:val="clear" w:color="auto" w:fill="F2F2F2" w:themeFill="background1" w:themeFillShade="F2"/>
            <w:tcMar>
              <w:top w:w="99" w:type="dxa"/>
              <w:left w:w="113" w:type="dxa"/>
              <w:bottom w:w="99" w:type="dxa"/>
              <w:right w:w="113" w:type="dxa"/>
            </w:tcMar>
            <w:vAlign w:val="center"/>
          </w:tcPr>
          <w:p w14:paraId="1AAD12F3" w14:textId="77777777" w:rsidR="00A17AE7" w:rsidRPr="00A17AE7" w:rsidRDefault="00A17AE7" w:rsidP="00A17AE7">
            <w:pPr>
              <w:pStyle w:val="CDIFigure-Table-BodyTextCentre"/>
            </w:pPr>
            <w:r w:rsidRPr="00A17AE7">
              <w:t>38</w:t>
            </w:r>
          </w:p>
        </w:tc>
        <w:tc>
          <w:tcPr>
            <w:tcW w:w="851" w:type="dxa"/>
            <w:shd w:val="clear" w:color="auto" w:fill="F2F2F2" w:themeFill="background1" w:themeFillShade="F2"/>
            <w:tcMar>
              <w:top w:w="99" w:type="dxa"/>
              <w:left w:w="113" w:type="dxa"/>
              <w:bottom w:w="99" w:type="dxa"/>
              <w:right w:w="113" w:type="dxa"/>
            </w:tcMar>
            <w:vAlign w:val="center"/>
          </w:tcPr>
          <w:p w14:paraId="7CBCA14E" w14:textId="77777777" w:rsidR="00A17AE7" w:rsidRPr="00A17AE7" w:rsidRDefault="00A17AE7" w:rsidP="00A17AE7">
            <w:pPr>
              <w:pStyle w:val="CDIFigure-Table-BodyTextCentre"/>
            </w:pPr>
            <w:r w:rsidRPr="00A17AE7">
              <w:t>38.4</w:t>
            </w:r>
          </w:p>
        </w:tc>
        <w:tc>
          <w:tcPr>
            <w:tcW w:w="850" w:type="dxa"/>
            <w:shd w:val="clear" w:color="auto" w:fill="F2F2F2" w:themeFill="background1" w:themeFillShade="F2"/>
            <w:tcMar>
              <w:top w:w="99" w:type="dxa"/>
              <w:left w:w="113" w:type="dxa"/>
              <w:bottom w:w="99" w:type="dxa"/>
              <w:right w:w="113" w:type="dxa"/>
            </w:tcMar>
            <w:vAlign w:val="center"/>
          </w:tcPr>
          <w:p w14:paraId="6B8533E8" w14:textId="77777777" w:rsidR="00A17AE7" w:rsidRPr="00A17AE7" w:rsidRDefault="00A17AE7" w:rsidP="00A17AE7">
            <w:pPr>
              <w:pStyle w:val="CDIFigure-Table-BodyTextCentre"/>
            </w:pPr>
            <w:r w:rsidRPr="00A17AE7">
              <w:t>19</w:t>
            </w:r>
          </w:p>
        </w:tc>
        <w:tc>
          <w:tcPr>
            <w:tcW w:w="850" w:type="dxa"/>
            <w:shd w:val="clear" w:color="auto" w:fill="F2F2F2" w:themeFill="background1" w:themeFillShade="F2"/>
            <w:tcMar>
              <w:top w:w="99" w:type="dxa"/>
              <w:left w:w="113" w:type="dxa"/>
              <w:bottom w:w="99" w:type="dxa"/>
              <w:right w:w="113" w:type="dxa"/>
            </w:tcMar>
            <w:vAlign w:val="center"/>
          </w:tcPr>
          <w:p w14:paraId="70252DCF" w14:textId="77777777" w:rsidR="00A17AE7" w:rsidRPr="00A17AE7" w:rsidRDefault="00A17AE7" w:rsidP="00A17AE7">
            <w:pPr>
              <w:pStyle w:val="CDIFigure-Table-BodyTextCentre"/>
            </w:pPr>
            <w:r w:rsidRPr="00A17AE7">
              <w:t>57.6</w:t>
            </w:r>
          </w:p>
        </w:tc>
        <w:tc>
          <w:tcPr>
            <w:tcW w:w="851" w:type="dxa"/>
            <w:shd w:val="clear" w:color="auto" w:fill="F2F2F2" w:themeFill="background1" w:themeFillShade="F2"/>
            <w:tcMar>
              <w:top w:w="99" w:type="dxa"/>
              <w:left w:w="113" w:type="dxa"/>
              <w:bottom w:w="99" w:type="dxa"/>
              <w:right w:w="113" w:type="dxa"/>
            </w:tcMar>
            <w:vAlign w:val="center"/>
          </w:tcPr>
          <w:p w14:paraId="5D5B5901" w14:textId="77777777" w:rsidR="00A17AE7" w:rsidRPr="00A17AE7" w:rsidRDefault="00A17AE7" w:rsidP="00A17AE7">
            <w:pPr>
              <w:pStyle w:val="CDIFigure-Table-BodyTextCentre"/>
            </w:pPr>
            <w:r w:rsidRPr="00A17AE7">
              <w:t>0.085</w:t>
            </w:r>
          </w:p>
        </w:tc>
      </w:tr>
      <w:tr w:rsidR="00A17AE7" w:rsidRPr="00A17AE7" w14:paraId="5100F889" w14:textId="77777777" w:rsidTr="00A17AE7">
        <w:trPr>
          <w:divId w:val="935526654"/>
          <w:trHeight w:val="20"/>
        </w:trPr>
        <w:tc>
          <w:tcPr>
            <w:tcW w:w="1984" w:type="dxa"/>
            <w:vMerge/>
            <w:shd w:val="clear" w:color="auto" w:fill="C5FFEF" w:themeFill="background2" w:themeFillTint="33"/>
          </w:tcPr>
          <w:p w14:paraId="0551CE7E" w14:textId="77777777" w:rsidR="00A17AE7" w:rsidRPr="00A17AE7" w:rsidRDefault="00A17AE7" w:rsidP="00A17AE7"/>
        </w:tc>
        <w:tc>
          <w:tcPr>
            <w:tcW w:w="3402" w:type="dxa"/>
            <w:tcMar>
              <w:top w:w="99" w:type="dxa"/>
              <w:left w:w="113" w:type="dxa"/>
              <w:bottom w:w="99" w:type="dxa"/>
              <w:right w:w="113" w:type="dxa"/>
            </w:tcMar>
            <w:vAlign w:val="center"/>
          </w:tcPr>
          <w:p w14:paraId="2E6B66E8" w14:textId="77777777" w:rsidR="00A17AE7" w:rsidRPr="00A17AE7" w:rsidRDefault="00A17AE7" w:rsidP="00A17AE7">
            <w:pPr>
              <w:pStyle w:val="CDIFigure-Table-BodyTextLeft"/>
            </w:pPr>
            <w:r w:rsidRPr="00A17AE7">
              <w:t>Corticosteroids</w:t>
            </w:r>
          </w:p>
        </w:tc>
        <w:tc>
          <w:tcPr>
            <w:tcW w:w="850" w:type="dxa"/>
            <w:tcMar>
              <w:top w:w="99" w:type="dxa"/>
              <w:left w:w="113" w:type="dxa"/>
              <w:bottom w:w="99" w:type="dxa"/>
              <w:right w:w="113" w:type="dxa"/>
            </w:tcMar>
            <w:vAlign w:val="center"/>
          </w:tcPr>
          <w:p w14:paraId="69578F6C" w14:textId="77777777" w:rsidR="00A17AE7" w:rsidRPr="00A17AE7" w:rsidRDefault="00A17AE7" w:rsidP="00A17AE7">
            <w:pPr>
              <w:pStyle w:val="CDIFigure-Table-BodyTextCentre"/>
            </w:pPr>
            <w:r w:rsidRPr="00A17AE7">
              <w:t>33</w:t>
            </w:r>
          </w:p>
        </w:tc>
        <w:tc>
          <w:tcPr>
            <w:tcW w:w="851" w:type="dxa"/>
            <w:tcMar>
              <w:top w:w="99" w:type="dxa"/>
              <w:left w:w="113" w:type="dxa"/>
              <w:bottom w:w="99" w:type="dxa"/>
              <w:right w:w="113" w:type="dxa"/>
            </w:tcMar>
            <w:vAlign w:val="center"/>
          </w:tcPr>
          <w:p w14:paraId="5F260477" w14:textId="77777777" w:rsidR="00A17AE7" w:rsidRPr="00A17AE7" w:rsidRDefault="00A17AE7" w:rsidP="00A17AE7">
            <w:pPr>
              <w:pStyle w:val="CDIFigure-Table-BodyTextCentre"/>
            </w:pPr>
            <w:r w:rsidRPr="00A17AE7">
              <w:t>33.3</w:t>
            </w:r>
          </w:p>
        </w:tc>
        <w:tc>
          <w:tcPr>
            <w:tcW w:w="850" w:type="dxa"/>
            <w:tcMar>
              <w:top w:w="99" w:type="dxa"/>
              <w:left w:w="113" w:type="dxa"/>
              <w:bottom w:w="99" w:type="dxa"/>
              <w:right w:w="113" w:type="dxa"/>
            </w:tcMar>
            <w:vAlign w:val="center"/>
          </w:tcPr>
          <w:p w14:paraId="50862817" w14:textId="77777777" w:rsidR="00A17AE7" w:rsidRPr="00A17AE7" w:rsidRDefault="00A17AE7" w:rsidP="00A17AE7">
            <w:pPr>
              <w:pStyle w:val="CDIFigure-Table-BodyTextCentre"/>
            </w:pPr>
            <w:r w:rsidRPr="00A17AE7">
              <w:t>16</w:t>
            </w:r>
          </w:p>
        </w:tc>
        <w:tc>
          <w:tcPr>
            <w:tcW w:w="850" w:type="dxa"/>
            <w:tcMar>
              <w:top w:w="99" w:type="dxa"/>
              <w:left w:w="113" w:type="dxa"/>
              <w:bottom w:w="99" w:type="dxa"/>
              <w:right w:w="113" w:type="dxa"/>
            </w:tcMar>
            <w:vAlign w:val="center"/>
          </w:tcPr>
          <w:p w14:paraId="45BCD28C" w14:textId="77777777" w:rsidR="00A17AE7" w:rsidRPr="00A17AE7" w:rsidRDefault="00A17AE7" w:rsidP="00A17AE7">
            <w:pPr>
              <w:pStyle w:val="CDIFigure-Table-BodyTextCentre"/>
            </w:pPr>
            <w:r w:rsidRPr="00A17AE7">
              <w:t>48.5</w:t>
            </w:r>
          </w:p>
        </w:tc>
        <w:tc>
          <w:tcPr>
            <w:tcW w:w="851" w:type="dxa"/>
            <w:tcMar>
              <w:top w:w="99" w:type="dxa"/>
              <w:left w:w="113" w:type="dxa"/>
              <w:bottom w:w="99" w:type="dxa"/>
              <w:right w:w="113" w:type="dxa"/>
            </w:tcMar>
            <w:vAlign w:val="center"/>
          </w:tcPr>
          <w:p w14:paraId="77E616AE" w14:textId="77777777" w:rsidR="00A17AE7" w:rsidRPr="00A17AE7" w:rsidRDefault="00A17AE7" w:rsidP="00A17AE7">
            <w:pPr>
              <w:pStyle w:val="CDIFigure-Table-BodyTextCentre"/>
            </w:pPr>
            <w:r w:rsidRPr="00A17AE7">
              <w:t>0.176</w:t>
            </w:r>
          </w:p>
        </w:tc>
      </w:tr>
      <w:tr w:rsidR="00A17AE7" w:rsidRPr="00A17AE7" w14:paraId="4B1E3A06" w14:textId="77777777" w:rsidTr="00A17AE7">
        <w:trPr>
          <w:divId w:val="935526654"/>
          <w:trHeight w:val="20"/>
        </w:trPr>
        <w:tc>
          <w:tcPr>
            <w:tcW w:w="1984" w:type="dxa"/>
            <w:vMerge/>
            <w:shd w:val="clear" w:color="auto" w:fill="C5FFEF" w:themeFill="background2" w:themeFillTint="33"/>
          </w:tcPr>
          <w:p w14:paraId="2D4B8C31" w14:textId="77777777" w:rsidR="00A17AE7" w:rsidRPr="00A17AE7" w:rsidRDefault="00A17AE7" w:rsidP="00A17AE7"/>
        </w:tc>
        <w:tc>
          <w:tcPr>
            <w:tcW w:w="3402" w:type="dxa"/>
            <w:shd w:val="clear" w:color="auto" w:fill="F2F2F2" w:themeFill="background1" w:themeFillShade="F2"/>
            <w:tcMar>
              <w:top w:w="99" w:type="dxa"/>
              <w:left w:w="113" w:type="dxa"/>
              <w:bottom w:w="99" w:type="dxa"/>
              <w:right w:w="113" w:type="dxa"/>
            </w:tcMar>
            <w:vAlign w:val="center"/>
          </w:tcPr>
          <w:p w14:paraId="464E0745" w14:textId="77777777" w:rsidR="00A17AE7" w:rsidRPr="00A17AE7" w:rsidRDefault="00A17AE7" w:rsidP="00A17AE7">
            <w:pPr>
              <w:pStyle w:val="CDIFigure-Table-BodyTextLeft"/>
            </w:pPr>
            <w:r w:rsidRPr="00A17AE7">
              <w:t>Nasogastric fluids</w:t>
            </w:r>
          </w:p>
        </w:tc>
        <w:tc>
          <w:tcPr>
            <w:tcW w:w="850" w:type="dxa"/>
            <w:shd w:val="clear" w:color="auto" w:fill="F2F2F2" w:themeFill="background1" w:themeFillShade="F2"/>
            <w:tcMar>
              <w:top w:w="99" w:type="dxa"/>
              <w:left w:w="113" w:type="dxa"/>
              <w:bottom w:w="99" w:type="dxa"/>
              <w:right w:w="113" w:type="dxa"/>
            </w:tcMar>
            <w:vAlign w:val="center"/>
          </w:tcPr>
          <w:p w14:paraId="3A79C93E" w14:textId="77777777" w:rsidR="00A17AE7" w:rsidRPr="00A17AE7" w:rsidRDefault="00A17AE7" w:rsidP="00A17AE7">
            <w:pPr>
              <w:pStyle w:val="CDIFigure-Table-BodyTextCentre"/>
            </w:pPr>
            <w:r w:rsidRPr="00A17AE7">
              <w:t>39</w:t>
            </w:r>
          </w:p>
        </w:tc>
        <w:tc>
          <w:tcPr>
            <w:tcW w:w="851" w:type="dxa"/>
            <w:shd w:val="clear" w:color="auto" w:fill="F2F2F2" w:themeFill="background1" w:themeFillShade="F2"/>
            <w:tcMar>
              <w:top w:w="99" w:type="dxa"/>
              <w:left w:w="113" w:type="dxa"/>
              <w:bottom w:w="99" w:type="dxa"/>
              <w:right w:w="113" w:type="dxa"/>
            </w:tcMar>
            <w:vAlign w:val="center"/>
          </w:tcPr>
          <w:p w14:paraId="6D2A2DEE" w14:textId="77777777" w:rsidR="00A17AE7" w:rsidRPr="00A17AE7" w:rsidRDefault="00A17AE7" w:rsidP="00A17AE7">
            <w:pPr>
              <w:pStyle w:val="CDIFigure-Table-BodyTextCentre"/>
            </w:pPr>
            <w:r w:rsidRPr="00A17AE7">
              <w:t>39.4</w:t>
            </w:r>
          </w:p>
        </w:tc>
        <w:tc>
          <w:tcPr>
            <w:tcW w:w="850" w:type="dxa"/>
            <w:shd w:val="clear" w:color="auto" w:fill="F2F2F2" w:themeFill="background1" w:themeFillShade="F2"/>
            <w:tcMar>
              <w:top w:w="99" w:type="dxa"/>
              <w:left w:w="113" w:type="dxa"/>
              <w:bottom w:w="99" w:type="dxa"/>
              <w:right w:w="113" w:type="dxa"/>
            </w:tcMar>
            <w:vAlign w:val="center"/>
          </w:tcPr>
          <w:p w14:paraId="0630FE92" w14:textId="77777777" w:rsidR="00A17AE7" w:rsidRPr="00A17AE7" w:rsidRDefault="00A17AE7" w:rsidP="00A17AE7">
            <w:pPr>
              <w:pStyle w:val="CDIFigure-Table-BodyTextCentre"/>
            </w:pPr>
            <w:r w:rsidRPr="00A17AE7">
              <w:t>4</w:t>
            </w:r>
          </w:p>
        </w:tc>
        <w:tc>
          <w:tcPr>
            <w:tcW w:w="850" w:type="dxa"/>
            <w:shd w:val="clear" w:color="auto" w:fill="F2F2F2" w:themeFill="background1" w:themeFillShade="F2"/>
            <w:tcMar>
              <w:top w:w="99" w:type="dxa"/>
              <w:left w:w="113" w:type="dxa"/>
              <w:bottom w:w="99" w:type="dxa"/>
              <w:right w:w="113" w:type="dxa"/>
            </w:tcMar>
            <w:vAlign w:val="center"/>
          </w:tcPr>
          <w:p w14:paraId="20A2EB4D" w14:textId="77777777" w:rsidR="00A17AE7" w:rsidRPr="00A17AE7" w:rsidRDefault="00A17AE7" w:rsidP="00A17AE7">
            <w:pPr>
              <w:pStyle w:val="CDIFigure-Table-BodyTextCentre"/>
            </w:pPr>
            <w:r w:rsidRPr="00A17AE7">
              <w:t>12.1</w:t>
            </w:r>
          </w:p>
        </w:tc>
        <w:tc>
          <w:tcPr>
            <w:tcW w:w="851" w:type="dxa"/>
            <w:shd w:val="clear" w:color="auto" w:fill="F2F2F2" w:themeFill="background1" w:themeFillShade="F2"/>
            <w:tcMar>
              <w:top w:w="99" w:type="dxa"/>
              <w:left w:w="113" w:type="dxa"/>
              <w:bottom w:w="99" w:type="dxa"/>
              <w:right w:w="113" w:type="dxa"/>
            </w:tcMar>
            <w:vAlign w:val="center"/>
          </w:tcPr>
          <w:p w14:paraId="2529AEA8" w14:textId="77777777" w:rsidR="00A17AE7" w:rsidRPr="00B121C5" w:rsidRDefault="00A17AE7" w:rsidP="00A17AE7">
            <w:pPr>
              <w:pStyle w:val="CDIFigure-Table-BodyTextCentre"/>
              <w:rPr>
                <w:b/>
                <w:bCs/>
              </w:rPr>
            </w:pPr>
            <w:r w:rsidRPr="00B121C5">
              <w:rPr>
                <w:b/>
                <w:bCs/>
              </w:rPr>
              <w:t>0.007</w:t>
            </w:r>
          </w:p>
        </w:tc>
      </w:tr>
      <w:tr w:rsidR="00A17AE7" w:rsidRPr="00A17AE7" w14:paraId="3C28185A" w14:textId="77777777" w:rsidTr="00A17AE7">
        <w:trPr>
          <w:divId w:val="935526654"/>
          <w:trHeight w:val="20"/>
        </w:trPr>
        <w:tc>
          <w:tcPr>
            <w:tcW w:w="1984" w:type="dxa"/>
            <w:vMerge/>
            <w:shd w:val="clear" w:color="auto" w:fill="C5FFEF" w:themeFill="background2" w:themeFillTint="33"/>
          </w:tcPr>
          <w:p w14:paraId="61A4CD99" w14:textId="77777777" w:rsidR="00A17AE7" w:rsidRPr="00A17AE7" w:rsidRDefault="00A17AE7" w:rsidP="00A17AE7"/>
        </w:tc>
        <w:tc>
          <w:tcPr>
            <w:tcW w:w="3402" w:type="dxa"/>
            <w:tcMar>
              <w:top w:w="99" w:type="dxa"/>
              <w:left w:w="113" w:type="dxa"/>
              <w:bottom w:w="99" w:type="dxa"/>
              <w:right w:w="113" w:type="dxa"/>
            </w:tcMar>
            <w:vAlign w:val="center"/>
          </w:tcPr>
          <w:p w14:paraId="0A70431F" w14:textId="77777777" w:rsidR="00A17AE7" w:rsidRPr="00A17AE7" w:rsidRDefault="00A17AE7" w:rsidP="00A17AE7">
            <w:pPr>
              <w:pStyle w:val="CDIFigure-Table-BodyTextLeft"/>
            </w:pPr>
            <w:r w:rsidRPr="00A17AE7">
              <w:t>Intravenous fluids</w:t>
            </w:r>
          </w:p>
        </w:tc>
        <w:tc>
          <w:tcPr>
            <w:tcW w:w="850" w:type="dxa"/>
            <w:tcMar>
              <w:top w:w="99" w:type="dxa"/>
              <w:left w:w="113" w:type="dxa"/>
              <w:bottom w:w="99" w:type="dxa"/>
              <w:right w:w="113" w:type="dxa"/>
            </w:tcMar>
            <w:vAlign w:val="center"/>
          </w:tcPr>
          <w:p w14:paraId="0FCBBC41" w14:textId="77777777" w:rsidR="00A17AE7" w:rsidRPr="00A17AE7" w:rsidRDefault="00A17AE7" w:rsidP="00A17AE7">
            <w:pPr>
              <w:pStyle w:val="CDIFigure-Table-BodyTextCentre"/>
            </w:pPr>
            <w:r w:rsidRPr="00A17AE7">
              <w:t>14</w:t>
            </w:r>
          </w:p>
        </w:tc>
        <w:tc>
          <w:tcPr>
            <w:tcW w:w="851" w:type="dxa"/>
            <w:tcMar>
              <w:top w:w="99" w:type="dxa"/>
              <w:left w:w="113" w:type="dxa"/>
              <w:bottom w:w="99" w:type="dxa"/>
              <w:right w:w="113" w:type="dxa"/>
            </w:tcMar>
            <w:vAlign w:val="center"/>
          </w:tcPr>
          <w:p w14:paraId="1601C1BD" w14:textId="77777777" w:rsidR="00A17AE7" w:rsidRPr="00A17AE7" w:rsidRDefault="00A17AE7" w:rsidP="00A17AE7">
            <w:pPr>
              <w:pStyle w:val="CDIFigure-Table-BodyTextCentre"/>
            </w:pPr>
            <w:r w:rsidRPr="00A17AE7">
              <w:t>14.1</w:t>
            </w:r>
          </w:p>
        </w:tc>
        <w:tc>
          <w:tcPr>
            <w:tcW w:w="850" w:type="dxa"/>
            <w:tcMar>
              <w:top w:w="99" w:type="dxa"/>
              <w:left w:w="113" w:type="dxa"/>
              <w:bottom w:w="99" w:type="dxa"/>
              <w:right w:w="113" w:type="dxa"/>
            </w:tcMar>
            <w:vAlign w:val="center"/>
          </w:tcPr>
          <w:p w14:paraId="5C722502" w14:textId="77777777" w:rsidR="00A17AE7" w:rsidRPr="00A17AE7" w:rsidRDefault="00A17AE7" w:rsidP="00A17AE7">
            <w:pPr>
              <w:pStyle w:val="CDIFigure-Table-BodyTextCentre"/>
            </w:pPr>
            <w:r w:rsidRPr="00A17AE7">
              <w:t>12</w:t>
            </w:r>
          </w:p>
        </w:tc>
        <w:tc>
          <w:tcPr>
            <w:tcW w:w="850" w:type="dxa"/>
            <w:tcMar>
              <w:top w:w="99" w:type="dxa"/>
              <w:left w:w="113" w:type="dxa"/>
              <w:bottom w:w="99" w:type="dxa"/>
              <w:right w:w="113" w:type="dxa"/>
            </w:tcMar>
            <w:vAlign w:val="center"/>
          </w:tcPr>
          <w:p w14:paraId="2202A428" w14:textId="77777777" w:rsidR="00A17AE7" w:rsidRPr="00A17AE7" w:rsidRDefault="00A17AE7" w:rsidP="00A17AE7">
            <w:pPr>
              <w:pStyle w:val="CDIFigure-Table-BodyTextCentre"/>
            </w:pPr>
            <w:r w:rsidRPr="00A17AE7">
              <w:t>36.4</w:t>
            </w:r>
          </w:p>
        </w:tc>
        <w:tc>
          <w:tcPr>
            <w:tcW w:w="851" w:type="dxa"/>
            <w:tcMar>
              <w:top w:w="99" w:type="dxa"/>
              <w:left w:w="113" w:type="dxa"/>
              <w:bottom w:w="99" w:type="dxa"/>
              <w:right w:w="113" w:type="dxa"/>
            </w:tcMar>
            <w:vAlign w:val="center"/>
          </w:tcPr>
          <w:p w14:paraId="5A60519F" w14:textId="77777777" w:rsidR="00A17AE7" w:rsidRPr="00B121C5" w:rsidRDefault="00A17AE7" w:rsidP="00A17AE7">
            <w:pPr>
              <w:pStyle w:val="CDIFigure-Table-BodyTextCentre"/>
              <w:rPr>
                <w:b/>
                <w:bCs/>
              </w:rPr>
            </w:pPr>
            <w:r w:rsidRPr="00B121C5">
              <w:rPr>
                <w:b/>
                <w:bCs/>
              </w:rPr>
              <w:t>0.010</w:t>
            </w:r>
          </w:p>
        </w:tc>
      </w:tr>
      <w:tr w:rsidR="00A17AE7" w:rsidRPr="00A17AE7" w14:paraId="245C8158" w14:textId="77777777" w:rsidTr="00A17AE7">
        <w:trPr>
          <w:divId w:val="935526654"/>
          <w:trHeight w:val="20"/>
        </w:trPr>
        <w:tc>
          <w:tcPr>
            <w:tcW w:w="1984" w:type="dxa"/>
            <w:vMerge/>
            <w:shd w:val="clear" w:color="auto" w:fill="C5FFEF" w:themeFill="background2" w:themeFillTint="33"/>
          </w:tcPr>
          <w:p w14:paraId="693B1B7F" w14:textId="77777777" w:rsidR="00A17AE7" w:rsidRPr="00A17AE7" w:rsidRDefault="00A17AE7" w:rsidP="00A17AE7"/>
        </w:tc>
        <w:tc>
          <w:tcPr>
            <w:tcW w:w="3402" w:type="dxa"/>
            <w:shd w:val="clear" w:color="auto" w:fill="F2F2F2" w:themeFill="background1" w:themeFillShade="F2"/>
            <w:tcMar>
              <w:top w:w="99" w:type="dxa"/>
              <w:left w:w="113" w:type="dxa"/>
              <w:bottom w:w="99" w:type="dxa"/>
              <w:right w:w="113" w:type="dxa"/>
            </w:tcMar>
            <w:vAlign w:val="center"/>
          </w:tcPr>
          <w:p w14:paraId="1B9AB912" w14:textId="77777777" w:rsidR="00A17AE7" w:rsidRPr="00A17AE7" w:rsidRDefault="00A17AE7" w:rsidP="00A17AE7">
            <w:pPr>
              <w:pStyle w:val="CDIFigure-Table-BodyTextLeft"/>
            </w:pPr>
            <w:r w:rsidRPr="00A17AE7">
              <w:t>Antibiotics</w:t>
            </w:r>
          </w:p>
        </w:tc>
        <w:tc>
          <w:tcPr>
            <w:tcW w:w="850" w:type="dxa"/>
            <w:shd w:val="clear" w:color="auto" w:fill="F2F2F2" w:themeFill="background1" w:themeFillShade="F2"/>
            <w:tcMar>
              <w:top w:w="99" w:type="dxa"/>
              <w:left w:w="113" w:type="dxa"/>
              <w:bottom w:w="99" w:type="dxa"/>
              <w:right w:w="113" w:type="dxa"/>
            </w:tcMar>
            <w:vAlign w:val="center"/>
          </w:tcPr>
          <w:p w14:paraId="19BAAA87" w14:textId="77777777" w:rsidR="00A17AE7" w:rsidRPr="00A17AE7" w:rsidRDefault="00A17AE7" w:rsidP="00A17AE7">
            <w:pPr>
              <w:pStyle w:val="CDIFigure-Table-BodyTextCentre"/>
            </w:pPr>
            <w:r w:rsidRPr="00A17AE7">
              <w:t>48</w:t>
            </w:r>
          </w:p>
        </w:tc>
        <w:tc>
          <w:tcPr>
            <w:tcW w:w="851" w:type="dxa"/>
            <w:shd w:val="clear" w:color="auto" w:fill="F2F2F2" w:themeFill="background1" w:themeFillShade="F2"/>
            <w:tcMar>
              <w:top w:w="99" w:type="dxa"/>
              <w:left w:w="113" w:type="dxa"/>
              <w:bottom w:w="99" w:type="dxa"/>
              <w:right w:w="113" w:type="dxa"/>
            </w:tcMar>
            <w:vAlign w:val="center"/>
          </w:tcPr>
          <w:p w14:paraId="292CBF5B" w14:textId="77777777" w:rsidR="00A17AE7" w:rsidRPr="00A17AE7" w:rsidRDefault="00A17AE7" w:rsidP="00A17AE7">
            <w:pPr>
              <w:pStyle w:val="CDIFigure-Table-BodyTextCentre"/>
            </w:pPr>
            <w:r w:rsidRPr="00A17AE7">
              <w:t>48.5</w:t>
            </w:r>
          </w:p>
        </w:tc>
        <w:tc>
          <w:tcPr>
            <w:tcW w:w="850" w:type="dxa"/>
            <w:shd w:val="clear" w:color="auto" w:fill="F2F2F2" w:themeFill="background1" w:themeFillShade="F2"/>
            <w:tcMar>
              <w:top w:w="99" w:type="dxa"/>
              <w:left w:w="113" w:type="dxa"/>
              <w:bottom w:w="99" w:type="dxa"/>
              <w:right w:w="113" w:type="dxa"/>
            </w:tcMar>
            <w:vAlign w:val="center"/>
          </w:tcPr>
          <w:p w14:paraId="34B5D662" w14:textId="77777777" w:rsidR="00A17AE7" w:rsidRPr="00A17AE7" w:rsidRDefault="00A17AE7" w:rsidP="00A17AE7">
            <w:pPr>
              <w:pStyle w:val="CDIFigure-Table-BodyTextCentre"/>
            </w:pPr>
            <w:r w:rsidRPr="00A17AE7">
              <w:t>19</w:t>
            </w:r>
          </w:p>
        </w:tc>
        <w:tc>
          <w:tcPr>
            <w:tcW w:w="850" w:type="dxa"/>
            <w:shd w:val="clear" w:color="auto" w:fill="F2F2F2" w:themeFill="background1" w:themeFillShade="F2"/>
            <w:tcMar>
              <w:top w:w="99" w:type="dxa"/>
              <w:left w:w="113" w:type="dxa"/>
              <w:bottom w:w="99" w:type="dxa"/>
              <w:right w:w="113" w:type="dxa"/>
            </w:tcMar>
            <w:vAlign w:val="center"/>
          </w:tcPr>
          <w:p w14:paraId="3EEE3CA7" w14:textId="77777777" w:rsidR="00A17AE7" w:rsidRPr="00A17AE7" w:rsidRDefault="00A17AE7" w:rsidP="00A17AE7">
            <w:pPr>
              <w:pStyle w:val="CDIFigure-Table-BodyTextCentre"/>
            </w:pPr>
            <w:r w:rsidRPr="00A17AE7">
              <w:t>57.6</w:t>
            </w:r>
          </w:p>
        </w:tc>
        <w:tc>
          <w:tcPr>
            <w:tcW w:w="851" w:type="dxa"/>
            <w:shd w:val="clear" w:color="auto" w:fill="F2F2F2" w:themeFill="background1" w:themeFillShade="F2"/>
            <w:tcMar>
              <w:top w:w="99" w:type="dxa"/>
              <w:left w:w="113" w:type="dxa"/>
              <w:bottom w:w="99" w:type="dxa"/>
              <w:right w:w="113" w:type="dxa"/>
            </w:tcMar>
            <w:vAlign w:val="center"/>
          </w:tcPr>
          <w:p w14:paraId="54999E58" w14:textId="77777777" w:rsidR="00A17AE7" w:rsidRPr="00A17AE7" w:rsidRDefault="00A17AE7" w:rsidP="00A17AE7">
            <w:pPr>
              <w:pStyle w:val="CDIFigure-Table-BodyTextCentre"/>
            </w:pPr>
            <w:r w:rsidRPr="00A17AE7">
              <w:t>0.482</w:t>
            </w:r>
          </w:p>
        </w:tc>
      </w:tr>
      <w:tr w:rsidR="00A17AE7" w:rsidRPr="00A17AE7" w14:paraId="7F64CA4C" w14:textId="77777777" w:rsidTr="00B121C5">
        <w:trPr>
          <w:divId w:val="935526654"/>
          <w:trHeight w:val="20"/>
        </w:trPr>
        <w:tc>
          <w:tcPr>
            <w:tcW w:w="1984" w:type="dxa"/>
            <w:vMerge/>
            <w:shd w:val="clear" w:color="auto" w:fill="C5FFEF" w:themeFill="background2" w:themeFillTint="33"/>
          </w:tcPr>
          <w:p w14:paraId="0BDACB9D" w14:textId="77777777" w:rsidR="00A17AE7" w:rsidRPr="00A17AE7" w:rsidRDefault="00A17AE7" w:rsidP="00A17AE7"/>
        </w:tc>
        <w:tc>
          <w:tcPr>
            <w:tcW w:w="3402" w:type="dxa"/>
            <w:tcMar>
              <w:top w:w="99" w:type="dxa"/>
              <w:left w:w="113" w:type="dxa"/>
              <w:bottom w:w="99" w:type="dxa"/>
              <w:right w:w="113" w:type="dxa"/>
            </w:tcMar>
            <w:vAlign w:val="center"/>
          </w:tcPr>
          <w:p w14:paraId="63C1F3D1" w14:textId="77777777" w:rsidR="00A17AE7" w:rsidRPr="00A17AE7" w:rsidRDefault="00A17AE7" w:rsidP="00A17AE7">
            <w:pPr>
              <w:pStyle w:val="CDIFigure-Table-BodyTextLeft"/>
            </w:pPr>
            <w:r w:rsidRPr="00A17AE7">
              <w:t>Low-flow oxygen</w:t>
            </w:r>
          </w:p>
        </w:tc>
        <w:tc>
          <w:tcPr>
            <w:tcW w:w="850" w:type="dxa"/>
            <w:tcMar>
              <w:top w:w="99" w:type="dxa"/>
              <w:left w:w="113" w:type="dxa"/>
              <w:bottom w:w="99" w:type="dxa"/>
              <w:right w:w="113" w:type="dxa"/>
            </w:tcMar>
            <w:vAlign w:val="center"/>
          </w:tcPr>
          <w:p w14:paraId="22B37218" w14:textId="77777777" w:rsidR="00A17AE7" w:rsidRPr="00A17AE7" w:rsidRDefault="00A17AE7" w:rsidP="00A17AE7">
            <w:pPr>
              <w:pStyle w:val="CDIFigure-Table-BodyTextCentre"/>
            </w:pPr>
            <w:r w:rsidRPr="00A17AE7">
              <w:t>27</w:t>
            </w:r>
          </w:p>
        </w:tc>
        <w:tc>
          <w:tcPr>
            <w:tcW w:w="851" w:type="dxa"/>
            <w:tcMar>
              <w:top w:w="99" w:type="dxa"/>
              <w:left w:w="113" w:type="dxa"/>
              <w:bottom w:w="99" w:type="dxa"/>
              <w:right w:w="113" w:type="dxa"/>
            </w:tcMar>
            <w:vAlign w:val="center"/>
          </w:tcPr>
          <w:p w14:paraId="592CBC0A" w14:textId="77777777" w:rsidR="00A17AE7" w:rsidRPr="00A17AE7" w:rsidRDefault="00A17AE7" w:rsidP="00A17AE7">
            <w:pPr>
              <w:pStyle w:val="CDIFigure-Table-BodyTextCentre"/>
            </w:pPr>
            <w:r w:rsidRPr="00A17AE7">
              <w:t>27.3</w:t>
            </w:r>
          </w:p>
        </w:tc>
        <w:tc>
          <w:tcPr>
            <w:tcW w:w="850" w:type="dxa"/>
            <w:tcMar>
              <w:top w:w="99" w:type="dxa"/>
              <w:left w:w="113" w:type="dxa"/>
              <w:bottom w:w="99" w:type="dxa"/>
              <w:right w:w="113" w:type="dxa"/>
            </w:tcMar>
            <w:vAlign w:val="center"/>
          </w:tcPr>
          <w:p w14:paraId="2436A3C0" w14:textId="77777777" w:rsidR="00A17AE7" w:rsidRPr="00A17AE7" w:rsidRDefault="00A17AE7" w:rsidP="00A17AE7">
            <w:pPr>
              <w:pStyle w:val="CDIFigure-Table-BodyTextCentre"/>
            </w:pPr>
            <w:r w:rsidRPr="00A17AE7">
              <w:t>11</w:t>
            </w:r>
          </w:p>
        </w:tc>
        <w:tc>
          <w:tcPr>
            <w:tcW w:w="850" w:type="dxa"/>
            <w:tcMar>
              <w:top w:w="99" w:type="dxa"/>
              <w:left w:w="113" w:type="dxa"/>
              <w:bottom w:w="99" w:type="dxa"/>
              <w:right w:w="113" w:type="dxa"/>
            </w:tcMar>
            <w:vAlign w:val="center"/>
          </w:tcPr>
          <w:p w14:paraId="5F34C79A" w14:textId="77777777" w:rsidR="00A17AE7" w:rsidRPr="00A17AE7" w:rsidRDefault="00A17AE7" w:rsidP="00A17AE7">
            <w:pPr>
              <w:pStyle w:val="CDIFigure-Table-BodyTextCentre"/>
            </w:pPr>
            <w:r w:rsidRPr="00A17AE7">
              <w:t>33.3</w:t>
            </w:r>
          </w:p>
        </w:tc>
        <w:tc>
          <w:tcPr>
            <w:tcW w:w="851" w:type="dxa"/>
            <w:tcMar>
              <w:top w:w="99" w:type="dxa"/>
              <w:left w:w="113" w:type="dxa"/>
              <w:bottom w:w="99" w:type="dxa"/>
              <w:right w:w="113" w:type="dxa"/>
            </w:tcMar>
            <w:vAlign w:val="center"/>
          </w:tcPr>
          <w:p w14:paraId="06DA4A65" w14:textId="77777777" w:rsidR="00A17AE7" w:rsidRPr="00A17AE7" w:rsidRDefault="00A17AE7" w:rsidP="00A17AE7">
            <w:pPr>
              <w:pStyle w:val="CDIFigure-Table-BodyTextCentre"/>
            </w:pPr>
            <w:r w:rsidRPr="00A17AE7">
              <w:t>0.657</w:t>
            </w:r>
          </w:p>
        </w:tc>
      </w:tr>
      <w:tr w:rsidR="00A17AE7" w:rsidRPr="00A17AE7" w14:paraId="4ED76ABE" w14:textId="77777777" w:rsidTr="00B121C5">
        <w:trPr>
          <w:divId w:val="935526654"/>
          <w:trHeight w:val="20"/>
        </w:trPr>
        <w:tc>
          <w:tcPr>
            <w:tcW w:w="1984" w:type="dxa"/>
            <w:vMerge/>
            <w:shd w:val="clear" w:color="auto" w:fill="C5FFEF" w:themeFill="background2" w:themeFillTint="33"/>
          </w:tcPr>
          <w:p w14:paraId="58B1BBFF" w14:textId="77777777" w:rsidR="00A17AE7" w:rsidRPr="00A17AE7" w:rsidRDefault="00A17AE7" w:rsidP="00A17AE7"/>
        </w:tc>
        <w:tc>
          <w:tcPr>
            <w:tcW w:w="3402"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3585FF2D" w14:textId="77777777" w:rsidR="00A17AE7" w:rsidRPr="00A17AE7" w:rsidRDefault="00A17AE7" w:rsidP="00A17AE7">
            <w:pPr>
              <w:pStyle w:val="CDIFigure-Table-BodyTextLeft"/>
            </w:pPr>
            <w:r w:rsidRPr="00A17AE7">
              <w:t>Non-invasive ventilation</w:t>
            </w:r>
          </w:p>
        </w:tc>
        <w:tc>
          <w:tcPr>
            <w:tcW w:w="850"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709B3D82" w14:textId="77777777" w:rsidR="00A17AE7" w:rsidRPr="00A17AE7" w:rsidRDefault="00A17AE7" w:rsidP="00A17AE7">
            <w:pPr>
              <w:pStyle w:val="CDIFigure-Table-BodyTextCentre"/>
            </w:pPr>
            <w:r w:rsidRPr="00A17AE7">
              <w:t>30</w:t>
            </w:r>
          </w:p>
        </w:tc>
        <w:tc>
          <w:tcPr>
            <w:tcW w:w="851"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0E938E1B" w14:textId="77777777" w:rsidR="00A17AE7" w:rsidRPr="00A17AE7" w:rsidRDefault="00A17AE7" w:rsidP="00A17AE7">
            <w:pPr>
              <w:pStyle w:val="CDIFigure-Table-BodyTextCentre"/>
            </w:pPr>
            <w:r w:rsidRPr="00A17AE7">
              <w:t>30.3</w:t>
            </w:r>
          </w:p>
        </w:tc>
        <w:tc>
          <w:tcPr>
            <w:tcW w:w="850"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4DBF483F" w14:textId="77777777" w:rsidR="00A17AE7" w:rsidRPr="00A17AE7" w:rsidRDefault="00A17AE7" w:rsidP="00A17AE7">
            <w:pPr>
              <w:pStyle w:val="CDIFigure-Table-BodyTextCentre"/>
            </w:pPr>
            <w:r w:rsidRPr="00A17AE7">
              <w:t>4</w:t>
            </w:r>
          </w:p>
        </w:tc>
        <w:tc>
          <w:tcPr>
            <w:tcW w:w="850"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3E4379B2" w14:textId="77777777" w:rsidR="00A17AE7" w:rsidRPr="00A17AE7" w:rsidRDefault="00A17AE7" w:rsidP="00A17AE7">
            <w:pPr>
              <w:pStyle w:val="CDIFigure-Table-BodyTextCentre"/>
            </w:pPr>
            <w:r w:rsidRPr="00A17AE7">
              <w:t>12.1</w:t>
            </w:r>
          </w:p>
        </w:tc>
        <w:tc>
          <w:tcPr>
            <w:tcW w:w="851"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3DA06F37" w14:textId="77777777" w:rsidR="00A17AE7" w:rsidRPr="00A17AE7" w:rsidRDefault="00A17AE7" w:rsidP="00A17AE7">
            <w:pPr>
              <w:pStyle w:val="CDIFigure-Table-BodyTextCentre"/>
            </w:pPr>
            <w:r w:rsidRPr="00A17AE7">
              <w:t>0.066</w:t>
            </w:r>
          </w:p>
        </w:tc>
      </w:tr>
      <w:tr w:rsidR="00A17AE7" w:rsidRPr="00A17AE7" w14:paraId="3E4B3CB2" w14:textId="77777777" w:rsidTr="00B121C5">
        <w:trPr>
          <w:divId w:val="935526654"/>
          <w:trHeight w:val="20"/>
        </w:trPr>
        <w:tc>
          <w:tcPr>
            <w:tcW w:w="1984" w:type="dxa"/>
            <w:vMerge w:val="restart"/>
            <w:tcBorders>
              <w:bottom w:val="single" w:sz="6" w:space="0" w:color="033636" w:themeColor="text2"/>
            </w:tcBorders>
            <w:shd w:val="clear" w:color="auto" w:fill="C5FFEF" w:themeFill="background2" w:themeFillTint="33"/>
            <w:tcMar>
              <w:top w:w="99" w:type="dxa"/>
              <w:left w:w="113" w:type="dxa"/>
              <w:bottom w:w="99" w:type="dxa"/>
              <w:right w:w="113" w:type="dxa"/>
            </w:tcMar>
            <w:vAlign w:val="center"/>
          </w:tcPr>
          <w:p w14:paraId="3926EC17" w14:textId="77777777" w:rsidR="00A17AE7" w:rsidRPr="00A17AE7" w:rsidRDefault="00A17AE7" w:rsidP="00A17AE7">
            <w:pPr>
              <w:pStyle w:val="CDIFigure-Table-BodyTextLeft"/>
            </w:pPr>
            <w:r w:rsidRPr="00A17AE7">
              <w:t>Associated diagnoses and complications</w:t>
            </w:r>
          </w:p>
        </w:tc>
        <w:tc>
          <w:tcPr>
            <w:tcW w:w="3402" w:type="dxa"/>
            <w:tcBorders>
              <w:top w:val="single" w:sz="6" w:space="0" w:color="033636" w:themeColor="text2"/>
            </w:tcBorders>
            <w:tcMar>
              <w:top w:w="99" w:type="dxa"/>
              <w:left w:w="113" w:type="dxa"/>
              <w:bottom w:w="99" w:type="dxa"/>
              <w:right w:w="113" w:type="dxa"/>
            </w:tcMar>
            <w:vAlign w:val="center"/>
          </w:tcPr>
          <w:p w14:paraId="253C0BDE" w14:textId="77777777" w:rsidR="00A17AE7" w:rsidRPr="00A17AE7" w:rsidRDefault="00A17AE7" w:rsidP="00A17AE7">
            <w:pPr>
              <w:pStyle w:val="CDIFigure-Table-BodyTextLeft"/>
            </w:pPr>
            <w:r w:rsidRPr="00A17AE7">
              <w:t>Bacterial pneumonia</w:t>
            </w:r>
          </w:p>
        </w:tc>
        <w:tc>
          <w:tcPr>
            <w:tcW w:w="850" w:type="dxa"/>
            <w:tcBorders>
              <w:top w:val="single" w:sz="6" w:space="0" w:color="033636" w:themeColor="text2"/>
            </w:tcBorders>
            <w:tcMar>
              <w:top w:w="99" w:type="dxa"/>
              <w:left w:w="113" w:type="dxa"/>
              <w:bottom w:w="99" w:type="dxa"/>
              <w:right w:w="113" w:type="dxa"/>
            </w:tcMar>
            <w:vAlign w:val="center"/>
          </w:tcPr>
          <w:p w14:paraId="0BA01181" w14:textId="77777777" w:rsidR="00A17AE7" w:rsidRPr="00A17AE7" w:rsidRDefault="00A17AE7" w:rsidP="00A17AE7">
            <w:pPr>
              <w:pStyle w:val="CDIFigure-Table-BodyTextCentre"/>
            </w:pPr>
            <w:r w:rsidRPr="00A17AE7">
              <w:t>16</w:t>
            </w:r>
          </w:p>
        </w:tc>
        <w:tc>
          <w:tcPr>
            <w:tcW w:w="851" w:type="dxa"/>
            <w:tcBorders>
              <w:top w:val="single" w:sz="6" w:space="0" w:color="033636" w:themeColor="text2"/>
            </w:tcBorders>
            <w:tcMar>
              <w:top w:w="99" w:type="dxa"/>
              <w:left w:w="113" w:type="dxa"/>
              <w:bottom w:w="99" w:type="dxa"/>
              <w:right w:w="113" w:type="dxa"/>
            </w:tcMar>
            <w:vAlign w:val="center"/>
          </w:tcPr>
          <w:p w14:paraId="16CC2AC7" w14:textId="77777777" w:rsidR="00A17AE7" w:rsidRPr="00A17AE7" w:rsidRDefault="00A17AE7" w:rsidP="00A17AE7">
            <w:pPr>
              <w:pStyle w:val="CDIFigure-Table-BodyTextCentre"/>
            </w:pPr>
            <w:r w:rsidRPr="00A17AE7">
              <w:t>16.2</w:t>
            </w:r>
          </w:p>
        </w:tc>
        <w:tc>
          <w:tcPr>
            <w:tcW w:w="850" w:type="dxa"/>
            <w:tcBorders>
              <w:top w:val="single" w:sz="6" w:space="0" w:color="033636" w:themeColor="text2"/>
            </w:tcBorders>
            <w:tcMar>
              <w:top w:w="99" w:type="dxa"/>
              <w:left w:w="113" w:type="dxa"/>
              <w:bottom w:w="99" w:type="dxa"/>
              <w:right w:w="113" w:type="dxa"/>
            </w:tcMar>
            <w:vAlign w:val="center"/>
          </w:tcPr>
          <w:p w14:paraId="3191CE83" w14:textId="77777777" w:rsidR="00A17AE7" w:rsidRPr="00A17AE7" w:rsidRDefault="00A17AE7" w:rsidP="00A17AE7">
            <w:pPr>
              <w:pStyle w:val="CDIFigure-Table-BodyTextCentre"/>
            </w:pPr>
            <w:r w:rsidRPr="00A17AE7">
              <w:t>8</w:t>
            </w:r>
          </w:p>
        </w:tc>
        <w:tc>
          <w:tcPr>
            <w:tcW w:w="850" w:type="dxa"/>
            <w:tcBorders>
              <w:top w:val="single" w:sz="6" w:space="0" w:color="033636" w:themeColor="text2"/>
            </w:tcBorders>
            <w:tcMar>
              <w:top w:w="99" w:type="dxa"/>
              <w:left w:w="113" w:type="dxa"/>
              <w:bottom w:w="99" w:type="dxa"/>
              <w:right w:w="113" w:type="dxa"/>
            </w:tcMar>
            <w:vAlign w:val="center"/>
          </w:tcPr>
          <w:p w14:paraId="41AC5699" w14:textId="77777777" w:rsidR="00A17AE7" w:rsidRPr="00A17AE7" w:rsidRDefault="00A17AE7" w:rsidP="00A17AE7">
            <w:pPr>
              <w:pStyle w:val="CDIFigure-Table-BodyTextCentre"/>
            </w:pPr>
            <w:r w:rsidRPr="00A17AE7">
              <w:t>24.2</w:t>
            </w:r>
          </w:p>
        </w:tc>
        <w:tc>
          <w:tcPr>
            <w:tcW w:w="851" w:type="dxa"/>
            <w:tcBorders>
              <w:top w:val="single" w:sz="6" w:space="0" w:color="033636" w:themeColor="text2"/>
            </w:tcBorders>
            <w:tcMar>
              <w:top w:w="99" w:type="dxa"/>
              <w:left w:w="113" w:type="dxa"/>
              <w:bottom w:w="99" w:type="dxa"/>
              <w:right w:w="113" w:type="dxa"/>
            </w:tcMar>
            <w:vAlign w:val="center"/>
          </w:tcPr>
          <w:p w14:paraId="0B8311B6" w14:textId="77777777" w:rsidR="00A17AE7" w:rsidRPr="00A17AE7" w:rsidRDefault="00A17AE7" w:rsidP="00A17AE7">
            <w:pPr>
              <w:pStyle w:val="CDIFigure-Table-BodyTextCentre"/>
            </w:pPr>
            <w:r w:rsidRPr="00A17AE7">
              <w:t>0.434</w:t>
            </w:r>
          </w:p>
        </w:tc>
      </w:tr>
      <w:tr w:rsidR="00A17AE7" w:rsidRPr="00A17AE7" w14:paraId="1AA87E06"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676460BD" w14:textId="77777777" w:rsidR="00A17AE7" w:rsidRPr="00A17AE7" w:rsidRDefault="00A17AE7" w:rsidP="00A17AE7">
            <w:pPr>
              <w:pStyle w:val="CDIFigure-Table-BodyTextLeft"/>
            </w:pPr>
          </w:p>
        </w:tc>
        <w:tc>
          <w:tcPr>
            <w:tcW w:w="3402" w:type="dxa"/>
            <w:shd w:val="clear" w:color="auto" w:fill="F2F2F2" w:themeFill="background1" w:themeFillShade="F2"/>
            <w:tcMar>
              <w:top w:w="99" w:type="dxa"/>
              <w:left w:w="113" w:type="dxa"/>
              <w:bottom w:w="99" w:type="dxa"/>
              <w:right w:w="113" w:type="dxa"/>
            </w:tcMar>
            <w:vAlign w:val="center"/>
          </w:tcPr>
          <w:p w14:paraId="10E017F7" w14:textId="77777777" w:rsidR="00A17AE7" w:rsidRPr="00A17AE7" w:rsidRDefault="00A17AE7" w:rsidP="00A17AE7">
            <w:pPr>
              <w:pStyle w:val="CDIFigure-Table-BodyTextLeft"/>
            </w:pPr>
            <w:r w:rsidRPr="00A17AE7">
              <w:t>Other bacterial co-infection</w:t>
            </w:r>
          </w:p>
        </w:tc>
        <w:tc>
          <w:tcPr>
            <w:tcW w:w="850" w:type="dxa"/>
            <w:shd w:val="clear" w:color="auto" w:fill="F2F2F2" w:themeFill="background1" w:themeFillShade="F2"/>
            <w:tcMar>
              <w:top w:w="99" w:type="dxa"/>
              <w:left w:w="113" w:type="dxa"/>
              <w:bottom w:w="99" w:type="dxa"/>
              <w:right w:w="113" w:type="dxa"/>
            </w:tcMar>
            <w:vAlign w:val="center"/>
          </w:tcPr>
          <w:p w14:paraId="00042864" w14:textId="77777777" w:rsidR="00A17AE7" w:rsidRPr="00A17AE7" w:rsidRDefault="00A17AE7" w:rsidP="00A17AE7">
            <w:pPr>
              <w:pStyle w:val="CDIFigure-Table-BodyTextCentre"/>
            </w:pPr>
            <w:r w:rsidRPr="00A17AE7">
              <w:t>10</w:t>
            </w:r>
          </w:p>
        </w:tc>
        <w:tc>
          <w:tcPr>
            <w:tcW w:w="851" w:type="dxa"/>
            <w:shd w:val="clear" w:color="auto" w:fill="F2F2F2" w:themeFill="background1" w:themeFillShade="F2"/>
            <w:tcMar>
              <w:top w:w="99" w:type="dxa"/>
              <w:left w:w="113" w:type="dxa"/>
              <w:bottom w:w="99" w:type="dxa"/>
              <w:right w:w="113" w:type="dxa"/>
            </w:tcMar>
            <w:vAlign w:val="center"/>
          </w:tcPr>
          <w:p w14:paraId="3A8E26A5" w14:textId="77777777" w:rsidR="00A17AE7" w:rsidRPr="00A17AE7" w:rsidRDefault="00A17AE7" w:rsidP="00A17AE7">
            <w:pPr>
              <w:pStyle w:val="CDIFigure-Table-BodyTextCentre"/>
            </w:pPr>
            <w:r w:rsidRPr="00A17AE7">
              <w:t>10.1</w:t>
            </w:r>
          </w:p>
        </w:tc>
        <w:tc>
          <w:tcPr>
            <w:tcW w:w="850" w:type="dxa"/>
            <w:shd w:val="clear" w:color="auto" w:fill="F2F2F2" w:themeFill="background1" w:themeFillShade="F2"/>
            <w:tcMar>
              <w:top w:w="99" w:type="dxa"/>
              <w:left w:w="113" w:type="dxa"/>
              <w:bottom w:w="99" w:type="dxa"/>
              <w:right w:w="113" w:type="dxa"/>
            </w:tcMar>
            <w:vAlign w:val="center"/>
          </w:tcPr>
          <w:p w14:paraId="7A6D691F" w14:textId="77777777" w:rsidR="00A17AE7" w:rsidRPr="00A17AE7" w:rsidRDefault="00A17AE7" w:rsidP="00A17AE7">
            <w:pPr>
              <w:pStyle w:val="CDIFigure-Table-BodyTextCentre"/>
            </w:pPr>
            <w:r w:rsidRPr="00A17AE7">
              <w:t>0</w:t>
            </w:r>
          </w:p>
        </w:tc>
        <w:tc>
          <w:tcPr>
            <w:tcW w:w="850" w:type="dxa"/>
            <w:shd w:val="clear" w:color="auto" w:fill="F2F2F2" w:themeFill="background1" w:themeFillShade="F2"/>
            <w:tcMar>
              <w:top w:w="99" w:type="dxa"/>
              <w:left w:w="113" w:type="dxa"/>
              <w:bottom w:w="99" w:type="dxa"/>
              <w:right w:w="113" w:type="dxa"/>
            </w:tcMar>
            <w:vAlign w:val="center"/>
          </w:tcPr>
          <w:p w14:paraId="5266C884" w14:textId="77777777" w:rsidR="00A17AE7" w:rsidRPr="00A17AE7" w:rsidRDefault="00A17AE7" w:rsidP="00A17AE7">
            <w:pPr>
              <w:pStyle w:val="CDIFigure-Table-BodyTextCentre"/>
            </w:pPr>
            <w:r w:rsidRPr="00A17AE7">
              <w:t>0.0</w:t>
            </w:r>
          </w:p>
        </w:tc>
        <w:tc>
          <w:tcPr>
            <w:tcW w:w="851" w:type="dxa"/>
            <w:shd w:val="clear" w:color="auto" w:fill="F2F2F2" w:themeFill="background1" w:themeFillShade="F2"/>
            <w:tcMar>
              <w:top w:w="99" w:type="dxa"/>
              <w:left w:w="113" w:type="dxa"/>
              <w:bottom w:w="99" w:type="dxa"/>
              <w:right w:w="113" w:type="dxa"/>
            </w:tcMar>
            <w:vAlign w:val="center"/>
          </w:tcPr>
          <w:p w14:paraId="4C274C57" w14:textId="77777777" w:rsidR="00A17AE7" w:rsidRPr="00A17AE7" w:rsidRDefault="00A17AE7" w:rsidP="00A17AE7">
            <w:pPr>
              <w:pStyle w:val="CDIFigure-Table-BodyTextCentre"/>
            </w:pPr>
            <w:r w:rsidRPr="00A17AE7">
              <w:t>0.066</w:t>
            </w:r>
          </w:p>
        </w:tc>
      </w:tr>
      <w:tr w:rsidR="00A17AE7" w:rsidRPr="00A17AE7" w14:paraId="2B4DCCB4"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4CF76C8B" w14:textId="77777777" w:rsidR="00A17AE7" w:rsidRPr="00A17AE7" w:rsidRDefault="00A17AE7" w:rsidP="00A17AE7">
            <w:pPr>
              <w:pStyle w:val="CDIFigure-Table-BodyTextLeft"/>
            </w:pPr>
          </w:p>
        </w:tc>
        <w:tc>
          <w:tcPr>
            <w:tcW w:w="3402" w:type="dxa"/>
            <w:tcBorders>
              <w:bottom w:val="single" w:sz="6" w:space="0" w:color="033636" w:themeColor="text2"/>
            </w:tcBorders>
            <w:tcMar>
              <w:top w:w="99" w:type="dxa"/>
              <w:left w:w="113" w:type="dxa"/>
              <w:bottom w:w="99" w:type="dxa"/>
              <w:right w:w="113" w:type="dxa"/>
            </w:tcMar>
            <w:vAlign w:val="center"/>
          </w:tcPr>
          <w:p w14:paraId="4B0BEB75" w14:textId="77777777" w:rsidR="00A17AE7" w:rsidRPr="00A17AE7" w:rsidRDefault="00A17AE7" w:rsidP="00A17AE7">
            <w:pPr>
              <w:pStyle w:val="CDIFigure-Table-BodyTextLeft"/>
            </w:pPr>
            <w:r w:rsidRPr="00A17AE7">
              <w:t>Other viral pathogens</w:t>
            </w:r>
          </w:p>
        </w:tc>
        <w:tc>
          <w:tcPr>
            <w:tcW w:w="850" w:type="dxa"/>
            <w:tcBorders>
              <w:bottom w:val="single" w:sz="6" w:space="0" w:color="033636" w:themeColor="text2"/>
            </w:tcBorders>
            <w:tcMar>
              <w:top w:w="99" w:type="dxa"/>
              <w:left w:w="113" w:type="dxa"/>
              <w:bottom w:w="99" w:type="dxa"/>
              <w:right w:w="113" w:type="dxa"/>
            </w:tcMar>
            <w:vAlign w:val="center"/>
          </w:tcPr>
          <w:p w14:paraId="2354D4FA" w14:textId="77777777" w:rsidR="00A17AE7" w:rsidRPr="00A17AE7" w:rsidRDefault="00A17AE7" w:rsidP="00A17AE7">
            <w:pPr>
              <w:pStyle w:val="CDIFigure-Table-BodyTextCentre"/>
            </w:pPr>
            <w:r w:rsidRPr="00A17AE7">
              <w:t>16</w:t>
            </w:r>
          </w:p>
        </w:tc>
        <w:tc>
          <w:tcPr>
            <w:tcW w:w="851" w:type="dxa"/>
            <w:tcBorders>
              <w:bottom w:val="single" w:sz="6" w:space="0" w:color="033636" w:themeColor="text2"/>
            </w:tcBorders>
            <w:tcMar>
              <w:top w:w="99" w:type="dxa"/>
              <w:left w:w="113" w:type="dxa"/>
              <w:bottom w:w="99" w:type="dxa"/>
              <w:right w:w="113" w:type="dxa"/>
            </w:tcMar>
            <w:vAlign w:val="center"/>
          </w:tcPr>
          <w:p w14:paraId="087B3CC3" w14:textId="77777777" w:rsidR="00A17AE7" w:rsidRPr="00A17AE7" w:rsidRDefault="00A17AE7" w:rsidP="00A17AE7">
            <w:pPr>
              <w:pStyle w:val="CDIFigure-Table-BodyTextCentre"/>
            </w:pPr>
            <w:r w:rsidRPr="00A17AE7">
              <w:t>16.2</w:t>
            </w:r>
          </w:p>
        </w:tc>
        <w:tc>
          <w:tcPr>
            <w:tcW w:w="850" w:type="dxa"/>
            <w:tcBorders>
              <w:bottom w:val="single" w:sz="6" w:space="0" w:color="033636" w:themeColor="text2"/>
            </w:tcBorders>
            <w:tcMar>
              <w:top w:w="99" w:type="dxa"/>
              <w:left w:w="113" w:type="dxa"/>
              <w:bottom w:w="99" w:type="dxa"/>
              <w:right w:w="113" w:type="dxa"/>
            </w:tcMar>
            <w:vAlign w:val="center"/>
          </w:tcPr>
          <w:p w14:paraId="7AD6B251" w14:textId="77777777" w:rsidR="00A17AE7" w:rsidRPr="00A17AE7" w:rsidRDefault="00A17AE7" w:rsidP="00A17AE7">
            <w:pPr>
              <w:pStyle w:val="CDIFigure-Table-BodyTextCentre"/>
            </w:pPr>
            <w:r w:rsidRPr="00A17AE7">
              <w:t>4</w:t>
            </w:r>
          </w:p>
        </w:tc>
        <w:tc>
          <w:tcPr>
            <w:tcW w:w="850" w:type="dxa"/>
            <w:tcBorders>
              <w:bottom w:val="single" w:sz="6" w:space="0" w:color="033636" w:themeColor="text2"/>
            </w:tcBorders>
            <w:tcMar>
              <w:top w:w="99" w:type="dxa"/>
              <w:left w:w="113" w:type="dxa"/>
              <w:bottom w:w="99" w:type="dxa"/>
              <w:right w:w="113" w:type="dxa"/>
            </w:tcMar>
            <w:vAlign w:val="center"/>
          </w:tcPr>
          <w:p w14:paraId="1983D772" w14:textId="77777777" w:rsidR="00A17AE7" w:rsidRPr="00A17AE7" w:rsidRDefault="00A17AE7" w:rsidP="00A17AE7">
            <w:pPr>
              <w:pStyle w:val="CDIFigure-Table-BodyTextCentre"/>
            </w:pPr>
            <w:r w:rsidRPr="00A17AE7">
              <w:t>12.1</w:t>
            </w:r>
          </w:p>
        </w:tc>
        <w:tc>
          <w:tcPr>
            <w:tcW w:w="851" w:type="dxa"/>
            <w:tcBorders>
              <w:bottom w:val="single" w:sz="6" w:space="0" w:color="033636" w:themeColor="text2"/>
            </w:tcBorders>
            <w:tcMar>
              <w:top w:w="99" w:type="dxa"/>
              <w:left w:w="113" w:type="dxa"/>
              <w:bottom w:w="99" w:type="dxa"/>
              <w:right w:w="113" w:type="dxa"/>
            </w:tcMar>
            <w:vAlign w:val="center"/>
          </w:tcPr>
          <w:p w14:paraId="71ECFA5E" w14:textId="77777777" w:rsidR="00A17AE7" w:rsidRPr="00A17AE7" w:rsidRDefault="00A17AE7" w:rsidP="00A17AE7">
            <w:pPr>
              <w:pStyle w:val="CDIFigure-Table-BodyTextCentre"/>
            </w:pPr>
            <w:r w:rsidRPr="00A17AE7">
              <w:t>0.779</w:t>
            </w:r>
          </w:p>
        </w:tc>
      </w:tr>
      <w:tr w:rsidR="00A17AE7" w:rsidRPr="00A17AE7" w14:paraId="79DE5D5C" w14:textId="77777777" w:rsidTr="00B121C5">
        <w:trPr>
          <w:divId w:val="935526654"/>
          <w:trHeight w:val="20"/>
        </w:trPr>
        <w:tc>
          <w:tcPr>
            <w:tcW w:w="1984" w:type="dxa"/>
            <w:vMerge w:val="restart"/>
            <w:tcBorders>
              <w:bottom w:val="single" w:sz="6" w:space="0" w:color="033636" w:themeColor="text2"/>
            </w:tcBorders>
            <w:shd w:val="clear" w:color="auto" w:fill="C5FFEF" w:themeFill="background2" w:themeFillTint="33"/>
            <w:tcMar>
              <w:top w:w="99" w:type="dxa"/>
              <w:left w:w="113" w:type="dxa"/>
              <w:bottom w:w="99" w:type="dxa"/>
              <w:right w:w="113" w:type="dxa"/>
            </w:tcMar>
            <w:vAlign w:val="center"/>
          </w:tcPr>
          <w:p w14:paraId="62B2E63D" w14:textId="77777777" w:rsidR="00A17AE7" w:rsidRPr="00A17AE7" w:rsidRDefault="00A17AE7" w:rsidP="00A17AE7">
            <w:pPr>
              <w:pStyle w:val="CDIFigure-Table-BodyTextLeft"/>
            </w:pPr>
            <w:r w:rsidRPr="00A17AE7">
              <w:t>Outcomes</w:t>
            </w:r>
          </w:p>
        </w:tc>
        <w:tc>
          <w:tcPr>
            <w:tcW w:w="3402" w:type="dxa"/>
            <w:tcBorders>
              <w:top w:val="single" w:sz="6" w:space="0" w:color="033636" w:themeColor="text2"/>
            </w:tcBorders>
            <w:shd w:val="clear" w:color="auto" w:fill="F2F2F2" w:themeFill="background1" w:themeFillShade="F2"/>
            <w:tcMar>
              <w:top w:w="99" w:type="dxa"/>
              <w:left w:w="113" w:type="dxa"/>
              <w:bottom w:w="99" w:type="dxa"/>
              <w:right w:w="113" w:type="dxa"/>
            </w:tcMar>
            <w:vAlign w:val="center"/>
          </w:tcPr>
          <w:p w14:paraId="04378BA1" w14:textId="77777777" w:rsidR="00A17AE7" w:rsidRPr="00A17AE7" w:rsidRDefault="00A17AE7" w:rsidP="00A17AE7">
            <w:pPr>
              <w:pStyle w:val="CDIFigure-Table-BodyTextLeft"/>
            </w:pPr>
            <w:r w:rsidRPr="00A17AE7">
              <w:t xml:space="preserve">ICU/HDU </w:t>
            </w:r>
            <w:proofErr w:type="spellStart"/>
            <w:r w:rsidRPr="00A17AE7">
              <w:t>admission</w:t>
            </w:r>
            <w:r w:rsidRPr="00A17AE7">
              <w:rPr>
                <w:vertAlign w:val="superscript"/>
              </w:rPr>
              <w:t>b</w:t>
            </w:r>
            <w:proofErr w:type="spellEnd"/>
          </w:p>
        </w:tc>
        <w:tc>
          <w:tcPr>
            <w:tcW w:w="850" w:type="dxa"/>
            <w:tcBorders>
              <w:top w:val="single" w:sz="6" w:space="0" w:color="033636" w:themeColor="text2"/>
            </w:tcBorders>
            <w:shd w:val="clear" w:color="auto" w:fill="F2F2F2" w:themeFill="background1" w:themeFillShade="F2"/>
            <w:tcMar>
              <w:top w:w="99" w:type="dxa"/>
              <w:left w:w="113" w:type="dxa"/>
              <w:bottom w:w="99" w:type="dxa"/>
              <w:right w:w="113" w:type="dxa"/>
            </w:tcMar>
            <w:vAlign w:val="center"/>
          </w:tcPr>
          <w:p w14:paraId="61F44E51" w14:textId="77777777" w:rsidR="00A17AE7" w:rsidRPr="00A17AE7" w:rsidRDefault="00A17AE7" w:rsidP="00A17AE7">
            <w:pPr>
              <w:pStyle w:val="CDIFigure-Table-BodyTextCentre"/>
            </w:pPr>
            <w:r w:rsidRPr="00A17AE7">
              <w:t>9</w:t>
            </w:r>
          </w:p>
        </w:tc>
        <w:tc>
          <w:tcPr>
            <w:tcW w:w="851" w:type="dxa"/>
            <w:tcBorders>
              <w:top w:val="single" w:sz="6" w:space="0" w:color="033636" w:themeColor="text2"/>
            </w:tcBorders>
            <w:shd w:val="clear" w:color="auto" w:fill="F2F2F2" w:themeFill="background1" w:themeFillShade="F2"/>
            <w:tcMar>
              <w:top w:w="99" w:type="dxa"/>
              <w:left w:w="113" w:type="dxa"/>
              <w:bottom w:w="99" w:type="dxa"/>
              <w:right w:w="113" w:type="dxa"/>
            </w:tcMar>
            <w:vAlign w:val="center"/>
          </w:tcPr>
          <w:p w14:paraId="746D676B" w14:textId="77777777" w:rsidR="00A17AE7" w:rsidRPr="00A17AE7" w:rsidRDefault="00A17AE7" w:rsidP="00A17AE7">
            <w:pPr>
              <w:pStyle w:val="CDIFigure-Table-BodyTextCentre"/>
            </w:pPr>
            <w:r w:rsidRPr="00A17AE7">
              <w:t>9.1</w:t>
            </w:r>
          </w:p>
        </w:tc>
        <w:tc>
          <w:tcPr>
            <w:tcW w:w="850" w:type="dxa"/>
            <w:tcBorders>
              <w:top w:val="single" w:sz="6" w:space="0" w:color="033636" w:themeColor="text2"/>
            </w:tcBorders>
            <w:shd w:val="clear" w:color="auto" w:fill="F2F2F2" w:themeFill="background1" w:themeFillShade="F2"/>
            <w:tcMar>
              <w:top w:w="99" w:type="dxa"/>
              <w:left w:w="113" w:type="dxa"/>
              <w:bottom w:w="99" w:type="dxa"/>
              <w:right w:w="113" w:type="dxa"/>
            </w:tcMar>
            <w:vAlign w:val="center"/>
          </w:tcPr>
          <w:p w14:paraId="24256697" w14:textId="77777777" w:rsidR="00A17AE7" w:rsidRPr="00A17AE7" w:rsidRDefault="00A17AE7" w:rsidP="00A17AE7">
            <w:pPr>
              <w:pStyle w:val="CDIFigure-Table-BodyTextCentre"/>
            </w:pPr>
            <w:r w:rsidRPr="00A17AE7">
              <w:t>1</w:t>
            </w:r>
          </w:p>
        </w:tc>
        <w:tc>
          <w:tcPr>
            <w:tcW w:w="850" w:type="dxa"/>
            <w:tcBorders>
              <w:top w:val="single" w:sz="6" w:space="0" w:color="033636" w:themeColor="text2"/>
            </w:tcBorders>
            <w:shd w:val="clear" w:color="auto" w:fill="F2F2F2" w:themeFill="background1" w:themeFillShade="F2"/>
            <w:tcMar>
              <w:top w:w="99" w:type="dxa"/>
              <w:left w:w="113" w:type="dxa"/>
              <w:bottom w:w="99" w:type="dxa"/>
              <w:right w:w="113" w:type="dxa"/>
            </w:tcMar>
            <w:vAlign w:val="center"/>
          </w:tcPr>
          <w:p w14:paraId="49DD65ED" w14:textId="77777777" w:rsidR="00A17AE7" w:rsidRPr="00A17AE7" w:rsidRDefault="00A17AE7" w:rsidP="00A17AE7">
            <w:pPr>
              <w:pStyle w:val="CDIFigure-Table-BodyTextCentre"/>
            </w:pPr>
            <w:r w:rsidRPr="00A17AE7">
              <w:t>3.0</w:t>
            </w:r>
          </w:p>
        </w:tc>
        <w:tc>
          <w:tcPr>
            <w:tcW w:w="851" w:type="dxa"/>
            <w:tcBorders>
              <w:top w:val="single" w:sz="6" w:space="0" w:color="033636" w:themeColor="text2"/>
            </w:tcBorders>
            <w:shd w:val="clear" w:color="auto" w:fill="F2F2F2" w:themeFill="background1" w:themeFillShade="F2"/>
            <w:tcMar>
              <w:top w:w="99" w:type="dxa"/>
              <w:left w:w="113" w:type="dxa"/>
              <w:bottom w:w="99" w:type="dxa"/>
              <w:right w:w="113" w:type="dxa"/>
            </w:tcMar>
            <w:vAlign w:val="center"/>
          </w:tcPr>
          <w:p w14:paraId="4D9C2258" w14:textId="77777777" w:rsidR="00A17AE7" w:rsidRPr="00A17AE7" w:rsidRDefault="00A17AE7" w:rsidP="00A17AE7">
            <w:pPr>
              <w:pStyle w:val="CDIFigure-Table-BodyTextCentre"/>
            </w:pPr>
            <w:r w:rsidRPr="00A17AE7">
              <w:t>0.450</w:t>
            </w:r>
          </w:p>
        </w:tc>
      </w:tr>
      <w:tr w:rsidR="00A17AE7" w:rsidRPr="00A17AE7" w14:paraId="4BDFFEFF"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62B098FE" w14:textId="77777777" w:rsidR="00A17AE7" w:rsidRPr="00A17AE7" w:rsidRDefault="00A17AE7" w:rsidP="00A17AE7"/>
        </w:tc>
        <w:tc>
          <w:tcPr>
            <w:tcW w:w="3402" w:type="dxa"/>
            <w:tcMar>
              <w:top w:w="99" w:type="dxa"/>
              <w:left w:w="113" w:type="dxa"/>
              <w:bottom w:w="99" w:type="dxa"/>
              <w:right w:w="113" w:type="dxa"/>
            </w:tcMar>
            <w:vAlign w:val="center"/>
          </w:tcPr>
          <w:p w14:paraId="2BEA2ACE" w14:textId="77777777" w:rsidR="00A17AE7" w:rsidRPr="00A17AE7" w:rsidRDefault="00A17AE7" w:rsidP="00A17AE7">
            <w:pPr>
              <w:pStyle w:val="CDIFigure-Table-BodyTextLeft"/>
            </w:pPr>
            <w:r w:rsidRPr="00A17AE7">
              <w:t>Transfer to tertiary centre</w:t>
            </w:r>
          </w:p>
        </w:tc>
        <w:tc>
          <w:tcPr>
            <w:tcW w:w="850" w:type="dxa"/>
            <w:tcMar>
              <w:top w:w="99" w:type="dxa"/>
              <w:left w:w="113" w:type="dxa"/>
              <w:bottom w:w="99" w:type="dxa"/>
              <w:right w:w="113" w:type="dxa"/>
            </w:tcMar>
            <w:vAlign w:val="center"/>
          </w:tcPr>
          <w:p w14:paraId="5178F534" w14:textId="77777777" w:rsidR="00A17AE7" w:rsidRPr="00A17AE7" w:rsidRDefault="00A17AE7" w:rsidP="00A17AE7">
            <w:pPr>
              <w:pStyle w:val="CDIFigure-Table-BodyTextCentre"/>
            </w:pPr>
            <w:r w:rsidRPr="00A17AE7">
              <w:t>3</w:t>
            </w:r>
          </w:p>
        </w:tc>
        <w:tc>
          <w:tcPr>
            <w:tcW w:w="851" w:type="dxa"/>
            <w:tcMar>
              <w:top w:w="99" w:type="dxa"/>
              <w:left w:w="113" w:type="dxa"/>
              <w:bottom w:w="99" w:type="dxa"/>
              <w:right w:w="113" w:type="dxa"/>
            </w:tcMar>
            <w:vAlign w:val="center"/>
          </w:tcPr>
          <w:p w14:paraId="2863B9F6" w14:textId="77777777" w:rsidR="00A17AE7" w:rsidRPr="00A17AE7" w:rsidRDefault="00A17AE7" w:rsidP="00A17AE7">
            <w:pPr>
              <w:pStyle w:val="CDIFigure-Table-BodyTextCentre"/>
            </w:pPr>
            <w:r w:rsidRPr="00A17AE7">
              <w:t>3.0</w:t>
            </w:r>
          </w:p>
        </w:tc>
        <w:tc>
          <w:tcPr>
            <w:tcW w:w="850" w:type="dxa"/>
            <w:tcMar>
              <w:top w:w="99" w:type="dxa"/>
              <w:left w:w="113" w:type="dxa"/>
              <w:bottom w:w="99" w:type="dxa"/>
              <w:right w:w="113" w:type="dxa"/>
            </w:tcMar>
            <w:vAlign w:val="center"/>
          </w:tcPr>
          <w:p w14:paraId="14E1E5B1" w14:textId="77777777" w:rsidR="00A17AE7" w:rsidRPr="00A17AE7" w:rsidRDefault="00A17AE7" w:rsidP="00A17AE7">
            <w:pPr>
              <w:pStyle w:val="CDIFigure-Table-BodyTextCentre"/>
            </w:pPr>
            <w:r w:rsidRPr="00A17AE7">
              <w:t>1</w:t>
            </w:r>
          </w:p>
        </w:tc>
        <w:tc>
          <w:tcPr>
            <w:tcW w:w="850" w:type="dxa"/>
            <w:tcMar>
              <w:top w:w="99" w:type="dxa"/>
              <w:left w:w="113" w:type="dxa"/>
              <w:bottom w:w="99" w:type="dxa"/>
              <w:right w:w="113" w:type="dxa"/>
            </w:tcMar>
            <w:vAlign w:val="center"/>
          </w:tcPr>
          <w:p w14:paraId="39356A2E" w14:textId="77777777" w:rsidR="00A17AE7" w:rsidRPr="00A17AE7" w:rsidRDefault="00A17AE7" w:rsidP="00A17AE7">
            <w:pPr>
              <w:pStyle w:val="CDIFigure-Table-BodyTextCentre"/>
            </w:pPr>
            <w:r w:rsidRPr="00A17AE7">
              <w:t>3.0</w:t>
            </w:r>
          </w:p>
        </w:tc>
        <w:tc>
          <w:tcPr>
            <w:tcW w:w="851" w:type="dxa"/>
            <w:tcMar>
              <w:top w:w="99" w:type="dxa"/>
              <w:left w:w="113" w:type="dxa"/>
              <w:bottom w:w="99" w:type="dxa"/>
              <w:right w:w="113" w:type="dxa"/>
            </w:tcMar>
            <w:vAlign w:val="center"/>
          </w:tcPr>
          <w:p w14:paraId="51372700" w14:textId="77777777" w:rsidR="00A17AE7" w:rsidRPr="00A17AE7" w:rsidRDefault="00A17AE7" w:rsidP="00A17AE7">
            <w:pPr>
              <w:pStyle w:val="CDIFigure-Table-BodyTextCentre"/>
            </w:pPr>
            <w:r w:rsidRPr="00A17AE7">
              <w:t>1.000</w:t>
            </w:r>
          </w:p>
        </w:tc>
      </w:tr>
      <w:tr w:rsidR="00A17AE7" w:rsidRPr="00A17AE7" w14:paraId="325EA4B7" w14:textId="77777777" w:rsidTr="00B121C5">
        <w:trPr>
          <w:divId w:val="935526654"/>
          <w:trHeight w:val="20"/>
        </w:trPr>
        <w:tc>
          <w:tcPr>
            <w:tcW w:w="1984" w:type="dxa"/>
            <w:vMerge/>
            <w:tcBorders>
              <w:bottom w:val="single" w:sz="6" w:space="0" w:color="033636" w:themeColor="text2"/>
            </w:tcBorders>
            <w:shd w:val="clear" w:color="auto" w:fill="C5FFEF" w:themeFill="background2" w:themeFillTint="33"/>
          </w:tcPr>
          <w:p w14:paraId="6B4647DD" w14:textId="77777777" w:rsidR="00A17AE7" w:rsidRPr="00A17AE7" w:rsidRDefault="00A17AE7" w:rsidP="00A17AE7"/>
        </w:tc>
        <w:tc>
          <w:tcPr>
            <w:tcW w:w="3402"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023FD137" w14:textId="77777777" w:rsidR="00A17AE7" w:rsidRPr="00A17AE7" w:rsidRDefault="00A17AE7" w:rsidP="00A17AE7">
            <w:pPr>
              <w:pStyle w:val="CDIFigure-Table-BodyTextLeft"/>
            </w:pPr>
            <w:r w:rsidRPr="00A17AE7">
              <w:t>In-hospital death</w:t>
            </w:r>
          </w:p>
        </w:tc>
        <w:tc>
          <w:tcPr>
            <w:tcW w:w="850"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6549DC0E" w14:textId="77777777" w:rsidR="00A17AE7" w:rsidRPr="00A17AE7" w:rsidRDefault="00A17AE7" w:rsidP="00A17AE7">
            <w:pPr>
              <w:pStyle w:val="CDIFigure-Table-BodyTextCentre"/>
            </w:pPr>
            <w:r w:rsidRPr="00A17AE7">
              <w:t>0</w:t>
            </w:r>
          </w:p>
        </w:tc>
        <w:tc>
          <w:tcPr>
            <w:tcW w:w="851"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5D8C0451" w14:textId="77777777" w:rsidR="00A17AE7" w:rsidRPr="00A17AE7" w:rsidRDefault="00A17AE7" w:rsidP="00A17AE7">
            <w:pPr>
              <w:pStyle w:val="CDIFigure-Table-BodyTextCentre"/>
            </w:pPr>
            <w:r w:rsidRPr="00A17AE7">
              <w:t>0.0</w:t>
            </w:r>
          </w:p>
        </w:tc>
        <w:tc>
          <w:tcPr>
            <w:tcW w:w="850"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5F8E723D" w14:textId="77777777" w:rsidR="00A17AE7" w:rsidRPr="00A17AE7" w:rsidRDefault="00A17AE7" w:rsidP="00A17AE7">
            <w:pPr>
              <w:pStyle w:val="CDIFigure-Table-BodyTextCentre"/>
            </w:pPr>
            <w:r w:rsidRPr="00A17AE7">
              <w:t>0</w:t>
            </w:r>
          </w:p>
        </w:tc>
        <w:tc>
          <w:tcPr>
            <w:tcW w:w="850"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76C16DB1" w14:textId="77777777" w:rsidR="00A17AE7" w:rsidRPr="00A17AE7" w:rsidRDefault="00A17AE7" w:rsidP="00A17AE7">
            <w:pPr>
              <w:pStyle w:val="CDIFigure-Table-BodyTextCentre"/>
            </w:pPr>
            <w:r w:rsidRPr="00A17AE7">
              <w:t>0.0</w:t>
            </w:r>
          </w:p>
        </w:tc>
        <w:tc>
          <w:tcPr>
            <w:tcW w:w="851" w:type="dxa"/>
            <w:tcBorders>
              <w:bottom w:val="single" w:sz="6" w:space="0" w:color="033636" w:themeColor="text2"/>
            </w:tcBorders>
            <w:shd w:val="clear" w:color="auto" w:fill="F2F2F2" w:themeFill="background1" w:themeFillShade="F2"/>
            <w:tcMar>
              <w:top w:w="99" w:type="dxa"/>
              <w:left w:w="113" w:type="dxa"/>
              <w:bottom w:w="99" w:type="dxa"/>
              <w:right w:w="113" w:type="dxa"/>
            </w:tcMar>
            <w:vAlign w:val="center"/>
          </w:tcPr>
          <w:p w14:paraId="759A0FD7" w14:textId="77777777" w:rsidR="00A17AE7" w:rsidRPr="00A17AE7" w:rsidRDefault="00A17AE7" w:rsidP="00A17AE7">
            <w:pPr>
              <w:pStyle w:val="CDIFigure-Table-BodyTextCentre"/>
            </w:pPr>
            <w:r w:rsidRPr="00A17AE7">
              <w:t>—</w:t>
            </w:r>
          </w:p>
        </w:tc>
      </w:tr>
    </w:tbl>
    <w:p w14:paraId="12789151" w14:textId="77777777" w:rsidR="001A647B" w:rsidRDefault="001A647B" w:rsidP="001A647B">
      <w:pPr>
        <w:pStyle w:val="CDIFigure-Table-FirstFootnote"/>
        <w:divId w:val="935526654"/>
      </w:pPr>
      <w:r>
        <w:t>a</w:t>
      </w:r>
      <w:r>
        <w:tab/>
      </w:r>
      <w:r w:rsidRPr="001A647B">
        <w:rPr>
          <w:i/>
          <w:iCs/>
        </w:rPr>
        <w:t>p</w:t>
      </w:r>
      <w:r>
        <w:t xml:space="preserve"> values less than 0.05 (shown in bold) are assessed as significant.</w:t>
      </w:r>
    </w:p>
    <w:p w14:paraId="736BE608" w14:textId="366B86D3" w:rsidR="001A647B" w:rsidRDefault="001A647B" w:rsidP="001A647B">
      <w:pPr>
        <w:pStyle w:val="CDIFigure-Table-Footnote"/>
        <w:divId w:val="935526654"/>
      </w:pPr>
      <w:r>
        <w:t>b</w:t>
      </w:r>
      <w:r>
        <w:tab/>
        <w:t>ICU: intensive care unit; HDU: high dependency unit.</w:t>
      </w:r>
    </w:p>
    <w:p w14:paraId="31258DFE" w14:textId="3DDAC898" w:rsidR="001A647B" w:rsidRDefault="001A647B" w:rsidP="001A647B">
      <w:pPr>
        <w:pStyle w:val="CDIFigure-Table-Title"/>
        <w:divId w:val="935526654"/>
      </w:pPr>
      <w:r w:rsidRPr="001A647B">
        <w:t>Table 5: Associations of treatments, complications and outcomes with the use of chest X-ray (CXR) in children aged less than two years (n = 99)</w:t>
      </w:r>
    </w:p>
    <w:tbl>
      <w:tblPr>
        <w:tblW w:w="0" w:type="auto"/>
        <w:tblInd w:w="-8" w:type="dxa"/>
        <w:tblLayout w:type="fixed"/>
        <w:tblCellMar>
          <w:left w:w="0" w:type="dxa"/>
          <w:right w:w="0" w:type="dxa"/>
        </w:tblCellMar>
        <w:tblLook w:val="0000" w:firstRow="0" w:lastRow="0" w:firstColumn="0" w:lastColumn="0" w:noHBand="0" w:noVBand="0"/>
        <w:tblCaption w:val="Table 5: Associations of treatments, complications and outcomes with the use of chest X-ray (CXR) in children aged less than two years (n = 99)"/>
        <w:tblDescription w:val="Table 5 shows the frequencies and p values for clinical characteristics associated with the use of chest x-ray. "/>
      </w:tblPr>
      <w:tblGrid>
        <w:gridCol w:w="2551"/>
        <w:gridCol w:w="1771"/>
        <w:gridCol w:w="1770"/>
        <w:gridCol w:w="1770"/>
        <w:gridCol w:w="1771"/>
      </w:tblGrid>
      <w:tr w:rsidR="00B121C5" w:rsidRPr="00B121C5" w14:paraId="6F6F7901" w14:textId="77777777" w:rsidTr="006549E4">
        <w:tblPrEx>
          <w:tblCellMar>
            <w:top w:w="0" w:type="dxa"/>
            <w:left w:w="0" w:type="dxa"/>
            <w:bottom w:w="0" w:type="dxa"/>
            <w:right w:w="0" w:type="dxa"/>
          </w:tblCellMar>
        </w:tblPrEx>
        <w:trPr>
          <w:divId w:val="935526654"/>
          <w:trHeight w:val="20"/>
          <w:tblHeader/>
        </w:trPr>
        <w:tc>
          <w:tcPr>
            <w:tcW w:w="2551" w:type="dxa"/>
            <w:shd w:val="clear" w:color="auto" w:fill="033636" w:themeFill="text2"/>
            <w:tcMar>
              <w:top w:w="113" w:type="dxa"/>
              <w:left w:w="113" w:type="dxa"/>
              <w:bottom w:w="113" w:type="dxa"/>
              <w:right w:w="113" w:type="dxa"/>
            </w:tcMar>
            <w:vAlign w:val="bottom"/>
          </w:tcPr>
          <w:p w14:paraId="6651081F" w14:textId="77777777" w:rsidR="00B121C5" w:rsidRPr="00B121C5" w:rsidRDefault="00B121C5" w:rsidP="00B121C5">
            <w:pPr>
              <w:pStyle w:val="CDIFigure-Table-H1Left"/>
            </w:pPr>
            <w:r w:rsidRPr="00B121C5">
              <w:t>Clinical characteristics</w:t>
            </w:r>
          </w:p>
        </w:tc>
        <w:tc>
          <w:tcPr>
            <w:tcW w:w="1771" w:type="dxa"/>
            <w:shd w:val="clear" w:color="auto" w:fill="033636" w:themeFill="text2"/>
            <w:tcMar>
              <w:top w:w="113" w:type="dxa"/>
              <w:left w:w="113" w:type="dxa"/>
              <w:bottom w:w="113" w:type="dxa"/>
              <w:right w:w="113" w:type="dxa"/>
            </w:tcMar>
            <w:vAlign w:val="bottom"/>
          </w:tcPr>
          <w:p w14:paraId="4DB18D17" w14:textId="77777777" w:rsidR="00B121C5" w:rsidRPr="00B121C5" w:rsidRDefault="00B121C5" w:rsidP="00B121C5">
            <w:pPr>
              <w:pStyle w:val="CDIFigure-Table-H1"/>
            </w:pPr>
            <w:r w:rsidRPr="00B121C5">
              <w:t>Total</w:t>
            </w:r>
          </w:p>
        </w:tc>
        <w:tc>
          <w:tcPr>
            <w:tcW w:w="1770" w:type="dxa"/>
            <w:shd w:val="clear" w:color="auto" w:fill="033636" w:themeFill="text2"/>
            <w:tcMar>
              <w:top w:w="113" w:type="dxa"/>
              <w:left w:w="113" w:type="dxa"/>
              <w:bottom w:w="113" w:type="dxa"/>
              <w:right w:w="113" w:type="dxa"/>
            </w:tcMar>
            <w:vAlign w:val="bottom"/>
          </w:tcPr>
          <w:p w14:paraId="2F7E808D" w14:textId="77777777" w:rsidR="00B121C5" w:rsidRPr="00B121C5" w:rsidRDefault="00B121C5" w:rsidP="00B121C5">
            <w:pPr>
              <w:pStyle w:val="CDIFigure-Table-H1"/>
            </w:pPr>
            <w:proofErr w:type="spellStart"/>
            <w:r w:rsidRPr="00B121C5">
              <w:t>CXR</w:t>
            </w:r>
            <w:r w:rsidRPr="00B121C5">
              <w:rPr>
                <w:vertAlign w:val="superscript"/>
              </w:rPr>
              <w:t>a</w:t>
            </w:r>
            <w:proofErr w:type="spellEnd"/>
          </w:p>
        </w:tc>
        <w:tc>
          <w:tcPr>
            <w:tcW w:w="1770" w:type="dxa"/>
            <w:shd w:val="clear" w:color="auto" w:fill="033636" w:themeFill="text2"/>
            <w:tcMar>
              <w:top w:w="113" w:type="dxa"/>
              <w:left w:w="113" w:type="dxa"/>
              <w:bottom w:w="113" w:type="dxa"/>
              <w:right w:w="113" w:type="dxa"/>
            </w:tcMar>
            <w:vAlign w:val="bottom"/>
          </w:tcPr>
          <w:p w14:paraId="231668DB" w14:textId="77777777" w:rsidR="00B121C5" w:rsidRPr="00B121C5" w:rsidRDefault="00B121C5" w:rsidP="00B121C5">
            <w:pPr>
              <w:pStyle w:val="CDIFigure-Table-H1"/>
            </w:pPr>
            <w:r w:rsidRPr="00B121C5">
              <w:t xml:space="preserve">No </w:t>
            </w:r>
            <w:proofErr w:type="spellStart"/>
            <w:r w:rsidRPr="00B121C5">
              <w:t>CXR</w:t>
            </w:r>
            <w:r w:rsidRPr="00B121C5">
              <w:rPr>
                <w:vertAlign w:val="superscript"/>
              </w:rPr>
              <w:t>a</w:t>
            </w:r>
            <w:proofErr w:type="spellEnd"/>
          </w:p>
        </w:tc>
        <w:tc>
          <w:tcPr>
            <w:tcW w:w="1771" w:type="dxa"/>
            <w:shd w:val="clear" w:color="auto" w:fill="033636" w:themeFill="text2"/>
            <w:tcMar>
              <w:top w:w="113" w:type="dxa"/>
              <w:left w:w="113" w:type="dxa"/>
              <w:bottom w:w="113" w:type="dxa"/>
              <w:right w:w="113" w:type="dxa"/>
            </w:tcMar>
            <w:vAlign w:val="bottom"/>
          </w:tcPr>
          <w:p w14:paraId="2DC165E9" w14:textId="77777777" w:rsidR="00B121C5" w:rsidRPr="00B121C5" w:rsidRDefault="00B121C5" w:rsidP="00B121C5">
            <w:pPr>
              <w:pStyle w:val="CDIFigure-Table-H1"/>
            </w:pPr>
            <w:r w:rsidRPr="00B121C5">
              <w:t xml:space="preserve">p </w:t>
            </w:r>
            <w:proofErr w:type="spellStart"/>
            <w:r w:rsidRPr="00B121C5">
              <w:t>value</w:t>
            </w:r>
            <w:r w:rsidRPr="00B121C5">
              <w:rPr>
                <w:vertAlign w:val="superscript"/>
              </w:rPr>
              <w:t>b</w:t>
            </w:r>
            <w:proofErr w:type="spellEnd"/>
          </w:p>
        </w:tc>
      </w:tr>
      <w:tr w:rsidR="00B121C5" w:rsidRPr="00B121C5" w14:paraId="16065FFC" w14:textId="77777777" w:rsidTr="006549E4">
        <w:tblPrEx>
          <w:tblCellMar>
            <w:top w:w="0" w:type="dxa"/>
            <w:left w:w="0" w:type="dxa"/>
            <w:bottom w:w="0" w:type="dxa"/>
            <w:right w:w="0" w:type="dxa"/>
          </w:tblCellMar>
        </w:tblPrEx>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228201A4" w14:textId="77777777" w:rsidR="00B121C5" w:rsidRPr="00B121C5" w:rsidRDefault="00B121C5" w:rsidP="00B121C5">
            <w:pPr>
              <w:pStyle w:val="CDIFigure-Table-BodyTextLeft"/>
            </w:pPr>
            <w:r w:rsidRPr="00B121C5">
              <w:t>Bronchodilators</w:t>
            </w:r>
          </w:p>
        </w:tc>
        <w:tc>
          <w:tcPr>
            <w:tcW w:w="1771" w:type="dxa"/>
            <w:shd w:val="clear" w:color="auto" w:fill="F2F2F2" w:themeFill="background1" w:themeFillShade="F2"/>
            <w:tcMar>
              <w:top w:w="113" w:type="dxa"/>
              <w:left w:w="113" w:type="dxa"/>
              <w:bottom w:w="113" w:type="dxa"/>
              <w:right w:w="113" w:type="dxa"/>
            </w:tcMar>
            <w:vAlign w:val="center"/>
          </w:tcPr>
          <w:p w14:paraId="7085C82B" w14:textId="77777777" w:rsidR="00B121C5" w:rsidRPr="00B121C5" w:rsidRDefault="00B121C5" w:rsidP="00B121C5">
            <w:pPr>
              <w:pStyle w:val="CDIFigure-Table-BodyTextCentre"/>
            </w:pPr>
            <w:r w:rsidRPr="00B121C5">
              <w:t>38</w:t>
            </w:r>
          </w:p>
        </w:tc>
        <w:tc>
          <w:tcPr>
            <w:tcW w:w="1770" w:type="dxa"/>
            <w:shd w:val="clear" w:color="auto" w:fill="F2F2F2" w:themeFill="background1" w:themeFillShade="F2"/>
            <w:tcMar>
              <w:top w:w="113" w:type="dxa"/>
              <w:left w:w="113" w:type="dxa"/>
              <w:bottom w:w="113" w:type="dxa"/>
              <w:right w:w="113" w:type="dxa"/>
            </w:tcMar>
            <w:vAlign w:val="center"/>
          </w:tcPr>
          <w:p w14:paraId="575D006C" w14:textId="77777777" w:rsidR="00B121C5" w:rsidRPr="00B121C5" w:rsidRDefault="00B121C5" w:rsidP="00B121C5">
            <w:pPr>
              <w:pStyle w:val="CDIFigure-Table-BodyTextCentre"/>
            </w:pPr>
            <w:r w:rsidRPr="00B121C5">
              <w:t>22</w:t>
            </w:r>
          </w:p>
        </w:tc>
        <w:tc>
          <w:tcPr>
            <w:tcW w:w="1770" w:type="dxa"/>
            <w:shd w:val="clear" w:color="auto" w:fill="F2F2F2" w:themeFill="background1" w:themeFillShade="F2"/>
            <w:tcMar>
              <w:top w:w="113" w:type="dxa"/>
              <w:left w:w="113" w:type="dxa"/>
              <w:bottom w:w="113" w:type="dxa"/>
              <w:right w:w="113" w:type="dxa"/>
            </w:tcMar>
            <w:vAlign w:val="center"/>
          </w:tcPr>
          <w:p w14:paraId="25E6112B" w14:textId="77777777" w:rsidR="00B121C5" w:rsidRPr="00B121C5" w:rsidRDefault="00B121C5" w:rsidP="00B121C5">
            <w:pPr>
              <w:pStyle w:val="CDIFigure-Table-BodyTextCentre"/>
            </w:pPr>
            <w:r w:rsidRPr="00B121C5">
              <w:t>16</w:t>
            </w:r>
          </w:p>
        </w:tc>
        <w:tc>
          <w:tcPr>
            <w:tcW w:w="1771" w:type="dxa"/>
            <w:shd w:val="clear" w:color="auto" w:fill="F2F2F2" w:themeFill="background1" w:themeFillShade="F2"/>
            <w:tcMar>
              <w:top w:w="113" w:type="dxa"/>
              <w:left w:w="113" w:type="dxa"/>
              <w:bottom w:w="113" w:type="dxa"/>
              <w:right w:w="113" w:type="dxa"/>
            </w:tcMar>
            <w:vAlign w:val="center"/>
          </w:tcPr>
          <w:p w14:paraId="062D619C" w14:textId="77777777" w:rsidR="00B121C5" w:rsidRPr="00B121C5" w:rsidRDefault="00B121C5" w:rsidP="00B121C5">
            <w:pPr>
              <w:pStyle w:val="CDIFigure-Table-BodyTextCentre"/>
            </w:pPr>
            <w:r w:rsidRPr="00B121C5">
              <w:t>0.524</w:t>
            </w:r>
          </w:p>
        </w:tc>
      </w:tr>
      <w:tr w:rsidR="00B121C5" w:rsidRPr="00B121C5" w14:paraId="172D536A" w14:textId="77777777" w:rsidTr="006549E4">
        <w:tblPrEx>
          <w:tblCellMar>
            <w:top w:w="0" w:type="dxa"/>
            <w:left w:w="0" w:type="dxa"/>
            <w:bottom w:w="0" w:type="dxa"/>
            <w:right w:w="0" w:type="dxa"/>
          </w:tblCellMar>
        </w:tblPrEx>
        <w:trPr>
          <w:divId w:val="935526654"/>
          <w:trHeight w:val="20"/>
        </w:trPr>
        <w:tc>
          <w:tcPr>
            <w:tcW w:w="2551" w:type="dxa"/>
            <w:tcMar>
              <w:top w:w="113" w:type="dxa"/>
              <w:left w:w="113" w:type="dxa"/>
              <w:bottom w:w="113" w:type="dxa"/>
              <w:right w:w="113" w:type="dxa"/>
            </w:tcMar>
            <w:vAlign w:val="center"/>
          </w:tcPr>
          <w:p w14:paraId="0D9D16E0" w14:textId="77777777" w:rsidR="00B121C5" w:rsidRPr="00B121C5" w:rsidRDefault="00B121C5" w:rsidP="00B121C5">
            <w:pPr>
              <w:pStyle w:val="CDIFigure-Table-BodyTextLeft"/>
            </w:pPr>
            <w:r w:rsidRPr="00B121C5">
              <w:t>Corticosteroids</w:t>
            </w:r>
          </w:p>
        </w:tc>
        <w:tc>
          <w:tcPr>
            <w:tcW w:w="1771" w:type="dxa"/>
            <w:tcMar>
              <w:top w:w="113" w:type="dxa"/>
              <w:left w:w="113" w:type="dxa"/>
              <w:bottom w:w="113" w:type="dxa"/>
              <w:right w:w="113" w:type="dxa"/>
            </w:tcMar>
            <w:vAlign w:val="center"/>
          </w:tcPr>
          <w:p w14:paraId="5E83380F" w14:textId="77777777" w:rsidR="00B121C5" w:rsidRPr="00B121C5" w:rsidRDefault="00B121C5" w:rsidP="00B121C5">
            <w:pPr>
              <w:pStyle w:val="CDIFigure-Table-BodyTextCentre"/>
            </w:pPr>
            <w:r w:rsidRPr="00B121C5">
              <w:t>33</w:t>
            </w:r>
          </w:p>
        </w:tc>
        <w:tc>
          <w:tcPr>
            <w:tcW w:w="1770" w:type="dxa"/>
            <w:tcMar>
              <w:top w:w="113" w:type="dxa"/>
              <w:left w:w="113" w:type="dxa"/>
              <w:bottom w:w="113" w:type="dxa"/>
              <w:right w:w="113" w:type="dxa"/>
            </w:tcMar>
            <w:vAlign w:val="center"/>
          </w:tcPr>
          <w:p w14:paraId="6B0A897D" w14:textId="77777777" w:rsidR="00B121C5" w:rsidRPr="00B121C5" w:rsidRDefault="00B121C5" w:rsidP="00B121C5">
            <w:pPr>
              <w:pStyle w:val="CDIFigure-Table-BodyTextCentre"/>
            </w:pPr>
            <w:r w:rsidRPr="00B121C5">
              <w:t>21</w:t>
            </w:r>
          </w:p>
        </w:tc>
        <w:tc>
          <w:tcPr>
            <w:tcW w:w="1770" w:type="dxa"/>
            <w:tcMar>
              <w:top w:w="113" w:type="dxa"/>
              <w:left w:w="113" w:type="dxa"/>
              <w:bottom w:w="113" w:type="dxa"/>
              <w:right w:w="113" w:type="dxa"/>
            </w:tcMar>
            <w:vAlign w:val="center"/>
          </w:tcPr>
          <w:p w14:paraId="0E496BC9" w14:textId="77777777" w:rsidR="00B121C5" w:rsidRPr="00B121C5" w:rsidRDefault="00B121C5" w:rsidP="00B121C5">
            <w:pPr>
              <w:pStyle w:val="CDIFigure-Table-BodyTextCentre"/>
            </w:pPr>
            <w:r w:rsidRPr="00B121C5">
              <w:t>12</w:t>
            </w:r>
          </w:p>
        </w:tc>
        <w:tc>
          <w:tcPr>
            <w:tcW w:w="1771" w:type="dxa"/>
            <w:tcMar>
              <w:top w:w="113" w:type="dxa"/>
              <w:left w:w="113" w:type="dxa"/>
              <w:bottom w:w="113" w:type="dxa"/>
              <w:right w:w="113" w:type="dxa"/>
            </w:tcMar>
            <w:vAlign w:val="center"/>
          </w:tcPr>
          <w:p w14:paraId="31B8BCBC" w14:textId="77777777" w:rsidR="00B121C5" w:rsidRPr="00B121C5" w:rsidRDefault="00B121C5" w:rsidP="00B121C5">
            <w:pPr>
              <w:pStyle w:val="CDIFigure-Table-BodyTextCentre"/>
            </w:pPr>
            <w:r w:rsidRPr="00B121C5">
              <w:t>0.176</w:t>
            </w:r>
          </w:p>
        </w:tc>
      </w:tr>
      <w:tr w:rsidR="00B121C5" w:rsidRPr="00B121C5" w14:paraId="7E8C4049" w14:textId="77777777" w:rsidTr="006549E4">
        <w:tblPrEx>
          <w:tblCellMar>
            <w:top w:w="0" w:type="dxa"/>
            <w:left w:w="0" w:type="dxa"/>
            <w:bottom w:w="0" w:type="dxa"/>
            <w:right w:w="0" w:type="dxa"/>
          </w:tblCellMar>
        </w:tblPrEx>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40E5B830" w14:textId="77777777" w:rsidR="00B121C5" w:rsidRPr="00B121C5" w:rsidRDefault="00B121C5" w:rsidP="00B121C5">
            <w:pPr>
              <w:pStyle w:val="CDIFigure-Table-BodyTextLeft"/>
            </w:pPr>
            <w:r w:rsidRPr="00B121C5">
              <w:t>Hydration (IVT/NGT)</w:t>
            </w:r>
            <w:r w:rsidRPr="006549E4">
              <w:rPr>
                <w:vertAlign w:val="superscript"/>
              </w:rPr>
              <w:t>c</w:t>
            </w:r>
          </w:p>
        </w:tc>
        <w:tc>
          <w:tcPr>
            <w:tcW w:w="1771" w:type="dxa"/>
            <w:shd w:val="clear" w:color="auto" w:fill="F2F2F2" w:themeFill="background1" w:themeFillShade="F2"/>
            <w:tcMar>
              <w:top w:w="113" w:type="dxa"/>
              <w:left w:w="113" w:type="dxa"/>
              <w:bottom w:w="113" w:type="dxa"/>
              <w:right w:w="113" w:type="dxa"/>
            </w:tcMar>
            <w:vAlign w:val="center"/>
          </w:tcPr>
          <w:p w14:paraId="47D7E97F" w14:textId="77777777" w:rsidR="00B121C5" w:rsidRPr="00B121C5" w:rsidRDefault="00B121C5" w:rsidP="00B121C5">
            <w:pPr>
              <w:pStyle w:val="CDIFigure-Table-BodyTextCentre"/>
            </w:pPr>
            <w:r w:rsidRPr="00B121C5">
              <w:t>48</w:t>
            </w:r>
          </w:p>
        </w:tc>
        <w:tc>
          <w:tcPr>
            <w:tcW w:w="1770" w:type="dxa"/>
            <w:shd w:val="clear" w:color="auto" w:fill="F2F2F2" w:themeFill="background1" w:themeFillShade="F2"/>
            <w:tcMar>
              <w:top w:w="113" w:type="dxa"/>
              <w:left w:w="113" w:type="dxa"/>
              <w:bottom w:w="113" w:type="dxa"/>
              <w:right w:w="113" w:type="dxa"/>
            </w:tcMar>
            <w:vAlign w:val="center"/>
          </w:tcPr>
          <w:p w14:paraId="412581BB" w14:textId="77777777" w:rsidR="00B121C5" w:rsidRPr="00B121C5" w:rsidRDefault="00B121C5" w:rsidP="00B121C5">
            <w:pPr>
              <w:pStyle w:val="CDIFigure-Table-BodyTextCentre"/>
            </w:pPr>
            <w:r w:rsidRPr="00B121C5">
              <w:t>26</w:t>
            </w:r>
          </w:p>
        </w:tc>
        <w:tc>
          <w:tcPr>
            <w:tcW w:w="1770" w:type="dxa"/>
            <w:shd w:val="clear" w:color="auto" w:fill="F2F2F2" w:themeFill="background1" w:themeFillShade="F2"/>
            <w:tcMar>
              <w:top w:w="113" w:type="dxa"/>
              <w:left w:w="113" w:type="dxa"/>
              <w:bottom w:w="113" w:type="dxa"/>
              <w:right w:w="113" w:type="dxa"/>
            </w:tcMar>
            <w:vAlign w:val="center"/>
          </w:tcPr>
          <w:p w14:paraId="56EEBF8B" w14:textId="77777777" w:rsidR="00B121C5" w:rsidRPr="00B121C5" w:rsidRDefault="00B121C5" w:rsidP="00B121C5">
            <w:pPr>
              <w:pStyle w:val="CDIFigure-Table-BodyTextCentre"/>
            </w:pPr>
            <w:r w:rsidRPr="00B121C5">
              <w:t>22</w:t>
            </w:r>
          </w:p>
        </w:tc>
        <w:tc>
          <w:tcPr>
            <w:tcW w:w="1771" w:type="dxa"/>
            <w:shd w:val="clear" w:color="auto" w:fill="F2F2F2" w:themeFill="background1" w:themeFillShade="F2"/>
            <w:tcMar>
              <w:top w:w="113" w:type="dxa"/>
              <w:left w:w="113" w:type="dxa"/>
              <w:bottom w:w="113" w:type="dxa"/>
              <w:right w:w="113" w:type="dxa"/>
            </w:tcMar>
            <w:vAlign w:val="center"/>
          </w:tcPr>
          <w:p w14:paraId="203724D2" w14:textId="77777777" w:rsidR="00B121C5" w:rsidRPr="00B121C5" w:rsidRDefault="00B121C5" w:rsidP="00B121C5">
            <w:pPr>
              <w:pStyle w:val="CDIFigure-Table-BodyTextCentre"/>
            </w:pPr>
            <w:r w:rsidRPr="00B121C5">
              <w:t>0.908</w:t>
            </w:r>
          </w:p>
        </w:tc>
      </w:tr>
      <w:tr w:rsidR="00B121C5" w:rsidRPr="00B121C5" w14:paraId="305A9AD6" w14:textId="77777777" w:rsidTr="006549E4">
        <w:tblPrEx>
          <w:tblCellMar>
            <w:top w:w="0" w:type="dxa"/>
            <w:left w:w="0" w:type="dxa"/>
            <w:bottom w:w="0" w:type="dxa"/>
            <w:right w:w="0" w:type="dxa"/>
          </w:tblCellMar>
        </w:tblPrEx>
        <w:trPr>
          <w:divId w:val="935526654"/>
          <w:trHeight w:val="20"/>
        </w:trPr>
        <w:tc>
          <w:tcPr>
            <w:tcW w:w="2551" w:type="dxa"/>
            <w:tcMar>
              <w:top w:w="113" w:type="dxa"/>
              <w:left w:w="113" w:type="dxa"/>
              <w:bottom w:w="113" w:type="dxa"/>
              <w:right w:w="113" w:type="dxa"/>
            </w:tcMar>
            <w:vAlign w:val="center"/>
          </w:tcPr>
          <w:p w14:paraId="658B32F8" w14:textId="77777777" w:rsidR="00B121C5" w:rsidRPr="00B121C5" w:rsidRDefault="00B121C5" w:rsidP="00B121C5">
            <w:pPr>
              <w:pStyle w:val="CDIFigure-Table-BodyTextLeft"/>
            </w:pPr>
            <w:r w:rsidRPr="00B121C5">
              <w:t>Antibiotics</w:t>
            </w:r>
          </w:p>
        </w:tc>
        <w:tc>
          <w:tcPr>
            <w:tcW w:w="1771" w:type="dxa"/>
            <w:tcMar>
              <w:top w:w="113" w:type="dxa"/>
              <w:left w:w="113" w:type="dxa"/>
              <w:bottom w:w="113" w:type="dxa"/>
              <w:right w:w="113" w:type="dxa"/>
            </w:tcMar>
            <w:vAlign w:val="center"/>
          </w:tcPr>
          <w:p w14:paraId="282F3713" w14:textId="77777777" w:rsidR="00B121C5" w:rsidRPr="00B121C5" w:rsidRDefault="00B121C5" w:rsidP="00B121C5">
            <w:pPr>
              <w:pStyle w:val="CDIFigure-Table-BodyTextCentre"/>
            </w:pPr>
            <w:r w:rsidRPr="00B121C5">
              <w:t>48</w:t>
            </w:r>
          </w:p>
        </w:tc>
        <w:tc>
          <w:tcPr>
            <w:tcW w:w="1770" w:type="dxa"/>
            <w:tcMar>
              <w:top w:w="113" w:type="dxa"/>
              <w:left w:w="113" w:type="dxa"/>
              <w:bottom w:w="113" w:type="dxa"/>
              <w:right w:w="113" w:type="dxa"/>
            </w:tcMar>
            <w:vAlign w:val="center"/>
          </w:tcPr>
          <w:p w14:paraId="3660ABB8" w14:textId="77777777" w:rsidR="00B121C5" w:rsidRPr="00B121C5" w:rsidRDefault="00B121C5" w:rsidP="00B121C5">
            <w:pPr>
              <w:pStyle w:val="CDIFigure-Table-BodyTextCentre"/>
            </w:pPr>
            <w:r w:rsidRPr="00B121C5">
              <w:t>37</w:t>
            </w:r>
          </w:p>
        </w:tc>
        <w:tc>
          <w:tcPr>
            <w:tcW w:w="1770" w:type="dxa"/>
            <w:tcMar>
              <w:top w:w="113" w:type="dxa"/>
              <w:left w:w="113" w:type="dxa"/>
              <w:bottom w:w="113" w:type="dxa"/>
              <w:right w:w="113" w:type="dxa"/>
            </w:tcMar>
            <w:vAlign w:val="center"/>
          </w:tcPr>
          <w:p w14:paraId="35A88730" w14:textId="77777777" w:rsidR="00B121C5" w:rsidRPr="00B121C5" w:rsidRDefault="00B121C5" w:rsidP="00B121C5">
            <w:pPr>
              <w:pStyle w:val="CDIFigure-Table-BodyTextCentre"/>
            </w:pPr>
            <w:r w:rsidRPr="00B121C5">
              <w:t>11</w:t>
            </w:r>
          </w:p>
        </w:tc>
        <w:tc>
          <w:tcPr>
            <w:tcW w:w="1771" w:type="dxa"/>
            <w:tcMar>
              <w:top w:w="113" w:type="dxa"/>
              <w:left w:w="113" w:type="dxa"/>
              <w:bottom w:w="113" w:type="dxa"/>
              <w:right w:w="113" w:type="dxa"/>
            </w:tcMar>
            <w:vAlign w:val="center"/>
          </w:tcPr>
          <w:p w14:paraId="1D571202" w14:textId="77777777" w:rsidR="00B121C5" w:rsidRPr="00B121C5" w:rsidRDefault="00B121C5" w:rsidP="00B121C5">
            <w:pPr>
              <w:pStyle w:val="CDIFigure-Table-BodyTextCentre"/>
            </w:pPr>
            <w:r w:rsidRPr="00B121C5">
              <w:t>&lt; 0.001</w:t>
            </w:r>
          </w:p>
        </w:tc>
      </w:tr>
      <w:tr w:rsidR="00B121C5" w:rsidRPr="00B121C5" w14:paraId="6DF7699C" w14:textId="77777777" w:rsidTr="006549E4">
        <w:tblPrEx>
          <w:tblCellMar>
            <w:top w:w="0" w:type="dxa"/>
            <w:left w:w="0" w:type="dxa"/>
            <w:bottom w:w="0" w:type="dxa"/>
            <w:right w:w="0" w:type="dxa"/>
          </w:tblCellMar>
        </w:tblPrEx>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1EF2E1DB" w14:textId="77777777" w:rsidR="00B121C5" w:rsidRPr="00B121C5" w:rsidRDefault="00B121C5" w:rsidP="00B121C5">
            <w:pPr>
              <w:pStyle w:val="CDIFigure-Table-BodyTextLeft"/>
            </w:pPr>
            <w:r w:rsidRPr="00B121C5">
              <w:t>Low-flow oxygen</w:t>
            </w:r>
          </w:p>
        </w:tc>
        <w:tc>
          <w:tcPr>
            <w:tcW w:w="1771" w:type="dxa"/>
            <w:shd w:val="clear" w:color="auto" w:fill="F2F2F2" w:themeFill="background1" w:themeFillShade="F2"/>
            <w:tcMar>
              <w:top w:w="113" w:type="dxa"/>
              <w:left w:w="113" w:type="dxa"/>
              <w:bottom w:w="113" w:type="dxa"/>
              <w:right w:w="113" w:type="dxa"/>
            </w:tcMar>
            <w:vAlign w:val="center"/>
          </w:tcPr>
          <w:p w14:paraId="66CF476D" w14:textId="77777777" w:rsidR="00B121C5" w:rsidRPr="00B121C5" w:rsidRDefault="00B121C5" w:rsidP="00B121C5">
            <w:pPr>
              <w:pStyle w:val="CDIFigure-Table-BodyTextCentre"/>
            </w:pPr>
            <w:r w:rsidRPr="00B121C5">
              <w:t>27</w:t>
            </w:r>
          </w:p>
        </w:tc>
        <w:tc>
          <w:tcPr>
            <w:tcW w:w="1770" w:type="dxa"/>
            <w:shd w:val="clear" w:color="auto" w:fill="F2F2F2" w:themeFill="background1" w:themeFillShade="F2"/>
            <w:tcMar>
              <w:top w:w="113" w:type="dxa"/>
              <w:left w:w="113" w:type="dxa"/>
              <w:bottom w:w="113" w:type="dxa"/>
              <w:right w:w="113" w:type="dxa"/>
            </w:tcMar>
            <w:vAlign w:val="center"/>
          </w:tcPr>
          <w:p w14:paraId="38F41BA1" w14:textId="77777777" w:rsidR="00B121C5" w:rsidRPr="00B121C5" w:rsidRDefault="00B121C5" w:rsidP="00B121C5">
            <w:pPr>
              <w:pStyle w:val="CDIFigure-Table-BodyTextCentre"/>
            </w:pPr>
            <w:r w:rsidRPr="00B121C5">
              <w:t>16</w:t>
            </w:r>
          </w:p>
        </w:tc>
        <w:tc>
          <w:tcPr>
            <w:tcW w:w="1770" w:type="dxa"/>
            <w:shd w:val="clear" w:color="auto" w:fill="F2F2F2" w:themeFill="background1" w:themeFillShade="F2"/>
            <w:tcMar>
              <w:top w:w="113" w:type="dxa"/>
              <w:left w:w="113" w:type="dxa"/>
              <w:bottom w:w="113" w:type="dxa"/>
              <w:right w:w="113" w:type="dxa"/>
            </w:tcMar>
            <w:vAlign w:val="center"/>
          </w:tcPr>
          <w:p w14:paraId="07D4D312" w14:textId="77777777" w:rsidR="00B121C5" w:rsidRPr="00B121C5" w:rsidRDefault="00B121C5" w:rsidP="00B121C5">
            <w:pPr>
              <w:pStyle w:val="CDIFigure-Table-BodyTextCentre"/>
            </w:pPr>
            <w:r w:rsidRPr="00B121C5">
              <w:t>11</w:t>
            </w:r>
          </w:p>
        </w:tc>
        <w:tc>
          <w:tcPr>
            <w:tcW w:w="1771" w:type="dxa"/>
            <w:shd w:val="clear" w:color="auto" w:fill="F2F2F2" w:themeFill="background1" w:themeFillShade="F2"/>
            <w:tcMar>
              <w:top w:w="113" w:type="dxa"/>
              <w:left w:w="113" w:type="dxa"/>
              <w:bottom w:w="113" w:type="dxa"/>
              <w:right w:w="113" w:type="dxa"/>
            </w:tcMar>
            <w:vAlign w:val="center"/>
          </w:tcPr>
          <w:p w14:paraId="0AB21C61" w14:textId="77777777" w:rsidR="00B121C5" w:rsidRPr="00B121C5" w:rsidRDefault="00B121C5" w:rsidP="00B121C5">
            <w:pPr>
              <w:pStyle w:val="CDIFigure-Table-BodyTextCentre"/>
            </w:pPr>
            <w:r w:rsidRPr="00B121C5">
              <w:t>0.551</w:t>
            </w:r>
          </w:p>
        </w:tc>
      </w:tr>
      <w:tr w:rsidR="00B121C5" w:rsidRPr="00B121C5" w14:paraId="7B5EA2B4" w14:textId="77777777" w:rsidTr="006549E4">
        <w:tblPrEx>
          <w:tblCellMar>
            <w:top w:w="0" w:type="dxa"/>
            <w:left w:w="0" w:type="dxa"/>
            <w:bottom w:w="0" w:type="dxa"/>
            <w:right w:w="0" w:type="dxa"/>
          </w:tblCellMar>
        </w:tblPrEx>
        <w:trPr>
          <w:divId w:val="935526654"/>
          <w:trHeight w:val="20"/>
        </w:trPr>
        <w:tc>
          <w:tcPr>
            <w:tcW w:w="2551" w:type="dxa"/>
            <w:tcMar>
              <w:top w:w="113" w:type="dxa"/>
              <w:left w:w="113" w:type="dxa"/>
              <w:bottom w:w="113" w:type="dxa"/>
              <w:right w:w="113" w:type="dxa"/>
            </w:tcMar>
            <w:vAlign w:val="center"/>
          </w:tcPr>
          <w:p w14:paraId="479B849A" w14:textId="77777777" w:rsidR="00B121C5" w:rsidRPr="00B121C5" w:rsidRDefault="00B121C5" w:rsidP="00B121C5">
            <w:pPr>
              <w:pStyle w:val="CDIFigure-Table-BodyTextLeft"/>
            </w:pPr>
            <w:proofErr w:type="spellStart"/>
            <w:r w:rsidRPr="00B121C5">
              <w:t>NIV</w:t>
            </w:r>
            <w:r w:rsidRPr="00B121C5">
              <w:rPr>
                <w:vertAlign w:val="superscript"/>
              </w:rPr>
              <w:t>d</w:t>
            </w:r>
            <w:proofErr w:type="spellEnd"/>
          </w:p>
        </w:tc>
        <w:tc>
          <w:tcPr>
            <w:tcW w:w="1771" w:type="dxa"/>
            <w:tcMar>
              <w:top w:w="113" w:type="dxa"/>
              <w:left w:w="113" w:type="dxa"/>
              <w:bottom w:w="113" w:type="dxa"/>
              <w:right w:w="113" w:type="dxa"/>
            </w:tcMar>
            <w:vAlign w:val="center"/>
          </w:tcPr>
          <w:p w14:paraId="343AD665" w14:textId="77777777" w:rsidR="00B121C5" w:rsidRPr="00B121C5" w:rsidRDefault="00B121C5" w:rsidP="00B121C5">
            <w:pPr>
              <w:pStyle w:val="CDIFigure-Table-BodyTextCentre"/>
            </w:pPr>
            <w:r w:rsidRPr="00B121C5">
              <w:t>30</w:t>
            </w:r>
          </w:p>
        </w:tc>
        <w:tc>
          <w:tcPr>
            <w:tcW w:w="1770" w:type="dxa"/>
            <w:tcMar>
              <w:top w:w="113" w:type="dxa"/>
              <w:left w:w="113" w:type="dxa"/>
              <w:bottom w:w="113" w:type="dxa"/>
              <w:right w:w="113" w:type="dxa"/>
            </w:tcMar>
            <w:vAlign w:val="center"/>
          </w:tcPr>
          <w:p w14:paraId="503FC159" w14:textId="77777777" w:rsidR="00B121C5" w:rsidRPr="00B121C5" w:rsidRDefault="00B121C5" w:rsidP="00B121C5">
            <w:pPr>
              <w:pStyle w:val="CDIFigure-Table-BodyTextCentre"/>
            </w:pPr>
            <w:r w:rsidRPr="00B121C5">
              <w:t>19</w:t>
            </w:r>
          </w:p>
        </w:tc>
        <w:tc>
          <w:tcPr>
            <w:tcW w:w="1770" w:type="dxa"/>
            <w:tcMar>
              <w:top w:w="113" w:type="dxa"/>
              <w:left w:w="113" w:type="dxa"/>
              <w:bottom w:w="113" w:type="dxa"/>
              <w:right w:w="113" w:type="dxa"/>
            </w:tcMar>
            <w:vAlign w:val="center"/>
          </w:tcPr>
          <w:p w14:paraId="38E9594F" w14:textId="77777777" w:rsidR="00B121C5" w:rsidRPr="00B121C5" w:rsidRDefault="00B121C5" w:rsidP="00B121C5">
            <w:pPr>
              <w:pStyle w:val="CDIFigure-Table-BodyTextCentre"/>
            </w:pPr>
            <w:r w:rsidRPr="00B121C5">
              <w:t>11</w:t>
            </w:r>
          </w:p>
        </w:tc>
        <w:tc>
          <w:tcPr>
            <w:tcW w:w="1771" w:type="dxa"/>
            <w:tcMar>
              <w:top w:w="113" w:type="dxa"/>
              <w:left w:w="113" w:type="dxa"/>
              <w:bottom w:w="113" w:type="dxa"/>
              <w:right w:w="113" w:type="dxa"/>
            </w:tcMar>
            <w:vAlign w:val="center"/>
          </w:tcPr>
          <w:p w14:paraId="6B140DB4" w14:textId="77777777" w:rsidR="00B121C5" w:rsidRPr="00B121C5" w:rsidRDefault="00B121C5" w:rsidP="00B121C5">
            <w:pPr>
              <w:pStyle w:val="CDIFigure-Table-BodyTextCentre"/>
            </w:pPr>
            <w:r w:rsidRPr="00B121C5">
              <w:t>0.230</w:t>
            </w:r>
          </w:p>
        </w:tc>
      </w:tr>
      <w:tr w:rsidR="00B121C5" w:rsidRPr="00B121C5" w14:paraId="7ABCBB1E" w14:textId="77777777" w:rsidTr="006549E4">
        <w:tblPrEx>
          <w:tblCellMar>
            <w:top w:w="0" w:type="dxa"/>
            <w:left w:w="0" w:type="dxa"/>
            <w:bottom w:w="0" w:type="dxa"/>
            <w:right w:w="0" w:type="dxa"/>
          </w:tblCellMar>
        </w:tblPrEx>
        <w:trPr>
          <w:divId w:val="935526654"/>
          <w:trHeight w:val="20"/>
        </w:trPr>
        <w:tc>
          <w:tcPr>
            <w:tcW w:w="2551" w:type="dxa"/>
            <w:shd w:val="clear" w:color="auto" w:fill="F2F2F2" w:themeFill="background1" w:themeFillShade="F2"/>
            <w:tcMar>
              <w:top w:w="113" w:type="dxa"/>
              <w:left w:w="113" w:type="dxa"/>
              <w:bottom w:w="113" w:type="dxa"/>
              <w:right w:w="113" w:type="dxa"/>
            </w:tcMar>
            <w:vAlign w:val="center"/>
          </w:tcPr>
          <w:p w14:paraId="7894DE61" w14:textId="77777777" w:rsidR="00B121C5" w:rsidRPr="00B121C5" w:rsidRDefault="00B121C5" w:rsidP="00B121C5">
            <w:pPr>
              <w:pStyle w:val="CDIFigure-Table-BodyTextLeft"/>
            </w:pPr>
            <w:r w:rsidRPr="00B121C5">
              <w:t>ICU/</w:t>
            </w:r>
            <w:proofErr w:type="spellStart"/>
            <w:r w:rsidRPr="00B121C5">
              <w:t>HDU</w:t>
            </w:r>
            <w:r w:rsidRPr="00B121C5">
              <w:rPr>
                <w:vertAlign w:val="superscript"/>
              </w:rPr>
              <w:t>e</w:t>
            </w:r>
            <w:proofErr w:type="spellEnd"/>
          </w:p>
        </w:tc>
        <w:tc>
          <w:tcPr>
            <w:tcW w:w="1771" w:type="dxa"/>
            <w:shd w:val="clear" w:color="auto" w:fill="F2F2F2" w:themeFill="background1" w:themeFillShade="F2"/>
            <w:tcMar>
              <w:top w:w="113" w:type="dxa"/>
              <w:left w:w="113" w:type="dxa"/>
              <w:bottom w:w="113" w:type="dxa"/>
              <w:right w:w="113" w:type="dxa"/>
            </w:tcMar>
            <w:vAlign w:val="center"/>
          </w:tcPr>
          <w:p w14:paraId="02242D59" w14:textId="77777777" w:rsidR="00B121C5" w:rsidRPr="00B121C5" w:rsidRDefault="00B121C5" w:rsidP="00B121C5">
            <w:pPr>
              <w:pStyle w:val="CDIFigure-Table-BodyTextCentre"/>
            </w:pPr>
            <w:r w:rsidRPr="00B121C5">
              <w:t>9</w:t>
            </w:r>
          </w:p>
        </w:tc>
        <w:tc>
          <w:tcPr>
            <w:tcW w:w="1770" w:type="dxa"/>
            <w:shd w:val="clear" w:color="auto" w:fill="F2F2F2" w:themeFill="background1" w:themeFillShade="F2"/>
            <w:tcMar>
              <w:top w:w="113" w:type="dxa"/>
              <w:left w:w="113" w:type="dxa"/>
              <w:bottom w:w="113" w:type="dxa"/>
              <w:right w:w="113" w:type="dxa"/>
            </w:tcMar>
            <w:vAlign w:val="center"/>
          </w:tcPr>
          <w:p w14:paraId="40EC576B" w14:textId="77777777" w:rsidR="00B121C5" w:rsidRPr="00B121C5" w:rsidRDefault="00B121C5" w:rsidP="00B121C5">
            <w:pPr>
              <w:pStyle w:val="CDIFigure-Table-BodyTextCentre"/>
            </w:pPr>
            <w:r w:rsidRPr="00B121C5">
              <w:t>8</w:t>
            </w:r>
          </w:p>
        </w:tc>
        <w:tc>
          <w:tcPr>
            <w:tcW w:w="1770" w:type="dxa"/>
            <w:shd w:val="clear" w:color="auto" w:fill="F2F2F2" w:themeFill="background1" w:themeFillShade="F2"/>
            <w:tcMar>
              <w:top w:w="113" w:type="dxa"/>
              <w:left w:w="113" w:type="dxa"/>
              <w:bottom w:w="113" w:type="dxa"/>
              <w:right w:w="113" w:type="dxa"/>
            </w:tcMar>
            <w:vAlign w:val="center"/>
          </w:tcPr>
          <w:p w14:paraId="45E28488" w14:textId="77777777" w:rsidR="00B121C5" w:rsidRPr="00B121C5" w:rsidRDefault="00B121C5" w:rsidP="00B121C5">
            <w:pPr>
              <w:pStyle w:val="CDIFigure-Table-BodyTextCentre"/>
            </w:pPr>
            <w:r w:rsidRPr="00B121C5">
              <w:t>1</w:t>
            </w:r>
          </w:p>
        </w:tc>
        <w:tc>
          <w:tcPr>
            <w:tcW w:w="1771" w:type="dxa"/>
            <w:shd w:val="clear" w:color="auto" w:fill="F2F2F2" w:themeFill="background1" w:themeFillShade="F2"/>
            <w:tcMar>
              <w:top w:w="113" w:type="dxa"/>
              <w:left w:w="113" w:type="dxa"/>
              <w:bottom w:w="113" w:type="dxa"/>
              <w:right w:w="113" w:type="dxa"/>
            </w:tcMar>
            <w:vAlign w:val="center"/>
          </w:tcPr>
          <w:p w14:paraId="1E032C07" w14:textId="77777777" w:rsidR="00B121C5" w:rsidRPr="00B121C5" w:rsidRDefault="00B121C5" w:rsidP="00B121C5">
            <w:pPr>
              <w:pStyle w:val="CDIFigure-Table-BodyTextCentre"/>
            </w:pPr>
            <w:r w:rsidRPr="00B121C5">
              <w:t>0.052</w:t>
            </w:r>
          </w:p>
        </w:tc>
      </w:tr>
      <w:tr w:rsidR="00B121C5" w:rsidRPr="00B121C5" w14:paraId="73E7219E" w14:textId="77777777" w:rsidTr="006549E4">
        <w:tblPrEx>
          <w:tblCellMar>
            <w:top w:w="0" w:type="dxa"/>
            <w:left w:w="0" w:type="dxa"/>
            <w:bottom w:w="0" w:type="dxa"/>
            <w:right w:w="0" w:type="dxa"/>
          </w:tblCellMar>
        </w:tblPrEx>
        <w:trPr>
          <w:divId w:val="935526654"/>
          <w:trHeight w:val="20"/>
        </w:trPr>
        <w:tc>
          <w:tcPr>
            <w:tcW w:w="2551" w:type="dxa"/>
            <w:tcMar>
              <w:top w:w="113" w:type="dxa"/>
              <w:left w:w="113" w:type="dxa"/>
              <w:bottom w:w="113" w:type="dxa"/>
              <w:right w:w="113" w:type="dxa"/>
            </w:tcMar>
            <w:vAlign w:val="center"/>
          </w:tcPr>
          <w:p w14:paraId="35635F0B" w14:textId="77777777" w:rsidR="00B121C5" w:rsidRPr="00B121C5" w:rsidRDefault="00B121C5" w:rsidP="00B121C5">
            <w:pPr>
              <w:pStyle w:val="CDIFigure-Table-BodyTextLeft"/>
            </w:pPr>
            <w:r w:rsidRPr="00B121C5">
              <w:t>Pneumonia</w:t>
            </w:r>
          </w:p>
        </w:tc>
        <w:tc>
          <w:tcPr>
            <w:tcW w:w="1771" w:type="dxa"/>
            <w:tcMar>
              <w:top w:w="113" w:type="dxa"/>
              <w:left w:w="113" w:type="dxa"/>
              <w:bottom w:w="113" w:type="dxa"/>
              <w:right w:w="113" w:type="dxa"/>
            </w:tcMar>
            <w:vAlign w:val="center"/>
          </w:tcPr>
          <w:p w14:paraId="4041E743" w14:textId="77777777" w:rsidR="00B121C5" w:rsidRPr="00B121C5" w:rsidRDefault="00B121C5" w:rsidP="00B121C5">
            <w:pPr>
              <w:pStyle w:val="CDIFigure-Table-BodyTextCentre"/>
            </w:pPr>
            <w:r w:rsidRPr="00B121C5">
              <w:t>16</w:t>
            </w:r>
          </w:p>
        </w:tc>
        <w:tc>
          <w:tcPr>
            <w:tcW w:w="1770" w:type="dxa"/>
            <w:tcMar>
              <w:top w:w="113" w:type="dxa"/>
              <w:left w:w="113" w:type="dxa"/>
              <w:bottom w:w="113" w:type="dxa"/>
              <w:right w:w="113" w:type="dxa"/>
            </w:tcMar>
            <w:vAlign w:val="center"/>
          </w:tcPr>
          <w:p w14:paraId="3B51CD02" w14:textId="77777777" w:rsidR="00B121C5" w:rsidRPr="00B121C5" w:rsidRDefault="00B121C5" w:rsidP="00B121C5">
            <w:pPr>
              <w:pStyle w:val="CDIFigure-Table-BodyTextCentre"/>
            </w:pPr>
            <w:r w:rsidRPr="00B121C5">
              <w:t>16</w:t>
            </w:r>
          </w:p>
        </w:tc>
        <w:tc>
          <w:tcPr>
            <w:tcW w:w="1770" w:type="dxa"/>
            <w:tcMar>
              <w:top w:w="113" w:type="dxa"/>
              <w:left w:w="113" w:type="dxa"/>
              <w:bottom w:w="113" w:type="dxa"/>
              <w:right w:w="113" w:type="dxa"/>
            </w:tcMar>
            <w:vAlign w:val="center"/>
          </w:tcPr>
          <w:p w14:paraId="4C328D22" w14:textId="77777777" w:rsidR="00B121C5" w:rsidRPr="00B121C5" w:rsidRDefault="00B121C5" w:rsidP="00B121C5">
            <w:pPr>
              <w:pStyle w:val="CDIFigure-Table-BodyTextCentre"/>
            </w:pPr>
            <w:r w:rsidRPr="00B121C5">
              <w:t>0</w:t>
            </w:r>
          </w:p>
        </w:tc>
        <w:tc>
          <w:tcPr>
            <w:tcW w:w="1771" w:type="dxa"/>
            <w:tcMar>
              <w:top w:w="113" w:type="dxa"/>
              <w:left w:w="113" w:type="dxa"/>
              <w:bottom w:w="113" w:type="dxa"/>
              <w:right w:w="113" w:type="dxa"/>
            </w:tcMar>
            <w:vAlign w:val="center"/>
          </w:tcPr>
          <w:p w14:paraId="4A5D2F29" w14:textId="77777777" w:rsidR="00B121C5" w:rsidRPr="00B121C5" w:rsidRDefault="00B121C5" w:rsidP="00B121C5">
            <w:pPr>
              <w:pStyle w:val="CDIFigure-Table-BodyTextCentre"/>
            </w:pPr>
            <w:r w:rsidRPr="00B121C5">
              <w:t>&lt; 0.001</w:t>
            </w:r>
          </w:p>
        </w:tc>
      </w:tr>
      <w:tr w:rsidR="00B121C5" w:rsidRPr="00B121C5" w14:paraId="3CE95317" w14:textId="77777777" w:rsidTr="006549E4">
        <w:tblPrEx>
          <w:tblCellMar>
            <w:top w:w="0" w:type="dxa"/>
            <w:left w:w="0" w:type="dxa"/>
            <w:bottom w:w="0" w:type="dxa"/>
            <w:right w:w="0" w:type="dxa"/>
          </w:tblCellMar>
        </w:tblPrEx>
        <w:trPr>
          <w:divId w:val="935526654"/>
          <w:trHeight w:val="20"/>
        </w:trPr>
        <w:tc>
          <w:tcPr>
            <w:tcW w:w="255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5018F8E" w14:textId="77777777" w:rsidR="00B121C5" w:rsidRPr="00B121C5" w:rsidRDefault="00B121C5" w:rsidP="00B121C5">
            <w:pPr>
              <w:pStyle w:val="CDIFigure-Table-BodyTextLeft"/>
            </w:pPr>
            <w:r w:rsidRPr="00B121C5">
              <w:t>Comorbidities</w:t>
            </w:r>
          </w:p>
        </w:tc>
        <w:tc>
          <w:tcPr>
            <w:tcW w:w="177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7ECF675" w14:textId="77777777" w:rsidR="00B121C5" w:rsidRPr="00B121C5" w:rsidRDefault="00B121C5" w:rsidP="00B121C5">
            <w:pPr>
              <w:pStyle w:val="CDIFigure-Table-BodyTextCentre"/>
            </w:pPr>
            <w:r w:rsidRPr="00B121C5">
              <w:t>19</w:t>
            </w:r>
          </w:p>
        </w:tc>
        <w:tc>
          <w:tcPr>
            <w:tcW w:w="177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8B79F00" w14:textId="77777777" w:rsidR="00B121C5" w:rsidRPr="00B121C5" w:rsidRDefault="00B121C5" w:rsidP="00B121C5">
            <w:pPr>
              <w:pStyle w:val="CDIFigure-Table-BodyTextCentre"/>
            </w:pPr>
            <w:r w:rsidRPr="00B121C5">
              <w:t>13</w:t>
            </w:r>
          </w:p>
        </w:tc>
        <w:tc>
          <w:tcPr>
            <w:tcW w:w="1770"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75B9B31" w14:textId="77777777" w:rsidR="00B121C5" w:rsidRPr="00B121C5" w:rsidRDefault="00B121C5" w:rsidP="00B121C5">
            <w:pPr>
              <w:pStyle w:val="CDIFigure-Table-BodyTextCentre"/>
            </w:pPr>
            <w:r w:rsidRPr="00B121C5">
              <w:t>6</w:t>
            </w:r>
          </w:p>
        </w:tc>
        <w:tc>
          <w:tcPr>
            <w:tcW w:w="1771"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05D78A0" w14:textId="77777777" w:rsidR="00B121C5" w:rsidRPr="00B121C5" w:rsidRDefault="00B121C5" w:rsidP="00B121C5">
            <w:pPr>
              <w:pStyle w:val="CDIFigure-Table-BodyTextCentre"/>
            </w:pPr>
            <w:r w:rsidRPr="00B121C5">
              <w:t>0.198</w:t>
            </w:r>
          </w:p>
        </w:tc>
      </w:tr>
    </w:tbl>
    <w:p w14:paraId="4F8C0271" w14:textId="77777777" w:rsidR="001A647B" w:rsidRDefault="001A647B" w:rsidP="001A647B">
      <w:pPr>
        <w:pStyle w:val="CDIFigure-Table-FirstFootnote"/>
        <w:divId w:val="935526654"/>
      </w:pPr>
      <w:r>
        <w:t>a</w:t>
      </w:r>
      <w:r>
        <w:tab/>
        <w:t>CXR: number of cases with the identified clinical characteristic for which chest X-ray was performed; No CXR: the number of such cases for which chest X-ray was not performed.</w:t>
      </w:r>
    </w:p>
    <w:p w14:paraId="49469001" w14:textId="77777777" w:rsidR="001A647B" w:rsidRDefault="001A647B" w:rsidP="001A647B">
      <w:pPr>
        <w:pStyle w:val="CDIFigure-Table-Footnote"/>
        <w:divId w:val="935526654"/>
      </w:pPr>
      <w:r>
        <w:t>b</w:t>
      </w:r>
      <w:r>
        <w:tab/>
      </w:r>
      <w:r w:rsidRPr="001A647B">
        <w:rPr>
          <w:i/>
          <w:iCs/>
        </w:rPr>
        <w:t>p</w:t>
      </w:r>
      <w:r>
        <w:t xml:space="preserve"> values less than 0.05 (underlined) are assessed as significant.</w:t>
      </w:r>
    </w:p>
    <w:p w14:paraId="330F3FDE" w14:textId="77777777" w:rsidR="001A647B" w:rsidRDefault="001A647B" w:rsidP="001A647B">
      <w:pPr>
        <w:pStyle w:val="CDIFigure-Table-Footnote"/>
        <w:divId w:val="935526654"/>
      </w:pPr>
      <w:r>
        <w:t>c</w:t>
      </w:r>
      <w:r>
        <w:tab/>
        <w:t>IVT: intravenous therapy; NGT: nasogastric tube.</w:t>
      </w:r>
    </w:p>
    <w:p w14:paraId="6B1208C1" w14:textId="77777777" w:rsidR="001A647B" w:rsidRDefault="001A647B" w:rsidP="001A647B">
      <w:pPr>
        <w:pStyle w:val="CDIFigure-Table-Footnote"/>
        <w:divId w:val="935526654"/>
      </w:pPr>
      <w:r>
        <w:t>d</w:t>
      </w:r>
      <w:r>
        <w:tab/>
        <w:t>NIV: non-invasive ventilation.</w:t>
      </w:r>
    </w:p>
    <w:p w14:paraId="408987A3" w14:textId="40DD3BEC" w:rsidR="006549E4" w:rsidRDefault="001A647B" w:rsidP="006549E4">
      <w:pPr>
        <w:pStyle w:val="CDIFigure-Table-Footnote"/>
      </w:pPr>
      <w:r>
        <w:t>e</w:t>
      </w:r>
      <w:r>
        <w:tab/>
        <w:t>ICU: intensive care unit; HDU: high dependency unit.</w:t>
      </w:r>
      <w:r w:rsidR="006549E4">
        <w:br w:type="page"/>
      </w:r>
    </w:p>
    <w:p w14:paraId="4AEED109" w14:textId="72B97ABC" w:rsidR="000F2D45" w:rsidRDefault="000F2D45" w:rsidP="000F2D45">
      <w:pPr>
        <w:pStyle w:val="Heading2"/>
        <w:divId w:val="935526654"/>
      </w:pPr>
      <w:r>
        <w:t>Seasonal trend of RSV</w:t>
      </w:r>
    </w:p>
    <w:p w14:paraId="6C4B5326" w14:textId="77777777" w:rsidR="000F2D45" w:rsidRDefault="000F2D45" w:rsidP="000F2D45">
      <w:pPr>
        <w:divId w:val="935526654"/>
        <w:rPr>
          <w:lang w:val="en-GB"/>
        </w:rPr>
      </w:pPr>
      <w:r w:rsidRPr="000F2D45">
        <w:rPr>
          <w:lang w:val="en-GB"/>
        </w:rPr>
        <w:t>Over the eighteen-month period, 856/1,142 cases (75.0%) occurred during June–August 2022, with 382/1,142 cases (33.5%) in July 2022 alone (Figure 1). This peak in incidence coincided with the lowest minimum and maximum temperatures of the year; however, there was no clear pattern seen with rainfall (Figure 2). The monthly rate of infection reached a peak in July 2022 for all ages, at 1.6 infections per 1,000 population. RSV admissions echoed this with 121/169 admissions (71.6%) occurring in the period June–August 2022, and 61 admissions (36.1%) in July alone.</w:t>
      </w:r>
    </w:p>
    <w:p w14:paraId="64170173" w14:textId="4F28FCBD" w:rsidR="001A647B" w:rsidRDefault="001A647B" w:rsidP="001A647B">
      <w:pPr>
        <w:pStyle w:val="CDIFigure-Table-Title"/>
        <w:divId w:val="935526654"/>
      </w:pPr>
      <w:r w:rsidRPr="001A647B">
        <w:t>Figure 1: RSV cases and admissions over the study period</w:t>
      </w:r>
    </w:p>
    <w:p w14:paraId="3E80F79D" w14:textId="3E37844C" w:rsidR="001A647B" w:rsidRDefault="006549E4" w:rsidP="001A647B">
      <w:pPr>
        <w:pStyle w:val="CDIFigure-Table-ImagePlaceholder"/>
        <w:divId w:val="935526654"/>
        <w:rPr>
          <w:lang w:val="en-GB"/>
        </w:rPr>
      </w:pPr>
      <w:r>
        <w:rPr>
          <w:noProof/>
          <w14:ligatures w14:val="none"/>
        </w:rPr>
        <w:drawing>
          <wp:inline distT="0" distB="0" distL="0" distR="0" wp14:anchorId="72DB3711" wp14:editId="245E3598">
            <wp:extent cx="6130800" cy="4168800"/>
            <wp:effectExtent l="0" t="0" r="3810" b="3175"/>
            <wp:docPr id="1" name="Picture 1" descr="Figure 1 illustrates the trends of Respiratory Syncytial Virus notifications and hospital admissions between July 2021 and December 2022 as an area graph. A sharp rise in the notification rate can be observed since April 2022 while the admission rate increased in the following month, and this trend continued till Jul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illustrates the trends of Respiratory Syncytial Virus notifications and hospital admissions between July 2021 and December 2022 as an area graph. A sharp rise in the notification rate can be observed since April 2022 while the admission rate increased in the following month, and this trend continued till July 2022."/>
                    <pic:cNvPicPr/>
                  </pic:nvPicPr>
                  <pic:blipFill>
                    <a:blip r:embed="rId9" cstate="print">
                      <a:extLst>
                        <a:ext uri="{28A0092B-C50C-407E-A947-70E740481C1C}">
                          <a14:useLocalDpi xmlns:a14="http://schemas.microsoft.com/office/drawing/2010/main"/>
                        </a:ext>
                      </a:extLst>
                    </a:blip>
                    <a:stretch>
                      <a:fillRect/>
                    </a:stretch>
                  </pic:blipFill>
                  <pic:spPr>
                    <a:xfrm>
                      <a:off x="0" y="0"/>
                      <a:ext cx="6130800" cy="4168800"/>
                    </a:xfrm>
                    <a:prstGeom prst="rect">
                      <a:avLst/>
                    </a:prstGeom>
                  </pic:spPr>
                </pic:pic>
              </a:graphicData>
            </a:graphic>
          </wp:inline>
        </w:drawing>
      </w:r>
    </w:p>
    <w:p w14:paraId="6D4E340F" w14:textId="62F638AA" w:rsidR="001A647B" w:rsidRDefault="001A647B" w:rsidP="001A647B">
      <w:pPr>
        <w:pStyle w:val="CDIFigure-Table-Title"/>
        <w:divId w:val="935526654"/>
      </w:pPr>
      <w:r w:rsidRPr="001A647B">
        <w:t>Figure 2: Temperature and rainfall over the study period</w:t>
      </w:r>
    </w:p>
    <w:p w14:paraId="02D1186F" w14:textId="2776B0E4" w:rsidR="001A647B" w:rsidRDefault="006549E4" w:rsidP="001A647B">
      <w:pPr>
        <w:pStyle w:val="CDIFigure-Table-ImagePlaceholder"/>
        <w:divId w:val="935526654"/>
        <w:rPr>
          <w:lang w:val="en-GB"/>
        </w:rPr>
      </w:pPr>
      <w:r>
        <w:rPr>
          <w:noProof/>
          <w14:ligatures w14:val="none"/>
        </w:rPr>
        <w:drawing>
          <wp:inline distT="0" distB="0" distL="0" distR="0" wp14:anchorId="0F6CE323" wp14:editId="5F52740E">
            <wp:extent cx="6111252" cy="4127000"/>
            <wp:effectExtent l="0" t="0" r="3810" b="6985"/>
            <wp:docPr id="2" name="Picture 2" descr="Figure 2 illustrates the temperature range as an area graph and rainfall as a line graph between July 2021 and December 2022. Minimum and maximum temperatures were highest from November to April, dipping in the winter months of June to August. Rainfall showed a less distinct pattern, however, is more concentrated in the warmer months from October to Dec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illustrates the temperature range as an area graph and rainfall as a line graph between July 2021 and December 2022. Minimum and maximum temperatures were highest from November to April, dipping in the winter months of June to August. Rainfall showed a less distinct pattern, however, is more concentrated in the warmer months from October to December."/>
                    <pic:cNvPicPr/>
                  </pic:nvPicPr>
                  <pic:blipFill>
                    <a:blip r:embed="rId10" cstate="print">
                      <a:extLst>
                        <a:ext uri="{28A0092B-C50C-407E-A947-70E740481C1C}">
                          <a14:useLocalDpi xmlns:a14="http://schemas.microsoft.com/office/drawing/2010/main"/>
                        </a:ext>
                      </a:extLst>
                    </a:blip>
                    <a:stretch>
                      <a:fillRect/>
                    </a:stretch>
                  </pic:blipFill>
                  <pic:spPr>
                    <a:xfrm>
                      <a:off x="0" y="0"/>
                      <a:ext cx="6111252" cy="4127000"/>
                    </a:xfrm>
                    <a:prstGeom prst="rect">
                      <a:avLst/>
                    </a:prstGeom>
                  </pic:spPr>
                </pic:pic>
              </a:graphicData>
            </a:graphic>
          </wp:inline>
        </w:drawing>
      </w:r>
    </w:p>
    <w:p w14:paraId="2DE50F83" w14:textId="77777777" w:rsidR="008A0736" w:rsidRDefault="008A0736" w:rsidP="008A0736">
      <w:pPr>
        <w:pStyle w:val="Heading1"/>
        <w:divId w:val="935526654"/>
        <w:rPr>
          <w:lang w:val="en-GB"/>
        </w:rPr>
      </w:pPr>
      <w:r w:rsidRPr="00702D05">
        <w:rPr>
          <w:lang w:val="en-GB"/>
        </w:rPr>
        <w:lastRenderedPageBreak/>
        <w:t>Discussion</w:t>
      </w:r>
    </w:p>
    <w:p w14:paraId="2615845B" w14:textId="77777777" w:rsidR="000F2D45" w:rsidRPr="000F2D45" w:rsidRDefault="000F2D45" w:rsidP="000F2D45">
      <w:pPr>
        <w:divId w:val="935526654"/>
        <w:rPr>
          <w:lang w:val="en-GB"/>
        </w:rPr>
      </w:pPr>
      <w:r w:rsidRPr="000F2D45">
        <w:rPr>
          <w:lang w:val="en-GB"/>
        </w:rPr>
        <w:t>We utilised the Queensland NOCS database to retrospectively review the epidemiology of RSV infections in the Central Queensland region over an eighteen-month period. Children under five years of age saw the biggest burden of cases and admissions in Central Queensland, at 9.0 cases per 1,000 population over the study period. This compares with global infection rate estimates, for this age group, of 5.3 per 1,000 per year from Li et al.</w:t>
      </w:r>
      <w:r w:rsidRPr="000F2D45">
        <w:rPr>
          <w:vertAlign w:val="superscript"/>
          <w:lang w:val="en-GB"/>
        </w:rPr>
        <w:t>2</w:t>
      </w:r>
      <w:r w:rsidRPr="000F2D45">
        <w:rPr>
          <w:lang w:val="en-GB"/>
        </w:rPr>
        <w:t xml:space="preserve"> and 4.7 per 1,000 per year from Stein et al.</w:t>
      </w:r>
      <w:r w:rsidRPr="000F2D45">
        <w:rPr>
          <w:vertAlign w:val="superscript"/>
          <w:lang w:val="en-GB"/>
        </w:rPr>
        <w:t>35</w:t>
      </w:r>
      <w:r w:rsidRPr="000F2D45">
        <w:rPr>
          <w:lang w:val="en-GB"/>
        </w:rPr>
        <w:t xml:space="preserve"> in their systematic reviews. Globally, children under six months have a higher burden of severe disease and hospitalisation than older children and adults,</w:t>
      </w:r>
      <w:r w:rsidRPr="000F2D45">
        <w:rPr>
          <w:vertAlign w:val="superscript"/>
          <w:lang w:val="en-GB"/>
        </w:rPr>
        <w:t>2,9</w:t>
      </w:r>
      <w:r w:rsidRPr="000F2D45">
        <w:rPr>
          <w:lang w:val="en-GB"/>
        </w:rPr>
        <w:t xml:space="preserve"> as seen in Central Queensland. While the in-hospital case fatality rate for children under five has previously been estimated at 0.1% in high-income countries and 1.4% in low-income countries,</w:t>
      </w:r>
      <w:r w:rsidRPr="000F2D45">
        <w:rPr>
          <w:vertAlign w:val="superscript"/>
          <w:lang w:val="en-GB"/>
        </w:rPr>
        <w:t>3</w:t>
      </w:r>
      <w:r w:rsidRPr="000F2D45">
        <w:rPr>
          <w:lang w:val="en-GB"/>
        </w:rPr>
        <w:t xml:space="preserve"> there were no in-hospital case fatalities observed in this age cohort in Central Queensland.</w:t>
      </w:r>
    </w:p>
    <w:p w14:paraId="22835D6B" w14:textId="77777777" w:rsidR="000F2D45" w:rsidRPr="000F2D45" w:rsidRDefault="000F2D45" w:rsidP="000F2D45">
      <w:pPr>
        <w:divId w:val="935526654"/>
        <w:rPr>
          <w:lang w:val="en-GB"/>
        </w:rPr>
      </w:pPr>
      <w:r w:rsidRPr="000F2D45">
        <w:rPr>
          <w:lang w:val="en-GB"/>
        </w:rPr>
        <w:t>Aboriginal and Torres Strait Islander people were over-represented in both cases and hospitalisations in Central Queensland. This increased burden has been described in other Australian epidemiological studies,</w:t>
      </w:r>
      <w:r w:rsidRPr="000F2D45">
        <w:rPr>
          <w:vertAlign w:val="superscript"/>
          <w:lang w:val="en-GB"/>
        </w:rPr>
        <w:t>5,36–38</w:t>
      </w:r>
      <w:r w:rsidRPr="000F2D45">
        <w:rPr>
          <w:lang w:val="en-GB"/>
        </w:rPr>
        <w:t xml:space="preserve"> with Dede et al.</w:t>
      </w:r>
      <w:r w:rsidRPr="000F2D45">
        <w:rPr>
          <w:vertAlign w:val="superscript"/>
          <w:lang w:val="en-GB"/>
        </w:rPr>
        <w:t>38</w:t>
      </w:r>
      <w:r w:rsidRPr="000F2D45">
        <w:rPr>
          <w:lang w:val="en-GB"/>
        </w:rPr>
        <w:t xml:space="preserve"> finding that Central Australian Aboriginal and Torres Strait Islander children under two were admitted at a rate of 29.6 per 1,000 versus 10.9 per 1,000 in non-Indigenous peers (</w:t>
      </w:r>
      <w:r w:rsidRPr="000F2D45">
        <w:rPr>
          <w:i/>
          <w:iCs/>
          <w:lang w:val="en-GB"/>
        </w:rPr>
        <w:t>p</w:t>
      </w:r>
      <w:r w:rsidRPr="000F2D45">
        <w:rPr>
          <w:lang w:val="en-GB"/>
        </w:rPr>
        <w:t xml:space="preserve"> &lt; 0.001). Indigenous peoples across the world overall suffer from more frequent and severe respiratory infections due to a combination of complex historical, social, and environmental factors.</w:t>
      </w:r>
      <w:r w:rsidRPr="000F2D45">
        <w:rPr>
          <w:vertAlign w:val="superscript"/>
          <w:lang w:val="en-GB"/>
        </w:rPr>
        <w:t>39</w:t>
      </w:r>
      <w:r w:rsidRPr="000F2D45">
        <w:rPr>
          <w:lang w:val="en-GB"/>
        </w:rPr>
        <w:t xml:space="preserve"> This includes but is not limited to greater household crowding and poorer housing conditions, socioeconomic disadvantage, and difficulty accessing accessible and culturally appropriate healthcare.</w:t>
      </w:r>
      <w:r w:rsidRPr="000F2D45">
        <w:rPr>
          <w:vertAlign w:val="superscript"/>
          <w:lang w:val="en-GB"/>
        </w:rPr>
        <w:t>39,40</w:t>
      </w:r>
      <w:r w:rsidRPr="000F2D45">
        <w:rPr>
          <w:lang w:val="en-GB"/>
        </w:rPr>
        <w:t xml:space="preserve"> This disparity highlights a need for ongoing targeted preventive efforts and clinical vigilance to recognise those at risk of severe disease early.</w:t>
      </w:r>
    </w:p>
    <w:p w14:paraId="24A39ADA" w14:textId="77777777" w:rsidR="000F2D45" w:rsidRPr="000F2D45" w:rsidRDefault="000F2D45" w:rsidP="000F2D45">
      <w:pPr>
        <w:divId w:val="935526654"/>
        <w:rPr>
          <w:lang w:val="en-GB"/>
        </w:rPr>
      </w:pPr>
      <w:r w:rsidRPr="000F2D45">
        <w:rPr>
          <w:lang w:val="en-GB"/>
        </w:rPr>
        <w:t>For uncomplicated RSV bronchiolitis, the mainstay of treatment is supportive with observation, hydration, and respiratory support.</w:t>
      </w:r>
      <w:r w:rsidRPr="000F2D45">
        <w:rPr>
          <w:vertAlign w:val="superscript"/>
          <w:lang w:val="en-GB"/>
        </w:rPr>
        <w:t>17</w:t>
      </w:r>
      <w:r w:rsidRPr="000F2D45">
        <w:rPr>
          <w:lang w:val="en-GB"/>
        </w:rPr>
        <w:t xml:space="preserve"> We observed a potential overuse of antibiotics and CXR in children under two admitted with RSV infection in Central Queensland, reinforcing the clinical challenge that RSV presentations can pose. The use of CXR in simple bronchiolitis is not recommended, as it may result in unnecessary antibiotic use, since findings of patchy hyperinflation and atelectasis can be misinterpreted as consolidation.</w:t>
      </w:r>
      <w:r w:rsidRPr="000F2D45">
        <w:rPr>
          <w:vertAlign w:val="superscript"/>
          <w:lang w:val="en-GB"/>
        </w:rPr>
        <w:t>14,16</w:t>
      </w:r>
      <w:r w:rsidRPr="000F2D45">
        <w:rPr>
          <w:lang w:val="en-GB"/>
        </w:rPr>
        <w:t xml:space="preserve"> Lim et al.</w:t>
      </w:r>
      <w:r w:rsidRPr="000F2D45">
        <w:rPr>
          <w:vertAlign w:val="superscript"/>
          <w:lang w:val="en-GB"/>
        </w:rPr>
        <w:t>41</w:t>
      </w:r>
      <w:r w:rsidRPr="000F2D45">
        <w:rPr>
          <w:lang w:val="en-GB"/>
        </w:rPr>
        <w:t xml:space="preserve"> reviewed the management of bronchiolitis in a regional Queensland hospital and also saw multiple non-evidence-based investigations and interventions performed on children presenting with bronchiolitis, while Oakley et al.</w:t>
      </w:r>
      <w:r w:rsidRPr="000F2D45">
        <w:rPr>
          <w:vertAlign w:val="superscript"/>
          <w:lang w:val="en-GB"/>
        </w:rPr>
        <w:t>42</w:t>
      </w:r>
      <w:r w:rsidRPr="000F2D45">
        <w:rPr>
          <w:lang w:val="en-GB"/>
        </w:rPr>
        <w:t xml:space="preserve"> linked the use of CXR to a nine-fold increase in antibiotic use in unspecified bronchiolitis in their Australasian study. Unnecessary antibiotic use can potentially cause harm through adverse reactions and can contribute to the emerging public health threat of antibiotic resistance.</w:t>
      </w:r>
      <w:r w:rsidRPr="000F2D45">
        <w:rPr>
          <w:vertAlign w:val="superscript"/>
          <w:lang w:val="en-GB"/>
        </w:rPr>
        <w:t>43,44</w:t>
      </w:r>
      <w:r w:rsidRPr="000F2D45">
        <w:rPr>
          <w:lang w:val="en-GB"/>
        </w:rPr>
        <w:t xml:space="preserve"> In a ten-year Israeli study, </w:t>
      </w:r>
      <w:proofErr w:type="spellStart"/>
      <w:r w:rsidRPr="000F2D45">
        <w:rPr>
          <w:lang w:val="en-GB"/>
        </w:rPr>
        <w:t>Obolski</w:t>
      </w:r>
      <w:proofErr w:type="spellEnd"/>
      <w:r w:rsidRPr="000F2D45">
        <w:rPr>
          <w:lang w:val="en-GB"/>
        </w:rPr>
        <w:t xml:space="preserve"> et al.</w:t>
      </w:r>
      <w:r w:rsidRPr="000F2D45">
        <w:rPr>
          <w:vertAlign w:val="superscript"/>
          <w:lang w:val="en-GB"/>
        </w:rPr>
        <w:t>43</w:t>
      </w:r>
      <w:r w:rsidRPr="000F2D45">
        <w:rPr>
          <w:lang w:val="en-GB"/>
        </w:rPr>
        <w:t xml:space="preserve"> estimated unnecessary antibiotic use in 33.4% of cases among children under two admitted with RSV without a bacterial infection (95% CI: 30.5–36.4%).</w:t>
      </w:r>
    </w:p>
    <w:p w14:paraId="337873E3" w14:textId="77777777" w:rsidR="000F2D45" w:rsidRPr="000F2D45" w:rsidRDefault="000F2D45" w:rsidP="000F2D45">
      <w:pPr>
        <w:divId w:val="935526654"/>
        <w:rPr>
          <w:lang w:val="en-GB"/>
        </w:rPr>
      </w:pPr>
      <w:r w:rsidRPr="000F2D45">
        <w:rPr>
          <w:lang w:val="en-GB"/>
        </w:rPr>
        <w:t>It is important to note that clinical settings within Central Queensland can be challenging, as children may present to rural health services without paediatric specialists on site. These findings regarding the use of CXR and antibiotics highlight a potential opportunity to review local practices and to upskill clinicians within primary care and hospital settings in the region as also highlighted by Lim et al.</w:t>
      </w:r>
      <w:r w:rsidRPr="000F2D45">
        <w:rPr>
          <w:vertAlign w:val="superscript"/>
          <w:lang w:val="en-GB"/>
        </w:rPr>
        <w:t>41</w:t>
      </w:r>
      <w:r w:rsidRPr="000F2D45">
        <w:rPr>
          <w:lang w:val="en-GB"/>
        </w:rPr>
        <w:t xml:space="preserve"> As an example strategy, Kalil et al.</w:t>
      </w:r>
      <w:r w:rsidRPr="000F2D45">
        <w:rPr>
          <w:vertAlign w:val="superscript"/>
          <w:lang w:val="en-GB"/>
        </w:rPr>
        <w:t>45</w:t>
      </w:r>
      <w:r w:rsidRPr="000F2D45">
        <w:rPr>
          <w:lang w:val="en-GB"/>
        </w:rPr>
        <w:t xml:space="preserve"> showed a reduction in unnecessary antibiotic use from 47% to 32% for RSV bronchiolitis following the implementation of antimicrobial stewardship in a Canadian paediatric hospital. A review of local access to point of care (POC) RSV tests may be warranted, as these can provide real-time results in more isolated settings. POC RSV testing also allows for the implementation of appropriate infection control measures and reconsideration of further potentially invasive tests and antibiotic prescription.</w:t>
      </w:r>
      <w:r w:rsidRPr="000F2D45">
        <w:rPr>
          <w:vertAlign w:val="superscript"/>
          <w:lang w:val="en-GB"/>
        </w:rPr>
        <w:t>46–49</w:t>
      </w:r>
    </w:p>
    <w:p w14:paraId="2F02AB60" w14:textId="77777777" w:rsidR="000F2D45" w:rsidRPr="000F2D45" w:rsidRDefault="000F2D45" w:rsidP="000F2D45">
      <w:pPr>
        <w:divId w:val="935526654"/>
        <w:rPr>
          <w:lang w:val="en-GB"/>
        </w:rPr>
      </w:pPr>
      <w:r w:rsidRPr="000F2D45">
        <w:rPr>
          <w:lang w:val="en-GB"/>
        </w:rPr>
        <w:lastRenderedPageBreak/>
        <w:t>Since dosing with monoclonal antibodies is recommended in the few months before the onset of, and during, the RSV season in settings with well-defined circulation,</w:t>
      </w:r>
      <w:r w:rsidRPr="000F2D45">
        <w:rPr>
          <w:vertAlign w:val="superscript"/>
          <w:lang w:val="en-GB"/>
        </w:rPr>
        <w:t>50</w:t>
      </w:r>
      <w:r w:rsidRPr="000F2D45">
        <w:rPr>
          <w:lang w:val="en-GB"/>
        </w:rPr>
        <w:t xml:space="preserve"> understanding the local seasonality can inform future clinical practice. Despite our data showing a clear winter peak in 2022, this was not seen in the latter half of 2021. More data on seasonality is needed and our ongoing surveillance will help to inform this.</w:t>
      </w:r>
    </w:p>
    <w:p w14:paraId="14754889" w14:textId="77777777" w:rsidR="000F2D45" w:rsidRPr="000F2D45" w:rsidRDefault="000F2D45" w:rsidP="000F2D45">
      <w:pPr>
        <w:divId w:val="935526654"/>
        <w:rPr>
          <w:lang w:val="en-GB"/>
        </w:rPr>
      </w:pPr>
      <w:proofErr w:type="spellStart"/>
      <w:r w:rsidRPr="000F2D45">
        <w:rPr>
          <w:lang w:val="en-GB"/>
        </w:rPr>
        <w:t>Saravanos</w:t>
      </w:r>
      <w:proofErr w:type="spellEnd"/>
      <w:r w:rsidRPr="000F2D45">
        <w:rPr>
          <w:lang w:val="en-GB"/>
        </w:rPr>
        <w:t xml:space="preserve"> et al.</w:t>
      </w:r>
      <w:r w:rsidRPr="000F2D45">
        <w:rPr>
          <w:vertAlign w:val="superscript"/>
          <w:lang w:val="en-GB"/>
        </w:rPr>
        <w:t>5</w:t>
      </w:r>
      <w:r w:rsidRPr="000F2D45">
        <w:rPr>
          <w:lang w:val="en-GB"/>
        </w:rPr>
        <w:t xml:space="preserve"> described clear RSV peaks during autumn and winter across all Australian jurisdictions, except the Northern Territory, in a ten-year review of RSV admissions. A latitudinal gradient in the timing of RSV epidemics for both the northern and southern hemispheres has been described with epidemics starting in January (summer) in southern hemisphere tropical equatorial areas </w:t>
      </w:r>
      <w:proofErr w:type="gramStart"/>
      <w:r w:rsidRPr="000F2D45">
        <w:rPr>
          <w:lang w:val="en-GB"/>
        </w:rPr>
        <w:t>moving,</w:t>
      </w:r>
      <w:proofErr w:type="gramEnd"/>
      <w:r w:rsidRPr="000F2D45">
        <w:rPr>
          <w:lang w:val="en-GB"/>
        </w:rPr>
        <w:t xml:space="preserve"> to June (winter) in more southern areas of higher latitudes.</w:t>
      </w:r>
      <w:r w:rsidRPr="000F2D45">
        <w:rPr>
          <w:vertAlign w:val="superscript"/>
          <w:lang w:val="en-GB"/>
        </w:rPr>
        <w:t>2,20</w:t>
      </w:r>
      <w:r w:rsidRPr="000F2D45">
        <w:rPr>
          <w:lang w:val="en-GB"/>
        </w:rPr>
        <w:t xml:space="preserve"> Prior site-specific Queensland studies appear to follow this trend. Paynter et al.</w:t>
      </w:r>
      <w:r w:rsidRPr="000F2D45">
        <w:rPr>
          <w:vertAlign w:val="superscript"/>
          <w:lang w:val="en-GB"/>
        </w:rPr>
        <w:t>19</w:t>
      </w:r>
      <w:r w:rsidRPr="000F2D45">
        <w:rPr>
          <w:lang w:val="en-GB"/>
        </w:rPr>
        <w:t xml:space="preserve"> saw the highest activity in the northern city of Cairns in early autumn (March), while Townsville located south of Cairns saw this later in mid-autumn (March–April). Further south of Townsville, Morley et al.</w:t>
      </w:r>
      <w:r w:rsidRPr="000F2D45">
        <w:rPr>
          <w:vertAlign w:val="superscript"/>
          <w:lang w:val="en-GB"/>
        </w:rPr>
        <w:t>51</w:t>
      </w:r>
      <w:r w:rsidRPr="000F2D45">
        <w:rPr>
          <w:lang w:val="en-GB"/>
        </w:rPr>
        <w:t xml:space="preserve"> saw year-round detection of RSV with peaks in mid-to-late autumn (April–May) in the Gold Coast region. As the Central Queensland region lies latitudinally between the Townsville and Gold Coast regions, an autumn peak may be anticipated.</w:t>
      </w:r>
    </w:p>
    <w:p w14:paraId="726C6E42" w14:textId="77777777" w:rsidR="000F2D45" w:rsidRPr="000F2D45" w:rsidRDefault="000F2D45" w:rsidP="000F2D45">
      <w:pPr>
        <w:divId w:val="935526654"/>
        <w:rPr>
          <w:lang w:val="en-GB"/>
        </w:rPr>
      </w:pPr>
      <w:r w:rsidRPr="000F2D45">
        <w:rPr>
          <w:lang w:val="en-GB"/>
        </w:rPr>
        <w:t>The patterns observed in Central Queensland over the study period may be influenced by changes in population mobility, health-seeking, and social behaviours in response to the COVID-19 pandemic. Delayed RSV seasons were documented elsewhere within Australia during 2020–2021, with a notably absent winter season followed by an unusual spike in cases in spring and summer.</w:t>
      </w:r>
      <w:r w:rsidRPr="000F2D45">
        <w:rPr>
          <w:vertAlign w:val="superscript"/>
          <w:lang w:val="en-GB"/>
        </w:rPr>
        <w:t>52–54</w:t>
      </w:r>
      <w:r w:rsidRPr="000F2D45">
        <w:rPr>
          <w:lang w:val="en-GB"/>
        </w:rPr>
        <w:t xml:space="preserve"> Similar patterns were seen overseas with large and delayed RSV epidemics.</w:t>
      </w:r>
      <w:r w:rsidRPr="000F2D45">
        <w:rPr>
          <w:vertAlign w:val="superscript"/>
          <w:lang w:val="en-GB"/>
        </w:rPr>
        <w:t>55–57</w:t>
      </w:r>
      <w:r w:rsidRPr="000F2D45">
        <w:rPr>
          <w:lang w:val="en-GB"/>
        </w:rPr>
        <w:t xml:space="preserve"> It is likely that Central Queensland also experienced a delayed season during this time. These late and large spikes were hypothesised to be the result of a larger cohort of RSV-naïve children being exposed to RSV for the first time when pandemic measures were eased.</w:t>
      </w:r>
      <w:r w:rsidRPr="000F2D45">
        <w:rPr>
          <w:vertAlign w:val="superscript"/>
          <w:lang w:val="en-GB"/>
        </w:rPr>
        <w:t>57</w:t>
      </w:r>
    </w:p>
    <w:p w14:paraId="44CEC68C" w14:textId="7062FAF6" w:rsidR="000F2D45" w:rsidRPr="000F2D45" w:rsidRDefault="000F2D45" w:rsidP="000F2D45">
      <w:pPr>
        <w:divId w:val="935526654"/>
        <w:rPr>
          <w:lang w:val="en-GB"/>
        </w:rPr>
      </w:pPr>
      <w:r w:rsidRPr="000F2D45">
        <w:rPr>
          <w:lang w:val="en-GB"/>
        </w:rPr>
        <w:t>Despite our best effort, there are several limitations to this observational study. This study reflects early data, using only the first eighteen months of information collected since mandatory reporting of RSV. Population denominators were limited by the age brackets available through the Australian Bureau of Statistics outlined in Appendix A. The true burden of RSV is likely to be underestimated, as testing for RSV is not routine for the general population experiencing mild symptoms, with higher rates of testing often seen in children, in older adults, and in those presenting to hospital. Access to testing and testing practice was likely influenced by the COVID-19 pandemic, with more people potentially seeking testing for respiratory symptoms over this time. Admission data was only obtained from the two major public hospitals in Central Queensland. Data for patients admitted to smaller peripheral or private hospitals in the region has not been captured and may affect population admission rates for adults. The admission rates for the adult population are likely underestimated due to this. Gladstone and Rockhampton hospitals are the only two CQ hospitals that provide paediatric inpatient services, so we are confident that children within the catchment area would be admitted to these services. However, patients requiring transfer directly from emergency departments or smaller rural hospitals directly to tertiary centres outside the Central Queensland region would not have been captured in this data. Therefore, we cannot completely rule out the chance of a selection bias in our study. Clinical data is based on documentation from emergency notes and discharge summaries, so it is limited by the quality and completion of the documentation. Concurrent infections were measured only through documentation (not laboratory results), so the results displayed here are likely an under-estimation.</w:t>
      </w:r>
    </w:p>
    <w:p w14:paraId="1E5700CA" w14:textId="50A66D6A" w:rsidR="008A0736" w:rsidRPr="00702D05" w:rsidRDefault="008A0736" w:rsidP="008A0736">
      <w:pPr>
        <w:pStyle w:val="Heading1"/>
        <w:divId w:val="935526654"/>
        <w:rPr>
          <w:lang w:val="en-GB"/>
        </w:rPr>
      </w:pPr>
      <w:r w:rsidRPr="00702D05">
        <w:rPr>
          <w:lang w:val="en-GB"/>
        </w:rPr>
        <w:lastRenderedPageBreak/>
        <w:t>Conclusion</w:t>
      </w:r>
      <w:r w:rsidR="000F2D45">
        <w:rPr>
          <w:lang w:val="en-GB"/>
        </w:rPr>
        <w:t>s</w:t>
      </w:r>
    </w:p>
    <w:p w14:paraId="3DC01061" w14:textId="77777777" w:rsidR="000F2D45" w:rsidRPr="000F2D45" w:rsidRDefault="000F2D45" w:rsidP="000F2D45">
      <w:pPr>
        <w:divId w:val="935526654"/>
        <w:rPr>
          <w:lang w:val="en-GB"/>
        </w:rPr>
      </w:pPr>
      <w:r w:rsidRPr="000F2D45">
        <w:rPr>
          <w:lang w:val="en-GB"/>
        </w:rPr>
        <w:t>Young children see the greatest burden of RSV disease, particularly those identifying as Aboriginal and Torres Strait Islander. Children admitted to hospital with RSV may receive unnecessary investigations and treatments, highlighting potential to review practice, to upskill clinicians, and to offer better access to point of care RSV testing.</w:t>
      </w:r>
    </w:p>
    <w:p w14:paraId="0C412359" w14:textId="77777777" w:rsidR="000F2D45" w:rsidRPr="000F2D45" w:rsidRDefault="000F2D45" w:rsidP="000F2D45">
      <w:pPr>
        <w:divId w:val="935526654"/>
        <w:rPr>
          <w:lang w:val="en-GB"/>
        </w:rPr>
      </w:pPr>
      <w:r w:rsidRPr="000F2D45">
        <w:rPr>
          <w:lang w:val="en-GB"/>
        </w:rPr>
        <w:t>The RSV season followed a distinctive winter peak in 2022; however, RSV transmission was likely affected by the COVID-19 pandemic. Ongoing surveillance is required to better understand the epidemiology and seasonality of RSV in Central Queensland.</w:t>
      </w:r>
    </w:p>
    <w:p w14:paraId="6B80B835" w14:textId="68ADAF0C" w:rsidR="008A0736" w:rsidRDefault="000F2D45" w:rsidP="008A0736">
      <w:pPr>
        <w:pStyle w:val="Heading1"/>
        <w:divId w:val="935526654"/>
        <w:rPr>
          <w:lang w:val="en-GB"/>
        </w:rPr>
      </w:pPr>
      <w:r>
        <w:rPr>
          <w:lang w:val="en-GB"/>
        </w:rPr>
        <w:t>Ethics approval</w:t>
      </w:r>
    </w:p>
    <w:p w14:paraId="61742BF7" w14:textId="77777777" w:rsidR="000F2D45" w:rsidRPr="000F2D45" w:rsidRDefault="000F2D45" w:rsidP="000F2D45">
      <w:pPr>
        <w:divId w:val="935526654"/>
        <w:rPr>
          <w:lang w:val="en-GB"/>
        </w:rPr>
      </w:pPr>
      <w:r w:rsidRPr="000F2D45">
        <w:rPr>
          <w:lang w:val="en-GB"/>
        </w:rPr>
        <w:t>This project was approved by the Central Queensland Human Research Ethics Committee (HREC/2022/QCQ/84099).</w:t>
      </w:r>
    </w:p>
    <w:p w14:paraId="56839FD3" w14:textId="0F29762A" w:rsidR="000F2D45" w:rsidRPr="000F2D45" w:rsidRDefault="000F2D45" w:rsidP="000F2D45">
      <w:pPr>
        <w:pStyle w:val="Heading1"/>
        <w:divId w:val="935526654"/>
        <w:rPr>
          <w:lang w:val="en-GB"/>
        </w:rPr>
      </w:pPr>
      <w:r>
        <w:rPr>
          <w:lang w:val="en-GB"/>
        </w:rPr>
        <w:t>Funding</w:t>
      </w:r>
    </w:p>
    <w:p w14:paraId="4427BA9F" w14:textId="458DAD50" w:rsidR="008A0736" w:rsidRPr="00702D05" w:rsidRDefault="000F2D45" w:rsidP="008A0736">
      <w:pPr>
        <w:divId w:val="935526654"/>
        <w:rPr>
          <w:lang w:val="en-GB"/>
        </w:rPr>
      </w:pPr>
      <w:r w:rsidRPr="000F2D45">
        <w:rPr>
          <w:lang w:val="en-GB"/>
        </w:rPr>
        <w:t>The authors acknowledge that this work was supported by Sanofi Pasteur S.A. (RSV00061).</w:t>
      </w:r>
    </w:p>
    <w:p w14:paraId="432F38DB" w14:textId="77777777" w:rsidR="008A0736" w:rsidRDefault="008A0736" w:rsidP="008A0736">
      <w:pPr>
        <w:pStyle w:val="Heading1"/>
        <w:divId w:val="935526654"/>
      </w:pPr>
      <w:r>
        <w:t>Author details</w:t>
      </w:r>
    </w:p>
    <w:p w14:paraId="41D55D0F" w14:textId="77777777" w:rsidR="000F2D45" w:rsidRPr="000F2D45" w:rsidRDefault="000F2D45" w:rsidP="000F2D45">
      <w:pPr>
        <w:divId w:val="935526654"/>
        <w:rPr>
          <w:lang w:val="en-GB"/>
        </w:rPr>
      </w:pPr>
      <w:r w:rsidRPr="000F2D45">
        <w:rPr>
          <w:lang w:val="en-GB"/>
        </w:rPr>
        <w:t>Dr Emma Gale,</w:t>
      </w:r>
      <w:r w:rsidRPr="000F2D45">
        <w:rPr>
          <w:vertAlign w:val="superscript"/>
          <w:lang w:val="en-GB"/>
        </w:rPr>
        <w:t>1</w:t>
      </w:r>
    </w:p>
    <w:p w14:paraId="315FD09B" w14:textId="77777777" w:rsidR="000F2D45" w:rsidRPr="000F2D45" w:rsidRDefault="000F2D45" w:rsidP="000F2D45">
      <w:pPr>
        <w:pStyle w:val="Normal-lessspace"/>
        <w:divId w:val="935526654"/>
      </w:pPr>
      <w:r w:rsidRPr="000F2D45">
        <w:t>Dr Nicolas Smoll,</w:t>
      </w:r>
      <w:r w:rsidRPr="000F2D45">
        <w:rPr>
          <w:vertAlign w:val="superscript"/>
        </w:rPr>
        <w:t>2</w:t>
      </w:r>
    </w:p>
    <w:p w14:paraId="43D2A113" w14:textId="77777777" w:rsidR="000F2D45" w:rsidRPr="000F2D45" w:rsidRDefault="000F2D45" w:rsidP="000F2D45">
      <w:pPr>
        <w:pStyle w:val="Normal-lessspace"/>
        <w:divId w:val="935526654"/>
      </w:pPr>
      <w:r w:rsidRPr="000F2D45">
        <w:t>Dr Mahmudul Hassan Al Imam,</w:t>
      </w:r>
      <w:r w:rsidRPr="000F2D45">
        <w:rPr>
          <w:vertAlign w:val="superscript"/>
        </w:rPr>
        <w:t>1,3</w:t>
      </w:r>
    </w:p>
    <w:p w14:paraId="027A3CC8" w14:textId="77777777" w:rsidR="000F2D45" w:rsidRPr="000F2D45" w:rsidRDefault="000F2D45" w:rsidP="000F2D45">
      <w:pPr>
        <w:pStyle w:val="Normal-lessspace"/>
        <w:divId w:val="935526654"/>
      </w:pPr>
      <w:r w:rsidRPr="000F2D45">
        <w:t>Ms Jacina Walker,</w:t>
      </w:r>
      <w:r w:rsidRPr="000F2D45">
        <w:rPr>
          <w:vertAlign w:val="superscript"/>
        </w:rPr>
        <w:t>1</w:t>
      </w:r>
    </w:p>
    <w:p w14:paraId="267A8732" w14:textId="77777777" w:rsidR="000F2D45" w:rsidRPr="000F2D45" w:rsidRDefault="000F2D45" w:rsidP="000F2D45">
      <w:pPr>
        <w:pStyle w:val="Normal-lessspace"/>
        <w:divId w:val="935526654"/>
      </w:pPr>
      <w:r w:rsidRPr="000F2D45">
        <w:t>Dr Michael Kirk,</w:t>
      </w:r>
      <w:r w:rsidRPr="000F2D45">
        <w:rPr>
          <w:vertAlign w:val="superscript"/>
        </w:rPr>
        <w:t>4</w:t>
      </w:r>
    </w:p>
    <w:p w14:paraId="45A14808" w14:textId="77777777" w:rsidR="000F2D45" w:rsidRPr="000F2D45" w:rsidRDefault="000F2D45" w:rsidP="000F2D45">
      <w:pPr>
        <w:pStyle w:val="Normal-lessspace"/>
        <w:divId w:val="935526654"/>
      </w:pPr>
      <w:r w:rsidRPr="000F2D45">
        <w:t>Dr Sunday Pam,</w:t>
      </w:r>
      <w:r w:rsidRPr="000F2D45">
        <w:rPr>
          <w:vertAlign w:val="superscript"/>
        </w:rPr>
        <w:t>5,6</w:t>
      </w:r>
    </w:p>
    <w:p w14:paraId="57553498" w14:textId="77777777" w:rsidR="000F2D45" w:rsidRPr="000F2D45" w:rsidRDefault="000F2D45" w:rsidP="000F2D45">
      <w:pPr>
        <w:pStyle w:val="Normal-lessspace"/>
        <w:divId w:val="935526654"/>
      </w:pPr>
      <w:r w:rsidRPr="000F2D45">
        <w:t>Dr Robert Menzies,</w:t>
      </w:r>
      <w:r w:rsidRPr="000F2D45">
        <w:rPr>
          <w:vertAlign w:val="superscript"/>
        </w:rPr>
        <w:t>7</w:t>
      </w:r>
    </w:p>
    <w:p w14:paraId="7ACF9550" w14:textId="77777777" w:rsidR="000F2D45" w:rsidRPr="000F2D45" w:rsidRDefault="000F2D45" w:rsidP="000F2D45">
      <w:pPr>
        <w:pStyle w:val="Normal-lessspace"/>
        <w:divId w:val="935526654"/>
      </w:pPr>
      <w:r w:rsidRPr="000F2D45">
        <w:t>Prof. Gulam Khandaker</w:t>
      </w:r>
      <w:r w:rsidRPr="000F2D45">
        <w:rPr>
          <w:vertAlign w:val="superscript"/>
        </w:rPr>
        <w:t>1,8,9</w:t>
      </w:r>
    </w:p>
    <w:p w14:paraId="08A02610" w14:textId="77777777" w:rsidR="000F2D45" w:rsidRPr="000F2D45" w:rsidRDefault="000F2D45" w:rsidP="000F2D45">
      <w:pPr>
        <w:pStyle w:val="CDINumberedList1L1"/>
        <w:divId w:val="935526654"/>
      </w:pPr>
      <w:r w:rsidRPr="000F2D45">
        <w:t>Central Queensland Public Health Unit, Central Queensland Hospital and Health Service, Rockhampton, QLD 4700, Australia.</w:t>
      </w:r>
    </w:p>
    <w:p w14:paraId="02E0DB01" w14:textId="77777777" w:rsidR="000F2D45" w:rsidRPr="000F2D45" w:rsidRDefault="000F2D45" w:rsidP="006549E4">
      <w:pPr>
        <w:pStyle w:val="CDINumberedList1L1-lessspace"/>
        <w:divId w:val="935526654"/>
      </w:pPr>
      <w:r w:rsidRPr="000F2D45">
        <w:t>Sunshine Coast Public Health Unit, Sunshine Coast Hospital and Health Service, Maroochydore, QLD 4558, Australia</w:t>
      </w:r>
    </w:p>
    <w:p w14:paraId="073E68C5" w14:textId="77777777" w:rsidR="000F2D45" w:rsidRPr="000F2D45" w:rsidRDefault="000F2D45" w:rsidP="006549E4">
      <w:pPr>
        <w:pStyle w:val="CDINumberedList1L1-lessspace"/>
        <w:divId w:val="935526654"/>
      </w:pPr>
      <w:r w:rsidRPr="000F2D45">
        <w:t>School of Health, Medical and Applied Sciences, Central Queensland University, Rockhampton, QLD 4701, Australia.</w:t>
      </w:r>
    </w:p>
    <w:p w14:paraId="0045F1EA" w14:textId="77777777" w:rsidR="000F2D45" w:rsidRPr="000F2D45" w:rsidRDefault="000F2D45" w:rsidP="006549E4">
      <w:pPr>
        <w:pStyle w:val="CDINumberedList1L1-lessspace"/>
        <w:divId w:val="935526654"/>
      </w:pPr>
      <w:r w:rsidRPr="000F2D45">
        <w:lastRenderedPageBreak/>
        <w:t>Rockhampton Business Unit, Central Queensland Hospital and Health Service, Rockhampton, QLD 4701, Australia.</w:t>
      </w:r>
    </w:p>
    <w:p w14:paraId="165E45CA" w14:textId="77777777" w:rsidR="000F2D45" w:rsidRPr="000F2D45" w:rsidRDefault="000F2D45" w:rsidP="006549E4">
      <w:pPr>
        <w:pStyle w:val="CDINumberedList1L1-lessspace"/>
        <w:divId w:val="935526654"/>
      </w:pPr>
      <w:r w:rsidRPr="000F2D45">
        <w:t>University of Queensland Rural Clinical School, Rockhampton, Queensland.</w:t>
      </w:r>
    </w:p>
    <w:p w14:paraId="39A80BE9" w14:textId="77777777" w:rsidR="000F2D45" w:rsidRPr="000F2D45" w:rsidRDefault="000F2D45" w:rsidP="006549E4">
      <w:pPr>
        <w:pStyle w:val="CDINumberedList1L1-lessspace"/>
        <w:divId w:val="935526654"/>
      </w:pPr>
      <w:r w:rsidRPr="000F2D45">
        <w:t>Department of Paediatrics, Central Queensland Hospital and Health Service, Rockhampton, QLD 4701, Australia.</w:t>
      </w:r>
    </w:p>
    <w:p w14:paraId="7EDDCD6D" w14:textId="77777777" w:rsidR="000F2D45" w:rsidRPr="000F2D45" w:rsidRDefault="000F2D45" w:rsidP="006549E4">
      <w:pPr>
        <w:pStyle w:val="CDINumberedList1L1-lessspace"/>
        <w:divId w:val="935526654"/>
      </w:pPr>
      <w:r w:rsidRPr="000F2D45">
        <w:t>Research Division, Sanofi, Macquarie Park, NSW 2193, Australia.</w:t>
      </w:r>
    </w:p>
    <w:p w14:paraId="1E1ED492" w14:textId="77777777" w:rsidR="000F2D45" w:rsidRPr="000F2D45" w:rsidRDefault="000F2D45" w:rsidP="006549E4">
      <w:pPr>
        <w:pStyle w:val="CDINumberedList1L1-lessspace"/>
        <w:divId w:val="935526654"/>
      </w:pPr>
      <w:r w:rsidRPr="000F2D45">
        <w:t>Research Division, Central Queensland University, Rockhampton, QLD 4701, Australia.</w:t>
      </w:r>
    </w:p>
    <w:p w14:paraId="1FCDB630" w14:textId="77777777" w:rsidR="000F2D45" w:rsidRPr="000F2D45" w:rsidRDefault="000F2D45" w:rsidP="006549E4">
      <w:pPr>
        <w:pStyle w:val="CDINumberedList1L1-lessspace"/>
        <w:divId w:val="935526654"/>
      </w:pPr>
      <w:r w:rsidRPr="000F2D45">
        <w:t>Discipline of Child and Adolescent Health, Sydney Medical School, The University of Sydney, Camperdown NSW 2006, Australia.</w:t>
      </w:r>
    </w:p>
    <w:p w14:paraId="31D31E6A" w14:textId="77777777" w:rsidR="000F2D45" w:rsidRPr="000F2D45" w:rsidRDefault="000F2D45" w:rsidP="000F2D45">
      <w:pPr>
        <w:divId w:val="935526654"/>
        <w:rPr>
          <w:b/>
          <w:bCs/>
          <w:lang w:val="en-GB"/>
        </w:rPr>
      </w:pPr>
      <w:r w:rsidRPr="000F2D45">
        <w:rPr>
          <w:b/>
          <w:bCs/>
          <w:lang w:val="en-GB"/>
        </w:rPr>
        <w:t>Corresponding author</w:t>
      </w:r>
    </w:p>
    <w:p w14:paraId="0B428D38" w14:textId="77777777" w:rsidR="000F2D45" w:rsidRPr="000F2D45" w:rsidRDefault="000F2D45" w:rsidP="006549E4">
      <w:pPr>
        <w:pStyle w:val="Normal-lessspace"/>
        <w:divId w:val="935526654"/>
      </w:pPr>
      <w:r w:rsidRPr="000F2D45">
        <w:t>Prof Gulam Khandaker</w:t>
      </w:r>
    </w:p>
    <w:p w14:paraId="1330667A" w14:textId="77777777" w:rsidR="000F2D45" w:rsidRPr="000F2D45" w:rsidRDefault="000F2D45" w:rsidP="000F2D45">
      <w:pPr>
        <w:pStyle w:val="Normal-lessspace"/>
        <w:divId w:val="935526654"/>
      </w:pPr>
      <w:r w:rsidRPr="000F2D45">
        <w:t>Central Queensland Public Health Unit, Community Health Building, 82-86 Bolsover Street, Rockhampton, QLD 4700, Australia</w:t>
      </w:r>
    </w:p>
    <w:p w14:paraId="42D81496" w14:textId="77777777" w:rsidR="000F2D45" w:rsidRPr="000F2D45" w:rsidRDefault="000F2D45" w:rsidP="000F2D45">
      <w:pPr>
        <w:pStyle w:val="Normal-lessspace"/>
        <w:divId w:val="935526654"/>
      </w:pPr>
      <w:r w:rsidRPr="000F2D45">
        <w:t>Email: Gulam.Khandaker@health.qld.gov.au</w:t>
      </w:r>
    </w:p>
    <w:p w14:paraId="2906F4A1" w14:textId="7D20DB4E" w:rsidR="008A0736" w:rsidRPr="007A2D74" w:rsidRDefault="000F2D45" w:rsidP="000F2D45">
      <w:pPr>
        <w:pStyle w:val="Normal-lessspace"/>
        <w:divId w:val="935526654"/>
      </w:pPr>
      <w:r w:rsidRPr="000F2D45">
        <w:t>Telephone: +61 7 4920 6948.</w:t>
      </w:r>
      <w:r w:rsidR="008A0736" w:rsidRPr="007A2D74">
        <w:br w:type="page"/>
      </w:r>
    </w:p>
    <w:p w14:paraId="0AE3975D" w14:textId="77777777" w:rsidR="008A0736" w:rsidRDefault="008A0736" w:rsidP="008A0736">
      <w:pPr>
        <w:pStyle w:val="Heading1"/>
        <w:divId w:val="935526654"/>
      </w:pPr>
      <w:r>
        <w:lastRenderedPageBreak/>
        <w:t>References</w:t>
      </w:r>
    </w:p>
    <w:p w14:paraId="08B46DB6" w14:textId="77777777" w:rsidR="000F2D45" w:rsidRPr="000F2D45" w:rsidRDefault="000F2D45" w:rsidP="000F2D45">
      <w:pPr>
        <w:pStyle w:val="CDINumberedList1L1"/>
        <w:numPr>
          <w:ilvl w:val="0"/>
          <w:numId w:val="33"/>
        </w:numPr>
        <w:divId w:val="935526654"/>
      </w:pPr>
      <w:r w:rsidRPr="000F2D45">
        <w:t xml:space="preserve">Borchers AT, Chang C, Gershwin ME, Gershwin LJ. Respiratory syncytial virus--a comprehensive review. </w:t>
      </w:r>
      <w:r w:rsidRPr="000F2D45">
        <w:rPr>
          <w:i/>
          <w:iCs/>
        </w:rPr>
        <w:t>Clin Rev Allergy Immunol</w:t>
      </w:r>
      <w:r w:rsidRPr="000F2D45">
        <w:t>. 2013;45(3):331–79. doi: https://doi.org/10.1007/s12016-013-8368-9.</w:t>
      </w:r>
    </w:p>
    <w:p w14:paraId="0CE1A57A" w14:textId="2FA89442" w:rsidR="000F2D45" w:rsidRPr="000F2D45" w:rsidRDefault="000F2D45" w:rsidP="000F2D45">
      <w:pPr>
        <w:pStyle w:val="CDINumberedList1L1"/>
        <w:numPr>
          <w:ilvl w:val="0"/>
          <w:numId w:val="33"/>
        </w:numPr>
        <w:divId w:val="935526654"/>
      </w:pPr>
      <w:r w:rsidRPr="000F2D45">
        <w:t xml:space="preserve">Li Y, Wang X, Blau DM, Caballero MT, </w:t>
      </w:r>
      <w:proofErr w:type="spellStart"/>
      <w:r w:rsidRPr="000F2D45">
        <w:t>Feikin</w:t>
      </w:r>
      <w:proofErr w:type="spellEnd"/>
      <w:r w:rsidRPr="000F2D45">
        <w:t xml:space="preserve"> DR, Gill CJ et al. Global, regional, and national disease burden estimates of acute lower respiratory infections due to respiratory syncytial virus in children younger than 5 years in 2019: a systematic analysis. </w:t>
      </w:r>
      <w:r w:rsidRPr="000F2D45">
        <w:rPr>
          <w:i/>
          <w:iCs/>
        </w:rPr>
        <w:t>Lancet</w:t>
      </w:r>
      <w:r w:rsidRPr="000F2D45">
        <w:t>. 2022;399(10340):2047–64. doi:</w:t>
      </w:r>
      <w:r>
        <w:t> </w:t>
      </w:r>
      <w:r w:rsidRPr="000F2D45">
        <w:t>https://doi.org/10.1016/S0140-6736(22)00478-0.</w:t>
      </w:r>
    </w:p>
    <w:p w14:paraId="4796024D" w14:textId="1ED803B4" w:rsidR="000F2D45" w:rsidRPr="000F2D45" w:rsidRDefault="000F2D45" w:rsidP="000F2D45">
      <w:pPr>
        <w:pStyle w:val="CDINumberedList1L1"/>
        <w:numPr>
          <w:ilvl w:val="0"/>
          <w:numId w:val="33"/>
        </w:numPr>
        <w:divId w:val="935526654"/>
      </w:pPr>
      <w:r w:rsidRPr="000F2D45">
        <w:t xml:space="preserve">Lin HC, Liu YC, Hsing TY, Chen LL, Liu YC, Yen TY et al. RSV pneumonia with or without bacterial co-infection among healthy children. </w:t>
      </w:r>
      <w:r w:rsidRPr="000F2D45">
        <w:rPr>
          <w:i/>
          <w:iCs/>
        </w:rPr>
        <w:t xml:space="preserve">J </w:t>
      </w:r>
      <w:proofErr w:type="spellStart"/>
      <w:r w:rsidRPr="000F2D45">
        <w:rPr>
          <w:i/>
          <w:iCs/>
        </w:rPr>
        <w:t>Formos</w:t>
      </w:r>
      <w:proofErr w:type="spellEnd"/>
      <w:r w:rsidRPr="000F2D45">
        <w:rPr>
          <w:i/>
          <w:iCs/>
        </w:rPr>
        <w:t xml:space="preserve"> Med Assoc</w:t>
      </w:r>
      <w:r w:rsidRPr="000F2D45">
        <w:t>. 2022;121(3):687–93. doi:</w:t>
      </w:r>
      <w:r>
        <w:t> </w:t>
      </w:r>
      <w:r w:rsidRPr="000F2D45">
        <w:t>https://doi.org/10.1016/j.jfma.2021.08.012.</w:t>
      </w:r>
    </w:p>
    <w:p w14:paraId="60E31AAA" w14:textId="4E38478E" w:rsidR="000F2D45" w:rsidRPr="000F2D45" w:rsidRDefault="000F2D45" w:rsidP="000F2D45">
      <w:pPr>
        <w:pStyle w:val="CDINumberedList1L1"/>
        <w:numPr>
          <w:ilvl w:val="0"/>
          <w:numId w:val="33"/>
        </w:numPr>
        <w:divId w:val="935526654"/>
      </w:pPr>
      <w:r w:rsidRPr="000F2D45">
        <w:t xml:space="preserve">Obando-Pacheco P, Justicia-Grande AJ, Rivero-Calle I, Rodríguez-Tenreiro C, Sly P, Ramilo O et al. Respiratory syncytial virus seasonality: a global overview. </w:t>
      </w:r>
      <w:r w:rsidRPr="000F2D45">
        <w:rPr>
          <w:i/>
          <w:iCs/>
        </w:rPr>
        <w:t>J Infect Dis</w:t>
      </w:r>
      <w:r w:rsidRPr="000F2D45">
        <w:t>. 2018;217(9):1356–64. doi:</w:t>
      </w:r>
      <w:r>
        <w:t> </w:t>
      </w:r>
      <w:r w:rsidRPr="000F2D45">
        <w:t>https://doi.org/10.1093/infdis/jiy056.</w:t>
      </w:r>
    </w:p>
    <w:p w14:paraId="0382CBAC" w14:textId="1C17F8A7" w:rsidR="000F2D45" w:rsidRPr="000F2D45" w:rsidRDefault="000F2D45" w:rsidP="000F2D45">
      <w:pPr>
        <w:pStyle w:val="CDINumberedList1L1"/>
        <w:numPr>
          <w:ilvl w:val="0"/>
          <w:numId w:val="33"/>
        </w:numPr>
        <w:divId w:val="935526654"/>
      </w:pPr>
      <w:proofErr w:type="spellStart"/>
      <w:r w:rsidRPr="000F2D45">
        <w:t>Saravanos</w:t>
      </w:r>
      <w:proofErr w:type="spellEnd"/>
      <w:r w:rsidRPr="000F2D45">
        <w:t xml:space="preserve"> GL, Sheel M, Homaira N, Dey A, Brown E, Wang H et al. Respiratory syncytial virus-associated hospitalisations in Australia, 2006–2015. </w:t>
      </w:r>
      <w:r w:rsidRPr="000F2D45">
        <w:rPr>
          <w:i/>
          <w:iCs/>
        </w:rPr>
        <w:t>Med J Aust</w:t>
      </w:r>
      <w:r w:rsidRPr="000F2D45">
        <w:t>. 2019;210(10):447–53. doi:</w:t>
      </w:r>
      <w:r w:rsidR="003628A8">
        <w:t> </w:t>
      </w:r>
      <w:r w:rsidRPr="000F2D45">
        <w:t>https://doi.org/10.5694/mja2.50159.</w:t>
      </w:r>
    </w:p>
    <w:p w14:paraId="4BCC25C7" w14:textId="77777777" w:rsidR="000F2D45" w:rsidRPr="000F2D45" w:rsidRDefault="000F2D45" w:rsidP="000F2D45">
      <w:pPr>
        <w:pStyle w:val="CDINumberedList1L1"/>
        <w:numPr>
          <w:ilvl w:val="0"/>
          <w:numId w:val="33"/>
        </w:numPr>
        <w:divId w:val="935526654"/>
      </w:pPr>
      <w:r w:rsidRPr="000F2D45">
        <w:t xml:space="preserve">Gebremedhin AT, Hogan AB, Blyth CC, Glass K, Moore HC. Developing a prediction model to estimate the true burden of respiratory syncytial virus (RSV) in hospitalised children in Western Australia. </w:t>
      </w:r>
      <w:r w:rsidRPr="000F2D45">
        <w:rPr>
          <w:i/>
          <w:iCs/>
        </w:rPr>
        <w:t>Sci Rep</w:t>
      </w:r>
      <w:r w:rsidRPr="000F2D45">
        <w:t>. 2022;12(1):332. doi: https://doi.org/10.1038/s41598-021-04080-3.</w:t>
      </w:r>
    </w:p>
    <w:p w14:paraId="71D22825" w14:textId="77777777" w:rsidR="000F2D45" w:rsidRPr="000F2D45" w:rsidRDefault="000F2D45" w:rsidP="000F2D45">
      <w:pPr>
        <w:pStyle w:val="CDINumberedList1L1"/>
        <w:numPr>
          <w:ilvl w:val="0"/>
          <w:numId w:val="33"/>
        </w:numPr>
        <w:divId w:val="935526654"/>
      </w:pPr>
      <w:r w:rsidRPr="000F2D45">
        <w:t xml:space="preserve">Brusco NK, </w:t>
      </w:r>
      <w:proofErr w:type="spellStart"/>
      <w:r w:rsidRPr="000F2D45">
        <w:t>Alafaci</w:t>
      </w:r>
      <w:proofErr w:type="spellEnd"/>
      <w:r w:rsidRPr="000F2D45">
        <w:t xml:space="preserve"> A, Tuckerman J, Frawley H, Pratt J, Daley AJ et al. The 2018 annual cost burden for children under five years of age hospitalised with respiratory syncytial virus in Australia. </w:t>
      </w:r>
      <w:r w:rsidRPr="000F2D45">
        <w:rPr>
          <w:i/>
          <w:iCs/>
        </w:rPr>
        <w:t>Commun Dis Intell (2018)</w:t>
      </w:r>
      <w:r w:rsidRPr="000F2D45">
        <w:t>. 2022;46. doi: https://doi.org/10.33321/cdi.2022.46.5.</w:t>
      </w:r>
    </w:p>
    <w:p w14:paraId="265B0004" w14:textId="77777777" w:rsidR="000F2D45" w:rsidRPr="000F2D45" w:rsidRDefault="000F2D45" w:rsidP="000F2D45">
      <w:pPr>
        <w:pStyle w:val="CDINumberedList1L1"/>
        <w:numPr>
          <w:ilvl w:val="0"/>
          <w:numId w:val="33"/>
        </w:numPr>
        <w:divId w:val="935526654"/>
      </w:pPr>
      <w:r w:rsidRPr="000F2D45">
        <w:t xml:space="preserve">McLaughlin JM, Khan F, </w:t>
      </w:r>
      <w:proofErr w:type="spellStart"/>
      <w:r w:rsidRPr="000F2D45">
        <w:t>Begier</w:t>
      </w:r>
      <w:proofErr w:type="spellEnd"/>
      <w:r w:rsidRPr="000F2D45">
        <w:t xml:space="preserve"> E, Swerdlow DL, </w:t>
      </w:r>
      <w:proofErr w:type="spellStart"/>
      <w:r w:rsidRPr="000F2D45">
        <w:t>Jodar</w:t>
      </w:r>
      <w:proofErr w:type="spellEnd"/>
      <w:r w:rsidRPr="000F2D45">
        <w:t xml:space="preserve"> L, Falsey AR. Rates of medically attended RSV among US adults: a systematic review and meta-analysis. </w:t>
      </w:r>
      <w:r w:rsidRPr="000F2D45">
        <w:rPr>
          <w:i/>
          <w:iCs/>
        </w:rPr>
        <w:t>Open Forum Infect Dis</w:t>
      </w:r>
      <w:r w:rsidRPr="000F2D45">
        <w:t>. 2022;9(7</w:t>
      </w:r>
      <w:proofErr w:type="gramStart"/>
      <w:r w:rsidRPr="000F2D45">
        <w:t>):ofac</w:t>
      </w:r>
      <w:proofErr w:type="gramEnd"/>
      <w:r w:rsidRPr="000F2D45">
        <w:t>300. doi: https://doi.org/10.1093/ofid/ofac300.</w:t>
      </w:r>
    </w:p>
    <w:p w14:paraId="0C1C5493" w14:textId="5ADC60A5" w:rsidR="000F2D45" w:rsidRPr="000F2D45" w:rsidRDefault="000F2D45" w:rsidP="000F2D45">
      <w:pPr>
        <w:pStyle w:val="CDINumberedList1L1"/>
        <w:numPr>
          <w:ilvl w:val="0"/>
          <w:numId w:val="33"/>
        </w:numPr>
        <w:divId w:val="935526654"/>
      </w:pPr>
      <w:r w:rsidRPr="000F2D45">
        <w:t xml:space="preserve">Shi T, </w:t>
      </w:r>
      <w:proofErr w:type="spellStart"/>
      <w:r w:rsidRPr="000F2D45">
        <w:t>Denouel</w:t>
      </w:r>
      <w:proofErr w:type="spellEnd"/>
      <w:r w:rsidRPr="000F2D45">
        <w:t xml:space="preserve"> A, Tietjen AK, Campbell I, Moran E, Li X et al. Global disease burden estimates of respiratory syncytial virus-associated acute respiratory infection in older adults in 2015: a systematic review and meta-analysis. </w:t>
      </w:r>
      <w:r w:rsidRPr="000F2D45">
        <w:rPr>
          <w:i/>
          <w:iCs/>
        </w:rPr>
        <w:t>J Infect Dis</w:t>
      </w:r>
      <w:r w:rsidRPr="000F2D45">
        <w:t>. 2020;222(</w:t>
      </w:r>
      <w:proofErr w:type="spellStart"/>
      <w:r w:rsidRPr="000F2D45">
        <w:t>Suppl</w:t>
      </w:r>
      <w:proofErr w:type="spellEnd"/>
      <w:r w:rsidRPr="000F2D45">
        <w:t xml:space="preserve"> 7</w:t>
      </w:r>
      <w:proofErr w:type="gramStart"/>
      <w:r w:rsidRPr="000F2D45">
        <w:t>):S</w:t>
      </w:r>
      <w:proofErr w:type="gramEnd"/>
      <w:r w:rsidRPr="000F2D45">
        <w:t>577–83. doi:</w:t>
      </w:r>
      <w:r w:rsidR="003628A8">
        <w:t> </w:t>
      </w:r>
      <w:r w:rsidRPr="000F2D45">
        <w:t>https://doi.org/10.1093/infdis/jiz059.</w:t>
      </w:r>
    </w:p>
    <w:p w14:paraId="35E54AF1" w14:textId="3916E876" w:rsidR="000F2D45" w:rsidRPr="000F2D45" w:rsidRDefault="000F2D45" w:rsidP="000F2D45">
      <w:pPr>
        <w:pStyle w:val="CDINumberedList1L1"/>
        <w:numPr>
          <w:ilvl w:val="0"/>
          <w:numId w:val="33"/>
        </w:numPr>
        <w:divId w:val="935526654"/>
      </w:pPr>
      <w:r w:rsidRPr="000F2D45">
        <w:t xml:space="preserve">Tin </w:t>
      </w:r>
      <w:proofErr w:type="spellStart"/>
      <w:r w:rsidRPr="000F2D45">
        <w:t>Tin</w:t>
      </w:r>
      <w:proofErr w:type="spellEnd"/>
      <w:r w:rsidRPr="000F2D45">
        <w:t xml:space="preserve"> </w:t>
      </w:r>
      <w:proofErr w:type="spellStart"/>
      <w:r w:rsidRPr="000F2D45">
        <w:t>Htar</w:t>
      </w:r>
      <w:proofErr w:type="spellEnd"/>
      <w:r w:rsidRPr="000F2D45">
        <w:t xml:space="preserve"> M, </w:t>
      </w:r>
      <w:proofErr w:type="spellStart"/>
      <w:r w:rsidRPr="000F2D45">
        <w:t>Yerramalla</w:t>
      </w:r>
      <w:proofErr w:type="spellEnd"/>
      <w:r w:rsidRPr="000F2D45">
        <w:t xml:space="preserve"> MS, </w:t>
      </w:r>
      <w:proofErr w:type="spellStart"/>
      <w:r w:rsidRPr="000F2D45">
        <w:t>Moïsi</w:t>
      </w:r>
      <w:proofErr w:type="spellEnd"/>
      <w:r w:rsidRPr="000F2D45">
        <w:t xml:space="preserve"> JC, Swerdlow DL. The burden of respiratory syncytial virus in adults: a systematic review and meta-analysis. </w:t>
      </w:r>
      <w:r w:rsidRPr="000F2D45">
        <w:rPr>
          <w:i/>
          <w:iCs/>
        </w:rPr>
        <w:t>Epidemiol Infect</w:t>
      </w:r>
      <w:r w:rsidRPr="000F2D45">
        <w:t>. 2020;</w:t>
      </w:r>
      <w:proofErr w:type="gramStart"/>
      <w:r w:rsidRPr="000F2D45">
        <w:t>148:e</w:t>
      </w:r>
      <w:proofErr w:type="gramEnd"/>
      <w:r w:rsidRPr="000F2D45">
        <w:t>48. doi:</w:t>
      </w:r>
      <w:r w:rsidR="003628A8">
        <w:t> </w:t>
      </w:r>
      <w:r w:rsidRPr="000F2D45">
        <w:t>https://doi.org/10.1017/S0950268820000400.</w:t>
      </w:r>
    </w:p>
    <w:p w14:paraId="3878DA97" w14:textId="51F2BE94" w:rsidR="000F2D45" w:rsidRPr="000F2D45" w:rsidRDefault="000F2D45" w:rsidP="000F2D45">
      <w:pPr>
        <w:pStyle w:val="CDINumberedList1L1"/>
        <w:numPr>
          <w:ilvl w:val="0"/>
          <w:numId w:val="33"/>
        </w:numPr>
        <w:divId w:val="935526654"/>
      </w:pPr>
      <w:r w:rsidRPr="000F2D45">
        <w:t xml:space="preserve">Mejias A, Rodríguez-Fernández R, Oliva S, Peeples ME, Ramilo O. The journey to a respiratory syncytial virus vaccine. </w:t>
      </w:r>
      <w:r w:rsidRPr="000F2D45">
        <w:rPr>
          <w:i/>
          <w:iCs/>
        </w:rPr>
        <w:t>Ann Allergy Asthma Immunol</w:t>
      </w:r>
      <w:r w:rsidRPr="000F2D45">
        <w:t>. 2020;125(1):36–46. doi:</w:t>
      </w:r>
      <w:r w:rsidR="003628A8">
        <w:t> </w:t>
      </w:r>
      <w:r w:rsidRPr="000F2D45">
        <w:t>https://doi.org/10.1016/j.anai.2020.03.017.</w:t>
      </w:r>
    </w:p>
    <w:p w14:paraId="0F66A0EF" w14:textId="77777777" w:rsidR="000F2D45" w:rsidRPr="000F2D45" w:rsidRDefault="000F2D45" w:rsidP="000F2D45">
      <w:pPr>
        <w:pStyle w:val="CDINumberedList1L1"/>
        <w:numPr>
          <w:ilvl w:val="0"/>
          <w:numId w:val="33"/>
        </w:numPr>
        <w:divId w:val="935526654"/>
      </w:pPr>
      <w:r w:rsidRPr="000F2D45">
        <w:lastRenderedPageBreak/>
        <w:t xml:space="preserve">Hashem M, Hall CB. Respiratory syncytial virus in healthy adults: the cost of a cold. </w:t>
      </w:r>
      <w:r w:rsidRPr="000F2D45">
        <w:rPr>
          <w:i/>
          <w:iCs/>
        </w:rPr>
        <w:t xml:space="preserve">J Clin </w:t>
      </w:r>
      <w:proofErr w:type="spellStart"/>
      <w:r w:rsidRPr="000F2D45">
        <w:rPr>
          <w:i/>
          <w:iCs/>
        </w:rPr>
        <w:t>Virol</w:t>
      </w:r>
      <w:proofErr w:type="spellEnd"/>
      <w:r w:rsidRPr="000F2D45">
        <w:t>. 2003;27(1):14–21. doi: https://doi.org/10.1016/s1386-6532(03)00047-7.</w:t>
      </w:r>
    </w:p>
    <w:p w14:paraId="6F38AEA3" w14:textId="7D5C9B98" w:rsidR="000F2D45" w:rsidRPr="000F2D45" w:rsidRDefault="000F2D45" w:rsidP="000F2D45">
      <w:pPr>
        <w:pStyle w:val="CDINumberedList1L1"/>
        <w:numPr>
          <w:ilvl w:val="0"/>
          <w:numId w:val="33"/>
        </w:numPr>
        <w:divId w:val="935526654"/>
      </w:pPr>
      <w:r w:rsidRPr="000F2D45">
        <w:t xml:space="preserve">Barr R, Green CA, Sande CJ, Drysdale SB. Respiratory syncytial virus: diagnosis, prevention and management. </w:t>
      </w:r>
      <w:r w:rsidRPr="000F2D45">
        <w:rPr>
          <w:i/>
          <w:iCs/>
        </w:rPr>
        <w:t>Ther Adv Infect Dis</w:t>
      </w:r>
      <w:r w:rsidRPr="000F2D45">
        <w:t xml:space="preserve">. </w:t>
      </w:r>
      <w:proofErr w:type="gramStart"/>
      <w:r w:rsidRPr="000F2D45">
        <w:t>2019;6:2049936119865798</w:t>
      </w:r>
      <w:proofErr w:type="gramEnd"/>
      <w:r w:rsidRPr="000F2D45">
        <w:t>. doi:</w:t>
      </w:r>
      <w:r w:rsidR="003628A8">
        <w:t> </w:t>
      </w:r>
      <w:r w:rsidRPr="000F2D45">
        <w:t>https://doi.org/10.1177/2049936119865798.</w:t>
      </w:r>
    </w:p>
    <w:p w14:paraId="6C909DCC" w14:textId="77777777" w:rsidR="000F2D45" w:rsidRPr="000F2D45" w:rsidRDefault="000F2D45" w:rsidP="000F2D45">
      <w:pPr>
        <w:pStyle w:val="CDINumberedList1L1"/>
        <w:numPr>
          <w:ilvl w:val="0"/>
          <w:numId w:val="33"/>
        </w:numPr>
        <w:divId w:val="935526654"/>
      </w:pPr>
      <w:r w:rsidRPr="000F2D45">
        <w:t xml:space="preserve">Friedman JN, Davis T, </w:t>
      </w:r>
      <w:proofErr w:type="spellStart"/>
      <w:r w:rsidRPr="000F2D45">
        <w:t>Somaskanthan</w:t>
      </w:r>
      <w:proofErr w:type="spellEnd"/>
      <w:r w:rsidRPr="000F2D45">
        <w:t xml:space="preserve"> A, Ma A. Avoid doing chest x rays in infants with typical bronchiolitis. </w:t>
      </w:r>
      <w:r w:rsidRPr="000F2D45">
        <w:rPr>
          <w:i/>
          <w:iCs/>
        </w:rPr>
        <w:t>BMJ</w:t>
      </w:r>
      <w:r w:rsidRPr="000F2D45">
        <w:t>. 2021;</w:t>
      </w:r>
      <w:proofErr w:type="gramStart"/>
      <w:r w:rsidRPr="000F2D45">
        <w:t>375:e</w:t>
      </w:r>
      <w:proofErr w:type="gramEnd"/>
      <w:r w:rsidRPr="000F2D45">
        <w:t>064132. doi: https://doi.org/10.1136/bmj-2021-064132.</w:t>
      </w:r>
    </w:p>
    <w:p w14:paraId="03027B3F" w14:textId="77777777" w:rsidR="000F2D45" w:rsidRPr="000F2D45" w:rsidRDefault="000F2D45" w:rsidP="000F2D45">
      <w:pPr>
        <w:pStyle w:val="CDINumberedList1L1"/>
        <w:numPr>
          <w:ilvl w:val="0"/>
          <w:numId w:val="33"/>
        </w:numPr>
        <w:divId w:val="935526654"/>
      </w:pPr>
      <w:proofErr w:type="spellStart"/>
      <w:r w:rsidRPr="000F2D45">
        <w:t>Garegnani</w:t>
      </w:r>
      <w:proofErr w:type="spellEnd"/>
      <w:r w:rsidRPr="000F2D45">
        <w:t xml:space="preserve"> L, Styrmisdóttir L, </w:t>
      </w:r>
      <w:proofErr w:type="spellStart"/>
      <w:r w:rsidRPr="000F2D45">
        <w:t>Roson</w:t>
      </w:r>
      <w:proofErr w:type="spellEnd"/>
      <w:r w:rsidRPr="000F2D45">
        <w:t xml:space="preserve"> Rodriguez P, Escobar </w:t>
      </w:r>
      <w:proofErr w:type="spellStart"/>
      <w:r w:rsidRPr="000F2D45">
        <w:t>Liquitay</w:t>
      </w:r>
      <w:proofErr w:type="spellEnd"/>
      <w:r w:rsidRPr="000F2D45">
        <w:t xml:space="preserve"> CM, Esteban I, Franco JV. Palivizumab for preventing severe respiratory syncytial virus (RSV) infection in children. </w:t>
      </w:r>
      <w:r w:rsidRPr="000F2D45">
        <w:rPr>
          <w:i/>
          <w:iCs/>
        </w:rPr>
        <w:t xml:space="preserve">Cochrane Database </w:t>
      </w:r>
      <w:proofErr w:type="spellStart"/>
      <w:r w:rsidRPr="000F2D45">
        <w:rPr>
          <w:i/>
          <w:iCs/>
        </w:rPr>
        <w:t>Syst</w:t>
      </w:r>
      <w:proofErr w:type="spellEnd"/>
      <w:r w:rsidRPr="000F2D45">
        <w:rPr>
          <w:i/>
          <w:iCs/>
        </w:rPr>
        <w:t xml:space="preserve"> Rev</w:t>
      </w:r>
      <w:r w:rsidRPr="000F2D45">
        <w:t>. 2021;11(11):CD013757. doi: https://doi.org/10.1002/14651858.CD013757.pub2.</w:t>
      </w:r>
    </w:p>
    <w:p w14:paraId="113ED52A" w14:textId="77777777" w:rsidR="000F2D45" w:rsidRPr="000F2D45" w:rsidRDefault="000F2D45" w:rsidP="000F2D45">
      <w:pPr>
        <w:pStyle w:val="CDINumberedList1L1"/>
        <w:numPr>
          <w:ilvl w:val="0"/>
          <w:numId w:val="33"/>
        </w:numPr>
        <w:divId w:val="935526654"/>
      </w:pPr>
      <w:r w:rsidRPr="000F2D45">
        <w:t xml:space="preserve">O’Brien S, Borland ML, Cotterell E, Armstrong D, Babl F, </w:t>
      </w:r>
      <w:proofErr w:type="spellStart"/>
      <w:r w:rsidRPr="000F2D45">
        <w:t>Bauert</w:t>
      </w:r>
      <w:proofErr w:type="spellEnd"/>
      <w:r w:rsidRPr="000F2D45">
        <w:t xml:space="preserve"> P et al. Australasian bronchiolitis guideline. </w:t>
      </w:r>
      <w:r w:rsidRPr="000F2D45">
        <w:rPr>
          <w:i/>
          <w:iCs/>
        </w:rPr>
        <w:t xml:space="preserve">J </w:t>
      </w:r>
      <w:proofErr w:type="spellStart"/>
      <w:r w:rsidRPr="000F2D45">
        <w:rPr>
          <w:i/>
          <w:iCs/>
        </w:rPr>
        <w:t>Paediatr</w:t>
      </w:r>
      <w:proofErr w:type="spellEnd"/>
      <w:r w:rsidRPr="000F2D45">
        <w:rPr>
          <w:i/>
          <w:iCs/>
        </w:rPr>
        <w:t xml:space="preserve"> Child Health</w:t>
      </w:r>
      <w:r w:rsidRPr="000F2D45">
        <w:t>. 2019;55(1):42–53. doi: https://doi.org/10.1111/jpc.14104.</w:t>
      </w:r>
    </w:p>
    <w:p w14:paraId="3284655B" w14:textId="77777777" w:rsidR="000F2D45" w:rsidRPr="000F2D45" w:rsidRDefault="000F2D45" w:rsidP="000F2D45">
      <w:pPr>
        <w:pStyle w:val="CDINumberedList1L1"/>
        <w:numPr>
          <w:ilvl w:val="0"/>
          <w:numId w:val="33"/>
        </w:numPr>
        <w:divId w:val="935526654"/>
      </w:pPr>
      <w:r w:rsidRPr="000F2D45">
        <w:t xml:space="preserve">Smith DK, Seales S, Budzik C. Respiratory syncytial virus bronchiolitis in children. </w:t>
      </w:r>
      <w:r w:rsidRPr="000F2D45">
        <w:rPr>
          <w:i/>
          <w:iCs/>
        </w:rPr>
        <w:t>Am Fam Physician</w:t>
      </w:r>
      <w:r w:rsidRPr="000F2D45">
        <w:t>. 2017;95(2):94–9.</w:t>
      </w:r>
    </w:p>
    <w:p w14:paraId="1C312E46" w14:textId="77777777" w:rsidR="000F2D45" w:rsidRPr="000F2D45" w:rsidRDefault="000F2D45" w:rsidP="000F2D45">
      <w:pPr>
        <w:pStyle w:val="CDINumberedList1L1"/>
        <w:numPr>
          <w:ilvl w:val="0"/>
          <w:numId w:val="33"/>
        </w:numPr>
        <w:divId w:val="935526654"/>
      </w:pPr>
      <w:r w:rsidRPr="000F2D45">
        <w:t xml:space="preserve">Mazur NI, </w:t>
      </w:r>
      <w:proofErr w:type="spellStart"/>
      <w:r w:rsidRPr="000F2D45">
        <w:t>Terstappen</w:t>
      </w:r>
      <w:proofErr w:type="spellEnd"/>
      <w:r w:rsidRPr="000F2D45">
        <w:t xml:space="preserve"> J, Baral R, </w:t>
      </w:r>
      <w:proofErr w:type="spellStart"/>
      <w:r w:rsidRPr="000F2D45">
        <w:t>Bardají</w:t>
      </w:r>
      <w:proofErr w:type="spellEnd"/>
      <w:r w:rsidRPr="000F2D45">
        <w:t xml:space="preserve"> A, </w:t>
      </w:r>
      <w:proofErr w:type="spellStart"/>
      <w:r w:rsidRPr="000F2D45">
        <w:t>Beutels</w:t>
      </w:r>
      <w:proofErr w:type="spellEnd"/>
      <w:r w:rsidRPr="000F2D45">
        <w:t xml:space="preserve"> P, Buchholz UJ et al. Respiratory syncytial virus prevention within reach: the vaccine and monoclonal antibody landscape. </w:t>
      </w:r>
      <w:r w:rsidRPr="000F2D45">
        <w:rPr>
          <w:i/>
          <w:iCs/>
        </w:rPr>
        <w:t>Lancet Infect Dis</w:t>
      </w:r>
      <w:r w:rsidRPr="000F2D45">
        <w:t>. 2023;23(1</w:t>
      </w:r>
      <w:proofErr w:type="gramStart"/>
      <w:r w:rsidRPr="000F2D45">
        <w:t>):e</w:t>
      </w:r>
      <w:proofErr w:type="gramEnd"/>
      <w:r w:rsidRPr="000F2D45">
        <w:t>2–21. doi: https://doi.org/10.1016/S1473-3099(22)00291-2.</w:t>
      </w:r>
    </w:p>
    <w:p w14:paraId="25C90195" w14:textId="77777777" w:rsidR="000F2D45" w:rsidRPr="000F2D45" w:rsidRDefault="000F2D45" w:rsidP="000F2D45">
      <w:pPr>
        <w:pStyle w:val="CDINumberedList1L1"/>
        <w:numPr>
          <w:ilvl w:val="0"/>
          <w:numId w:val="33"/>
        </w:numPr>
        <w:divId w:val="935526654"/>
      </w:pPr>
      <w:r w:rsidRPr="000F2D45">
        <w:t xml:space="preserve">Paynter S. Humidity and respiratory virus transmission in tropical and temperate settings. </w:t>
      </w:r>
      <w:r w:rsidRPr="000F2D45">
        <w:rPr>
          <w:i/>
          <w:iCs/>
        </w:rPr>
        <w:t>Epidemiol Infect</w:t>
      </w:r>
      <w:r w:rsidRPr="000F2D45">
        <w:t>. 2015;143(6):1110–8. doi: https://doi.org/10.1017/S0950268814002702.</w:t>
      </w:r>
    </w:p>
    <w:p w14:paraId="2B4E75EA" w14:textId="77777777" w:rsidR="000F2D45" w:rsidRPr="000F2D45" w:rsidRDefault="000F2D45" w:rsidP="000F2D45">
      <w:pPr>
        <w:pStyle w:val="CDINumberedList1L1"/>
        <w:numPr>
          <w:ilvl w:val="0"/>
          <w:numId w:val="33"/>
        </w:numPr>
        <w:divId w:val="935526654"/>
      </w:pPr>
      <w:r w:rsidRPr="000F2D45">
        <w:t>Bloom-</w:t>
      </w:r>
      <w:proofErr w:type="spellStart"/>
      <w:r w:rsidRPr="000F2D45">
        <w:t>Feshbach</w:t>
      </w:r>
      <w:proofErr w:type="spellEnd"/>
      <w:r w:rsidRPr="000F2D45">
        <w:t xml:space="preserve"> K, Alonso WJ, Charu V, Tamerius J, Simonsen L, Miller MA et al. Latitudinal variations in seasonal activity of influenza and respiratory syncytial virus (RSV): a global comparative review. </w:t>
      </w:r>
      <w:proofErr w:type="spellStart"/>
      <w:r w:rsidRPr="000F2D45">
        <w:rPr>
          <w:i/>
          <w:iCs/>
        </w:rPr>
        <w:t>PLoS</w:t>
      </w:r>
      <w:proofErr w:type="spellEnd"/>
      <w:r w:rsidRPr="000F2D45">
        <w:rPr>
          <w:i/>
          <w:iCs/>
        </w:rPr>
        <w:t xml:space="preserve"> One</w:t>
      </w:r>
      <w:r w:rsidRPr="000F2D45">
        <w:t>. 2013;8(2</w:t>
      </w:r>
      <w:proofErr w:type="gramStart"/>
      <w:r w:rsidRPr="000F2D45">
        <w:t>):e</w:t>
      </w:r>
      <w:proofErr w:type="gramEnd"/>
      <w:r w:rsidRPr="000F2D45">
        <w:t>54445. doi: https://doi.org/10.1371/journal.pone.0054445.</w:t>
      </w:r>
    </w:p>
    <w:p w14:paraId="7C0E621A" w14:textId="3591D897" w:rsidR="000F2D45" w:rsidRPr="000F2D45" w:rsidRDefault="000F2D45" w:rsidP="000F2D45">
      <w:pPr>
        <w:pStyle w:val="CDINumberedList1L1"/>
        <w:numPr>
          <w:ilvl w:val="0"/>
          <w:numId w:val="33"/>
        </w:numPr>
        <w:divId w:val="935526654"/>
      </w:pPr>
      <w:r w:rsidRPr="000F2D45">
        <w:t xml:space="preserve">Janet S, Broad J, Snape MD. Respiratory syncytial virus seasonality and its implications on prevention strategies. </w:t>
      </w:r>
      <w:r w:rsidRPr="000F2D45">
        <w:rPr>
          <w:i/>
          <w:iCs/>
        </w:rPr>
        <w:t xml:space="preserve">Hum </w:t>
      </w:r>
      <w:proofErr w:type="spellStart"/>
      <w:r w:rsidRPr="000F2D45">
        <w:rPr>
          <w:i/>
          <w:iCs/>
        </w:rPr>
        <w:t>Vaccin</w:t>
      </w:r>
      <w:proofErr w:type="spellEnd"/>
      <w:r w:rsidRPr="000F2D45">
        <w:rPr>
          <w:i/>
          <w:iCs/>
        </w:rPr>
        <w:t xml:space="preserve"> </w:t>
      </w:r>
      <w:proofErr w:type="spellStart"/>
      <w:r w:rsidRPr="000F2D45">
        <w:rPr>
          <w:i/>
          <w:iCs/>
        </w:rPr>
        <w:t>Immunother</w:t>
      </w:r>
      <w:proofErr w:type="spellEnd"/>
      <w:r w:rsidRPr="000F2D45">
        <w:t>. 2018;14(1):234–44. doi:</w:t>
      </w:r>
      <w:r w:rsidR="003628A8">
        <w:t> </w:t>
      </w:r>
      <w:r w:rsidRPr="000F2D45">
        <w:t>https://doi.org/10.1080/21645515.2017.1403707.</w:t>
      </w:r>
    </w:p>
    <w:p w14:paraId="4ED68651" w14:textId="77777777" w:rsidR="000F2D45" w:rsidRPr="000F2D45" w:rsidRDefault="000F2D45" w:rsidP="000F2D45">
      <w:pPr>
        <w:pStyle w:val="CDINumberedList1L1"/>
        <w:numPr>
          <w:ilvl w:val="0"/>
          <w:numId w:val="33"/>
        </w:numPr>
        <w:divId w:val="935526654"/>
      </w:pPr>
      <w:r w:rsidRPr="000F2D45">
        <w:t xml:space="preserve">Tang JW, Loh TP. Correlations between climate factors and incidence--a contributor to RSV seasonality. </w:t>
      </w:r>
      <w:r w:rsidRPr="000F2D45">
        <w:rPr>
          <w:i/>
          <w:iCs/>
        </w:rPr>
        <w:t xml:space="preserve">Rev Med </w:t>
      </w:r>
      <w:proofErr w:type="spellStart"/>
      <w:r w:rsidRPr="000F2D45">
        <w:rPr>
          <w:i/>
          <w:iCs/>
        </w:rPr>
        <w:t>Virol</w:t>
      </w:r>
      <w:proofErr w:type="spellEnd"/>
      <w:r w:rsidRPr="000F2D45">
        <w:t>. 2014;24(1):15–34. doi: https://doi.org/10.1002/rmv.1771.</w:t>
      </w:r>
    </w:p>
    <w:p w14:paraId="16EBA978" w14:textId="77777777" w:rsidR="000F2D45" w:rsidRPr="000F2D45" w:rsidRDefault="000F2D45" w:rsidP="000F2D45">
      <w:pPr>
        <w:pStyle w:val="CDINumberedList1L1"/>
        <w:numPr>
          <w:ilvl w:val="0"/>
          <w:numId w:val="33"/>
        </w:numPr>
        <w:divId w:val="935526654"/>
      </w:pPr>
      <w:r w:rsidRPr="000F2D45">
        <w:t xml:space="preserve">Weber MW, Mulholland EK, Greenwood BM. Respiratory syncytial virus infection in tropical and developing countries. </w:t>
      </w:r>
      <w:r w:rsidRPr="000F2D45">
        <w:rPr>
          <w:i/>
          <w:iCs/>
        </w:rPr>
        <w:t>Trop Med Int Health</w:t>
      </w:r>
      <w:r w:rsidRPr="000F2D45">
        <w:t>. 1998;3(4):268–80. doi: https://doi.org/10.1046/j.1365-3156.1998.00213.x.</w:t>
      </w:r>
    </w:p>
    <w:p w14:paraId="69D1247A" w14:textId="77777777" w:rsidR="000F2D45" w:rsidRPr="000F2D45" w:rsidRDefault="000F2D45" w:rsidP="000F2D45">
      <w:pPr>
        <w:pStyle w:val="CDINumberedList1L1"/>
        <w:numPr>
          <w:ilvl w:val="0"/>
          <w:numId w:val="33"/>
        </w:numPr>
        <w:divId w:val="935526654"/>
      </w:pPr>
      <w:r w:rsidRPr="000F2D45">
        <w:t xml:space="preserve">Yusuf S, </w:t>
      </w:r>
      <w:proofErr w:type="spellStart"/>
      <w:r w:rsidRPr="000F2D45">
        <w:t>Piedimonte</w:t>
      </w:r>
      <w:proofErr w:type="spellEnd"/>
      <w:r w:rsidRPr="000F2D45">
        <w:t xml:space="preserve"> G, </w:t>
      </w:r>
      <w:proofErr w:type="spellStart"/>
      <w:r w:rsidRPr="000F2D45">
        <w:t>Auais</w:t>
      </w:r>
      <w:proofErr w:type="spellEnd"/>
      <w:r w:rsidRPr="000F2D45">
        <w:t xml:space="preserve"> A, Demmler G, Krishnan S, Van </w:t>
      </w:r>
      <w:proofErr w:type="spellStart"/>
      <w:r w:rsidRPr="000F2D45">
        <w:t>Caeseele</w:t>
      </w:r>
      <w:proofErr w:type="spellEnd"/>
      <w:r w:rsidRPr="000F2D45">
        <w:t xml:space="preserve"> P et al. The relationship of meteorological conditions to the epidemic activity of respiratory syncytial virus. </w:t>
      </w:r>
      <w:r w:rsidRPr="000F2D45">
        <w:rPr>
          <w:i/>
          <w:iCs/>
        </w:rPr>
        <w:t>Epidemiol Infect</w:t>
      </w:r>
      <w:r w:rsidRPr="000F2D45">
        <w:t>. 2007;135(7):1077–90. doi: https://doi.org/10.1017/S095026880600776X.</w:t>
      </w:r>
    </w:p>
    <w:p w14:paraId="17714BE4" w14:textId="77777777" w:rsidR="000F2D45" w:rsidRPr="000F2D45" w:rsidRDefault="000F2D45" w:rsidP="000F2D45">
      <w:pPr>
        <w:pStyle w:val="CDINumberedList1L1"/>
        <w:numPr>
          <w:ilvl w:val="0"/>
          <w:numId w:val="33"/>
        </w:numPr>
        <w:divId w:val="935526654"/>
      </w:pPr>
      <w:r w:rsidRPr="000F2D45">
        <w:t xml:space="preserve">McNally JD, Sampson M, Matheson LA, Hutton B, Little J. Vitamin D receptor (VDR) polymorphisms and severe RSV bronchiolitis: a systematic review and meta-analysis. </w:t>
      </w:r>
      <w:proofErr w:type="spellStart"/>
      <w:r w:rsidRPr="000F2D45">
        <w:rPr>
          <w:i/>
          <w:iCs/>
        </w:rPr>
        <w:t>Pediatr</w:t>
      </w:r>
      <w:proofErr w:type="spellEnd"/>
      <w:r w:rsidRPr="000F2D45">
        <w:rPr>
          <w:i/>
          <w:iCs/>
        </w:rPr>
        <w:t xml:space="preserve"> </w:t>
      </w:r>
      <w:proofErr w:type="spellStart"/>
      <w:r w:rsidRPr="000F2D45">
        <w:rPr>
          <w:i/>
          <w:iCs/>
        </w:rPr>
        <w:t>Pulmonol</w:t>
      </w:r>
      <w:proofErr w:type="spellEnd"/>
      <w:r w:rsidRPr="000F2D45">
        <w:t>. 2014;49(8):790–9. doi: https://doi.org/10.1002/ppul.22877.</w:t>
      </w:r>
    </w:p>
    <w:p w14:paraId="70792F0F" w14:textId="77777777" w:rsidR="000F2D45" w:rsidRPr="000F2D45" w:rsidRDefault="000F2D45" w:rsidP="000F2D45">
      <w:pPr>
        <w:pStyle w:val="CDINumberedList1L1"/>
        <w:numPr>
          <w:ilvl w:val="0"/>
          <w:numId w:val="33"/>
        </w:numPr>
        <w:divId w:val="935526654"/>
      </w:pPr>
      <w:r w:rsidRPr="000F2D45">
        <w:lastRenderedPageBreak/>
        <w:t xml:space="preserve">Wainwright C. Acute viral bronchiolitis in children- a very common condition with few therapeutic options. </w:t>
      </w:r>
      <w:proofErr w:type="spellStart"/>
      <w:r w:rsidRPr="000F2D45">
        <w:rPr>
          <w:i/>
          <w:iCs/>
        </w:rPr>
        <w:t>Paediatr</w:t>
      </w:r>
      <w:proofErr w:type="spellEnd"/>
      <w:r w:rsidRPr="000F2D45">
        <w:rPr>
          <w:i/>
          <w:iCs/>
        </w:rPr>
        <w:t xml:space="preserve"> Respir Rev</w:t>
      </w:r>
      <w:r w:rsidRPr="000F2D45">
        <w:t>. 2010;11(1):39–45. doi: https://doi.org/10.1016/j.prrv.2009.10.001.</w:t>
      </w:r>
    </w:p>
    <w:p w14:paraId="740F4C5B" w14:textId="1BE86D74" w:rsidR="000F2D45" w:rsidRPr="000F2D45" w:rsidRDefault="000F2D45" w:rsidP="000F2D45">
      <w:pPr>
        <w:pStyle w:val="CDINumberedList1L1"/>
        <w:numPr>
          <w:ilvl w:val="0"/>
          <w:numId w:val="33"/>
        </w:numPr>
        <w:divId w:val="935526654"/>
      </w:pPr>
      <w:proofErr w:type="spellStart"/>
      <w:r w:rsidRPr="000F2D45">
        <w:t>Koehoorn</w:t>
      </w:r>
      <w:proofErr w:type="spellEnd"/>
      <w:r w:rsidRPr="000F2D45">
        <w:t xml:space="preserve"> M, Karr CJ, Demers PA, </w:t>
      </w:r>
      <w:proofErr w:type="spellStart"/>
      <w:r w:rsidRPr="000F2D45">
        <w:t>Lencar</w:t>
      </w:r>
      <w:proofErr w:type="spellEnd"/>
      <w:r w:rsidRPr="000F2D45">
        <w:t xml:space="preserve"> C, </w:t>
      </w:r>
      <w:proofErr w:type="spellStart"/>
      <w:r w:rsidRPr="000F2D45">
        <w:t>Tamburic</w:t>
      </w:r>
      <w:proofErr w:type="spellEnd"/>
      <w:r w:rsidRPr="000F2D45">
        <w:t xml:space="preserve"> L, Brauer M. Descriptive epidemiological features of bronchiolitis in a population-based cohort. </w:t>
      </w:r>
      <w:proofErr w:type="spellStart"/>
      <w:r w:rsidRPr="000F2D45">
        <w:rPr>
          <w:i/>
          <w:iCs/>
        </w:rPr>
        <w:t>Pediatrics</w:t>
      </w:r>
      <w:proofErr w:type="spellEnd"/>
      <w:r w:rsidRPr="000F2D45">
        <w:t>. 2008;122(6):1196–203. doi:</w:t>
      </w:r>
      <w:r w:rsidR="003628A8">
        <w:t> </w:t>
      </w:r>
      <w:r w:rsidRPr="000F2D45">
        <w:t>https://doi.org/10.1542/peds.2007-2231.</w:t>
      </w:r>
    </w:p>
    <w:p w14:paraId="09F12D48" w14:textId="77777777" w:rsidR="000F2D45" w:rsidRPr="000F2D45" w:rsidRDefault="000F2D45" w:rsidP="000F2D45">
      <w:pPr>
        <w:pStyle w:val="CDINumberedList1L1"/>
        <w:numPr>
          <w:ilvl w:val="0"/>
          <w:numId w:val="33"/>
        </w:numPr>
        <w:divId w:val="935526654"/>
      </w:pPr>
      <w:r w:rsidRPr="000F2D45">
        <w:t xml:space="preserve">Simões EAF. RSV disease in the </w:t>
      </w:r>
      <w:proofErr w:type="spellStart"/>
      <w:r w:rsidRPr="000F2D45">
        <w:t>pediatric</w:t>
      </w:r>
      <w:proofErr w:type="spellEnd"/>
      <w:r w:rsidRPr="000F2D45">
        <w:t xml:space="preserve"> population: epidemiology, seasonal variability, and long-term outcomes. </w:t>
      </w:r>
      <w:r w:rsidRPr="000F2D45">
        <w:rPr>
          <w:i/>
          <w:iCs/>
        </w:rPr>
        <w:t>Manag Care</w:t>
      </w:r>
      <w:r w:rsidRPr="000F2D45">
        <w:t xml:space="preserve">. 2008;17(11 </w:t>
      </w:r>
      <w:proofErr w:type="spellStart"/>
      <w:r w:rsidRPr="000F2D45">
        <w:t>Suppl</w:t>
      </w:r>
      <w:proofErr w:type="spellEnd"/>
      <w:r w:rsidRPr="000F2D45">
        <w:t xml:space="preserve"> 12):3–6, discussion 18–9.</w:t>
      </w:r>
    </w:p>
    <w:p w14:paraId="0462DE21" w14:textId="77777777" w:rsidR="000F2D45" w:rsidRPr="000F2D45" w:rsidRDefault="000F2D45" w:rsidP="000F2D45">
      <w:pPr>
        <w:pStyle w:val="CDINumberedList1L1"/>
        <w:numPr>
          <w:ilvl w:val="0"/>
          <w:numId w:val="33"/>
        </w:numPr>
        <w:divId w:val="935526654"/>
      </w:pPr>
      <w:r w:rsidRPr="000F2D45">
        <w:t xml:space="preserve">Queensland Government Department of Environment and Science. </w:t>
      </w:r>
      <w:r w:rsidRPr="000F2D45">
        <w:rPr>
          <w:i/>
          <w:iCs/>
        </w:rPr>
        <w:t>Climate change in the Central Queensland region. Version 1</w:t>
      </w:r>
      <w:r w:rsidRPr="000F2D45">
        <w:t>. Brisbane: Queensland Government Department of Environment and Science; 2019. Available from: https://www.qld.gov.au/__data/assets/pdf_file/0020/68141/central-qld-climate-change-impact-summary.pdf.</w:t>
      </w:r>
    </w:p>
    <w:p w14:paraId="5FF04997" w14:textId="77777777" w:rsidR="000F2D45" w:rsidRPr="000F2D45" w:rsidRDefault="000F2D45" w:rsidP="000F2D45">
      <w:pPr>
        <w:pStyle w:val="CDINumberedList1L1"/>
        <w:numPr>
          <w:ilvl w:val="0"/>
          <w:numId w:val="33"/>
        </w:numPr>
        <w:divId w:val="935526654"/>
      </w:pPr>
      <w:r w:rsidRPr="000F2D45">
        <w:t>Queensland Government Statistician’s Office. Queensland Regional Profiles. [Webpage.] Brisbane: Queensland Government, Queensland Treasury; 2021. Available from: https://statistics.qgso.qld.gov.au/qld-regional-profiles.</w:t>
      </w:r>
    </w:p>
    <w:p w14:paraId="20440923" w14:textId="77777777" w:rsidR="000F2D45" w:rsidRPr="000F2D45" w:rsidRDefault="000F2D45" w:rsidP="000F2D45">
      <w:pPr>
        <w:pStyle w:val="CDINumberedList1L1"/>
        <w:numPr>
          <w:ilvl w:val="0"/>
          <w:numId w:val="33"/>
        </w:numPr>
        <w:divId w:val="935526654"/>
      </w:pPr>
      <w:r w:rsidRPr="000F2D45">
        <w:t>Queensland Government Department of Health (Queensland Health). Central Queensland Hospital and Health Service: About us. [Webpage.] Brisbane: Queensland Health; April 2023. Available from: https://www.cq.health.qld.gov.au/about-us.</w:t>
      </w:r>
    </w:p>
    <w:p w14:paraId="6D1F510A" w14:textId="77777777" w:rsidR="000F2D45" w:rsidRPr="000F2D45" w:rsidRDefault="000F2D45" w:rsidP="000F2D45">
      <w:pPr>
        <w:pStyle w:val="CDINumberedList1L1"/>
        <w:numPr>
          <w:ilvl w:val="0"/>
          <w:numId w:val="33"/>
        </w:numPr>
        <w:divId w:val="935526654"/>
      </w:pPr>
      <w:r w:rsidRPr="000F2D45">
        <w:t>Queensland Health. List of notifiable conditions. [Internet.] Brisbane: Queensland Health; 26 August 2022. [Accessed on 27 October 2022.] Available from: https://www.health.qld.gov.au/clinical-practice/guidelines-procedures/diseases-infection/notifiable-conditions/list.</w:t>
      </w:r>
    </w:p>
    <w:p w14:paraId="6574D7DA" w14:textId="77777777" w:rsidR="000F2D45" w:rsidRPr="000F2D45" w:rsidRDefault="000F2D45" w:rsidP="000F2D45">
      <w:pPr>
        <w:pStyle w:val="CDINumberedList1L1"/>
        <w:numPr>
          <w:ilvl w:val="0"/>
          <w:numId w:val="33"/>
        </w:numPr>
        <w:divId w:val="935526654"/>
      </w:pPr>
      <w:r w:rsidRPr="000F2D45">
        <w:t>Australian Bureau of Statistics. ERP by LGA (2021), Age and Sex, 2001 to 2022. [Online database.] Canberra: Australian Bureau of Statistics; 2022. [Accessed on 1 September 2022.] Available from:  https://explore.data.abs.gov.au/vis?tm=%3DERP_LGA2022&amp;hc[dataflowId]=ABS_ANNUAL_ERP_LGA2022&amp;df[ds]=PEOPLE_TOPICS&amp;df[id]=ABS_ANNUAL_ERP_LGA2022&amp;df[ag]=ABS&amp;df[vs]=&amp;pd=2021%2C&amp;dq=.3...LGA2022%2BSTE.A&amp;ly[cl]=AGE&amp;ly[rw]=LGA_2022.</w:t>
      </w:r>
    </w:p>
    <w:p w14:paraId="4E89C3B3" w14:textId="77777777" w:rsidR="000F2D45" w:rsidRPr="000F2D45" w:rsidRDefault="000F2D45" w:rsidP="000F2D45">
      <w:pPr>
        <w:pStyle w:val="CDINumberedList1L1"/>
        <w:numPr>
          <w:ilvl w:val="0"/>
          <w:numId w:val="33"/>
        </w:numPr>
        <w:divId w:val="935526654"/>
      </w:pPr>
      <w:r w:rsidRPr="000F2D45">
        <w:t>Australian Government Bureau of Meteorology (BOM). Climate data online. [Webpage.] Canberra: BOM; 2023. Available from: http://www.bom.gov.au/climate/data/.</w:t>
      </w:r>
    </w:p>
    <w:p w14:paraId="16258D63" w14:textId="45DB1EE2" w:rsidR="000F2D45" w:rsidRPr="000F2D45" w:rsidRDefault="000F2D45" w:rsidP="000F2D45">
      <w:pPr>
        <w:pStyle w:val="CDINumberedList1L1"/>
        <w:numPr>
          <w:ilvl w:val="0"/>
          <w:numId w:val="33"/>
        </w:numPr>
        <w:divId w:val="935526654"/>
      </w:pPr>
      <w:r w:rsidRPr="000F2D45">
        <w:t xml:space="preserve">Stein RT, Bont LJ, Zar H, Polack FP, Park C, Claxton A et al. Respiratory syncytial virus hospitalization and mortality: systematic review and meta-analysis. </w:t>
      </w:r>
      <w:proofErr w:type="spellStart"/>
      <w:r w:rsidRPr="000F2D45">
        <w:rPr>
          <w:i/>
          <w:iCs/>
        </w:rPr>
        <w:t>Pediatr</w:t>
      </w:r>
      <w:proofErr w:type="spellEnd"/>
      <w:r w:rsidRPr="000F2D45">
        <w:rPr>
          <w:i/>
          <w:iCs/>
        </w:rPr>
        <w:t xml:space="preserve"> </w:t>
      </w:r>
      <w:proofErr w:type="spellStart"/>
      <w:r w:rsidRPr="000F2D45">
        <w:rPr>
          <w:i/>
          <w:iCs/>
        </w:rPr>
        <w:t>Pulmonol</w:t>
      </w:r>
      <w:proofErr w:type="spellEnd"/>
      <w:r w:rsidRPr="000F2D45">
        <w:t>. 2017;52(4):556–69. doi:</w:t>
      </w:r>
      <w:r w:rsidR="003628A8">
        <w:t> </w:t>
      </w:r>
      <w:r w:rsidRPr="000F2D45">
        <w:t>https://doi.org/10.1002/ppul.23570.</w:t>
      </w:r>
    </w:p>
    <w:p w14:paraId="39ADBCE6" w14:textId="77777777" w:rsidR="000F2D45" w:rsidRPr="000F2D45" w:rsidRDefault="000F2D45" w:rsidP="000F2D45">
      <w:pPr>
        <w:pStyle w:val="CDINumberedList1L1"/>
        <w:numPr>
          <w:ilvl w:val="0"/>
          <w:numId w:val="33"/>
        </w:numPr>
        <w:divId w:val="935526654"/>
      </w:pPr>
      <w:r w:rsidRPr="000F2D45">
        <w:t xml:space="preserve">Homaira N, Briggs N, Pardy C, Hanly M, </w:t>
      </w:r>
      <w:proofErr w:type="spellStart"/>
      <w:r w:rsidRPr="000F2D45">
        <w:t>Oei</w:t>
      </w:r>
      <w:proofErr w:type="spellEnd"/>
      <w:r w:rsidRPr="000F2D45">
        <w:t xml:space="preserve"> JL, Hilder L et al. Association between respiratory syncytial viral disease and the subsequent risk of the first episode of severe asthma in different subgroups of high-risk Australian children: a whole-of-population-based cohort study. </w:t>
      </w:r>
      <w:r w:rsidRPr="000F2D45">
        <w:rPr>
          <w:i/>
          <w:iCs/>
        </w:rPr>
        <w:t>BMJ open</w:t>
      </w:r>
      <w:r w:rsidRPr="000F2D45">
        <w:t>. 2017;7(11</w:t>
      </w:r>
      <w:proofErr w:type="gramStart"/>
      <w:r w:rsidRPr="000F2D45">
        <w:t>):e</w:t>
      </w:r>
      <w:proofErr w:type="gramEnd"/>
      <w:r w:rsidRPr="000F2D45">
        <w:t>017936. doi: https://doi.org/10.1136/bmjopen-2017-017936.</w:t>
      </w:r>
    </w:p>
    <w:p w14:paraId="5934844B" w14:textId="6A6459A5" w:rsidR="000F2D45" w:rsidRPr="000F2D45" w:rsidRDefault="000F2D45" w:rsidP="000F2D45">
      <w:pPr>
        <w:pStyle w:val="CDINumberedList1L1"/>
        <w:numPr>
          <w:ilvl w:val="0"/>
          <w:numId w:val="33"/>
        </w:numPr>
        <w:divId w:val="935526654"/>
      </w:pPr>
      <w:r w:rsidRPr="000F2D45">
        <w:t xml:space="preserve">Homaira N, </w:t>
      </w:r>
      <w:proofErr w:type="spellStart"/>
      <w:r w:rsidRPr="000F2D45">
        <w:t>Oei</w:t>
      </w:r>
      <w:proofErr w:type="spellEnd"/>
      <w:r w:rsidRPr="000F2D45">
        <w:t xml:space="preserve"> JL, </w:t>
      </w:r>
      <w:proofErr w:type="spellStart"/>
      <w:r w:rsidRPr="000F2D45">
        <w:t>Mallitt</w:t>
      </w:r>
      <w:proofErr w:type="spellEnd"/>
      <w:r w:rsidRPr="000F2D45">
        <w:t xml:space="preserve"> KA, Abdel-Latif ME, Hilder L, Bajuk B et al. High burden of RSV hospitalization in very young children: a data linkage study. </w:t>
      </w:r>
      <w:r w:rsidRPr="000F2D45">
        <w:rPr>
          <w:i/>
          <w:iCs/>
        </w:rPr>
        <w:t>Epidemiol Infect</w:t>
      </w:r>
      <w:r w:rsidRPr="000F2D45">
        <w:t>. 2016;144(8):1612–21. doi:</w:t>
      </w:r>
      <w:r w:rsidR="003628A8">
        <w:t> </w:t>
      </w:r>
      <w:r w:rsidRPr="000F2D45">
        <w:t>https://doi.org/10.1017/S0950268815003015.</w:t>
      </w:r>
    </w:p>
    <w:p w14:paraId="4EC408B0" w14:textId="77777777" w:rsidR="000F2D45" w:rsidRPr="000F2D45" w:rsidRDefault="000F2D45" w:rsidP="000F2D45">
      <w:pPr>
        <w:pStyle w:val="CDINumberedList1L1"/>
        <w:numPr>
          <w:ilvl w:val="0"/>
          <w:numId w:val="33"/>
        </w:numPr>
        <w:divId w:val="935526654"/>
      </w:pPr>
      <w:r w:rsidRPr="000F2D45">
        <w:lastRenderedPageBreak/>
        <w:t xml:space="preserve">Dede A, Isaacs D, </w:t>
      </w:r>
      <w:proofErr w:type="spellStart"/>
      <w:r w:rsidRPr="000F2D45">
        <w:t>Torzillo</w:t>
      </w:r>
      <w:proofErr w:type="spellEnd"/>
      <w:r w:rsidRPr="000F2D45">
        <w:t xml:space="preserve"> PJ, </w:t>
      </w:r>
      <w:proofErr w:type="spellStart"/>
      <w:r w:rsidRPr="000F2D45">
        <w:t>Wakerman</w:t>
      </w:r>
      <w:proofErr w:type="spellEnd"/>
      <w:r w:rsidRPr="000F2D45">
        <w:t xml:space="preserve"> J, Roseby R, Fahy R et al. Respiratory syncytial virus infections in Central Australia. </w:t>
      </w:r>
      <w:r w:rsidRPr="000F2D45">
        <w:rPr>
          <w:i/>
          <w:iCs/>
        </w:rPr>
        <w:t xml:space="preserve">J </w:t>
      </w:r>
      <w:proofErr w:type="spellStart"/>
      <w:r w:rsidRPr="000F2D45">
        <w:rPr>
          <w:i/>
          <w:iCs/>
        </w:rPr>
        <w:t>Paediatr</w:t>
      </w:r>
      <w:proofErr w:type="spellEnd"/>
      <w:r w:rsidRPr="000F2D45">
        <w:rPr>
          <w:i/>
          <w:iCs/>
        </w:rPr>
        <w:t xml:space="preserve"> Child Health</w:t>
      </w:r>
      <w:r w:rsidRPr="000F2D45">
        <w:t>. 2010;46(1–2):35–9. doi: https://doi.org/10.1111/j.1440-1754.2009.01614.x.</w:t>
      </w:r>
    </w:p>
    <w:p w14:paraId="518E20CD" w14:textId="77777777" w:rsidR="000F2D45" w:rsidRPr="000F2D45" w:rsidRDefault="000F2D45" w:rsidP="000F2D45">
      <w:pPr>
        <w:pStyle w:val="CDINumberedList1L1"/>
        <w:numPr>
          <w:ilvl w:val="0"/>
          <w:numId w:val="33"/>
        </w:numPr>
        <w:divId w:val="935526654"/>
      </w:pPr>
      <w:r w:rsidRPr="000F2D45">
        <w:t xml:space="preserve">Basnayake TL, Morgan LC, Chang AB. The global burden of respiratory infections in indigenous children and adults: a review. </w:t>
      </w:r>
      <w:r w:rsidRPr="000F2D45">
        <w:rPr>
          <w:i/>
          <w:iCs/>
        </w:rPr>
        <w:t>Respirology</w:t>
      </w:r>
      <w:r w:rsidRPr="000F2D45">
        <w:t>. 2017;22(8):1518–28. doi: https://doi.org/10.1111/resp.13131.</w:t>
      </w:r>
    </w:p>
    <w:p w14:paraId="548D42A5" w14:textId="121C3E15" w:rsidR="000F2D45" w:rsidRPr="000F2D45" w:rsidRDefault="000F2D45" w:rsidP="000F2D45">
      <w:pPr>
        <w:pStyle w:val="CDINumberedList1L1"/>
        <w:numPr>
          <w:ilvl w:val="0"/>
          <w:numId w:val="33"/>
        </w:numPr>
        <w:divId w:val="935526654"/>
      </w:pPr>
      <w:r w:rsidRPr="000F2D45">
        <w:t xml:space="preserve">Quinn EK, Massey PD, Speare R. Communicable diseases in rural and remote Australia: the need for improved understanding and action. </w:t>
      </w:r>
      <w:r w:rsidRPr="000F2D45">
        <w:rPr>
          <w:i/>
          <w:iCs/>
        </w:rPr>
        <w:t>Rural Remote Health</w:t>
      </w:r>
      <w:r w:rsidRPr="000F2D45">
        <w:t>. 2015;15(3):3371. doi:</w:t>
      </w:r>
      <w:r w:rsidR="003628A8">
        <w:t> </w:t>
      </w:r>
      <w:r w:rsidRPr="000F2D45">
        <w:t>https://doi.org/10.22605/RRH3371.</w:t>
      </w:r>
    </w:p>
    <w:p w14:paraId="4A429C8A" w14:textId="77777777" w:rsidR="000F2D45" w:rsidRPr="000F2D45" w:rsidRDefault="000F2D45" w:rsidP="000F2D45">
      <w:pPr>
        <w:pStyle w:val="CDINumberedList1L1"/>
        <w:numPr>
          <w:ilvl w:val="0"/>
          <w:numId w:val="33"/>
        </w:numPr>
        <w:divId w:val="935526654"/>
      </w:pPr>
      <w:r w:rsidRPr="000F2D45">
        <w:t xml:space="preserve">Lim AYL, Khan S, Chapman G, </w:t>
      </w:r>
      <w:proofErr w:type="spellStart"/>
      <w:r w:rsidRPr="000F2D45">
        <w:t>Pazhamalil</w:t>
      </w:r>
      <w:proofErr w:type="spellEnd"/>
      <w:r w:rsidRPr="000F2D45">
        <w:t xml:space="preserve"> J, </w:t>
      </w:r>
      <w:proofErr w:type="spellStart"/>
      <w:r w:rsidRPr="000F2D45">
        <w:t>Platfuss</w:t>
      </w:r>
      <w:proofErr w:type="spellEnd"/>
      <w:r w:rsidRPr="000F2D45">
        <w:t xml:space="preserve"> T, Lam V et al. Acute bronchiolitis in regional Queensland: how well are we doing? </w:t>
      </w:r>
      <w:r w:rsidRPr="000F2D45">
        <w:rPr>
          <w:i/>
          <w:iCs/>
        </w:rPr>
        <w:t xml:space="preserve">Asia Pac J </w:t>
      </w:r>
      <w:proofErr w:type="spellStart"/>
      <w:r w:rsidRPr="000F2D45">
        <w:rPr>
          <w:i/>
          <w:iCs/>
        </w:rPr>
        <w:t>Paediatr</w:t>
      </w:r>
      <w:proofErr w:type="spellEnd"/>
      <w:r w:rsidRPr="000F2D45">
        <w:rPr>
          <w:i/>
          <w:iCs/>
        </w:rPr>
        <w:t xml:space="preserve"> Child Health</w:t>
      </w:r>
      <w:r w:rsidRPr="000F2D45">
        <w:t xml:space="preserve">. </w:t>
      </w:r>
      <w:proofErr w:type="gramStart"/>
      <w:r w:rsidRPr="000F2D45">
        <w:t>2022;5:26</w:t>
      </w:r>
      <w:proofErr w:type="gramEnd"/>
      <w:r w:rsidRPr="000F2D45">
        <w:t>–37. Available from: http://www.apjpch.com/pdfs/22123Mc9004905.pdf.</w:t>
      </w:r>
    </w:p>
    <w:p w14:paraId="787C49D9" w14:textId="77777777" w:rsidR="000F2D45" w:rsidRPr="000F2D45" w:rsidRDefault="000F2D45" w:rsidP="000F2D45">
      <w:pPr>
        <w:pStyle w:val="CDINumberedList1L1"/>
        <w:numPr>
          <w:ilvl w:val="0"/>
          <w:numId w:val="33"/>
        </w:numPr>
        <w:divId w:val="935526654"/>
      </w:pPr>
      <w:r w:rsidRPr="000F2D45">
        <w:t xml:space="preserve">Oakley E, Brys T, Borland M, Neutze J, Phillips N, Krieser D et al. Medication use in infants admitted with bronchiolitis. </w:t>
      </w:r>
      <w:r w:rsidRPr="000F2D45">
        <w:rPr>
          <w:i/>
          <w:iCs/>
        </w:rPr>
        <w:t xml:space="preserve">Emerg Med </w:t>
      </w:r>
      <w:proofErr w:type="spellStart"/>
      <w:r w:rsidRPr="000F2D45">
        <w:rPr>
          <w:i/>
          <w:iCs/>
        </w:rPr>
        <w:t>Australas</w:t>
      </w:r>
      <w:proofErr w:type="spellEnd"/>
      <w:r w:rsidRPr="000F2D45">
        <w:t>. 2018;30(3):389–97. doi: https://doi.org/10.1111/1742-6723.12968.</w:t>
      </w:r>
    </w:p>
    <w:p w14:paraId="532A035D" w14:textId="77777777" w:rsidR="000F2D45" w:rsidRPr="000F2D45" w:rsidRDefault="000F2D45" w:rsidP="000F2D45">
      <w:pPr>
        <w:pStyle w:val="CDINumberedList1L1"/>
        <w:numPr>
          <w:ilvl w:val="0"/>
          <w:numId w:val="33"/>
        </w:numPr>
        <w:divId w:val="935526654"/>
      </w:pPr>
      <w:proofErr w:type="spellStart"/>
      <w:r w:rsidRPr="000F2D45">
        <w:t>Obolski</w:t>
      </w:r>
      <w:proofErr w:type="spellEnd"/>
      <w:r w:rsidRPr="000F2D45">
        <w:t xml:space="preserve"> U, Kassem E, </w:t>
      </w:r>
      <w:proofErr w:type="spellStart"/>
      <w:r w:rsidRPr="000F2D45">
        <w:t>Na’amnih</w:t>
      </w:r>
      <w:proofErr w:type="spellEnd"/>
      <w:r w:rsidRPr="000F2D45">
        <w:t xml:space="preserve"> W, Tannous S, Kagan V, Muhsen K. Unnecessary antibiotic treatment of children hospitalised with respiratory syncytial virus (RSV) bronchiolitis: risk factors and prescription patterns. </w:t>
      </w:r>
      <w:r w:rsidRPr="000F2D45">
        <w:rPr>
          <w:i/>
          <w:iCs/>
        </w:rPr>
        <w:t>J Glob Antimicrob Resist</w:t>
      </w:r>
      <w:r w:rsidRPr="000F2D45">
        <w:t xml:space="preserve">. </w:t>
      </w:r>
      <w:proofErr w:type="gramStart"/>
      <w:r w:rsidRPr="000F2D45">
        <w:t>2021;27:303</w:t>
      </w:r>
      <w:proofErr w:type="gramEnd"/>
      <w:r w:rsidRPr="000F2D45">
        <w:t>–8. doi: https://doi.org/10.1016/j.jgar.2021.10.015.</w:t>
      </w:r>
    </w:p>
    <w:p w14:paraId="0DCFF89B" w14:textId="77777777" w:rsidR="000F2D45" w:rsidRPr="000F2D45" w:rsidRDefault="000F2D45" w:rsidP="000F2D45">
      <w:pPr>
        <w:pStyle w:val="CDINumberedList1L1"/>
        <w:numPr>
          <w:ilvl w:val="0"/>
          <w:numId w:val="33"/>
        </w:numPr>
        <w:divId w:val="935526654"/>
      </w:pPr>
      <w:r w:rsidRPr="000F2D45">
        <w:t xml:space="preserve">Machowska A, </w:t>
      </w:r>
      <w:proofErr w:type="spellStart"/>
      <w:r w:rsidRPr="000F2D45">
        <w:t>Stålsby</w:t>
      </w:r>
      <w:proofErr w:type="spellEnd"/>
      <w:r w:rsidRPr="000F2D45">
        <w:t xml:space="preserve"> Lundborg C. Drivers of irrational use of antibiotics in Europe. </w:t>
      </w:r>
      <w:r w:rsidRPr="000F2D45">
        <w:rPr>
          <w:i/>
          <w:iCs/>
        </w:rPr>
        <w:t>Int J Environ Res Public Health</w:t>
      </w:r>
      <w:r w:rsidRPr="000F2D45">
        <w:t>. 2018;16(1):27. doi: https://doi.org/10.3390/ijerph16010027.</w:t>
      </w:r>
    </w:p>
    <w:p w14:paraId="7E810269" w14:textId="20514595" w:rsidR="000F2D45" w:rsidRPr="000F2D45" w:rsidRDefault="000F2D45" w:rsidP="000F2D45">
      <w:pPr>
        <w:pStyle w:val="CDINumberedList1L1"/>
        <w:numPr>
          <w:ilvl w:val="0"/>
          <w:numId w:val="33"/>
        </w:numPr>
        <w:divId w:val="935526654"/>
      </w:pPr>
      <w:r w:rsidRPr="000F2D45">
        <w:t xml:space="preserve">Kalil J, Bowes J, Reddy D, Barrowman N, Le Saux N. Pediatric inpatient antimicrobial stewardship program safely reduces antibiotic use in patients with bronchiolitis caused by respiratory syncytial virus: a retrospective chart review. </w:t>
      </w:r>
      <w:proofErr w:type="spellStart"/>
      <w:r w:rsidRPr="000F2D45">
        <w:rPr>
          <w:i/>
          <w:iCs/>
        </w:rPr>
        <w:t>Pediatr</w:t>
      </w:r>
      <w:proofErr w:type="spellEnd"/>
      <w:r w:rsidRPr="000F2D45">
        <w:rPr>
          <w:i/>
          <w:iCs/>
        </w:rPr>
        <w:t xml:space="preserve"> Qual Saf</w:t>
      </w:r>
      <w:r w:rsidRPr="000F2D45">
        <w:t>. 2019;4(5</w:t>
      </w:r>
      <w:proofErr w:type="gramStart"/>
      <w:r w:rsidRPr="000F2D45">
        <w:t>):e</w:t>
      </w:r>
      <w:proofErr w:type="gramEnd"/>
      <w:r w:rsidRPr="000F2D45">
        <w:t>211. doi:</w:t>
      </w:r>
      <w:r w:rsidR="003628A8">
        <w:t> </w:t>
      </w:r>
      <w:r w:rsidRPr="000F2D45">
        <w:t>https://doi.org/10.1097/pq9.0000000000000211.</w:t>
      </w:r>
    </w:p>
    <w:p w14:paraId="36466783" w14:textId="77777777" w:rsidR="000F2D45" w:rsidRPr="000F2D45" w:rsidRDefault="000F2D45" w:rsidP="000F2D45">
      <w:pPr>
        <w:pStyle w:val="CDINumberedList1L1"/>
        <w:numPr>
          <w:ilvl w:val="0"/>
          <w:numId w:val="33"/>
        </w:numPr>
        <w:divId w:val="935526654"/>
      </w:pPr>
      <w:r w:rsidRPr="000F2D45">
        <w:t xml:space="preserve">Basile K, Kok J, Dwyer DE. Point-of-care diagnostics for respiratory viral infections. </w:t>
      </w:r>
      <w:r w:rsidRPr="000F2D45">
        <w:rPr>
          <w:i/>
          <w:iCs/>
        </w:rPr>
        <w:t xml:space="preserve">Expert Rev Mol </w:t>
      </w:r>
      <w:proofErr w:type="spellStart"/>
      <w:r w:rsidRPr="000F2D45">
        <w:rPr>
          <w:i/>
          <w:iCs/>
        </w:rPr>
        <w:t>Diagn</w:t>
      </w:r>
      <w:proofErr w:type="spellEnd"/>
      <w:r w:rsidRPr="000F2D45">
        <w:t>. 2018;18(1):75–83. doi: https://doi.org/10.1080/14737159.2018.1419065.</w:t>
      </w:r>
    </w:p>
    <w:p w14:paraId="45FDDFAF" w14:textId="77777777" w:rsidR="000F2D45" w:rsidRPr="000F2D45" w:rsidRDefault="000F2D45" w:rsidP="000F2D45">
      <w:pPr>
        <w:pStyle w:val="CDINumberedList1L1"/>
        <w:numPr>
          <w:ilvl w:val="0"/>
          <w:numId w:val="33"/>
        </w:numPr>
        <w:divId w:val="935526654"/>
      </w:pPr>
      <w:r w:rsidRPr="000F2D45">
        <w:t xml:space="preserve">Schneider UV, Holm MKA, Bang D, Petersen RF, Mortensen S, Trebbien R et al. Point-of-care tests for influenza A and B viruses and RSV in emergency departments - indications, impact on patient management and possible gains by syndromic respiratory testing, Capital Region, Denmark, 2018. </w:t>
      </w:r>
      <w:r w:rsidRPr="000F2D45">
        <w:rPr>
          <w:i/>
          <w:iCs/>
        </w:rPr>
        <w:t xml:space="preserve">Euro </w:t>
      </w:r>
      <w:proofErr w:type="spellStart"/>
      <w:r w:rsidRPr="000F2D45">
        <w:rPr>
          <w:i/>
          <w:iCs/>
        </w:rPr>
        <w:t>Surveill</w:t>
      </w:r>
      <w:proofErr w:type="spellEnd"/>
      <w:r w:rsidRPr="000F2D45">
        <w:t>. 2020;25(44):1900430. doi: https://doi.org/10.2807/1560-7917.ES.2020.25.44.1900430.</w:t>
      </w:r>
    </w:p>
    <w:p w14:paraId="377B2746" w14:textId="085C594E" w:rsidR="000F2D45" w:rsidRPr="000F2D45" w:rsidRDefault="000F2D45" w:rsidP="000F2D45">
      <w:pPr>
        <w:pStyle w:val="CDINumberedList1L1"/>
        <w:numPr>
          <w:ilvl w:val="0"/>
          <w:numId w:val="33"/>
        </w:numPr>
        <w:divId w:val="935526654"/>
      </w:pPr>
      <w:r w:rsidRPr="000F2D45">
        <w:t xml:space="preserve">Pedersen CJ, Rogan DT, Yang S, Quinn JV. Using a novel rapid viral test to improve triage of emergency department patients with acute respiratory illness during flu season. </w:t>
      </w:r>
      <w:r w:rsidRPr="000F2D45">
        <w:rPr>
          <w:i/>
          <w:iCs/>
        </w:rPr>
        <w:t xml:space="preserve">J Clin </w:t>
      </w:r>
      <w:proofErr w:type="spellStart"/>
      <w:r w:rsidRPr="000F2D45">
        <w:rPr>
          <w:i/>
          <w:iCs/>
        </w:rPr>
        <w:t>Virol</w:t>
      </w:r>
      <w:proofErr w:type="spellEnd"/>
      <w:r w:rsidRPr="000F2D45">
        <w:t xml:space="preserve">. </w:t>
      </w:r>
      <w:proofErr w:type="gramStart"/>
      <w:r w:rsidRPr="000F2D45">
        <w:t>2018;108:72</w:t>
      </w:r>
      <w:proofErr w:type="gramEnd"/>
      <w:r w:rsidRPr="000F2D45">
        <w:t>–6. doi:</w:t>
      </w:r>
      <w:r w:rsidR="003628A8">
        <w:t> </w:t>
      </w:r>
      <w:r w:rsidRPr="000F2D45">
        <w:t>https://doi.org/10.1016/j.jcv.2018.09.008.</w:t>
      </w:r>
    </w:p>
    <w:p w14:paraId="0A9E7516" w14:textId="3A0A318B" w:rsidR="000F2D45" w:rsidRPr="000F2D45" w:rsidRDefault="000F2D45" w:rsidP="000F2D45">
      <w:pPr>
        <w:pStyle w:val="CDINumberedList1L1"/>
        <w:numPr>
          <w:ilvl w:val="0"/>
          <w:numId w:val="33"/>
        </w:numPr>
        <w:divId w:val="935526654"/>
      </w:pPr>
      <w:r w:rsidRPr="000F2D45">
        <w:t xml:space="preserve">Rogan DT, Kochar MS, Yang S, Quinn JV. Impact of rapid molecular respiratory virus testing on real-time decision making in a </w:t>
      </w:r>
      <w:proofErr w:type="spellStart"/>
      <w:r w:rsidRPr="000F2D45">
        <w:t>pediatric</w:t>
      </w:r>
      <w:proofErr w:type="spellEnd"/>
      <w:r w:rsidRPr="000F2D45">
        <w:t xml:space="preserve"> emergency department. </w:t>
      </w:r>
      <w:r w:rsidRPr="000F2D45">
        <w:rPr>
          <w:i/>
          <w:iCs/>
        </w:rPr>
        <w:t xml:space="preserve">J Mol </w:t>
      </w:r>
      <w:proofErr w:type="spellStart"/>
      <w:r w:rsidRPr="000F2D45">
        <w:rPr>
          <w:i/>
          <w:iCs/>
        </w:rPr>
        <w:t>Diagn</w:t>
      </w:r>
      <w:proofErr w:type="spellEnd"/>
      <w:r w:rsidRPr="000F2D45">
        <w:t>. 2017;19(3):460–7. doi:</w:t>
      </w:r>
      <w:r w:rsidR="003628A8">
        <w:t> </w:t>
      </w:r>
      <w:r w:rsidRPr="000F2D45">
        <w:t>https://doi.org/10.1016/j.jmoldx.2017.01.009.</w:t>
      </w:r>
    </w:p>
    <w:p w14:paraId="7BFE797F" w14:textId="77777777" w:rsidR="000F2D45" w:rsidRPr="000F2D45" w:rsidRDefault="000F2D45" w:rsidP="000F2D45">
      <w:pPr>
        <w:pStyle w:val="CDINumberedList1L1"/>
        <w:numPr>
          <w:ilvl w:val="0"/>
          <w:numId w:val="33"/>
        </w:numPr>
        <w:divId w:val="935526654"/>
      </w:pPr>
      <w:r w:rsidRPr="000F2D45">
        <w:lastRenderedPageBreak/>
        <w:t xml:space="preserve">World Health Organization (WHO). </w:t>
      </w:r>
      <w:r w:rsidRPr="000F2D45">
        <w:rPr>
          <w:i/>
          <w:iCs/>
        </w:rPr>
        <w:t>WHO preferred product characteristics of monoclonal antibodies for passive immunization against respiratory syncytial virus (RSV) disease</w:t>
      </w:r>
      <w:r w:rsidRPr="000F2D45">
        <w:t>. Geneva: WHO; 8 June 2021. Available from: https://www.who.int/publications/i/item/9789240021853.</w:t>
      </w:r>
    </w:p>
    <w:p w14:paraId="6C87F94A" w14:textId="23A9125B" w:rsidR="000F2D45" w:rsidRPr="000F2D45" w:rsidRDefault="000F2D45" w:rsidP="000F2D45">
      <w:pPr>
        <w:pStyle w:val="CDINumberedList1L1"/>
        <w:numPr>
          <w:ilvl w:val="0"/>
          <w:numId w:val="33"/>
        </w:numPr>
        <w:divId w:val="935526654"/>
      </w:pPr>
      <w:r w:rsidRPr="000F2D45">
        <w:t xml:space="preserve">Morley C, Grimwood K, Maloney S, Ware RS. Meteorological factors and respiratory syncytial virus seasonality in subtropical Australia. </w:t>
      </w:r>
      <w:r w:rsidRPr="000F2D45">
        <w:rPr>
          <w:i/>
          <w:iCs/>
        </w:rPr>
        <w:t>Epidemiol Infect</w:t>
      </w:r>
      <w:r w:rsidRPr="000F2D45">
        <w:t>. 2018;146(6):757–62. doi:</w:t>
      </w:r>
      <w:r w:rsidR="003628A8">
        <w:t xml:space="preserve">  </w:t>
      </w:r>
      <w:r w:rsidRPr="000F2D45">
        <w:t>https://doi.org/10.1017/S0950268818000614.</w:t>
      </w:r>
    </w:p>
    <w:p w14:paraId="37738B56" w14:textId="1EC73F31" w:rsidR="000F2D45" w:rsidRPr="000F2D45" w:rsidRDefault="000F2D45" w:rsidP="000F2D45">
      <w:pPr>
        <w:pStyle w:val="CDINumberedList1L1"/>
        <w:numPr>
          <w:ilvl w:val="0"/>
          <w:numId w:val="33"/>
        </w:numPr>
        <w:divId w:val="935526654"/>
      </w:pPr>
      <w:proofErr w:type="spellStart"/>
      <w:r w:rsidRPr="000F2D45">
        <w:t>Saravanos</w:t>
      </w:r>
      <w:proofErr w:type="spellEnd"/>
      <w:r w:rsidRPr="000F2D45">
        <w:t xml:space="preserve"> GL, Hu N, Homaira N, Muscatello DJ, Jaffe A, Bartlett AW et al. RSV epidemiology in Australia before and during COVID-19. </w:t>
      </w:r>
      <w:proofErr w:type="spellStart"/>
      <w:r w:rsidRPr="000F2D45">
        <w:rPr>
          <w:i/>
          <w:iCs/>
        </w:rPr>
        <w:t>Pediatrics</w:t>
      </w:r>
      <w:proofErr w:type="spellEnd"/>
      <w:r w:rsidRPr="000F2D45">
        <w:t>. 2022;149(2</w:t>
      </w:r>
      <w:proofErr w:type="gramStart"/>
      <w:r w:rsidRPr="000F2D45">
        <w:t>):e</w:t>
      </w:r>
      <w:proofErr w:type="gramEnd"/>
      <w:r w:rsidRPr="000F2D45">
        <w:t>2021053537. doi:</w:t>
      </w:r>
      <w:r w:rsidR="003628A8">
        <w:t> </w:t>
      </w:r>
      <w:r w:rsidRPr="000F2D45">
        <w:t>https://doi.org/10.1542/peds.2021-053537.</w:t>
      </w:r>
    </w:p>
    <w:p w14:paraId="66B53B08" w14:textId="31003F70" w:rsidR="000F2D45" w:rsidRPr="000F2D45" w:rsidRDefault="000F2D45" w:rsidP="000F2D45">
      <w:pPr>
        <w:pStyle w:val="CDINumberedList1L1"/>
        <w:numPr>
          <w:ilvl w:val="0"/>
          <w:numId w:val="33"/>
        </w:numPr>
        <w:divId w:val="935526654"/>
      </w:pPr>
      <w:r w:rsidRPr="000F2D45">
        <w:t xml:space="preserve">Eden JS, Sikazwe C, Xie R, Deng YM, Sullivan SG, Michie A et al. Off-season RSV epidemics in Australia after easing of COVID-19 restrictions. </w:t>
      </w:r>
      <w:r w:rsidRPr="000F2D45">
        <w:rPr>
          <w:i/>
          <w:iCs/>
        </w:rPr>
        <w:t>Nat Commun</w:t>
      </w:r>
      <w:r w:rsidRPr="000F2D45">
        <w:t>. 2022;13(1):2884. doi:</w:t>
      </w:r>
      <w:r w:rsidR="003628A8">
        <w:t> </w:t>
      </w:r>
      <w:r w:rsidRPr="000F2D45">
        <w:t>https://doi.org/10.1038/s41467-022-30485-3.</w:t>
      </w:r>
    </w:p>
    <w:p w14:paraId="51A6851C" w14:textId="03A27DD9" w:rsidR="000F2D45" w:rsidRPr="000F2D45" w:rsidRDefault="000F2D45" w:rsidP="000F2D45">
      <w:pPr>
        <w:pStyle w:val="CDINumberedList1L1"/>
        <w:numPr>
          <w:ilvl w:val="0"/>
          <w:numId w:val="33"/>
        </w:numPr>
        <w:divId w:val="935526654"/>
      </w:pPr>
      <w:r w:rsidRPr="000F2D45">
        <w:t xml:space="preserve">Foley DA, Phuong LK, Peplinski J, Lim SM, Lee WH, Farhat A et al. Examining the </w:t>
      </w:r>
      <w:proofErr w:type="spellStart"/>
      <w:r w:rsidRPr="000F2D45">
        <w:t>interseasonal</w:t>
      </w:r>
      <w:proofErr w:type="spellEnd"/>
      <w:r w:rsidRPr="000F2D45">
        <w:t xml:space="preserve"> resurgence of respiratory syncytial virus in Western Australia. </w:t>
      </w:r>
      <w:r w:rsidRPr="000F2D45">
        <w:rPr>
          <w:i/>
          <w:iCs/>
        </w:rPr>
        <w:t>Arch Dis Child</w:t>
      </w:r>
      <w:r w:rsidRPr="000F2D45">
        <w:t>. 2022;107(3</w:t>
      </w:r>
      <w:proofErr w:type="gramStart"/>
      <w:r w:rsidRPr="000F2D45">
        <w:t>):e</w:t>
      </w:r>
      <w:proofErr w:type="gramEnd"/>
      <w:r w:rsidRPr="000F2D45">
        <w:t>7. doi:</w:t>
      </w:r>
      <w:r w:rsidR="003628A8">
        <w:t> </w:t>
      </w:r>
      <w:r w:rsidRPr="000F2D45">
        <w:t>https://doi.org/10.1136/archdischild-2021-322507.</w:t>
      </w:r>
    </w:p>
    <w:p w14:paraId="7C4D6FE4" w14:textId="77777777" w:rsidR="000F2D45" w:rsidRPr="000F2D45" w:rsidRDefault="000F2D45" w:rsidP="000F2D45">
      <w:pPr>
        <w:pStyle w:val="CDINumberedList1L1"/>
        <w:numPr>
          <w:ilvl w:val="0"/>
          <w:numId w:val="33"/>
        </w:numPr>
        <w:divId w:val="935526654"/>
      </w:pPr>
      <w:r w:rsidRPr="000F2D45">
        <w:t xml:space="preserve">Agha R, Avner JR. Delayed seasonal RSV surge observed during the COVID-19 pandemic. </w:t>
      </w:r>
      <w:proofErr w:type="spellStart"/>
      <w:r w:rsidRPr="000F2D45">
        <w:rPr>
          <w:i/>
          <w:iCs/>
        </w:rPr>
        <w:t>Pediatrics</w:t>
      </w:r>
      <w:proofErr w:type="spellEnd"/>
      <w:r w:rsidRPr="000F2D45">
        <w:t>. 2021;148(3</w:t>
      </w:r>
      <w:proofErr w:type="gramStart"/>
      <w:r w:rsidRPr="000F2D45">
        <w:t>):e</w:t>
      </w:r>
      <w:proofErr w:type="gramEnd"/>
      <w:r w:rsidRPr="000F2D45">
        <w:t>2021052089. doi: https://doi.org/10.1542/peds.2021-052089.</w:t>
      </w:r>
    </w:p>
    <w:p w14:paraId="41CA6D2C" w14:textId="77777777" w:rsidR="000F2D45" w:rsidRPr="000F2D45" w:rsidRDefault="000F2D45" w:rsidP="000F2D45">
      <w:pPr>
        <w:pStyle w:val="CDINumberedList1L1"/>
        <w:numPr>
          <w:ilvl w:val="0"/>
          <w:numId w:val="33"/>
        </w:numPr>
        <w:divId w:val="935526654"/>
      </w:pPr>
      <w:r w:rsidRPr="000F2D45">
        <w:t xml:space="preserve">Olsen SJ, Winn AK, Budd AP, Prill MM, Steel J, Midgley CM et al. Changes in influenza and other respiratory virus activity during the COVID-19 pandemic – United States, 2020-2021. </w:t>
      </w:r>
      <w:r w:rsidRPr="000F2D45">
        <w:rPr>
          <w:i/>
          <w:iCs/>
        </w:rPr>
        <w:t xml:space="preserve">MMWR </w:t>
      </w:r>
      <w:proofErr w:type="spellStart"/>
      <w:r w:rsidRPr="000F2D45">
        <w:rPr>
          <w:i/>
          <w:iCs/>
        </w:rPr>
        <w:t>Morb</w:t>
      </w:r>
      <w:proofErr w:type="spellEnd"/>
      <w:r w:rsidRPr="000F2D45">
        <w:rPr>
          <w:i/>
          <w:iCs/>
        </w:rPr>
        <w:t xml:space="preserve"> Mortal </w:t>
      </w:r>
      <w:proofErr w:type="spellStart"/>
      <w:r w:rsidRPr="000F2D45">
        <w:rPr>
          <w:i/>
          <w:iCs/>
        </w:rPr>
        <w:t>Wkly</w:t>
      </w:r>
      <w:proofErr w:type="spellEnd"/>
      <w:r w:rsidRPr="000F2D45">
        <w:rPr>
          <w:i/>
          <w:iCs/>
        </w:rPr>
        <w:t xml:space="preserve"> Rep. 2021</w:t>
      </w:r>
      <w:r w:rsidRPr="000F2D45">
        <w:t>;70(29):1013–9. doi: https://doi.org/10.15585/mmwr.mm7029a1.</w:t>
      </w:r>
    </w:p>
    <w:p w14:paraId="1CD3D063" w14:textId="290BE970" w:rsidR="00620509" w:rsidRPr="00620509" w:rsidRDefault="000F2D45" w:rsidP="000F2D45">
      <w:pPr>
        <w:pStyle w:val="CDINumberedList1L1"/>
        <w:numPr>
          <w:ilvl w:val="0"/>
          <w:numId w:val="33"/>
        </w:numPr>
        <w:divId w:val="935526654"/>
      </w:pPr>
      <w:r w:rsidRPr="000F2D45">
        <w:t xml:space="preserve">Bardsley M, </w:t>
      </w:r>
      <w:proofErr w:type="spellStart"/>
      <w:r w:rsidRPr="000F2D45">
        <w:t>Morbey</w:t>
      </w:r>
      <w:proofErr w:type="spellEnd"/>
      <w:r w:rsidRPr="000F2D45">
        <w:t xml:space="preserve"> RA, Hughes HE, Beck CR, Watson CH, Zhao H et al. Epidemiology of respiratory syncytial virus in children younger than 5 years in England during the COVID-19 pandemic, measured by laboratory, clinical, and syndromic surveillance: a retrospective observational study. </w:t>
      </w:r>
      <w:r w:rsidRPr="000F2D45">
        <w:rPr>
          <w:i/>
          <w:iCs/>
        </w:rPr>
        <w:t>Lancet Infect Dis</w:t>
      </w:r>
      <w:r w:rsidRPr="000F2D45">
        <w:t>. 2023;23(1):56–66. doi: https://doi.org/10.1016/S1473-3099(22)00525-4.</w:t>
      </w:r>
    </w:p>
    <w:p w14:paraId="04EE1FF7" w14:textId="77777777" w:rsidR="001A26DD" w:rsidRDefault="001A26DD" w:rsidP="0037146D">
      <w:pPr>
        <w:divId w:val="935526654"/>
        <w:sectPr w:rsidR="001A26DD" w:rsidSect="00912A31">
          <w:headerReference w:type="even" r:id="rId11"/>
          <w:headerReference w:type="default" r:id="rId12"/>
          <w:footerReference w:type="even" r:id="rId13"/>
          <w:footerReference w:type="default" r:id="rId14"/>
          <w:headerReference w:type="first" r:id="rId15"/>
          <w:footerReference w:type="first" r:id="rId16"/>
          <w:pgSz w:w="11907" w:h="16840" w:code="9"/>
          <w:pgMar w:top="1304" w:right="1134" w:bottom="1304" w:left="1134" w:header="709" w:footer="527" w:gutter="0"/>
          <w:cols w:space="708"/>
          <w:titlePg/>
          <w:docGrid w:linePitch="360"/>
        </w:sectPr>
      </w:pPr>
    </w:p>
    <w:p w14:paraId="3E4CEA79" w14:textId="77777777" w:rsidR="00AC0F5D" w:rsidRDefault="00AC0F5D" w:rsidP="003628A8">
      <w:pPr>
        <w:pStyle w:val="Heading1-nospacebefore"/>
      </w:pPr>
      <w:r>
        <w:lastRenderedPageBreak/>
        <w:t>Appendix A</w:t>
      </w:r>
    </w:p>
    <w:p w14:paraId="27CBF016" w14:textId="1A790CF6" w:rsidR="00AC0F5D" w:rsidRDefault="003628A8" w:rsidP="00AC0F5D">
      <w:pPr>
        <w:pStyle w:val="CDIFigure-Table-Title"/>
      </w:pPr>
      <w:r w:rsidRPr="003628A8">
        <w:t>Table A.1: CQ population data by region and age categories from the Australian Bureau of Statistics</w:t>
      </w:r>
      <w:r w:rsidRPr="003628A8">
        <w:rPr>
          <w:vertAlign w:val="superscript"/>
        </w:rPr>
        <w:t>33</w:t>
      </w:r>
    </w:p>
    <w:tbl>
      <w:tblPr>
        <w:tblW w:w="0" w:type="auto"/>
        <w:tblInd w:w="-8" w:type="dxa"/>
        <w:tblLayout w:type="fixed"/>
        <w:tblCellMar>
          <w:left w:w="0" w:type="dxa"/>
          <w:right w:w="0" w:type="dxa"/>
        </w:tblCellMar>
        <w:tblLook w:val="0000" w:firstRow="0" w:lastRow="0" w:firstColumn="0" w:lastColumn="0" w:noHBand="0" w:noVBand="0"/>
        <w:tblCaption w:val="Table A.1: CQ population data by region and age categories from the Australian Bureau of Statistics"/>
        <w:tblDescription w:val="Table A.1 shows the population number by age group and region in Central Queensland."/>
      </w:tblPr>
      <w:tblGrid>
        <w:gridCol w:w="1191"/>
        <w:gridCol w:w="708"/>
        <w:gridCol w:w="709"/>
        <w:gridCol w:w="709"/>
        <w:gridCol w:w="708"/>
        <w:gridCol w:w="709"/>
        <w:gridCol w:w="709"/>
        <w:gridCol w:w="708"/>
        <w:gridCol w:w="709"/>
        <w:gridCol w:w="709"/>
        <w:gridCol w:w="708"/>
        <w:gridCol w:w="709"/>
        <w:gridCol w:w="708"/>
        <w:gridCol w:w="709"/>
        <w:gridCol w:w="709"/>
        <w:gridCol w:w="708"/>
        <w:gridCol w:w="709"/>
        <w:gridCol w:w="709"/>
        <w:gridCol w:w="609"/>
        <w:gridCol w:w="766"/>
      </w:tblGrid>
      <w:tr w:rsidR="003628A8" w:rsidRPr="003628A8" w14:paraId="237F24D9" w14:textId="77777777" w:rsidTr="003628A8">
        <w:tblPrEx>
          <w:tblCellMar>
            <w:top w:w="0" w:type="dxa"/>
            <w:left w:w="0" w:type="dxa"/>
            <w:bottom w:w="0" w:type="dxa"/>
            <w:right w:w="0" w:type="dxa"/>
          </w:tblCellMar>
        </w:tblPrEx>
        <w:trPr>
          <w:trHeight w:val="20"/>
          <w:tblHeader/>
        </w:trPr>
        <w:tc>
          <w:tcPr>
            <w:tcW w:w="1191" w:type="dxa"/>
            <w:vMerge w:val="restart"/>
            <w:shd w:val="clear" w:color="auto" w:fill="033636" w:themeFill="text2"/>
            <w:tcMar>
              <w:top w:w="113" w:type="dxa"/>
              <w:left w:w="85" w:type="dxa"/>
              <w:bottom w:w="113" w:type="dxa"/>
              <w:right w:w="85" w:type="dxa"/>
            </w:tcMar>
            <w:vAlign w:val="bottom"/>
          </w:tcPr>
          <w:p w14:paraId="10CBDB7E" w14:textId="77777777" w:rsidR="003628A8" w:rsidRPr="003628A8" w:rsidRDefault="003628A8" w:rsidP="003628A8">
            <w:pPr>
              <w:pStyle w:val="CDIFigure-Table-H1Left"/>
            </w:pPr>
            <w:r w:rsidRPr="003628A8">
              <w:t>Region</w:t>
            </w:r>
          </w:p>
        </w:tc>
        <w:tc>
          <w:tcPr>
            <w:tcW w:w="12656" w:type="dxa"/>
            <w:gridSpan w:val="18"/>
            <w:tcBorders>
              <w:bottom w:val="single" w:sz="6" w:space="0" w:color="FFFFFF" w:themeColor="background1"/>
            </w:tcBorders>
            <w:shd w:val="clear" w:color="auto" w:fill="033636" w:themeFill="text2"/>
            <w:tcMar>
              <w:top w:w="113" w:type="dxa"/>
              <w:left w:w="85" w:type="dxa"/>
              <w:bottom w:w="113" w:type="dxa"/>
              <w:right w:w="85" w:type="dxa"/>
            </w:tcMar>
            <w:vAlign w:val="bottom"/>
          </w:tcPr>
          <w:p w14:paraId="77B02B4A" w14:textId="77777777" w:rsidR="003628A8" w:rsidRPr="003628A8" w:rsidRDefault="003628A8" w:rsidP="003628A8">
            <w:pPr>
              <w:pStyle w:val="CDIFigure-Table-H1"/>
            </w:pPr>
            <w:r w:rsidRPr="003628A8">
              <w:t>Age group (years)</w:t>
            </w:r>
          </w:p>
        </w:tc>
        <w:tc>
          <w:tcPr>
            <w:tcW w:w="766" w:type="dxa"/>
            <w:vMerge w:val="restart"/>
            <w:shd w:val="clear" w:color="auto" w:fill="033636" w:themeFill="text2"/>
            <w:tcMar>
              <w:top w:w="113" w:type="dxa"/>
              <w:left w:w="85" w:type="dxa"/>
              <w:bottom w:w="113" w:type="dxa"/>
              <w:right w:w="85" w:type="dxa"/>
            </w:tcMar>
            <w:vAlign w:val="bottom"/>
          </w:tcPr>
          <w:p w14:paraId="3C79B0C4" w14:textId="77777777" w:rsidR="003628A8" w:rsidRPr="003628A8" w:rsidRDefault="003628A8" w:rsidP="003628A8">
            <w:pPr>
              <w:pStyle w:val="CDIFigure-Table-H1"/>
            </w:pPr>
            <w:r w:rsidRPr="003628A8">
              <w:t>Total</w:t>
            </w:r>
          </w:p>
        </w:tc>
      </w:tr>
      <w:tr w:rsidR="003628A8" w:rsidRPr="003628A8" w14:paraId="694A49A8" w14:textId="77777777" w:rsidTr="003628A8">
        <w:tblPrEx>
          <w:tblCellMar>
            <w:top w:w="0" w:type="dxa"/>
            <w:left w:w="0" w:type="dxa"/>
            <w:bottom w:w="0" w:type="dxa"/>
            <w:right w:w="0" w:type="dxa"/>
          </w:tblCellMar>
        </w:tblPrEx>
        <w:trPr>
          <w:trHeight w:val="20"/>
          <w:tblHeader/>
        </w:trPr>
        <w:tc>
          <w:tcPr>
            <w:tcW w:w="1191" w:type="dxa"/>
            <w:vMerge/>
            <w:shd w:val="clear" w:color="auto" w:fill="033636" w:themeFill="text2"/>
          </w:tcPr>
          <w:p w14:paraId="5FB563E9" w14:textId="77777777" w:rsidR="003628A8" w:rsidRPr="003628A8" w:rsidRDefault="003628A8" w:rsidP="003628A8"/>
        </w:tc>
        <w:tc>
          <w:tcPr>
            <w:tcW w:w="708"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4CC6BBA2" w14:textId="77777777" w:rsidR="003628A8" w:rsidRPr="003628A8" w:rsidRDefault="003628A8" w:rsidP="003628A8">
            <w:pPr>
              <w:pStyle w:val="CDIFigure-Table-H1"/>
            </w:pPr>
            <w:r w:rsidRPr="003628A8">
              <w:t>0–4</w:t>
            </w:r>
          </w:p>
        </w:tc>
        <w:tc>
          <w:tcPr>
            <w:tcW w:w="709"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7F191575" w14:textId="77777777" w:rsidR="003628A8" w:rsidRPr="003628A8" w:rsidRDefault="003628A8" w:rsidP="003628A8">
            <w:pPr>
              <w:pStyle w:val="CDIFigure-Table-H1"/>
            </w:pPr>
            <w:r w:rsidRPr="003628A8">
              <w:t>5–9</w:t>
            </w:r>
          </w:p>
        </w:tc>
        <w:tc>
          <w:tcPr>
            <w:tcW w:w="709"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00592105" w14:textId="77777777" w:rsidR="003628A8" w:rsidRPr="003628A8" w:rsidRDefault="003628A8" w:rsidP="003628A8">
            <w:pPr>
              <w:pStyle w:val="CDIFigure-Table-H1"/>
            </w:pPr>
            <w:r w:rsidRPr="003628A8">
              <w:t>10–14</w:t>
            </w:r>
          </w:p>
        </w:tc>
        <w:tc>
          <w:tcPr>
            <w:tcW w:w="708"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76546580" w14:textId="77777777" w:rsidR="003628A8" w:rsidRPr="003628A8" w:rsidRDefault="003628A8" w:rsidP="003628A8">
            <w:pPr>
              <w:pStyle w:val="CDIFigure-Table-H1"/>
            </w:pPr>
            <w:r w:rsidRPr="003628A8">
              <w:t>15–19</w:t>
            </w:r>
          </w:p>
        </w:tc>
        <w:tc>
          <w:tcPr>
            <w:tcW w:w="709"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1EC6D18B" w14:textId="77777777" w:rsidR="003628A8" w:rsidRPr="003628A8" w:rsidRDefault="003628A8" w:rsidP="003628A8">
            <w:pPr>
              <w:pStyle w:val="CDIFigure-Table-H1"/>
            </w:pPr>
            <w:r w:rsidRPr="003628A8">
              <w:t>20–24</w:t>
            </w:r>
          </w:p>
        </w:tc>
        <w:tc>
          <w:tcPr>
            <w:tcW w:w="709"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4C6194E4" w14:textId="77777777" w:rsidR="003628A8" w:rsidRPr="003628A8" w:rsidRDefault="003628A8" w:rsidP="003628A8">
            <w:pPr>
              <w:pStyle w:val="CDIFigure-Table-H1"/>
            </w:pPr>
            <w:r w:rsidRPr="003628A8">
              <w:t>25–29</w:t>
            </w:r>
          </w:p>
        </w:tc>
        <w:tc>
          <w:tcPr>
            <w:tcW w:w="708"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5699CF09" w14:textId="77777777" w:rsidR="003628A8" w:rsidRPr="003628A8" w:rsidRDefault="003628A8" w:rsidP="003628A8">
            <w:pPr>
              <w:pStyle w:val="CDIFigure-Table-H1"/>
            </w:pPr>
            <w:r w:rsidRPr="003628A8">
              <w:t>30–34</w:t>
            </w:r>
          </w:p>
        </w:tc>
        <w:tc>
          <w:tcPr>
            <w:tcW w:w="709"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65A86ECC" w14:textId="77777777" w:rsidR="003628A8" w:rsidRPr="003628A8" w:rsidRDefault="003628A8" w:rsidP="003628A8">
            <w:pPr>
              <w:pStyle w:val="CDIFigure-Table-H1"/>
            </w:pPr>
            <w:r w:rsidRPr="003628A8">
              <w:t>35–39</w:t>
            </w:r>
          </w:p>
        </w:tc>
        <w:tc>
          <w:tcPr>
            <w:tcW w:w="709"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09AF82D8" w14:textId="77777777" w:rsidR="003628A8" w:rsidRPr="003628A8" w:rsidRDefault="003628A8" w:rsidP="003628A8">
            <w:pPr>
              <w:pStyle w:val="CDIFigure-Table-H1"/>
            </w:pPr>
            <w:r w:rsidRPr="003628A8">
              <w:t>40–44</w:t>
            </w:r>
          </w:p>
        </w:tc>
        <w:tc>
          <w:tcPr>
            <w:tcW w:w="708"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2D3B602D" w14:textId="77777777" w:rsidR="003628A8" w:rsidRPr="003628A8" w:rsidRDefault="003628A8" w:rsidP="003628A8">
            <w:pPr>
              <w:pStyle w:val="CDIFigure-Table-H1"/>
            </w:pPr>
            <w:r w:rsidRPr="003628A8">
              <w:t>45–49</w:t>
            </w:r>
          </w:p>
        </w:tc>
        <w:tc>
          <w:tcPr>
            <w:tcW w:w="709"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59E571AB" w14:textId="77777777" w:rsidR="003628A8" w:rsidRPr="003628A8" w:rsidRDefault="003628A8" w:rsidP="003628A8">
            <w:pPr>
              <w:pStyle w:val="CDIFigure-Table-H1"/>
            </w:pPr>
            <w:r w:rsidRPr="003628A8">
              <w:t>50–54</w:t>
            </w:r>
          </w:p>
        </w:tc>
        <w:tc>
          <w:tcPr>
            <w:tcW w:w="708"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5246865C" w14:textId="77777777" w:rsidR="003628A8" w:rsidRPr="003628A8" w:rsidRDefault="003628A8" w:rsidP="003628A8">
            <w:pPr>
              <w:pStyle w:val="CDIFigure-Table-H1"/>
            </w:pPr>
            <w:r w:rsidRPr="003628A8">
              <w:t>55–59</w:t>
            </w:r>
          </w:p>
        </w:tc>
        <w:tc>
          <w:tcPr>
            <w:tcW w:w="709"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769D5E12" w14:textId="77777777" w:rsidR="003628A8" w:rsidRPr="003628A8" w:rsidRDefault="003628A8" w:rsidP="003628A8">
            <w:pPr>
              <w:pStyle w:val="CDIFigure-Table-H1"/>
            </w:pPr>
            <w:r w:rsidRPr="003628A8">
              <w:t>60–64</w:t>
            </w:r>
          </w:p>
        </w:tc>
        <w:tc>
          <w:tcPr>
            <w:tcW w:w="709"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0E2ED2E6" w14:textId="77777777" w:rsidR="003628A8" w:rsidRPr="003628A8" w:rsidRDefault="003628A8" w:rsidP="003628A8">
            <w:pPr>
              <w:pStyle w:val="CDIFigure-Table-H1"/>
            </w:pPr>
            <w:r w:rsidRPr="003628A8">
              <w:t>65–69</w:t>
            </w:r>
          </w:p>
        </w:tc>
        <w:tc>
          <w:tcPr>
            <w:tcW w:w="708"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355D8CDC" w14:textId="77777777" w:rsidR="003628A8" w:rsidRPr="003628A8" w:rsidRDefault="003628A8" w:rsidP="003628A8">
            <w:pPr>
              <w:pStyle w:val="CDIFigure-Table-H1"/>
            </w:pPr>
            <w:r w:rsidRPr="003628A8">
              <w:t>70–74</w:t>
            </w:r>
          </w:p>
        </w:tc>
        <w:tc>
          <w:tcPr>
            <w:tcW w:w="709"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60F19C73" w14:textId="77777777" w:rsidR="003628A8" w:rsidRPr="003628A8" w:rsidRDefault="003628A8" w:rsidP="003628A8">
            <w:pPr>
              <w:pStyle w:val="CDIFigure-Table-H1"/>
            </w:pPr>
            <w:r w:rsidRPr="003628A8">
              <w:t>75–79</w:t>
            </w:r>
          </w:p>
        </w:tc>
        <w:tc>
          <w:tcPr>
            <w:tcW w:w="709"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300BE163" w14:textId="77777777" w:rsidR="003628A8" w:rsidRPr="003628A8" w:rsidRDefault="003628A8" w:rsidP="003628A8">
            <w:pPr>
              <w:pStyle w:val="CDIFigure-Table-H1"/>
            </w:pPr>
            <w:r w:rsidRPr="003628A8">
              <w:t>80–84</w:t>
            </w:r>
          </w:p>
        </w:tc>
        <w:tc>
          <w:tcPr>
            <w:tcW w:w="609" w:type="dxa"/>
            <w:tcBorders>
              <w:top w:val="single" w:sz="6" w:space="0" w:color="FFFFFF" w:themeColor="background1"/>
            </w:tcBorders>
            <w:shd w:val="clear" w:color="auto" w:fill="033636" w:themeFill="text2"/>
            <w:tcMar>
              <w:top w:w="113" w:type="dxa"/>
              <w:left w:w="85" w:type="dxa"/>
              <w:bottom w:w="113" w:type="dxa"/>
              <w:right w:w="85" w:type="dxa"/>
            </w:tcMar>
            <w:vAlign w:val="bottom"/>
          </w:tcPr>
          <w:p w14:paraId="52D2653C" w14:textId="77777777" w:rsidR="003628A8" w:rsidRPr="003628A8" w:rsidRDefault="003628A8" w:rsidP="003628A8">
            <w:pPr>
              <w:pStyle w:val="CDIFigure-Table-H1"/>
            </w:pPr>
            <w:r w:rsidRPr="003628A8">
              <w:t>85+</w:t>
            </w:r>
          </w:p>
        </w:tc>
        <w:tc>
          <w:tcPr>
            <w:tcW w:w="766" w:type="dxa"/>
            <w:vMerge/>
            <w:shd w:val="clear" w:color="auto" w:fill="033636" w:themeFill="text2"/>
          </w:tcPr>
          <w:p w14:paraId="6C829991" w14:textId="77777777" w:rsidR="003628A8" w:rsidRPr="003628A8" w:rsidRDefault="003628A8" w:rsidP="003628A8"/>
        </w:tc>
      </w:tr>
      <w:tr w:rsidR="003628A8" w:rsidRPr="003628A8" w14:paraId="2C0937D4" w14:textId="77777777" w:rsidTr="003628A8">
        <w:tblPrEx>
          <w:tblCellMar>
            <w:top w:w="0" w:type="dxa"/>
            <w:left w:w="0" w:type="dxa"/>
            <w:bottom w:w="0" w:type="dxa"/>
            <w:right w:w="0" w:type="dxa"/>
          </w:tblCellMar>
        </w:tblPrEx>
        <w:trPr>
          <w:trHeight w:val="20"/>
        </w:trPr>
        <w:tc>
          <w:tcPr>
            <w:tcW w:w="1191" w:type="dxa"/>
            <w:shd w:val="solid" w:color="FFFFFF" w:fill="auto"/>
            <w:tcMar>
              <w:top w:w="113" w:type="dxa"/>
              <w:left w:w="85" w:type="dxa"/>
              <w:bottom w:w="113" w:type="dxa"/>
              <w:right w:w="85" w:type="dxa"/>
            </w:tcMar>
            <w:vAlign w:val="center"/>
          </w:tcPr>
          <w:p w14:paraId="61F8A724" w14:textId="77777777" w:rsidR="003628A8" w:rsidRPr="003628A8" w:rsidRDefault="003628A8" w:rsidP="003628A8">
            <w:pPr>
              <w:pStyle w:val="CDIFigure-Table-BodyTextLeft"/>
            </w:pPr>
            <w:r w:rsidRPr="003628A8">
              <w:t>Banana</w:t>
            </w:r>
          </w:p>
        </w:tc>
        <w:tc>
          <w:tcPr>
            <w:tcW w:w="708" w:type="dxa"/>
            <w:tcMar>
              <w:top w:w="113" w:type="dxa"/>
              <w:left w:w="85" w:type="dxa"/>
              <w:bottom w:w="113" w:type="dxa"/>
              <w:right w:w="85" w:type="dxa"/>
            </w:tcMar>
            <w:vAlign w:val="center"/>
          </w:tcPr>
          <w:p w14:paraId="1B310C9D" w14:textId="77777777" w:rsidR="003628A8" w:rsidRPr="003628A8" w:rsidRDefault="003628A8" w:rsidP="003628A8">
            <w:pPr>
              <w:pStyle w:val="CDIFigure-Table-BodyTextCentre"/>
            </w:pPr>
            <w:r w:rsidRPr="003628A8">
              <w:t>974</w:t>
            </w:r>
          </w:p>
        </w:tc>
        <w:tc>
          <w:tcPr>
            <w:tcW w:w="709" w:type="dxa"/>
            <w:tcMar>
              <w:top w:w="113" w:type="dxa"/>
              <w:left w:w="85" w:type="dxa"/>
              <w:bottom w:w="113" w:type="dxa"/>
              <w:right w:w="85" w:type="dxa"/>
            </w:tcMar>
            <w:vAlign w:val="center"/>
          </w:tcPr>
          <w:p w14:paraId="43BD922A" w14:textId="77777777" w:rsidR="003628A8" w:rsidRPr="003628A8" w:rsidRDefault="003628A8" w:rsidP="003628A8">
            <w:pPr>
              <w:pStyle w:val="CDIFigure-Table-BodyTextCentre"/>
            </w:pPr>
            <w:r w:rsidRPr="003628A8">
              <w:t>1,105</w:t>
            </w:r>
          </w:p>
        </w:tc>
        <w:tc>
          <w:tcPr>
            <w:tcW w:w="709" w:type="dxa"/>
            <w:tcMar>
              <w:top w:w="113" w:type="dxa"/>
              <w:left w:w="85" w:type="dxa"/>
              <w:bottom w:w="113" w:type="dxa"/>
              <w:right w:w="85" w:type="dxa"/>
            </w:tcMar>
            <w:vAlign w:val="center"/>
          </w:tcPr>
          <w:p w14:paraId="5A9D38C3" w14:textId="77777777" w:rsidR="003628A8" w:rsidRPr="003628A8" w:rsidRDefault="003628A8" w:rsidP="003628A8">
            <w:pPr>
              <w:pStyle w:val="CDIFigure-Table-BodyTextCentre"/>
            </w:pPr>
            <w:r w:rsidRPr="003628A8">
              <w:t>1,060</w:t>
            </w:r>
          </w:p>
        </w:tc>
        <w:tc>
          <w:tcPr>
            <w:tcW w:w="708" w:type="dxa"/>
            <w:tcMar>
              <w:top w:w="113" w:type="dxa"/>
              <w:left w:w="85" w:type="dxa"/>
              <w:bottom w:w="113" w:type="dxa"/>
              <w:right w:w="85" w:type="dxa"/>
            </w:tcMar>
            <w:vAlign w:val="center"/>
          </w:tcPr>
          <w:p w14:paraId="5C977312" w14:textId="77777777" w:rsidR="003628A8" w:rsidRPr="003628A8" w:rsidRDefault="003628A8" w:rsidP="003628A8">
            <w:pPr>
              <w:pStyle w:val="CDIFigure-Table-BodyTextCentre"/>
            </w:pPr>
            <w:r w:rsidRPr="003628A8">
              <w:t>824</w:t>
            </w:r>
          </w:p>
        </w:tc>
        <w:tc>
          <w:tcPr>
            <w:tcW w:w="709" w:type="dxa"/>
            <w:tcMar>
              <w:top w:w="113" w:type="dxa"/>
              <w:left w:w="85" w:type="dxa"/>
              <w:bottom w:w="113" w:type="dxa"/>
              <w:right w:w="85" w:type="dxa"/>
            </w:tcMar>
            <w:vAlign w:val="center"/>
          </w:tcPr>
          <w:p w14:paraId="39265866" w14:textId="77777777" w:rsidR="003628A8" w:rsidRPr="003628A8" w:rsidRDefault="003628A8" w:rsidP="003628A8">
            <w:pPr>
              <w:pStyle w:val="CDIFigure-Table-BodyTextCentre"/>
            </w:pPr>
            <w:r w:rsidRPr="003628A8">
              <w:t>844</w:t>
            </w:r>
          </w:p>
        </w:tc>
        <w:tc>
          <w:tcPr>
            <w:tcW w:w="709" w:type="dxa"/>
            <w:tcMar>
              <w:top w:w="113" w:type="dxa"/>
              <w:left w:w="85" w:type="dxa"/>
              <w:bottom w:w="113" w:type="dxa"/>
              <w:right w:w="85" w:type="dxa"/>
            </w:tcMar>
            <w:vAlign w:val="center"/>
          </w:tcPr>
          <w:p w14:paraId="0F1A1940" w14:textId="77777777" w:rsidR="003628A8" w:rsidRPr="003628A8" w:rsidRDefault="003628A8" w:rsidP="003628A8">
            <w:pPr>
              <w:pStyle w:val="CDIFigure-Table-BodyTextCentre"/>
            </w:pPr>
            <w:r w:rsidRPr="003628A8">
              <w:t>875</w:t>
            </w:r>
          </w:p>
        </w:tc>
        <w:tc>
          <w:tcPr>
            <w:tcW w:w="708" w:type="dxa"/>
            <w:tcMar>
              <w:top w:w="113" w:type="dxa"/>
              <w:left w:w="85" w:type="dxa"/>
              <w:bottom w:w="113" w:type="dxa"/>
              <w:right w:w="85" w:type="dxa"/>
            </w:tcMar>
            <w:vAlign w:val="center"/>
          </w:tcPr>
          <w:p w14:paraId="774757B5" w14:textId="77777777" w:rsidR="003628A8" w:rsidRPr="003628A8" w:rsidRDefault="003628A8" w:rsidP="003628A8">
            <w:pPr>
              <w:pStyle w:val="CDIFigure-Table-BodyTextCentre"/>
            </w:pPr>
            <w:r w:rsidRPr="003628A8">
              <w:t>1,014</w:t>
            </w:r>
          </w:p>
        </w:tc>
        <w:tc>
          <w:tcPr>
            <w:tcW w:w="709" w:type="dxa"/>
            <w:tcMar>
              <w:top w:w="113" w:type="dxa"/>
              <w:left w:w="85" w:type="dxa"/>
              <w:bottom w:w="113" w:type="dxa"/>
              <w:right w:w="85" w:type="dxa"/>
            </w:tcMar>
            <w:vAlign w:val="center"/>
          </w:tcPr>
          <w:p w14:paraId="06FCA215" w14:textId="77777777" w:rsidR="003628A8" w:rsidRPr="003628A8" w:rsidRDefault="003628A8" w:rsidP="003628A8">
            <w:pPr>
              <w:pStyle w:val="CDIFigure-Table-BodyTextCentre"/>
            </w:pPr>
            <w:r w:rsidRPr="003628A8">
              <w:t>1,036</w:t>
            </w:r>
          </w:p>
        </w:tc>
        <w:tc>
          <w:tcPr>
            <w:tcW w:w="709" w:type="dxa"/>
            <w:tcMar>
              <w:top w:w="113" w:type="dxa"/>
              <w:left w:w="85" w:type="dxa"/>
              <w:bottom w:w="113" w:type="dxa"/>
              <w:right w:w="85" w:type="dxa"/>
            </w:tcMar>
            <w:vAlign w:val="center"/>
          </w:tcPr>
          <w:p w14:paraId="24E2C5B0" w14:textId="77777777" w:rsidR="003628A8" w:rsidRPr="003628A8" w:rsidRDefault="003628A8" w:rsidP="003628A8">
            <w:pPr>
              <w:pStyle w:val="CDIFigure-Table-BodyTextCentre"/>
            </w:pPr>
            <w:r w:rsidRPr="003628A8">
              <w:t>925</w:t>
            </w:r>
          </w:p>
        </w:tc>
        <w:tc>
          <w:tcPr>
            <w:tcW w:w="708" w:type="dxa"/>
            <w:tcMar>
              <w:top w:w="113" w:type="dxa"/>
              <w:left w:w="85" w:type="dxa"/>
              <w:bottom w:w="113" w:type="dxa"/>
              <w:right w:w="85" w:type="dxa"/>
            </w:tcMar>
            <w:vAlign w:val="center"/>
          </w:tcPr>
          <w:p w14:paraId="2AC6C469" w14:textId="77777777" w:rsidR="003628A8" w:rsidRPr="003628A8" w:rsidRDefault="003628A8" w:rsidP="003628A8">
            <w:pPr>
              <w:pStyle w:val="CDIFigure-Table-BodyTextCentre"/>
            </w:pPr>
            <w:r w:rsidRPr="003628A8">
              <w:t>921</w:t>
            </w:r>
          </w:p>
        </w:tc>
        <w:tc>
          <w:tcPr>
            <w:tcW w:w="709" w:type="dxa"/>
            <w:tcMar>
              <w:top w:w="113" w:type="dxa"/>
              <w:left w:w="85" w:type="dxa"/>
              <w:bottom w:w="113" w:type="dxa"/>
              <w:right w:w="85" w:type="dxa"/>
            </w:tcMar>
            <w:vAlign w:val="center"/>
          </w:tcPr>
          <w:p w14:paraId="2669B0F6" w14:textId="77777777" w:rsidR="003628A8" w:rsidRPr="003628A8" w:rsidRDefault="003628A8" w:rsidP="003628A8">
            <w:pPr>
              <w:pStyle w:val="CDIFigure-Table-BodyTextCentre"/>
            </w:pPr>
            <w:r w:rsidRPr="003628A8">
              <w:t>909</w:t>
            </w:r>
          </w:p>
        </w:tc>
        <w:tc>
          <w:tcPr>
            <w:tcW w:w="708" w:type="dxa"/>
            <w:tcMar>
              <w:top w:w="113" w:type="dxa"/>
              <w:left w:w="85" w:type="dxa"/>
              <w:bottom w:w="113" w:type="dxa"/>
              <w:right w:w="85" w:type="dxa"/>
            </w:tcMar>
            <w:vAlign w:val="center"/>
          </w:tcPr>
          <w:p w14:paraId="3FB6856A" w14:textId="77777777" w:rsidR="003628A8" w:rsidRPr="003628A8" w:rsidRDefault="003628A8" w:rsidP="003628A8">
            <w:pPr>
              <w:pStyle w:val="CDIFigure-Table-BodyTextCentre"/>
            </w:pPr>
            <w:r w:rsidRPr="003628A8">
              <w:t>986</w:t>
            </w:r>
          </w:p>
        </w:tc>
        <w:tc>
          <w:tcPr>
            <w:tcW w:w="709" w:type="dxa"/>
            <w:tcMar>
              <w:top w:w="113" w:type="dxa"/>
              <w:left w:w="85" w:type="dxa"/>
              <w:bottom w:w="113" w:type="dxa"/>
              <w:right w:w="85" w:type="dxa"/>
            </w:tcMar>
            <w:vAlign w:val="center"/>
          </w:tcPr>
          <w:p w14:paraId="58290840" w14:textId="77777777" w:rsidR="003628A8" w:rsidRPr="003628A8" w:rsidRDefault="003628A8" w:rsidP="003628A8">
            <w:pPr>
              <w:pStyle w:val="CDIFigure-Table-BodyTextCentre"/>
            </w:pPr>
            <w:r w:rsidRPr="003628A8">
              <w:t>892</w:t>
            </w:r>
          </w:p>
        </w:tc>
        <w:tc>
          <w:tcPr>
            <w:tcW w:w="709" w:type="dxa"/>
            <w:tcMar>
              <w:top w:w="113" w:type="dxa"/>
              <w:left w:w="85" w:type="dxa"/>
              <w:bottom w:w="113" w:type="dxa"/>
              <w:right w:w="85" w:type="dxa"/>
            </w:tcMar>
            <w:vAlign w:val="center"/>
          </w:tcPr>
          <w:p w14:paraId="392E69CC" w14:textId="77777777" w:rsidR="003628A8" w:rsidRPr="003628A8" w:rsidRDefault="003628A8" w:rsidP="003628A8">
            <w:pPr>
              <w:pStyle w:val="CDIFigure-Table-BodyTextCentre"/>
            </w:pPr>
            <w:r w:rsidRPr="003628A8">
              <w:t>710</w:t>
            </w:r>
          </w:p>
        </w:tc>
        <w:tc>
          <w:tcPr>
            <w:tcW w:w="708" w:type="dxa"/>
            <w:tcMar>
              <w:top w:w="113" w:type="dxa"/>
              <w:left w:w="85" w:type="dxa"/>
              <w:bottom w:w="113" w:type="dxa"/>
              <w:right w:w="85" w:type="dxa"/>
            </w:tcMar>
            <w:vAlign w:val="center"/>
          </w:tcPr>
          <w:p w14:paraId="449D9C30" w14:textId="77777777" w:rsidR="003628A8" w:rsidRPr="003628A8" w:rsidRDefault="003628A8" w:rsidP="003628A8">
            <w:pPr>
              <w:pStyle w:val="CDIFigure-Table-BodyTextCentre"/>
            </w:pPr>
            <w:r w:rsidRPr="003628A8">
              <w:t>560</w:t>
            </w:r>
          </w:p>
        </w:tc>
        <w:tc>
          <w:tcPr>
            <w:tcW w:w="709" w:type="dxa"/>
            <w:tcMar>
              <w:top w:w="113" w:type="dxa"/>
              <w:left w:w="85" w:type="dxa"/>
              <w:bottom w:w="113" w:type="dxa"/>
              <w:right w:w="85" w:type="dxa"/>
            </w:tcMar>
            <w:vAlign w:val="center"/>
          </w:tcPr>
          <w:p w14:paraId="6D7DB88C" w14:textId="77777777" w:rsidR="003628A8" w:rsidRPr="003628A8" w:rsidRDefault="003628A8" w:rsidP="003628A8">
            <w:pPr>
              <w:pStyle w:val="CDIFigure-Table-BodyTextCentre"/>
            </w:pPr>
            <w:r w:rsidRPr="003628A8">
              <w:t>448</w:t>
            </w:r>
          </w:p>
        </w:tc>
        <w:tc>
          <w:tcPr>
            <w:tcW w:w="709" w:type="dxa"/>
            <w:tcMar>
              <w:top w:w="113" w:type="dxa"/>
              <w:left w:w="85" w:type="dxa"/>
              <w:bottom w:w="113" w:type="dxa"/>
              <w:right w:w="85" w:type="dxa"/>
            </w:tcMar>
            <w:vAlign w:val="center"/>
          </w:tcPr>
          <w:p w14:paraId="0B1DCE45" w14:textId="77777777" w:rsidR="003628A8" w:rsidRPr="003628A8" w:rsidRDefault="003628A8" w:rsidP="003628A8">
            <w:pPr>
              <w:pStyle w:val="CDIFigure-Table-BodyTextCentre"/>
            </w:pPr>
            <w:r w:rsidRPr="003628A8">
              <w:t>331</w:t>
            </w:r>
          </w:p>
        </w:tc>
        <w:tc>
          <w:tcPr>
            <w:tcW w:w="609" w:type="dxa"/>
            <w:tcMar>
              <w:top w:w="113" w:type="dxa"/>
              <w:left w:w="85" w:type="dxa"/>
              <w:bottom w:w="113" w:type="dxa"/>
              <w:right w:w="85" w:type="dxa"/>
            </w:tcMar>
            <w:vAlign w:val="center"/>
          </w:tcPr>
          <w:p w14:paraId="117EE6D7" w14:textId="77777777" w:rsidR="003628A8" w:rsidRPr="003628A8" w:rsidRDefault="003628A8" w:rsidP="003628A8">
            <w:pPr>
              <w:pStyle w:val="CDIFigure-Table-BodyTextCentre"/>
            </w:pPr>
            <w:r w:rsidRPr="003628A8">
              <w:t>249</w:t>
            </w:r>
          </w:p>
        </w:tc>
        <w:tc>
          <w:tcPr>
            <w:tcW w:w="766" w:type="dxa"/>
            <w:tcMar>
              <w:top w:w="113" w:type="dxa"/>
              <w:left w:w="85" w:type="dxa"/>
              <w:bottom w:w="113" w:type="dxa"/>
              <w:right w:w="85" w:type="dxa"/>
            </w:tcMar>
            <w:vAlign w:val="center"/>
          </w:tcPr>
          <w:p w14:paraId="4C6A7B4E" w14:textId="77777777" w:rsidR="003628A8" w:rsidRPr="003628A8" w:rsidRDefault="003628A8" w:rsidP="003628A8">
            <w:pPr>
              <w:pStyle w:val="CDIFigure-Table-BodyTextCentre"/>
            </w:pPr>
            <w:r w:rsidRPr="003628A8">
              <w:t>14,663</w:t>
            </w:r>
          </w:p>
        </w:tc>
      </w:tr>
      <w:tr w:rsidR="003628A8" w:rsidRPr="003628A8" w14:paraId="4E075838" w14:textId="77777777" w:rsidTr="003628A8">
        <w:tblPrEx>
          <w:tblCellMar>
            <w:top w:w="0" w:type="dxa"/>
            <w:left w:w="0" w:type="dxa"/>
            <w:bottom w:w="0" w:type="dxa"/>
            <w:right w:w="0" w:type="dxa"/>
          </w:tblCellMar>
        </w:tblPrEx>
        <w:trPr>
          <w:trHeight w:val="20"/>
        </w:trPr>
        <w:tc>
          <w:tcPr>
            <w:tcW w:w="1191" w:type="dxa"/>
            <w:shd w:val="solid" w:color="FFFFFF" w:fill="auto"/>
            <w:tcMar>
              <w:top w:w="113" w:type="dxa"/>
              <w:left w:w="85" w:type="dxa"/>
              <w:bottom w:w="113" w:type="dxa"/>
              <w:right w:w="85" w:type="dxa"/>
            </w:tcMar>
            <w:vAlign w:val="center"/>
          </w:tcPr>
          <w:p w14:paraId="78AF8758" w14:textId="77777777" w:rsidR="003628A8" w:rsidRPr="003628A8" w:rsidRDefault="003628A8" w:rsidP="003628A8">
            <w:pPr>
              <w:pStyle w:val="CDIFigure-Table-BodyTextLeft"/>
            </w:pPr>
            <w:r w:rsidRPr="003628A8">
              <w:t>Central Highlands</w:t>
            </w:r>
          </w:p>
        </w:tc>
        <w:tc>
          <w:tcPr>
            <w:tcW w:w="708" w:type="dxa"/>
            <w:tcMar>
              <w:top w:w="113" w:type="dxa"/>
              <w:left w:w="85" w:type="dxa"/>
              <w:bottom w:w="113" w:type="dxa"/>
              <w:right w:w="85" w:type="dxa"/>
            </w:tcMar>
            <w:vAlign w:val="center"/>
          </w:tcPr>
          <w:p w14:paraId="00E8382E" w14:textId="77777777" w:rsidR="003628A8" w:rsidRPr="003628A8" w:rsidRDefault="003628A8" w:rsidP="003628A8">
            <w:pPr>
              <w:pStyle w:val="CDIFigure-Table-BodyTextCentre"/>
            </w:pPr>
            <w:r w:rsidRPr="003628A8">
              <w:t>2,100</w:t>
            </w:r>
          </w:p>
        </w:tc>
        <w:tc>
          <w:tcPr>
            <w:tcW w:w="709" w:type="dxa"/>
            <w:tcMar>
              <w:top w:w="113" w:type="dxa"/>
              <w:left w:w="85" w:type="dxa"/>
              <w:bottom w:w="113" w:type="dxa"/>
              <w:right w:w="85" w:type="dxa"/>
            </w:tcMar>
            <w:vAlign w:val="center"/>
          </w:tcPr>
          <w:p w14:paraId="67BFDDE7" w14:textId="77777777" w:rsidR="003628A8" w:rsidRPr="003628A8" w:rsidRDefault="003628A8" w:rsidP="003628A8">
            <w:pPr>
              <w:pStyle w:val="CDIFigure-Table-BodyTextCentre"/>
            </w:pPr>
            <w:r w:rsidRPr="003628A8">
              <w:t>2,356</w:t>
            </w:r>
          </w:p>
        </w:tc>
        <w:tc>
          <w:tcPr>
            <w:tcW w:w="709" w:type="dxa"/>
            <w:tcMar>
              <w:top w:w="113" w:type="dxa"/>
              <w:left w:w="85" w:type="dxa"/>
              <w:bottom w:w="113" w:type="dxa"/>
              <w:right w:w="85" w:type="dxa"/>
            </w:tcMar>
            <w:vAlign w:val="center"/>
          </w:tcPr>
          <w:p w14:paraId="46B0D2AA" w14:textId="77777777" w:rsidR="003628A8" w:rsidRPr="003628A8" w:rsidRDefault="003628A8" w:rsidP="003628A8">
            <w:pPr>
              <w:pStyle w:val="CDIFigure-Table-BodyTextCentre"/>
            </w:pPr>
            <w:r w:rsidRPr="003628A8">
              <w:t>2,235</w:t>
            </w:r>
          </w:p>
        </w:tc>
        <w:tc>
          <w:tcPr>
            <w:tcW w:w="708" w:type="dxa"/>
            <w:tcMar>
              <w:top w:w="113" w:type="dxa"/>
              <w:left w:w="85" w:type="dxa"/>
              <w:bottom w:w="113" w:type="dxa"/>
              <w:right w:w="85" w:type="dxa"/>
            </w:tcMar>
            <w:vAlign w:val="center"/>
          </w:tcPr>
          <w:p w14:paraId="088EB0B5" w14:textId="77777777" w:rsidR="003628A8" w:rsidRPr="003628A8" w:rsidRDefault="003628A8" w:rsidP="003628A8">
            <w:pPr>
              <w:pStyle w:val="CDIFigure-Table-BodyTextCentre"/>
            </w:pPr>
            <w:r w:rsidRPr="003628A8">
              <w:t>1,687</w:t>
            </w:r>
          </w:p>
        </w:tc>
        <w:tc>
          <w:tcPr>
            <w:tcW w:w="709" w:type="dxa"/>
            <w:tcMar>
              <w:top w:w="113" w:type="dxa"/>
              <w:left w:w="85" w:type="dxa"/>
              <w:bottom w:w="113" w:type="dxa"/>
              <w:right w:w="85" w:type="dxa"/>
            </w:tcMar>
            <w:vAlign w:val="center"/>
          </w:tcPr>
          <w:p w14:paraId="651DC746" w14:textId="77777777" w:rsidR="003628A8" w:rsidRPr="003628A8" w:rsidRDefault="003628A8" w:rsidP="003628A8">
            <w:pPr>
              <w:pStyle w:val="CDIFigure-Table-BodyTextCentre"/>
            </w:pPr>
            <w:r w:rsidRPr="003628A8">
              <w:t>1,842</w:t>
            </w:r>
          </w:p>
        </w:tc>
        <w:tc>
          <w:tcPr>
            <w:tcW w:w="709" w:type="dxa"/>
            <w:tcMar>
              <w:top w:w="113" w:type="dxa"/>
              <w:left w:w="85" w:type="dxa"/>
              <w:bottom w:w="113" w:type="dxa"/>
              <w:right w:w="85" w:type="dxa"/>
            </w:tcMar>
            <w:vAlign w:val="center"/>
          </w:tcPr>
          <w:p w14:paraId="4272B91F" w14:textId="77777777" w:rsidR="003628A8" w:rsidRPr="003628A8" w:rsidRDefault="003628A8" w:rsidP="003628A8">
            <w:pPr>
              <w:pStyle w:val="CDIFigure-Table-BodyTextCentre"/>
            </w:pPr>
            <w:r w:rsidRPr="003628A8">
              <w:t>2,176</w:t>
            </w:r>
          </w:p>
        </w:tc>
        <w:tc>
          <w:tcPr>
            <w:tcW w:w="708" w:type="dxa"/>
            <w:tcMar>
              <w:top w:w="113" w:type="dxa"/>
              <w:left w:w="85" w:type="dxa"/>
              <w:bottom w:w="113" w:type="dxa"/>
              <w:right w:w="85" w:type="dxa"/>
            </w:tcMar>
            <w:vAlign w:val="center"/>
          </w:tcPr>
          <w:p w14:paraId="4634BB4B" w14:textId="77777777" w:rsidR="003628A8" w:rsidRPr="003628A8" w:rsidRDefault="003628A8" w:rsidP="003628A8">
            <w:pPr>
              <w:pStyle w:val="CDIFigure-Table-BodyTextCentre"/>
            </w:pPr>
            <w:r w:rsidRPr="003628A8">
              <w:t>2,157</w:t>
            </w:r>
          </w:p>
        </w:tc>
        <w:tc>
          <w:tcPr>
            <w:tcW w:w="709" w:type="dxa"/>
            <w:tcMar>
              <w:top w:w="113" w:type="dxa"/>
              <w:left w:w="85" w:type="dxa"/>
              <w:bottom w:w="113" w:type="dxa"/>
              <w:right w:w="85" w:type="dxa"/>
            </w:tcMar>
            <w:vAlign w:val="center"/>
          </w:tcPr>
          <w:p w14:paraId="70020EB3" w14:textId="77777777" w:rsidR="003628A8" w:rsidRPr="003628A8" w:rsidRDefault="003628A8" w:rsidP="003628A8">
            <w:pPr>
              <w:pStyle w:val="CDIFigure-Table-BodyTextCentre"/>
            </w:pPr>
            <w:r w:rsidRPr="003628A8">
              <w:t>2,302</w:t>
            </w:r>
          </w:p>
        </w:tc>
        <w:tc>
          <w:tcPr>
            <w:tcW w:w="709" w:type="dxa"/>
            <w:tcMar>
              <w:top w:w="113" w:type="dxa"/>
              <w:left w:w="85" w:type="dxa"/>
              <w:bottom w:w="113" w:type="dxa"/>
              <w:right w:w="85" w:type="dxa"/>
            </w:tcMar>
            <w:vAlign w:val="center"/>
          </w:tcPr>
          <w:p w14:paraId="19FADCCB" w14:textId="77777777" w:rsidR="003628A8" w:rsidRPr="003628A8" w:rsidRDefault="003628A8" w:rsidP="003628A8">
            <w:pPr>
              <w:pStyle w:val="CDIFigure-Table-BodyTextCentre"/>
            </w:pPr>
            <w:r w:rsidRPr="003628A8">
              <w:t>1,895</w:t>
            </w:r>
          </w:p>
        </w:tc>
        <w:tc>
          <w:tcPr>
            <w:tcW w:w="708" w:type="dxa"/>
            <w:tcMar>
              <w:top w:w="113" w:type="dxa"/>
              <w:left w:w="85" w:type="dxa"/>
              <w:bottom w:w="113" w:type="dxa"/>
              <w:right w:w="85" w:type="dxa"/>
            </w:tcMar>
            <w:vAlign w:val="center"/>
          </w:tcPr>
          <w:p w14:paraId="47F523A6" w14:textId="77777777" w:rsidR="003628A8" w:rsidRPr="003628A8" w:rsidRDefault="003628A8" w:rsidP="003628A8">
            <w:pPr>
              <w:pStyle w:val="CDIFigure-Table-BodyTextCentre"/>
            </w:pPr>
            <w:r w:rsidRPr="003628A8">
              <w:t>1,881</w:t>
            </w:r>
          </w:p>
        </w:tc>
        <w:tc>
          <w:tcPr>
            <w:tcW w:w="709" w:type="dxa"/>
            <w:tcMar>
              <w:top w:w="113" w:type="dxa"/>
              <w:left w:w="85" w:type="dxa"/>
              <w:bottom w:w="113" w:type="dxa"/>
              <w:right w:w="85" w:type="dxa"/>
            </w:tcMar>
            <w:vAlign w:val="center"/>
          </w:tcPr>
          <w:p w14:paraId="22657139" w14:textId="77777777" w:rsidR="003628A8" w:rsidRPr="003628A8" w:rsidRDefault="003628A8" w:rsidP="003628A8">
            <w:pPr>
              <w:pStyle w:val="CDIFigure-Table-BodyTextCentre"/>
            </w:pPr>
            <w:r w:rsidRPr="003628A8">
              <w:t>1,768</w:t>
            </w:r>
          </w:p>
        </w:tc>
        <w:tc>
          <w:tcPr>
            <w:tcW w:w="708" w:type="dxa"/>
            <w:tcMar>
              <w:top w:w="113" w:type="dxa"/>
              <w:left w:w="85" w:type="dxa"/>
              <w:bottom w:w="113" w:type="dxa"/>
              <w:right w:w="85" w:type="dxa"/>
            </w:tcMar>
            <w:vAlign w:val="center"/>
          </w:tcPr>
          <w:p w14:paraId="28B549FC" w14:textId="77777777" w:rsidR="003628A8" w:rsidRPr="003628A8" w:rsidRDefault="003628A8" w:rsidP="003628A8">
            <w:pPr>
              <w:pStyle w:val="CDIFigure-Table-BodyTextCentre"/>
            </w:pPr>
            <w:r w:rsidRPr="003628A8">
              <w:t>1,790</w:t>
            </w:r>
          </w:p>
        </w:tc>
        <w:tc>
          <w:tcPr>
            <w:tcW w:w="709" w:type="dxa"/>
            <w:tcMar>
              <w:top w:w="113" w:type="dxa"/>
              <w:left w:w="85" w:type="dxa"/>
              <w:bottom w:w="113" w:type="dxa"/>
              <w:right w:w="85" w:type="dxa"/>
            </w:tcMar>
            <w:vAlign w:val="center"/>
          </w:tcPr>
          <w:p w14:paraId="4DE41DD1" w14:textId="77777777" w:rsidR="003628A8" w:rsidRPr="003628A8" w:rsidRDefault="003628A8" w:rsidP="003628A8">
            <w:pPr>
              <w:pStyle w:val="CDIFigure-Table-BodyTextCentre"/>
            </w:pPr>
            <w:r w:rsidRPr="003628A8">
              <w:t>1,496</w:t>
            </w:r>
          </w:p>
        </w:tc>
        <w:tc>
          <w:tcPr>
            <w:tcW w:w="709" w:type="dxa"/>
            <w:tcMar>
              <w:top w:w="113" w:type="dxa"/>
              <w:left w:w="85" w:type="dxa"/>
              <w:bottom w:w="113" w:type="dxa"/>
              <w:right w:w="85" w:type="dxa"/>
            </w:tcMar>
            <w:vAlign w:val="center"/>
          </w:tcPr>
          <w:p w14:paraId="4358A987" w14:textId="77777777" w:rsidR="003628A8" w:rsidRPr="003628A8" w:rsidRDefault="003628A8" w:rsidP="003628A8">
            <w:pPr>
              <w:pStyle w:val="CDIFigure-Table-BodyTextCentre"/>
            </w:pPr>
            <w:r w:rsidRPr="003628A8">
              <w:t>977</w:t>
            </w:r>
          </w:p>
        </w:tc>
        <w:tc>
          <w:tcPr>
            <w:tcW w:w="708" w:type="dxa"/>
            <w:tcMar>
              <w:top w:w="113" w:type="dxa"/>
              <w:left w:w="85" w:type="dxa"/>
              <w:bottom w:w="113" w:type="dxa"/>
              <w:right w:w="85" w:type="dxa"/>
            </w:tcMar>
            <w:vAlign w:val="center"/>
          </w:tcPr>
          <w:p w14:paraId="3B6C6846" w14:textId="77777777" w:rsidR="003628A8" w:rsidRPr="003628A8" w:rsidRDefault="003628A8" w:rsidP="003628A8">
            <w:pPr>
              <w:pStyle w:val="CDIFigure-Table-BodyTextCentre"/>
            </w:pPr>
            <w:r w:rsidRPr="003628A8">
              <w:t>723</w:t>
            </w:r>
          </w:p>
        </w:tc>
        <w:tc>
          <w:tcPr>
            <w:tcW w:w="709" w:type="dxa"/>
            <w:tcMar>
              <w:top w:w="113" w:type="dxa"/>
              <w:left w:w="85" w:type="dxa"/>
              <w:bottom w:w="113" w:type="dxa"/>
              <w:right w:w="85" w:type="dxa"/>
            </w:tcMar>
            <w:vAlign w:val="center"/>
          </w:tcPr>
          <w:p w14:paraId="48E9232A" w14:textId="77777777" w:rsidR="003628A8" w:rsidRPr="003628A8" w:rsidRDefault="003628A8" w:rsidP="003628A8">
            <w:pPr>
              <w:pStyle w:val="CDIFigure-Table-BodyTextCentre"/>
            </w:pPr>
            <w:r w:rsidRPr="003628A8">
              <w:t>487</w:t>
            </w:r>
          </w:p>
        </w:tc>
        <w:tc>
          <w:tcPr>
            <w:tcW w:w="709" w:type="dxa"/>
            <w:tcMar>
              <w:top w:w="113" w:type="dxa"/>
              <w:left w:w="85" w:type="dxa"/>
              <w:bottom w:w="113" w:type="dxa"/>
              <w:right w:w="85" w:type="dxa"/>
            </w:tcMar>
            <w:vAlign w:val="center"/>
          </w:tcPr>
          <w:p w14:paraId="32F6E504" w14:textId="77777777" w:rsidR="003628A8" w:rsidRPr="003628A8" w:rsidRDefault="003628A8" w:rsidP="003628A8">
            <w:pPr>
              <w:pStyle w:val="CDIFigure-Table-BodyTextCentre"/>
            </w:pPr>
            <w:r w:rsidRPr="003628A8">
              <w:t>268</w:t>
            </w:r>
          </w:p>
        </w:tc>
        <w:tc>
          <w:tcPr>
            <w:tcW w:w="609" w:type="dxa"/>
            <w:tcMar>
              <w:top w:w="113" w:type="dxa"/>
              <w:left w:w="85" w:type="dxa"/>
              <w:bottom w:w="113" w:type="dxa"/>
              <w:right w:w="85" w:type="dxa"/>
            </w:tcMar>
            <w:vAlign w:val="center"/>
          </w:tcPr>
          <w:p w14:paraId="44BC8D5D" w14:textId="77777777" w:rsidR="003628A8" w:rsidRPr="003628A8" w:rsidRDefault="003628A8" w:rsidP="003628A8">
            <w:pPr>
              <w:pStyle w:val="CDIFigure-Table-BodyTextCentre"/>
            </w:pPr>
            <w:r w:rsidRPr="003628A8">
              <w:t>171</w:t>
            </w:r>
          </w:p>
        </w:tc>
        <w:tc>
          <w:tcPr>
            <w:tcW w:w="766" w:type="dxa"/>
            <w:tcMar>
              <w:top w:w="113" w:type="dxa"/>
              <w:left w:w="85" w:type="dxa"/>
              <w:bottom w:w="113" w:type="dxa"/>
              <w:right w:w="85" w:type="dxa"/>
            </w:tcMar>
            <w:vAlign w:val="center"/>
          </w:tcPr>
          <w:p w14:paraId="10880A7F" w14:textId="77777777" w:rsidR="003628A8" w:rsidRPr="003628A8" w:rsidRDefault="003628A8" w:rsidP="003628A8">
            <w:pPr>
              <w:pStyle w:val="CDIFigure-Table-BodyTextCentre"/>
            </w:pPr>
            <w:r w:rsidRPr="003628A8">
              <w:t>28,311</w:t>
            </w:r>
          </w:p>
        </w:tc>
      </w:tr>
      <w:tr w:rsidR="003628A8" w:rsidRPr="003628A8" w14:paraId="131919C3" w14:textId="77777777" w:rsidTr="003628A8">
        <w:tblPrEx>
          <w:tblCellMar>
            <w:top w:w="0" w:type="dxa"/>
            <w:left w:w="0" w:type="dxa"/>
            <w:bottom w:w="0" w:type="dxa"/>
            <w:right w:w="0" w:type="dxa"/>
          </w:tblCellMar>
        </w:tblPrEx>
        <w:trPr>
          <w:trHeight w:val="20"/>
        </w:trPr>
        <w:tc>
          <w:tcPr>
            <w:tcW w:w="1191" w:type="dxa"/>
            <w:shd w:val="solid" w:color="FFFFFF" w:fill="auto"/>
            <w:tcMar>
              <w:top w:w="113" w:type="dxa"/>
              <w:left w:w="85" w:type="dxa"/>
              <w:bottom w:w="113" w:type="dxa"/>
              <w:right w:w="85" w:type="dxa"/>
            </w:tcMar>
            <w:vAlign w:val="center"/>
          </w:tcPr>
          <w:p w14:paraId="0AD02B06" w14:textId="77777777" w:rsidR="003628A8" w:rsidRPr="003628A8" w:rsidRDefault="003628A8" w:rsidP="003628A8">
            <w:pPr>
              <w:pStyle w:val="CDIFigure-Table-BodyTextLeft"/>
            </w:pPr>
            <w:r w:rsidRPr="003628A8">
              <w:t>Gladstone</w:t>
            </w:r>
          </w:p>
        </w:tc>
        <w:tc>
          <w:tcPr>
            <w:tcW w:w="708" w:type="dxa"/>
            <w:tcMar>
              <w:top w:w="113" w:type="dxa"/>
              <w:left w:w="85" w:type="dxa"/>
              <w:bottom w:w="113" w:type="dxa"/>
              <w:right w:w="85" w:type="dxa"/>
            </w:tcMar>
            <w:vAlign w:val="center"/>
          </w:tcPr>
          <w:p w14:paraId="6F0F2E03" w14:textId="77777777" w:rsidR="003628A8" w:rsidRPr="003628A8" w:rsidRDefault="003628A8" w:rsidP="003628A8">
            <w:pPr>
              <w:pStyle w:val="CDIFigure-Table-BodyTextCentre"/>
            </w:pPr>
            <w:r w:rsidRPr="003628A8">
              <w:t>4,193</w:t>
            </w:r>
          </w:p>
        </w:tc>
        <w:tc>
          <w:tcPr>
            <w:tcW w:w="709" w:type="dxa"/>
            <w:tcMar>
              <w:top w:w="113" w:type="dxa"/>
              <w:left w:w="85" w:type="dxa"/>
              <w:bottom w:w="113" w:type="dxa"/>
              <w:right w:w="85" w:type="dxa"/>
            </w:tcMar>
            <w:vAlign w:val="center"/>
          </w:tcPr>
          <w:p w14:paraId="34652912" w14:textId="77777777" w:rsidR="003628A8" w:rsidRPr="003628A8" w:rsidRDefault="003628A8" w:rsidP="003628A8">
            <w:pPr>
              <w:pStyle w:val="CDIFigure-Table-BodyTextCentre"/>
            </w:pPr>
            <w:r w:rsidRPr="003628A8">
              <w:t>4,802</w:t>
            </w:r>
          </w:p>
        </w:tc>
        <w:tc>
          <w:tcPr>
            <w:tcW w:w="709" w:type="dxa"/>
            <w:tcMar>
              <w:top w:w="113" w:type="dxa"/>
              <w:left w:w="85" w:type="dxa"/>
              <w:bottom w:w="113" w:type="dxa"/>
              <w:right w:w="85" w:type="dxa"/>
            </w:tcMar>
            <w:vAlign w:val="center"/>
          </w:tcPr>
          <w:p w14:paraId="27E5544F" w14:textId="77777777" w:rsidR="003628A8" w:rsidRPr="003628A8" w:rsidRDefault="003628A8" w:rsidP="003628A8">
            <w:pPr>
              <w:pStyle w:val="CDIFigure-Table-BodyTextCentre"/>
            </w:pPr>
            <w:r w:rsidRPr="003628A8">
              <w:t>5,017</w:t>
            </w:r>
          </w:p>
        </w:tc>
        <w:tc>
          <w:tcPr>
            <w:tcW w:w="708" w:type="dxa"/>
            <w:tcMar>
              <w:top w:w="113" w:type="dxa"/>
              <w:left w:w="85" w:type="dxa"/>
              <w:bottom w:w="113" w:type="dxa"/>
              <w:right w:w="85" w:type="dxa"/>
            </w:tcMar>
            <w:vAlign w:val="center"/>
          </w:tcPr>
          <w:p w14:paraId="23E01A17" w14:textId="77777777" w:rsidR="003628A8" w:rsidRPr="003628A8" w:rsidRDefault="003628A8" w:rsidP="003628A8">
            <w:pPr>
              <w:pStyle w:val="CDIFigure-Table-BodyTextCentre"/>
            </w:pPr>
            <w:r w:rsidRPr="003628A8">
              <w:t>4,049</w:t>
            </w:r>
          </w:p>
        </w:tc>
        <w:tc>
          <w:tcPr>
            <w:tcW w:w="709" w:type="dxa"/>
            <w:tcMar>
              <w:top w:w="113" w:type="dxa"/>
              <w:left w:w="85" w:type="dxa"/>
              <w:bottom w:w="113" w:type="dxa"/>
              <w:right w:w="85" w:type="dxa"/>
            </w:tcMar>
            <w:vAlign w:val="center"/>
          </w:tcPr>
          <w:p w14:paraId="6755B174" w14:textId="77777777" w:rsidR="003628A8" w:rsidRPr="003628A8" w:rsidRDefault="003628A8" w:rsidP="003628A8">
            <w:pPr>
              <w:pStyle w:val="CDIFigure-Table-BodyTextCentre"/>
            </w:pPr>
            <w:r w:rsidRPr="003628A8">
              <w:t>3,257</w:t>
            </w:r>
          </w:p>
        </w:tc>
        <w:tc>
          <w:tcPr>
            <w:tcW w:w="709" w:type="dxa"/>
            <w:tcMar>
              <w:top w:w="113" w:type="dxa"/>
              <w:left w:w="85" w:type="dxa"/>
              <w:bottom w:w="113" w:type="dxa"/>
              <w:right w:w="85" w:type="dxa"/>
            </w:tcMar>
            <w:vAlign w:val="center"/>
          </w:tcPr>
          <w:p w14:paraId="5D85ABD2" w14:textId="77777777" w:rsidR="003628A8" w:rsidRPr="003628A8" w:rsidRDefault="003628A8" w:rsidP="003628A8">
            <w:pPr>
              <w:pStyle w:val="CDIFigure-Table-BodyTextCentre"/>
            </w:pPr>
            <w:r w:rsidRPr="003628A8">
              <w:t>3,889</w:t>
            </w:r>
          </w:p>
        </w:tc>
        <w:tc>
          <w:tcPr>
            <w:tcW w:w="708" w:type="dxa"/>
            <w:tcMar>
              <w:top w:w="113" w:type="dxa"/>
              <w:left w:w="85" w:type="dxa"/>
              <w:bottom w:w="113" w:type="dxa"/>
              <w:right w:w="85" w:type="dxa"/>
            </w:tcMar>
            <w:vAlign w:val="center"/>
          </w:tcPr>
          <w:p w14:paraId="6C1D7AB7" w14:textId="77777777" w:rsidR="003628A8" w:rsidRPr="003628A8" w:rsidRDefault="003628A8" w:rsidP="003628A8">
            <w:pPr>
              <w:pStyle w:val="CDIFigure-Table-BodyTextCentre"/>
            </w:pPr>
            <w:r w:rsidRPr="003628A8">
              <w:t>4,176</w:t>
            </w:r>
          </w:p>
        </w:tc>
        <w:tc>
          <w:tcPr>
            <w:tcW w:w="709" w:type="dxa"/>
            <w:tcMar>
              <w:top w:w="113" w:type="dxa"/>
              <w:left w:w="85" w:type="dxa"/>
              <w:bottom w:w="113" w:type="dxa"/>
              <w:right w:w="85" w:type="dxa"/>
            </w:tcMar>
            <w:vAlign w:val="center"/>
          </w:tcPr>
          <w:p w14:paraId="41F9C01B" w14:textId="77777777" w:rsidR="003628A8" w:rsidRPr="003628A8" w:rsidRDefault="003628A8" w:rsidP="003628A8">
            <w:pPr>
              <w:pStyle w:val="CDIFigure-Table-BodyTextCentre"/>
            </w:pPr>
            <w:r w:rsidRPr="003628A8">
              <w:t>4,374</w:t>
            </w:r>
          </w:p>
        </w:tc>
        <w:tc>
          <w:tcPr>
            <w:tcW w:w="709" w:type="dxa"/>
            <w:tcMar>
              <w:top w:w="113" w:type="dxa"/>
              <w:left w:w="85" w:type="dxa"/>
              <w:bottom w:w="113" w:type="dxa"/>
              <w:right w:w="85" w:type="dxa"/>
            </w:tcMar>
            <w:vAlign w:val="center"/>
          </w:tcPr>
          <w:p w14:paraId="254BAEF1" w14:textId="77777777" w:rsidR="003628A8" w:rsidRPr="003628A8" w:rsidRDefault="003628A8" w:rsidP="003628A8">
            <w:pPr>
              <w:pStyle w:val="CDIFigure-Table-BodyTextCentre"/>
            </w:pPr>
            <w:r w:rsidRPr="003628A8">
              <w:t>4,079</w:t>
            </w:r>
          </w:p>
        </w:tc>
        <w:tc>
          <w:tcPr>
            <w:tcW w:w="708" w:type="dxa"/>
            <w:tcMar>
              <w:top w:w="113" w:type="dxa"/>
              <w:left w:w="85" w:type="dxa"/>
              <w:bottom w:w="113" w:type="dxa"/>
              <w:right w:w="85" w:type="dxa"/>
            </w:tcMar>
            <w:vAlign w:val="center"/>
          </w:tcPr>
          <w:p w14:paraId="638312F0" w14:textId="77777777" w:rsidR="003628A8" w:rsidRPr="003628A8" w:rsidRDefault="003628A8" w:rsidP="003628A8">
            <w:pPr>
              <w:pStyle w:val="CDIFigure-Table-BodyTextCentre"/>
            </w:pPr>
            <w:r w:rsidRPr="003628A8">
              <w:t>4,575</w:t>
            </w:r>
          </w:p>
        </w:tc>
        <w:tc>
          <w:tcPr>
            <w:tcW w:w="709" w:type="dxa"/>
            <w:tcMar>
              <w:top w:w="113" w:type="dxa"/>
              <w:left w:w="85" w:type="dxa"/>
              <w:bottom w:w="113" w:type="dxa"/>
              <w:right w:w="85" w:type="dxa"/>
            </w:tcMar>
            <w:vAlign w:val="center"/>
          </w:tcPr>
          <w:p w14:paraId="367A74A7" w14:textId="77777777" w:rsidR="003628A8" w:rsidRPr="003628A8" w:rsidRDefault="003628A8" w:rsidP="003628A8">
            <w:pPr>
              <w:pStyle w:val="CDIFigure-Table-BodyTextCentre"/>
            </w:pPr>
            <w:r w:rsidRPr="003628A8">
              <w:t>4,559</w:t>
            </w:r>
          </w:p>
        </w:tc>
        <w:tc>
          <w:tcPr>
            <w:tcW w:w="708" w:type="dxa"/>
            <w:tcMar>
              <w:top w:w="113" w:type="dxa"/>
              <w:left w:w="85" w:type="dxa"/>
              <w:bottom w:w="113" w:type="dxa"/>
              <w:right w:w="85" w:type="dxa"/>
            </w:tcMar>
            <w:vAlign w:val="center"/>
          </w:tcPr>
          <w:p w14:paraId="12DA00FD" w14:textId="77777777" w:rsidR="003628A8" w:rsidRPr="003628A8" w:rsidRDefault="003628A8" w:rsidP="003628A8">
            <w:pPr>
              <w:pStyle w:val="CDIFigure-Table-BodyTextCentre"/>
            </w:pPr>
            <w:r w:rsidRPr="003628A8">
              <w:t>4,577</w:t>
            </w:r>
          </w:p>
        </w:tc>
        <w:tc>
          <w:tcPr>
            <w:tcW w:w="709" w:type="dxa"/>
            <w:tcMar>
              <w:top w:w="113" w:type="dxa"/>
              <w:left w:w="85" w:type="dxa"/>
              <w:bottom w:w="113" w:type="dxa"/>
              <w:right w:w="85" w:type="dxa"/>
            </w:tcMar>
            <w:vAlign w:val="center"/>
          </w:tcPr>
          <w:p w14:paraId="5064A6FA" w14:textId="77777777" w:rsidR="003628A8" w:rsidRPr="003628A8" w:rsidRDefault="003628A8" w:rsidP="003628A8">
            <w:pPr>
              <w:pStyle w:val="CDIFigure-Table-BodyTextCentre"/>
            </w:pPr>
            <w:r w:rsidRPr="003628A8">
              <w:t>4,142</w:t>
            </w:r>
          </w:p>
        </w:tc>
        <w:tc>
          <w:tcPr>
            <w:tcW w:w="709" w:type="dxa"/>
            <w:tcMar>
              <w:top w:w="113" w:type="dxa"/>
              <w:left w:w="85" w:type="dxa"/>
              <w:bottom w:w="113" w:type="dxa"/>
              <w:right w:w="85" w:type="dxa"/>
            </w:tcMar>
            <w:vAlign w:val="center"/>
          </w:tcPr>
          <w:p w14:paraId="4066A015" w14:textId="77777777" w:rsidR="003628A8" w:rsidRPr="003628A8" w:rsidRDefault="003628A8" w:rsidP="003628A8">
            <w:pPr>
              <w:pStyle w:val="CDIFigure-Table-BodyTextCentre"/>
            </w:pPr>
            <w:r w:rsidRPr="003628A8">
              <w:t>3,134</w:t>
            </w:r>
          </w:p>
        </w:tc>
        <w:tc>
          <w:tcPr>
            <w:tcW w:w="708" w:type="dxa"/>
            <w:tcMar>
              <w:top w:w="113" w:type="dxa"/>
              <w:left w:w="85" w:type="dxa"/>
              <w:bottom w:w="113" w:type="dxa"/>
              <w:right w:w="85" w:type="dxa"/>
            </w:tcMar>
            <w:vAlign w:val="center"/>
          </w:tcPr>
          <w:p w14:paraId="3C18289C" w14:textId="77777777" w:rsidR="003628A8" w:rsidRPr="003628A8" w:rsidRDefault="003628A8" w:rsidP="003628A8">
            <w:pPr>
              <w:pStyle w:val="CDIFigure-Table-BodyTextCentre"/>
            </w:pPr>
            <w:r w:rsidRPr="003628A8">
              <w:t>2,508</w:t>
            </w:r>
          </w:p>
        </w:tc>
        <w:tc>
          <w:tcPr>
            <w:tcW w:w="709" w:type="dxa"/>
            <w:tcMar>
              <w:top w:w="113" w:type="dxa"/>
              <w:left w:w="85" w:type="dxa"/>
              <w:bottom w:w="113" w:type="dxa"/>
              <w:right w:w="85" w:type="dxa"/>
            </w:tcMar>
            <w:vAlign w:val="center"/>
          </w:tcPr>
          <w:p w14:paraId="05DAC07E" w14:textId="77777777" w:rsidR="003628A8" w:rsidRPr="003628A8" w:rsidRDefault="003628A8" w:rsidP="003628A8">
            <w:pPr>
              <w:pStyle w:val="CDIFigure-Table-BodyTextCentre"/>
            </w:pPr>
            <w:r w:rsidRPr="003628A8">
              <w:t>1,487</w:t>
            </w:r>
          </w:p>
        </w:tc>
        <w:tc>
          <w:tcPr>
            <w:tcW w:w="709" w:type="dxa"/>
            <w:tcMar>
              <w:top w:w="113" w:type="dxa"/>
              <w:left w:w="85" w:type="dxa"/>
              <w:bottom w:w="113" w:type="dxa"/>
              <w:right w:w="85" w:type="dxa"/>
            </w:tcMar>
            <w:vAlign w:val="center"/>
          </w:tcPr>
          <w:p w14:paraId="341750C1" w14:textId="77777777" w:rsidR="003628A8" w:rsidRPr="003628A8" w:rsidRDefault="003628A8" w:rsidP="003628A8">
            <w:pPr>
              <w:pStyle w:val="CDIFigure-Table-BodyTextCentre"/>
            </w:pPr>
            <w:r w:rsidRPr="003628A8">
              <w:t>870</w:t>
            </w:r>
          </w:p>
        </w:tc>
        <w:tc>
          <w:tcPr>
            <w:tcW w:w="609" w:type="dxa"/>
            <w:tcMar>
              <w:top w:w="113" w:type="dxa"/>
              <w:left w:w="85" w:type="dxa"/>
              <w:bottom w:w="113" w:type="dxa"/>
              <w:right w:w="85" w:type="dxa"/>
            </w:tcMar>
            <w:vAlign w:val="center"/>
          </w:tcPr>
          <w:p w14:paraId="7D81D1AE" w14:textId="77777777" w:rsidR="003628A8" w:rsidRPr="003628A8" w:rsidRDefault="003628A8" w:rsidP="003628A8">
            <w:pPr>
              <w:pStyle w:val="CDIFigure-Table-BodyTextCentre"/>
            </w:pPr>
            <w:r w:rsidRPr="003628A8">
              <w:t>616</w:t>
            </w:r>
          </w:p>
        </w:tc>
        <w:tc>
          <w:tcPr>
            <w:tcW w:w="766" w:type="dxa"/>
            <w:tcMar>
              <w:top w:w="113" w:type="dxa"/>
              <w:left w:w="85" w:type="dxa"/>
              <w:bottom w:w="113" w:type="dxa"/>
              <w:right w:w="85" w:type="dxa"/>
            </w:tcMar>
            <w:vAlign w:val="center"/>
          </w:tcPr>
          <w:p w14:paraId="7855EAAE" w14:textId="77777777" w:rsidR="003628A8" w:rsidRPr="003628A8" w:rsidRDefault="003628A8" w:rsidP="003628A8">
            <w:pPr>
              <w:pStyle w:val="CDIFigure-Table-BodyTextCentre"/>
            </w:pPr>
            <w:r w:rsidRPr="003628A8">
              <w:t>64,304</w:t>
            </w:r>
          </w:p>
        </w:tc>
      </w:tr>
      <w:tr w:rsidR="003628A8" w:rsidRPr="003628A8" w14:paraId="1918CD85" w14:textId="77777777" w:rsidTr="003628A8">
        <w:tblPrEx>
          <w:tblCellMar>
            <w:top w:w="0" w:type="dxa"/>
            <w:left w:w="0" w:type="dxa"/>
            <w:bottom w:w="0" w:type="dxa"/>
            <w:right w:w="0" w:type="dxa"/>
          </w:tblCellMar>
        </w:tblPrEx>
        <w:trPr>
          <w:trHeight w:val="20"/>
        </w:trPr>
        <w:tc>
          <w:tcPr>
            <w:tcW w:w="1191" w:type="dxa"/>
            <w:shd w:val="solid" w:color="FFFFFF" w:fill="auto"/>
            <w:tcMar>
              <w:top w:w="113" w:type="dxa"/>
              <w:left w:w="85" w:type="dxa"/>
              <w:bottom w:w="113" w:type="dxa"/>
              <w:right w:w="85" w:type="dxa"/>
            </w:tcMar>
            <w:vAlign w:val="center"/>
          </w:tcPr>
          <w:p w14:paraId="44FE0DC1" w14:textId="77777777" w:rsidR="003628A8" w:rsidRPr="003628A8" w:rsidRDefault="003628A8" w:rsidP="003628A8">
            <w:pPr>
              <w:pStyle w:val="CDIFigure-Table-BodyTextLeft"/>
            </w:pPr>
            <w:r w:rsidRPr="003628A8">
              <w:t>Livingstone</w:t>
            </w:r>
          </w:p>
        </w:tc>
        <w:tc>
          <w:tcPr>
            <w:tcW w:w="708" w:type="dxa"/>
            <w:tcMar>
              <w:top w:w="113" w:type="dxa"/>
              <w:left w:w="85" w:type="dxa"/>
              <w:bottom w:w="113" w:type="dxa"/>
              <w:right w:w="85" w:type="dxa"/>
            </w:tcMar>
            <w:vAlign w:val="center"/>
          </w:tcPr>
          <w:p w14:paraId="61627CA1" w14:textId="77777777" w:rsidR="003628A8" w:rsidRPr="003628A8" w:rsidRDefault="003628A8" w:rsidP="003628A8">
            <w:pPr>
              <w:pStyle w:val="CDIFigure-Table-BodyTextCentre"/>
            </w:pPr>
            <w:r w:rsidRPr="003628A8">
              <w:t>2,043</w:t>
            </w:r>
          </w:p>
        </w:tc>
        <w:tc>
          <w:tcPr>
            <w:tcW w:w="709" w:type="dxa"/>
            <w:tcMar>
              <w:top w:w="113" w:type="dxa"/>
              <w:left w:w="85" w:type="dxa"/>
              <w:bottom w:w="113" w:type="dxa"/>
              <w:right w:w="85" w:type="dxa"/>
            </w:tcMar>
            <w:vAlign w:val="center"/>
          </w:tcPr>
          <w:p w14:paraId="1A540C53" w14:textId="77777777" w:rsidR="003628A8" w:rsidRPr="003628A8" w:rsidRDefault="003628A8" w:rsidP="003628A8">
            <w:pPr>
              <w:pStyle w:val="CDIFigure-Table-BodyTextCentre"/>
            </w:pPr>
            <w:r w:rsidRPr="003628A8">
              <w:t>2,463</w:t>
            </w:r>
          </w:p>
        </w:tc>
        <w:tc>
          <w:tcPr>
            <w:tcW w:w="709" w:type="dxa"/>
            <w:tcMar>
              <w:top w:w="113" w:type="dxa"/>
              <w:left w:w="85" w:type="dxa"/>
              <w:bottom w:w="113" w:type="dxa"/>
              <w:right w:w="85" w:type="dxa"/>
            </w:tcMar>
            <w:vAlign w:val="center"/>
          </w:tcPr>
          <w:p w14:paraId="25698BD8" w14:textId="77777777" w:rsidR="003628A8" w:rsidRPr="003628A8" w:rsidRDefault="003628A8" w:rsidP="003628A8">
            <w:pPr>
              <w:pStyle w:val="CDIFigure-Table-BodyTextCentre"/>
            </w:pPr>
            <w:r w:rsidRPr="003628A8">
              <w:t>2,858</w:t>
            </w:r>
          </w:p>
        </w:tc>
        <w:tc>
          <w:tcPr>
            <w:tcW w:w="708" w:type="dxa"/>
            <w:tcMar>
              <w:top w:w="113" w:type="dxa"/>
              <w:left w:w="85" w:type="dxa"/>
              <w:bottom w:w="113" w:type="dxa"/>
              <w:right w:w="85" w:type="dxa"/>
            </w:tcMar>
            <w:vAlign w:val="center"/>
          </w:tcPr>
          <w:p w14:paraId="5D26A014" w14:textId="77777777" w:rsidR="003628A8" w:rsidRPr="003628A8" w:rsidRDefault="003628A8" w:rsidP="003628A8">
            <w:pPr>
              <w:pStyle w:val="CDIFigure-Table-BodyTextCentre"/>
            </w:pPr>
            <w:r w:rsidRPr="003628A8">
              <w:t>2,442</w:t>
            </w:r>
          </w:p>
        </w:tc>
        <w:tc>
          <w:tcPr>
            <w:tcW w:w="709" w:type="dxa"/>
            <w:tcMar>
              <w:top w:w="113" w:type="dxa"/>
              <w:left w:w="85" w:type="dxa"/>
              <w:bottom w:w="113" w:type="dxa"/>
              <w:right w:w="85" w:type="dxa"/>
            </w:tcMar>
            <w:vAlign w:val="center"/>
          </w:tcPr>
          <w:p w14:paraId="2DD80B77" w14:textId="77777777" w:rsidR="003628A8" w:rsidRPr="003628A8" w:rsidRDefault="003628A8" w:rsidP="003628A8">
            <w:pPr>
              <w:pStyle w:val="CDIFigure-Table-BodyTextCentre"/>
            </w:pPr>
            <w:r w:rsidRPr="003628A8">
              <w:t>1,834</w:t>
            </w:r>
          </w:p>
        </w:tc>
        <w:tc>
          <w:tcPr>
            <w:tcW w:w="709" w:type="dxa"/>
            <w:tcMar>
              <w:top w:w="113" w:type="dxa"/>
              <w:left w:w="85" w:type="dxa"/>
              <w:bottom w:w="113" w:type="dxa"/>
              <w:right w:w="85" w:type="dxa"/>
            </w:tcMar>
            <w:vAlign w:val="center"/>
          </w:tcPr>
          <w:p w14:paraId="543C92CB" w14:textId="77777777" w:rsidR="003628A8" w:rsidRPr="003628A8" w:rsidRDefault="003628A8" w:rsidP="003628A8">
            <w:pPr>
              <w:pStyle w:val="CDIFigure-Table-BodyTextCentre"/>
            </w:pPr>
            <w:r w:rsidRPr="003628A8">
              <w:t>2,086</w:t>
            </w:r>
          </w:p>
        </w:tc>
        <w:tc>
          <w:tcPr>
            <w:tcW w:w="708" w:type="dxa"/>
            <w:tcMar>
              <w:top w:w="113" w:type="dxa"/>
              <w:left w:w="85" w:type="dxa"/>
              <w:bottom w:w="113" w:type="dxa"/>
              <w:right w:w="85" w:type="dxa"/>
            </w:tcMar>
            <w:vAlign w:val="center"/>
          </w:tcPr>
          <w:p w14:paraId="32D86949" w14:textId="77777777" w:rsidR="003628A8" w:rsidRPr="003628A8" w:rsidRDefault="003628A8" w:rsidP="003628A8">
            <w:pPr>
              <w:pStyle w:val="CDIFigure-Table-BodyTextCentre"/>
            </w:pPr>
            <w:r w:rsidRPr="003628A8">
              <w:t>2,202</w:t>
            </w:r>
          </w:p>
        </w:tc>
        <w:tc>
          <w:tcPr>
            <w:tcW w:w="709" w:type="dxa"/>
            <w:tcMar>
              <w:top w:w="113" w:type="dxa"/>
              <w:left w:w="85" w:type="dxa"/>
              <w:bottom w:w="113" w:type="dxa"/>
              <w:right w:w="85" w:type="dxa"/>
            </w:tcMar>
            <w:vAlign w:val="center"/>
          </w:tcPr>
          <w:p w14:paraId="334BF2CE" w14:textId="77777777" w:rsidR="003628A8" w:rsidRPr="003628A8" w:rsidRDefault="003628A8" w:rsidP="003628A8">
            <w:pPr>
              <w:pStyle w:val="CDIFigure-Table-BodyTextCentre"/>
            </w:pPr>
            <w:r w:rsidRPr="003628A8">
              <w:t>2,456</w:t>
            </w:r>
          </w:p>
        </w:tc>
        <w:tc>
          <w:tcPr>
            <w:tcW w:w="709" w:type="dxa"/>
            <w:tcMar>
              <w:top w:w="113" w:type="dxa"/>
              <w:left w:w="85" w:type="dxa"/>
              <w:bottom w:w="113" w:type="dxa"/>
              <w:right w:w="85" w:type="dxa"/>
            </w:tcMar>
            <w:vAlign w:val="center"/>
          </w:tcPr>
          <w:p w14:paraId="03AEA826" w14:textId="77777777" w:rsidR="003628A8" w:rsidRPr="003628A8" w:rsidRDefault="003628A8" w:rsidP="003628A8">
            <w:pPr>
              <w:pStyle w:val="CDIFigure-Table-BodyTextCentre"/>
            </w:pPr>
            <w:r w:rsidRPr="003628A8">
              <w:t>2,421</w:t>
            </w:r>
          </w:p>
        </w:tc>
        <w:tc>
          <w:tcPr>
            <w:tcW w:w="708" w:type="dxa"/>
            <w:tcMar>
              <w:top w:w="113" w:type="dxa"/>
              <w:left w:w="85" w:type="dxa"/>
              <w:bottom w:w="113" w:type="dxa"/>
              <w:right w:w="85" w:type="dxa"/>
            </w:tcMar>
            <w:vAlign w:val="center"/>
          </w:tcPr>
          <w:p w14:paraId="5E756F14" w14:textId="77777777" w:rsidR="003628A8" w:rsidRPr="003628A8" w:rsidRDefault="003628A8" w:rsidP="003628A8">
            <w:pPr>
              <w:pStyle w:val="CDIFigure-Table-BodyTextCentre"/>
            </w:pPr>
            <w:r w:rsidRPr="003628A8">
              <w:t>2,575</w:t>
            </w:r>
          </w:p>
        </w:tc>
        <w:tc>
          <w:tcPr>
            <w:tcW w:w="709" w:type="dxa"/>
            <w:tcMar>
              <w:top w:w="113" w:type="dxa"/>
              <w:left w:w="85" w:type="dxa"/>
              <w:bottom w:w="113" w:type="dxa"/>
              <w:right w:w="85" w:type="dxa"/>
            </w:tcMar>
            <w:vAlign w:val="center"/>
          </w:tcPr>
          <w:p w14:paraId="5A3331B9" w14:textId="77777777" w:rsidR="003628A8" w:rsidRPr="003628A8" w:rsidRDefault="003628A8" w:rsidP="003628A8">
            <w:pPr>
              <w:pStyle w:val="CDIFigure-Table-BodyTextCentre"/>
            </w:pPr>
            <w:r w:rsidRPr="003628A8">
              <w:t>2,688</w:t>
            </w:r>
          </w:p>
        </w:tc>
        <w:tc>
          <w:tcPr>
            <w:tcW w:w="708" w:type="dxa"/>
            <w:tcMar>
              <w:top w:w="113" w:type="dxa"/>
              <w:left w:w="85" w:type="dxa"/>
              <w:bottom w:w="113" w:type="dxa"/>
              <w:right w:w="85" w:type="dxa"/>
            </w:tcMar>
            <w:vAlign w:val="center"/>
          </w:tcPr>
          <w:p w14:paraId="79076FC7" w14:textId="77777777" w:rsidR="003628A8" w:rsidRPr="003628A8" w:rsidRDefault="003628A8" w:rsidP="003628A8">
            <w:pPr>
              <w:pStyle w:val="CDIFigure-Table-BodyTextCentre"/>
            </w:pPr>
            <w:r w:rsidRPr="003628A8">
              <w:t>3,017</w:t>
            </w:r>
          </w:p>
        </w:tc>
        <w:tc>
          <w:tcPr>
            <w:tcW w:w="709" w:type="dxa"/>
            <w:tcMar>
              <w:top w:w="113" w:type="dxa"/>
              <w:left w:w="85" w:type="dxa"/>
              <w:bottom w:w="113" w:type="dxa"/>
              <w:right w:w="85" w:type="dxa"/>
            </w:tcMar>
            <w:vAlign w:val="center"/>
          </w:tcPr>
          <w:p w14:paraId="2D5822E0" w14:textId="77777777" w:rsidR="003628A8" w:rsidRPr="003628A8" w:rsidRDefault="003628A8" w:rsidP="003628A8">
            <w:pPr>
              <w:pStyle w:val="CDIFigure-Table-BodyTextCentre"/>
            </w:pPr>
            <w:r w:rsidRPr="003628A8">
              <w:t>2,962</w:t>
            </w:r>
          </w:p>
        </w:tc>
        <w:tc>
          <w:tcPr>
            <w:tcW w:w="709" w:type="dxa"/>
            <w:tcMar>
              <w:top w:w="113" w:type="dxa"/>
              <w:left w:w="85" w:type="dxa"/>
              <w:bottom w:w="113" w:type="dxa"/>
              <w:right w:w="85" w:type="dxa"/>
            </w:tcMar>
            <w:vAlign w:val="center"/>
          </w:tcPr>
          <w:p w14:paraId="293EAF56" w14:textId="77777777" w:rsidR="003628A8" w:rsidRPr="003628A8" w:rsidRDefault="003628A8" w:rsidP="003628A8">
            <w:pPr>
              <w:pStyle w:val="CDIFigure-Table-BodyTextCentre"/>
            </w:pPr>
            <w:r w:rsidRPr="003628A8">
              <w:t>2,582</w:t>
            </w:r>
          </w:p>
        </w:tc>
        <w:tc>
          <w:tcPr>
            <w:tcW w:w="708" w:type="dxa"/>
            <w:tcMar>
              <w:top w:w="113" w:type="dxa"/>
              <w:left w:w="85" w:type="dxa"/>
              <w:bottom w:w="113" w:type="dxa"/>
              <w:right w:w="85" w:type="dxa"/>
            </w:tcMar>
            <w:vAlign w:val="center"/>
          </w:tcPr>
          <w:p w14:paraId="64D9466A" w14:textId="77777777" w:rsidR="003628A8" w:rsidRPr="003628A8" w:rsidRDefault="003628A8" w:rsidP="003628A8">
            <w:pPr>
              <w:pStyle w:val="CDIFigure-Table-BodyTextCentre"/>
            </w:pPr>
            <w:r w:rsidRPr="003628A8">
              <w:t>2,140</w:t>
            </w:r>
          </w:p>
        </w:tc>
        <w:tc>
          <w:tcPr>
            <w:tcW w:w="709" w:type="dxa"/>
            <w:tcMar>
              <w:top w:w="113" w:type="dxa"/>
              <w:left w:w="85" w:type="dxa"/>
              <w:bottom w:w="113" w:type="dxa"/>
              <w:right w:w="85" w:type="dxa"/>
            </w:tcMar>
            <w:vAlign w:val="center"/>
          </w:tcPr>
          <w:p w14:paraId="7E6F37FB" w14:textId="77777777" w:rsidR="003628A8" w:rsidRPr="003628A8" w:rsidRDefault="003628A8" w:rsidP="003628A8">
            <w:pPr>
              <w:pStyle w:val="CDIFigure-Table-BodyTextCentre"/>
            </w:pPr>
            <w:r w:rsidRPr="003628A8">
              <w:t>1,484</w:t>
            </w:r>
          </w:p>
        </w:tc>
        <w:tc>
          <w:tcPr>
            <w:tcW w:w="709" w:type="dxa"/>
            <w:tcMar>
              <w:top w:w="113" w:type="dxa"/>
              <w:left w:w="85" w:type="dxa"/>
              <w:bottom w:w="113" w:type="dxa"/>
              <w:right w:w="85" w:type="dxa"/>
            </w:tcMar>
            <w:vAlign w:val="center"/>
          </w:tcPr>
          <w:p w14:paraId="0BC39278" w14:textId="77777777" w:rsidR="003628A8" w:rsidRPr="003628A8" w:rsidRDefault="003628A8" w:rsidP="003628A8">
            <w:pPr>
              <w:pStyle w:val="CDIFigure-Table-BodyTextCentre"/>
            </w:pPr>
            <w:r w:rsidRPr="003628A8">
              <w:t>913</w:t>
            </w:r>
          </w:p>
        </w:tc>
        <w:tc>
          <w:tcPr>
            <w:tcW w:w="609" w:type="dxa"/>
            <w:tcMar>
              <w:top w:w="113" w:type="dxa"/>
              <w:left w:w="85" w:type="dxa"/>
              <w:bottom w:w="113" w:type="dxa"/>
              <w:right w:w="85" w:type="dxa"/>
            </w:tcMar>
            <w:vAlign w:val="center"/>
          </w:tcPr>
          <w:p w14:paraId="68D6C9DA" w14:textId="77777777" w:rsidR="003628A8" w:rsidRPr="003628A8" w:rsidRDefault="003628A8" w:rsidP="003628A8">
            <w:pPr>
              <w:pStyle w:val="CDIFigure-Table-BodyTextCentre"/>
            </w:pPr>
            <w:r w:rsidRPr="003628A8">
              <w:t>715</w:t>
            </w:r>
          </w:p>
        </w:tc>
        <w:tc>
          <w:tcPr>
            <w:tcW w:w="766" w:type="dxa"/>
            <w:tcMar>
              <w:top w:w="113" w:type="dxa"/>
              <w:left w:w="85" w:type="dxa"/>
              <w:bottom w:w="113" w:type="dxa"/>
              <w:right w:w="85" w:type="dxa"/>
            </w:tcMar>
            <w:vAlign w:val="center"/>
          </w:tcPr>
          <w:p w14:paraId="130A9C3F" w14:textId="77777777" w:rsidR="003628A8" w:rsidRPr="003628A8" w:rsidRDefault="003628A8" w:rsidP="003628A8">
            <w:pPr>
              <w:pStyle w:val="CDIFigure-Table-BodyTextCentre"/>
            </w:pPr>
            <w:r w:rsidRPr="003628A8">
              <w:t>39,881</w:t>
            </w:r>
          </w:p>
        </w:tc>
      </w:tr>
      <w:tr w:rsidR="003628A8" w:rsidRPr="003628A8" w14:paraId="134346C4" w14:textId="77777777" w:rsidTr="003628A8">
        <w:tblPrEx>
          <w:tblCellMar>
            <w:top w:w="0" w:type="dxa"/>
            <w:left w:w="0" w:type="dxa"/>
            <w:bottom w:w="0" w:type="dxa"/>
            <w:right w:w="0" w:type="dxa"/>
          </w:tblCellMar>
        </w:tblPrEx>
        <w:trPr>
          <w:trHeight w:val="20"/>
        </w:trPr>
        <w:tc>
          <w:tcPr>
            <w:tcW w:w="1191" w:type="dxa"/>
            <w:shd w:val="solid" w:color="FFFFFF" w:fill="auto"/>
            <w:tcMar>
              <w:top w:w="113" w:type="dxa"/>
              <w:left w:w="85" w:type="dxa"/>
              <w:bottom w:w="113" w:type="dxa"/>
              <w:right w:w="85" w:type="dxa"/>
            </w:tcMar>
            <w:vAlign w:val="center"/>
          </w:tcPr>
          <w:p w14:paraId="6791165F" w14:textId="77777777" w:rsidR="003628A8" w:rsidRPr="003628A8" w:rsidRDefault="003628A8" w:rsidP="003628A8">
            <w:pPr>
              <w:pStyle w:val="CDIFigure-Table-BodyTextLeft"/>
            </w:pPr>
            <w:r w:rsidRPr="003628A8">
              <w:t>Rockhampton</w:t>
            </w:r>
          </w:p>
        </w:tc>
        <w:tc>
          <w:tcPr>
            <w:tcW w:w="708" w:type="dxa"/>
            <w:tcMar>
              <w:top w:w="113" w:type="dxa"/>
              <w:left w:w="85" w:type="dxa"/>
              <w:bottom w:w="113" w:type="dxa"/>
              <w:right w:w="85" w:type="dxa"/>
            </w:tcMar>
            <w:vAlign w:val="center"/>
          </w:tcPr>
          <w:p w14:paraId="4414170C" w14:textId="77777777" w:rsidR="003628A8" w:rsidRPr="003628A8" w:rsidRDefault="003628A8" w:rsidP="003628A8">
            <w:pPr>
              <w:pStyle w:val="CDIFigure-Table-BodyTextCentre"/>
            </w:pPr>
            <w:r w:rsidRPr="003628A8">
              <w:t>5,185</w:t>
            </w:r>
          </w:p>
        </w:tc>
        <w:tc>
          <w:tcPr>
            <w:tcW w:w="709" w:type="dxa"/>
            <w:tcMar>
              <w:top w:w="113" w:type="dxa"/>
              <w:left w:w="85" w:type="dxa"/>
              <w:bottom w:w="113" w:type="dxa"/>
              <w:right w:w="85" w:type="dxa"/>
            </w:tcMar>
            <w:vAlign w:val="center"/>
          </w:tcPr>
          <w:p w14:paraId="51C50DB6" w14:textId="77777777" w:rsidR="003628A8" w:rsidRPr="003628A8" w:rsidRDefault="003628A8" w:rsidP="003628A8">
            <w:pPr>
              <w:pStyle w:val="CDIFigure-Table-BodyTextCentre"/>
            </w:pPr>
            <w:r w:rsidRPr="003628A8">
              <w:t>5,798</w:t>
            </w:r>
          </w:p>
        </w:tc>
        <w:tc>
          <w:tcPr>
            <w:tcW w:w="709" w:type="dxa"/>
            <w:tcMar>
              <w:top w:w="113" w:type="dxa"/>
              <w:left w:w="85" w:type="dxa"/>
              <w:bottom w:w="113" w:type="dxa"/>
              <w:right w:w="85" w:type="dxa"/>
            </w:tcMar>
            <w:vAlign w:val="center"/>
          </w:tcPr>
          <w:p w14:paraId="0FABDD9B" w14:textId="77777777" w:rsidR="003628A8" w:rsidRPr="003628A8" w:rsidRDefault="003628A8" w:rsidP="003628A8">
            <w:pPr>
              <w:pStyle w:val="CDIFigure-Table-BodyTextCentre"/>
            </w:pPr>
            <w:r w:rsidRPr="003628A8">
              <w:t>6,078</w:t>
            </w:r>
          </w:p>
        </w:tc>
        <w:tc>
          <w:tcPr>
            <w:tcW w:w="708" w:type="dxa"/>
            <w:tcMar>
              <w:top w:w="113" w:type="dxa"/>
              <w:left w:w="85" w:type="dxa"/>
              <w:bottom w:w="113" w:type="dxa"/>
              <w:right w:w="85" w:type="dxa"/>
            </w:tcMar>
            <w:vAlign w:val="center"/>
          </w:tcPr>
          <w:p w14:paraId="4F6138A8" w14:textId="77777777" w:rsidR="003628A8" w:rsidRPr="003628A8" w:rsidRDefault="003628A8" w:rsidP="003628A8">
            <w:pPr>
              <w:pStyle w:val="CDIFigure-Table-BodyTextCentre"/>
            </w:pPr>
            <w:r w:rsidRPr="003628A8">
              <w:t>5,440</w:t>
            </w:r>
          </w:p>
        </w:tc>
        <w:tc>
          <w:tcPr>
            <w:tcW w:w="709" w:type="dxa"/>
            <w:tcMar>
              <w:top w:w="113" w:type="dxa"/>
              <w:left w:w="85" w:type="dxa"/>
              <w:bottom w:w="113" w:type="dxa"/>
              <w:right w:w="85" w:type="dxa"/>
            </w:tcMar>
            <w:vAlign w:val="center"/>
          </w:tcPr>
          <w:p w14:paraId="5FC76B75" w14:textId="77777777" w:rsidR="003628A8" w:rsidRPr="003628A8" w:rsidRDefault="003628A8" w:rsidP="003628A8">
            <w:pPr>
              <w:pStyle w:val="CDIFigure-Table-BodyTextCentre"/>
            </w:pPr>
            <w:r w:rsidRPr="003628A8">
              <w:t>5,331</w:t>
            </w:r>
          </w:p>
        </w:tc>
        <w:tc>
          <w:tcPr>
            <w:tcW w:w="709" w:type="dxa"/>
            <w:tcMar>
              <w:top w:w="113" w:type="dxa"/>
              <w:left w:w="85" w:type="dxa"/>
              <w:bottom w:w="113" w:type="dxa"/>
              <w:right w:w="85" w:type="dxa"/>
            </w:tcMar>
            <w:vAlign w:val="center"/>
          </w:tcPr>
          <w:p w14:paraId="00724CF6" w14:textId="77777777" w:rsidR="003628A8" w:rsidRPr="003628A8" w:rsidRDefault="003628A8" w:rsidP="003628A8">
            <w:pPr>
              <w:pStyle w:val="CDIFigure-Table-BodyTextCentre"/>
            </w:pPr>
            <w:r w:rsidRPr="003628A8">
              <w:t>5,762</w:t>
            </w:r>
          </w:p>
        </w:tc>
        <w:tc>
          <w:tcPr>
            <w:tcW w:w="708" w:type="dxa"/>
            <w:tcMar>
              <w:top w:w="113" w:type="dxa"/>
              <w:left w:w="85" w:type="dxa"/>
              <w:bottom w:w="113" w:type="dxa"/>
              <w:right w:w="85" w:type="dxa"/>
            </w:tcMar>
            <w:vAlign w:val="center"/>
          </w:tcPr>
          <w:p w14:paraId="3BFF2A98" w14:textId="77777777" w:rsidR="003628A8" w:rsidRPr="003628A8" w:rsidRDefault="003628A8" w:rsidP="003628A8">
            <w:pPr>
              <w:pStyle w:val="CDIFigure-Table-BodyTextCentre"/>
            </w:pPr>
            <w:r w:rsidRPr="003628A8">
              <w:t>5,680</w:t>
            </w:r>
          </w:p>
        </w:tc>
        <w:tc>
          <w:tcPr>
            <w:tcW w:w="709" w:type="dxa"/>
            <w:tcMar>
              <w:top w:w="113" w:type="dxa"/>
              <w:left w:w="85" w:type="dxa"/>
              <w:bottom w:w="113" w:type="dxa"/>
              <w:right w:w="85" w:type="dxa"/>
            </w:tcMar>
            <w:vAlign w:val="center"/>
          </w:tcPr>
          <w:p w14:paraId="4711F005" w14:textId="77777777" w:rsidR="003628A8" w:rsidRPr="003628A8" w:rsidRDefault="003628A8" w:rsidP="003628A8">
            <w:pPr>
              <w:pStyle w:val="CDIFigure-Table-BodyTextCentre"/>
            </w:pPr>
            <w:r w:rsidRPr="003628A8">
              <w:t>5,636</w:t>
            </w:r>
          </w:p>
        </w:tc>
        <w:tc>
          <w:tcPr>
            <w:tcW w:w="709" w:type="dxa"/>
            <w:tcMar>
              <w:top w:w="113" w:type="dxa"/>
              <w:left w:w="85" w:type="dxa"/>
              <w:bottom w:w="113" w:type="dxa"/>
              <w:right w:w="85" w:type="dxa"/>
            </w:tcMar>
            <w:vAlign w:val="center"/>
          </w:tcPr>
          <w:p w14:paraId="1631DD37" w14:textId="77777777" w:rsidR="003628A8" w:rsidRPr="003628A8" w:rsidRDefault="003628A8" w:rsidP="003628A8">
            <w:pPr>
              <w:pStyle w:val="CDIFigure-Table-BodyTextCentre"/>
            </w:pPr>
            <w:r w:rsidRPr="003628A8">
              <w:t>4,869</w:t>
            </w:r>
          </w:p>
        </w:tc>
        <w:tc>
          <w:tcPr>
            <w:tcW w:w="708" w:type="dxa"/>
            <w:tcMar>
              <w:top w:w="113" w:type="dxa"/>
              <w:left w:w="85" w:type="dxa"/>
              <w:bottom w:w="113" w:type="dxa"/>
              <w:right w:w="85" w:type="dxa"/>
            </w:tcMar>
            <w:vAlign w:val="center"/>
          </w:tcPr>
          <w:p w14:paraId="120041F4" w14:textId="77777777" w:rsidR="003628A8" w:rsidRPr="003628A8" w:rsidRDefault="003628A8" w:rsidP="003628A8">
            <w:pPr>
              <w:pStyle w:val="CDIFigure-Table-BodyTextCentre"/>
            </w:pPr>
            <w:r w:rsidRPr="003628A8">
              <w:t>4,960</w:t>
            </w:r>
          </w:p>
        </w:tc>
        <w:tc>
          <w:tcPr>
            <w:tcW w:w="709" w:type="dxa"/>
            <w:tcMar>
              <w:top w:w="113" w:type="dxa"/>
              <w:left w:w="85" w:type="dxa"/>
              <w:bottom w:w="113" w:type="dxa"/>
              <w:right w:w="85" w:type="dxa"/>
            </w:tcMar>
            <w:vAlign w:val="center"/>
          </w:tcPr>
          <w:p w14:paraId="2EEEDF3F" w14:textId="77777777" w:rsidR="003628A8" w:rsidRPr="003628A8" w:rsidRDefault="003628A8" w:rsidP="003628A8">
            <w:pPr>
              <w:pStyle w:val="CDIFigure-Table-BodyTextCentre"/>
            </w:pPr>
            <w:r w:rsidRPr="003628A8">
              <w:t>4,841</w:t>
            </w:r>
          </w:p>
        </w:tc>
        <w:tc>
          <w:tcPr>
            <w:tcW w:w="708" w:type="dxa"/>
            <w:tcMar>
              <w:top w:w="113" w:type="dxa"/>
              <w:left w:w="85" w:type="dxa"/>
              <w:bottom w:w="113" w:type="dxa"/>
              <w:right w:w="85" w:type="dxa"/>
            </w:tcMar>
            <w:vAlign w:val="center"/>
          </w:tcPr>
          <w:p w14:paraId="1CF730CE" w14:textId="77777777" w:rsidR="003628A8" w:rsidRPr="003628A8" w:rsidRDefault="003628A8" w:rsidP="003628A8">
            <w:pPr>
              <w:pStyle w:val="CDIFigure-Table-BodyTextCentre"/>
            </w:pPr>
            <w:r w:rsidRPr="003628A8">
              <w:t>5,044</w:t>
            </w:r>
          </w:p>
        </w:tc>
        <w:tc>
          <w:tcPr>
            <w:tcW w:w="709" w:type="dxa"/>
            <w:tcMar>
              <w:top w:w="113" w:type="dxa"/>
              <w:left w:w="85" w:type="dxa"/>
              <w:bottom w:w="113" w:type="dxa"/>
              <w:right w:w="85" w:type="dxa"/>
            </w:tcMar>
            <w:vAlign w:val="center"/>
          </w:tcPr>
          <w:p w14:paraId="52181C29" w14:textId="77777777" w:rsidR="003628A8" w:rsidRPr="003628A8" w:rsidRDefault="003628A8" w:rsidP="003628A8">
            <w:pPr>
              <w:pStyle w:val="CDIFigure-Table-BodyTextCentre"/>
            </w:pPr>
            <w:r w:rsidRPr="003628A8">
              <w:t>4,880</w:t>
            </w:r>
          </w:p>
        </w:tc>
        <w:tc>
          <w:tcPr>
            <w:tcW w:w="709" w:type="dxa"/>
            <w:tcMar>
              <w:top w:w="113" w:type="dxa"/>
              <w:left w:w="85" w:type="dxa"/>
              <w:bottom w:w="113" w:type="dxa"/>
              <w:right w:w="85" w:type="dxa"/>
            </w:tcMar>
            <w:vAlign w:val="center"/>
          </w:tcPr>
          <w:p w14:paraId="01FD3C1F" w14:textId="77777777" w:rsidR="003628A8" w:rsidRPr="003628A8" w:rsidRDefault="003628A8" w:rsidP="003628A8">
            <w:pPr>
              <w:pStyle w:val="CDIFigure-Table-BodyTextCentre"/>
            </w:pPr>
            <w:r w:rsidRPr="003628A8">
              <w:t>4,014</w:t>
            </w:r>
          </w:p>
        </w:tc>
        <w:tc>
          <w:tcPr>
            <w:tcW w:w="708" w:type="dxa"/>
            <w:tcMar>
              <w:top w:w="113" w:type="dxa"/>
              <w:left w:w="85" w:type="dxa"/>
              <w:bottom w:w="113" w:type="dxa"/>
              <w:right w:w="85" w:type="dxa"/>
            </w:tcMar>
            <w:vAlign w:val="center"/>
          </w:tcPr>
          <w:p w14:paraId="6AF821F6" w14:textId="77777777" w:rsidR="003628A8" w:rsidRPr="003628A8" w:rsidRDefault="003628A8" w:rsidP="003628A8">
            <w:pPr>
              <w:pStyle w:val="CDIFigure-Table-BodyTextCentre"/>
            </w:pPr>
            <w:r w:rsidRPr="003628A8">
              <w:t>3,402</w:t>
            </w:r>
          </w:p>
        </w:tc>
        <w:tc>
          <w:tcPr>
            <w:tcW w:w="709" w:type="dxa"/>
            <w:tcMar>
              <w:top w:w="113" w:type="dxa"/>
              <w:left w:w="85" w:type="dxa"/>
              <w:bottom w:w="113" w:type="dxa"/>
              <w:right w:w="85" w:type="dxa"/>
            </w:tcMar>
            <w:vAlign w:val="center"/>
          </w:tcPr>
          <w:p w14:paraId="4C3BDD1E" w14:textId="77777777" w:rsidR="003628A8" w:rsidRPr="003628A8" w:rsidRDefault="003628A8" w:rsidP="003628A8">
            <w:pPr>
              <w:pStyle w:val="CDIFigure-Table-BodyTextCentre"/>
            </w:pPr>
            <w:r w:rsidRPr="003628A8">
              <w:t>2,455</w:t>
            </w:r>
          </w:p>
        </w:tc>
        <w:tc>
          <w:tcPr>
            <w:tcW w:w="709" w:type="dxa"/>
            <w:tcMar>
              <w:top w:w="113" w:type="dxa"/>
              <w:left w:w="85" w:type="dxa"/>
              <w:bottom w:w="113" w:type="dxa"/>
              <w:right w:w="85" w:type="dxa"/>
            </w:tcMar>
            <w:vAlign w:val="center"/>
          </w:tcPr>
          <w:p w14:paraId="2F9EB751" w14:textId="77777777" w:rsidR="003628A8" w:rsidRPr="003628A8" w:rsidRDefault="003628A8" w:rsidP="003628A8">
            <w:pPr>
              <w:pStyle w:val="CDIFigure-Table-BodyTextCentre"/>
            </w:pPr>
            <w:r w:rsidRPr="003628A8">
              <w:t>1,825</w:t>
            </w:r>
          </w:p>
        </w:tc>
        <w:tc>
          <w:tcPr>
            <w:tcW w:w="609" w:type="dxa"/>
            <w:tcMar>
              <w:top w:w="113" w:type="dxa"/>
              <w:left w:w="85" w:type="dxa"/>
              <w:bottom w:w="113" w:type="dxa"/>
              <w:right w:w="85" w:type="dxa"/>
            </w:tcMar>
            <w:vAlign w:val="center"/>
          </w:tcPr>
          <w:p w14:paraId="76EB7C15" w14:textId="77777777" w:rsidR="003628A8" w:rsidRPr="003628A8" w:rsidRDefault="003628A8" w:rsidP="003628A8">
            <w:pPr>
              <w:pStyle w:val="CDIFigure-Table-BodyTextCentre"/>
            </w:pPr>
            <w:r w:rsidRPr="003628A8">
              <w:t>1,704</w:t>
            </w:r>
          </w:p>
        </w:tc>
        <w:tc>
          <w:tcPr>
            <w:tcW w:w="766" w:type="dxa"/>
            <w:tcMar>
              <w:top w:w="113" w:type="dxa"/>
              <w:left w:w="85" w:type="dxa"/>
              <w:bottom w:w="113" w:type="dxa"/>
              <w:right w:w="85" w:type="dxa"/>
            </w:tcMar>
            <w:vAlign w:val="center"/>
          </w:tcPr>
          <w:p w14:paraId="430433C8" w14:textId="77777777" w:rsidR="003628A8" w:rsidRPr="003628A8" w:rsidRDefault="003628A8" w:rsidP="003628A8">
            <w:pPr>
              <w:pStyle w:val="CDIFigure-Table-BodyTextCentre"/>
            </w:pPr>
            <w:r w:rsidRPr="003628A8">
              <w:t>82,904</w:t>
            </w:r>
          </w:p>
        </w:tc>
      </w:tr>
      <w:tr w:rsidR="003628A8" w:rsidRPr="003628A8" w14:paraId="55BA9A93" w14:textId="77777777" w:rsidTr="003628A8">
        <w:tblPrEx>
          <w:tblCellMar>
            <w:top w:w="0" w:type="dxa"/>
            <w:left w:w="0" w:type="dxa"/>
            <w:bottom w:w="0" w:type="dxa"/>
            <w:right w:w="0" w:type="dxa"/>
          </w:tblCellMar>
        </w:tblPrEx>
        <w:trPr>
          <w:trHeight w:val="20"/>
        </w:trPr>
        <w:tc>
          <w:tcPr>
            <w:tcW w:w="1191" w:type="dxa"/>
            <w:shd w:val="solid" w:color="FFFFFF" w:fill="auto"/>
            <w:tcMar>
              <w:top w:w="113" w:type="dxa"/>
              <w:left w:w="85" w:type="dxa"/>
              <w:bottom w:w="113" w:type="dxa"/>
              <w:right w:w="85" w:type="dxa"/>
            </w:tcMar>
            <w:vAlign w:val="center"/>
          </w:tcPr>
          <w:p w14:paraId="16FE8F25" w14:textId="77777777" w:rsidR="003628A8" w:rsidRPr="003628A8" w:rsidRDefault="003628A8" w:rsidP="003628A8">
            <w:pPr>
              <w:pStyle w:val="CDIFigure-Table-BodyTextLeft"/>
            </w:pPr>
            <w:r w:rsidRPr="003628A8">
              <w:t>Woorabinda</w:t>
            </w:r>
          </w:p>
        </w:tc>
        <w:tc>
          <w:tcPr>
            <w:tcW w:w="708" w:type="dxa"/>
            <w:tcMar>
              <w:top w:w="113" w:type="dxa"/>
              <w:left w:w="85" w:type="dxa"/>
              <w:bottom w:w="113" w:type="dxa"/>
              <w:right w:w="85" w:type="dxa"/>
            </w:tcMar>
            <w:vAlign w:val="center"/>
          </w:tcPr>
          <w:p w14:paraId="3EC62BEC" w14:textId="77777777" w:rsidR="003628A8" w:rsidRPr="003628A8" w:rsidRDefault="003628A8" w:rsidP="003628A8">
            <w:pPr>
              <w:pStyle w:val="CDIFigure-Table-BodyTextCentre"/>
            </w:pPr>
            <w:r w:rsidRPr="003628A8">
              <w:t>132</w:t>
            </w:r>
          </w:p>
        </w:tc>
        <w:tc>
          <w:tcPr>
            <w:tcW w:w="709" w:type="dxa"/>
            <w:tcMar>
              <w:top w:w="113" w:type="dxa"/>
              <w:left w:w="85" w:type="dxa"/>
              <w:bottom w:w="113" w:type="dxa"/>
              <w:right w:w="85" w:type="dxa"/>
            </w:tcMar>
            <w:vAlign w:val="center"/>
          </w:tcPr>
          <w:p w14:paraId="538FE063" w14:textId="77777777" w:rsidR="003628A8" w:rsidRPr="003628A8" w:rsidRDefault="003628A8" w:rsidP="003628A8">
            <w:pPr>
              <w:pStyle w:val="CDIFigure-Table-BodyTextCentre"/>
            </w:pPr>
            <w:r w:rsidRPr="003628A8">
              <w:t>134</w:t>
            </w:r>
          </w:p>
        </w:tc>
        <w:tc>
          <w:tcPr>
            <w:tcW w:w="709" w:type="dxa"/>
            <w:tcMar>
              <w:top w:w="113" w:type="dxa"/>
              <w:left w:w="85" w:type="dxa"/>
              <w:bottom w:w="113" w:type="dxa"/>
              <w:right w:w="85" w:type="dxa"/>
            </w:tcMar>
            <w:vAlign w:val="center"/>
          </w:tcPr>
          <w:p w14:paraId="51A02622" w14:textId="77777777" w:rsidR="003628A8" w:rsidRPr="003628A8" w:rsidRDefault="003628A8" w:rsidP="003628A8">
            <w:pPr>
              <w:pStyle w:val="CDIFigure-Table-BodyTextCentre"/>
            </w:pPr>
            <w:r w:rsidRPr="003628A8">
              <w:t>106</w:t>
            </w:r>
          </w:p>
        </w:tc>
        <w:tc>
          <w:tcPr>
            <w:tcW w:w="708" w:type="dxa"/>
            <w:tcMar>
              <w:top w:w="113" w:type="dxa"/>
              <w:left w:w="85" w:type="dxa"/>
              <w:bottom w:w="113" w:type="dxa"/>
              <w:right w:w="85" w:type="dxa"/>
            </w:tcMar>
            <w:vAlign w:val="center"/>
          </w:tcPr>
          <w:p w14:paraId="07E3BCF9" w14:textId="77777777" w:rsidR="003628A8" w:rsidRPr="003628A8" w:rsidRDefault="003628A8" w:rsidP="003628A8">
            <w:pPr>
              <w:pStyle w:val="CDIFigure-Table-BodyTextCentre"/>
            </w:pPr>
            <w:r w:rsidRPr="003628A8">
              <w:t>98</w:t>
            </w:r>
          </w:p>
        </w:tc>
        <w:tc>
          <w:tcPr>
            <w:tcW w:w="709" w:type="dxa"/>
            <w:tcMar>
              <w:top w:w="113" w:type="dxa"/>
              <w:left w:w="85" w:type="dxa"/>
              <w:bottom w:w="113" w:type="dxa"/>
              <w:right w:w="85" w:type="dxa"/>
            </w:tcMar>
            <w:vAlign w:val="center"/>
          </w:tcPr>
          <w:p w14:paraId="46D54F09" w14:textId="77777777" w:rsidR="003628A8" w:rsidRPr="003628A8" w:rsidRDefault="003628A8" w:rsidP="003628A8">
            <w:pPr>
              <w:pStyle w:val="CDIFigure-Table-BodyTextCentre"/>
            </w:pPr>
            <w:r w:rsidRPr="003628A8">
              <w:t>77</w:t>
            </w:r>
          </w:p>
        </w:tc>
        <w:tc>
          <w:tcPr>
            <w:tcW w:w="709" w:type="dxa"/>
            <w:tcMar>
              <w:top w:w="113" w:type="dxa"/>
              <w:left w:w="85" w:type="dxa"/>
              <w:bottom w:w="113" w:type="dxa"/>
              <w:right w:w="85" w:type="dxa"/>
            </w:tcMar>
            <w:vAlign w:val="center"/>
          </w:tcPr>
          <w:p w14:paraId="0045D70D" w14:textId="77777777" w:rsidR="003628A8" w:rsidRPr="003628A8" w:rsidRDefault="003628A8" w:rsidP="003628A8">
            <w:pPr>
              <w:pStyle w:val="CDIFigure-Table-BodyTextCentre"/>
            </w:pPr>
            <w:r w:rsidRPr="003628A8">
              <w:t>88</w:t>
            </w:r>
          </w:p>
        </w:tc>
        <w:tc>
          <w:tcPr>
            <w:tcW w:w="708" w:type="dxa"/>
            <w:tcMar>
              <w:top w:w="113" w:type="dxa"/>
              <w:left w:w="85" w:type="dxa"/>
              <w:bottom w:w="113" w:type="dxa"/>
              <w:right w:w="85" w:type="dxa"/>
            </w:tcMar>
            <w:vAlign w:val="center"/>
          </w:tcPr>
          <w:p w14:paraId="1257CBD7" w14:textId="77777777" w:rsidR="003628A8" w:rsidRPr="003628A8" w:rsidRDefault="003628A8" w:rsidP="003628A8">
            <w:pPr>
              <w:pStyle w:val="CDIFigure-Table-BodyTextCentre"/>
            </w:pPr>
            <w:r w:rsidRPr="003628A8">
              <w:t>79</w:t>
            </w:r>
          </w:p>
        </w:tc>
        <w:tc>
          <w:tcPr>
            <w:tcW w:w="709" w:type="dxa"/>
            <w:tcMar>
              <w:top w:w="113" w:type="dxa"/>
              <w:left w:w="85" w:type="dxa"/>
              <w:bottom w:w="113" w:type="dxa"/>
              <w:right w:w="85" w:type="dxa"/>
            </w:tcMar>
            <w:vAlign w:val="center"/>
          </w:tcPr>
          <w:p w14:paraId="4D33C0D6" w14:textId="77777777" w:rsidR="003628A8" w:rsidRPr="003628A8" w:rsidRDefault="003628A8" w:rsidP="003628A8">
            <w:pPr>
              <w:pStyle w:val="CDIFigure-Table-BodyTextCentre"/>
            </w:pPr>
            <w:r w:rsidRPr="003628A8">
              <w:t>66</w:t>
            </w:r>
          </w:p>
        </w:tc>
        <w:tc>
          <w:tcPr>
            <w:tcW w:w="709" w:type="dxa"/>
            <w:tcMar>
              <w:top w:w="113" w:type="dxa"/>
              <w:left w:w="85" w:type="dxa"/>
              <w:bottom w:w="113" w:type="dxa"/>
              <w:right w:w="85" w:type="dxa"/>
            </w:tcMar>
            <w:vAlign w:val="center"/>
          </w:tcPr>
          <w:p w14:paraId="5579AFC2" w14:textId="77777777" w:rsidR="003628A8" w:rsidRPr="003628A8" w:rsidRDefault="003628A8" w:rsidP="003628A8">
            <w:pPr>
              <w:pStyle w:val="CDIFigure-Table-BodyTextCentre"/>
            </w:pPr>
            <w:r w:rsidRPr="003628A8">
              <w:t>42</w:t>
            </w:r>
          </w:p>
        </w:tc>
        <w:tc>
          <w:tcPr>
            <w:tcW w:w="708" w:type="dxa"/>
            <w:tcMar>
              <w:top w:w="113" w:type="dxa"/>
              <w:left w:w="85" w:type="dxa"/>
              <w:bottom w:w="113" w:type="dxa"/>
              <w:right w:w="85" w:type="dxa"/>
            </w:tcMar>
            <w:vAlign w:val="center"/>
          </w:tcPr>
          <w:p w14:paraId="3858859C" w14:textId="77777777" w:rsidR="003628A8" w:rsidRPr="003628A8" w:rsidRDefault="003628A8" w:rsidP="003628A8">
            <w:pPr>
              <w:pStyle w:val="CDIFigure-Table-BodyTextCentre"/>
            </w:pPr>
            <w:r w:rsidRPr="003628A8">
              <w:t>52</w:t>
            </w:r>
          </w:p>
        </w:tc>
        <w:tc>
          <w:tcPr>
            <w:tcW w:w="709" w:type="dxa"/>
            <w:tcMar>
              <w:top w:w="113" w:type="dxa"/>
              <w:left w:w="85" w:type="dxa"/>
              <w:bottom w:w="113" w:type="dxa"/>
              <w:right w:w="85" w:type="dxa"/>
            </w:tcMar>
            <w:vAlign w:val="center"/>
          </w:tcPr>
          <w:p w14:paraId="370A8D3C" w14:textId="77777777" w:rsidR="003628A8" w:rsidRPr="003628A8" w:rsidRDefault="003628A8" w:rsidP="003628A8">
            <w:pPr>
              <w:pStyle w:val="CDIFigure-Table-BodyTextCentre"/>
            </w:pPr>
            <w:r w:rsidRPr="003628A8">
              <w:t>48</w:t>
            </w:r>
          </w:p>
        </w:tc>
        <w:tc>
          <w:tcPr>
            <w:tcW w:w="708" w:type="dxa"/>
            <w:tcMar>
              <w:top w:w="113" w:type="dxa"/>
              <w:left w:w="85" w:type="dxa"/>
              <w:bottom w:w="113" w:type="dxa"/>
              <w:right w:w="85" w:type="dxa"/>
            </w:tcMar>
            <w:vAlign w:val="center"/>
          </w:tcPr>
          <w:p w14:paraId="2AD90F4A" w14:textId="77777777" w:rsidR="003628A8" w:rsidRPr="003628A8" w:rsidRDefault="003628A8" w:rsidP="003628A8">
            <w:pPr>
              <w:pStyle w:val="CDIFigure-Table-BodyTextCentre"/>
            </w:pPr>
            <w:r w:rsidRPr="003628A8">
              <w:t>32</w:t>
            </w:r>
          </w:p>
        </w:tc>
        <w:tc>
          <w:tcPr>
            <w:tcW w:w="709" w:type="dxa"/>
            <w:tcMar>
              <w:top w:w="113" w:type="dxa"/>
              <w:left w:w="85" w:type="dxa"/>
              <w:bottom w:w="113" w:type="dxa"/>
              <w:right w:w="85" w:type="dxa"/>
            </w:tcMar>
            <w:vAlign w:val="center"/>
          </w:tcPr>
          <w:p w14:paraId="642C5136" w14:textId="77777777" w:rsidR="003628A8" w:rsidRPr="003628A8" w:rsidRDefault="003628A8" w:rsidP="003628A8">
            <w:pPr>
              <w:pStyle w:val="CDIFigure-Table-BodyTextCentre"/>
            </w:pPr>
            <w:r w:rsidRPr="003628A8">
              <w:t>24</w:t>
            </w:r>
          </w:p>
        </w:tc>
        <w:tc>
          <w:tcPr>
            <w:tcW w:w="709" w:type="dxa"/>
            <w:tcMar>
              <w:top w:w="113" w:type="dxa"/>
              <w:left w:w="85" w:type="dxa"/>
              <w:bottom w:w="113" w:type="dxa"/>
              <w:right w:w="85" w:type="dxa"/>
            </w:tcMar>
            <w:vAlign w:val="center"/>
          </w:tcPr>
          <w:p w14:paraId="133481D3" w14:textId="77777777" w:rsidR="003628A8" w:rsidRPr="003628A8" w:rsidRDefault="003628A8" w:rsidP="003628A8">
            <w:pPr>
              <w:pStyle w:val="CDIFigure-Table-BodyTextCentre"/>
            </w:pPr>
            <w:r w:rsidRPr="003628A8">
              <w:t>36</w:t>
            </w:r>
          </w:p>
        </w:tc>
        <w:tc>
          <w:tcPr>
            <w:tcW w:w="708" w:type="dxa"/>
            <w:tcMar>
              <w:top w:w="113" w:type="dxa"/>
              <w:left w:w="85" w:type="dxa"/>
              <w:bottom w:w="113" w:type="dxa"/>
              <w:right w:w="85" w:type="dxa"/>
            </w:tcMar>
            <w:vAlign w:val="center"/>
          </w:tcPr>
          <w:p w14:paraId="60654322" w14:textId="77777777" w:rsidR="003628A8" w:rsidRPr="003628A8" w:rsidRDefault="003628A8" w:rsidP="003628A8">
            <w:pPr>
              <w:pStyle w:val="CDIFigure-Table-BodyTextCentre"/>
            </w:pPr>
            <w:r w:rsidRPr="003628A8">
              <w:t>19</w:t>
            </w:r>
          </w:p>
        </w:tc>
        <w:tc>
          <w:tcPr>
            <w:tcW w:w="709" w:type="dxa"/>
            <w:tcMar>
              <w:top w:w="113" w:type="dxa"/>
              <w:left w:w="85" w:type="dxa"/>
              <w:bottom w:w="113" w:type="dxa"/>
              <w:right w:w="85" w:type="dxa"/>
            </w:tcMar>
            <w:vAlign w:val="center"/>
          </w:tcPr>
          <w:p w14:paraId="27CD5422" w14:textId="77777777" w:rsidR="003628A8" w:rsidRPr="003628A8" w:rsidRDefault="003628A8" w:rsidP="003628A8">
            <w:pPr>
              <w:pStyle w:val="CDIFigure-Table-BodyTextCentre"/>
            </w:pPr>
            <w:r w:rsidRPr="003628A8">
              <w:t>8</w:t>
            </w:r>
          </w:p>
        </w:tc>
        <w:tc>
          <w:tcPr>
            <w:tcW w:w="709" w:type="dxa"/>
            <w:tcMar>
              <w:top w:w="113" w:type="dxa"/>
              <w:left w:w="85" w:type="dxa"/>
              <w:bottom w:w="113" w:type="dxa"/>
              <w:right w:w="85" w:type="dxa"/>
            </w:tcMar>
            <w:vAlign w:val="center"/>
          </w:tcPr>
          <w:p w14:paraId="0B215B98" w14:textId="77777777" w:rsidR="003628A8" w:rsidRPr="003628A8" w:rsidRDefault="003628A8" w:rsidP="003628A8">
            <w:pPr>
              <w:pStyle w:val="CDIFigure-Table-BodyTextCentre"/>
            </w:pPr>
            <w:r w:rsidRPr="003628A8">
              <w:t>0</w:t>
            </w:r>
          </w:p>
        </w:tc>
        <w:tc>
          <w:tcPr>
            <w:tcW w:w="609" w:type="dxa"/>
            <w:tcMar>
              <w:top w:w="113" w:type="dxa"/>
              <w:left w:w="85" w:type="dxa"/>
              <w:bottom w:w="113" w:type="dxa"/>
              <w:right w:w="85" w:type="dxa"/>
            </w:tcMar>
            <w:vAlign w:val="center"/>
          </w:tcPr>
          <w:p w14:paraId="19C39563" w14:textId="77777777" w:rsidR="003628A8" w:rsidRPr="003628A8" w:rsidRDefault="003628A8" w:rsidP="003628A8">
            <w:pPr>
              <w:pStyle w:val="CDIFigure-Table-BodyTextCentre"/>
            </w:pPr>
            <w:r w:rsidRPr="003628A8">
              <w:t>0</w:t>
            </w:r>
          </w:p>
        </w:tc>
        <w:tc>
          <w:tcPr>
            <w:tcW w:w="766" w:type="dxa"/>
            <w:tcMar>
              <w:top w:w="113" w:type="dxa"/>
              <w:left w:w="85" w:type="dxa"/>
              <w:bottom w:w="113" w:type="dxa"/>
              <w:right w:w="85" w:type="dxa"/>
            </w:tcMar>
            <w:vAlign w:val="center"/>
          </w:tcPr>
          <w:p w14:paraId="7F46AF28" w14:textId="77777777" w:rsidR="003628A8" w:rsidRPr="003628A8" w:rsidRDefault="003628A8" w:rsidP="003628A8">
            <w:pPr>
              <w:pStyle w:val="CDIFigure-Table-BodyTextCentre"/>
            </w:pPr>
            <w:r w:rsidRPr="003628A8">
              <w:t>1,041</w:t>
            </w:r>
          </w:p>
        </w:tc>
      </w:tr>
      <w:tr w:rsidR="003628A8" w:rsidRPr="003628A8" w14:paraId="25198A7D" w14:textId="77777777" w:rsidTr="003628A8">
        <w:tblPrEx>
          <w:tblCellMar>
            <w:top w:w="0" w:type="dxa"/>
            <w:left w:w="0" w:type="dxa"/>
            <w:bottom w:w="0" w:type="dxa"/>
            <w:right w:w="0" w:type="dxa"/>
          </w:tblCellMar>
        </w:tblPrEx>
        <w:trPr>
          <w:trHeight w:val="20"/>
        </w:trPr>
        <w:tc>
          <w:tcPr>
            <w:tcW w:w="1191" w:type="dxa"/>
            <w:shd w:val="clear" w:color="auto" w:fill="C5FFEF" w:themeFill="background2" w:themeFillTint="33"/>
            <w:tcMar>
              <w:top w:w="113" w:type="dxa"/>
              <w:left w:w="85" w:type="dxa"/>
              <w:bottom w:w="113" w:type="dxa"/>
              <w:right w:w="85" w:type="dxa"/>
            </w:tcMar>
            <w:vAlign w:val="center"/>
          </w:tcPr>
          <w:p w14:paraId="72C8DBC8" w14:textId="77777777" w:rsidR="003628A8" w:rsidRPr="003628A8" w:rsidRDefault="003628A8" w:rsidP="003628A8">
            <w:pPr>
              <w:pStyle w:val="CDIFigure-Table-TotalLeft"/>
            </w:pPr>
            <w:r w:rsidRPr="003628A8">
              <w:t>Total</w:t>
            </w:r>
          </w:p>
        </w:tc>
        <w:tc>
          <w:tcPr>
            <w:tcW w:w="708" w:type="dxa"/>
            <w:shd w:val="clear" w:color="auto" w:fill="C5FFEF" w:themeFill="background2" w:themeFillTint="33"/>
            <w:tcMar>
              <w:top w:w="113" w:type="dxa"/>
              <w:left w:w="85" w:type="dxa"/>
              <w:bottom w:w="113" w:type="dxa"/>
              <w:right w:w="85" w:type="dxa"/>
            </w:tcMar>
            <w:vAlign w:val="center"/>
          </w:tcPr>
          <w:p w14:paraId="1EA47474" w14:textId="77777777" w:rsidR="003628A8" w:rsidRPr="003628A8" w:rsidRDefault="003628A8" w:rsidP="003628A8">
            <w:pPr>
              <w:pStyle w:val="CDIFigure-Table-TotalCentre"/>
            </w:pPr>
            <w:r w:rsidRPr="003628A8">
              <w:t>14,627</w:t>
            </w:r>
          </w:p>
        </w:tc>
        <w:tc>
          <w:tcPr>
            <w:tcW w:w="709" w:type="dxa"/>
            <w:shd w:val="clear" w:color="auto" w:fill="C5FFEF" w:themeFill="background2" w:themeFillTint="33"/>
            <w:tcMar>
              <w:top w:w="113" w:type="dxa"/>
              <w:left w:w="85" w:type="dxa"/>
              <w:bottom w:w="113" w:type="dxa"/>
              <w:right w:w="85" w:type="dxa"/>
            </w:tcMar>
            <w:vAlign w:val="center"/>
          </w:tcPr>
          <w:p w14:paraId="26145617" w14:textId="77777777" w:rsidR="003628A8" w:rsidRPr="003628A8" w:rsidRDefault="003628A8" w:rsidP="003628A8">
            <w:pPr>
              <w:pStyle w:val="CDIFigure-Table-TotalCentre"/>
            </w:pPr>
            <w:r w:rsidRPr="003628A8">
              <w:t>16,658</w:t>
            </w:r>
          </w:p>
        </w:tc>
        <w:tc>
          <w:tcPr>
            <w:tcW w:w="709" w:type="dxa"/>
            <w:shd w:val="clear" w:color="auto" w:fill="C5FFEF" w:themeFill="background2" w:themeFillTint="33"/>
            <w:tcMar>
              <w:top w:w="113" w:type="dxa"/>
              <w:left w:w="85" w:type="dxa"/>
              <w:bottom w:w="113" w:type="dxa"/>
              <w:right w:w="85" w:type="dxa"/>
            </w:tcMar>
            <w:vAlign w:val="center"/>
          </w:tcPr>
          <w:p w14:paraId="753782EC" w14:textId="77777777" w:rsidR="003628A8" w:rsidRPr="003628A8" w:rsidRDefault="003628A8" w:rsidP="003628A8">
            <w:pPr>
              <w:pStyle w:val="CDIFigure-Table-TotalCentre"/>
            </w:pPr>
            <w:r w:rsidRPr="003628A8">
              <w:t>17,354</w:t>
            </w:r>
          </w:p>
        </w:tc>
        <w:tc>
          <w:tcPr>
            <w:tcW w:w="708" w:type="dxa"/>
            <w:shd w:val="clear" w:color="auto" w:fill="C5FFEF" w:themeFill="background2" w:themeFillTint="33"/>
            <w:tcMar>
              <w:top w:w="113" w:type="dxa"/>
              <w:left w:w="85" w:type="dxa"/>
              <w:bottom w:w="113" w:type="dxa"/>
              <w:right w:w="85" w:type="dxa"/>
            </w:tcMar>
            <w:vAlign w:val="center"/>
          </w:tcPr>
          <w:p w14:paraId="6DA69E61" w14:textId="77777777" w:rsidR="003628A8" w:rsidRPr="003628A8" w:rsidRDefault="003628A8" w:rsidP="003628A8">
            <w:pPr>
              <w:pStyle w:val="CDIFigure-Table-TotalCentre"/>
            </w:pPr>
            <w:r w:rsidRPr="003628A8">
              <w:t>14,540</w:t>
            </w:r>
          </w:p>
        </w:tc>
        <w:tc>
          <w:tcPr>
            <w:tcW w:w="709" w:type="dxa"/>
            <w:shd w:val="clear" w:color="auto" w:fill="C5FFEF" w:themeFill="background2" w:themeFillTint="33"/>
            <w:tcMar>
              <w:top w:w="113" w:type="dxa"/>
              <w:left w:w="85" w:type="dxa"/>
              <w:bottom w:w="113" w:type="dxa"/>
              <w:right w:w="85" w:type="dxa"/>
            </w:tcMar>
            <w:vAlign w:val="center"/>
          </w:tcPr>
          <w:p w14:paraId="2C16D8D0" w14:textId="77777777" w:rsidR="003628A8" w:rsidRPr="003628A8" w:rsidRDefault="003628A8" w:rsidP="003628A8">
            <w:pPr>
              <w:pStyle w:val="CDIFigure-Table-TotalCentre"/>
            </w:pPr>
            <w:r w:rsidRPr="003628A8">
              <w:t>13,185</w:t>
            </w:r>
          </w:p>
        </w:tc>
        <w:tc>
          <w:tcPr>
            <w:tcW w:w="709" w:type="dxa"/>
            <w:shd w:val="clear" w:color="auto" w:fill="C5FFEF" w:themeFill="background2" w:themeFillTint="33"/>
            <w:tcMar>
              <w:top w:w="113" w:type="dxa"/>
              <w:left w:w="85" w:type="dxa"/>
              <w:bottom w:w="113" w:type="dxa"/>
              <w:right w:w="85" w:type="dxa"/>
            </w:tcMar>
            <w:vAlign w:val="center"/>
          </w:tcPr>
          <w:p w14:paraId="03887ADC" w14:textId="77777777" w:rsidR="003628A8" w:rsidRPr="003628A8" w:rsidRDefault="003628A8" w:rsidP="003628A8">
            <w:pPr>
              <w:pStyle w:val="CDIFigure-Table-TotalCentre"/>
            </w:pPr>
            <w:r w:rsidRPr="003628A8">
              <w:t>14,876</w:t>
            </w:r>
          </w:p>
        </w:tc>
        <w:tc>
          <w:tcPr>
            <w:tcW w:w="708" w:type="dxa"/>
            <w:shd w:val="clear" w:color="auto" w:fill="C5FFEF" w:themeFill="background2" w:themeFillTint="33"/>
            <w:tcMar>
              <w:top w:w="113" w:type="dxa"/>
              <w:left w:w="85" w:type="dxa"/>
              <w:bottom w:w="113" w:type="dxa"/>
              <w:right w:w="85" w:type="dxa"/>
            </w:tcMar>
            <w:vAlign w:val="center"/>
          </w:tcPr>
          <w:p w14:paraId="25DDEE7D" w14:textId="77777777" w:rsidR="003628A8" w:rsidRPr="003628A8" w:rsidRDefault="003628A8" w:rsidP="003628A8">
            <w:pPr>
              <w:pStyle w:val="CDIFigure-Table-TotalCentre"/>
            </w:pPr>
            <w:r w:rsidRPr="003628A8">
              <w:t>15,308</w:t>
            </w:r>
          </w:p>
        </w:tc>
        <w:tc>
          <w:tcPr>
            <w:tcW w:w="709" w:type="dxa"/>
            <w:shd w:val="clear" w:color="auto" w:fill="C5FFEF" w:themeFill="background2" w:themeFillTint="33"/>
            <w:tcMar>
              <w:top w:w="113" w:type="dxa"/>
              <w:left w:w="85" w:type="dxa"/>
              <w:bottom w:w="113" w:type="dxa"/>
              <w:right w:w="85" w:type="dxa"/>
            </w:tcMar>
            <w:vAlign w:val="center"/>
          </w:tcPr>
          <w:p w14:paraId="4E12FD76" w14:textId="77777777" w:rsidR="003628A8" w:rsidRPr="003628A8" w:rsidRDefault="003628A8" w:rsidP="003628A8">
            <w:pPr>
              <w:pStyle w:val="CDIFigure-Table-TotalCentre"/>
            </w:pPr>
            <w:r w:rsidRPr="003628A8">
              <w:t>15,870</w:t>
            </w:r>
          </w:p>
        </w:tc>
        <w:tc>
          <w:tcPr>
            <w:tcW w:w="709" w:type="dxa"/>
            <w:shd w:val="clear" w:color="auto" w:fill="C5FFEF" w:themeFill="background2" w:themeFillTint="33"/>
            <w:tcMar>
              <w:top w:w="113" w:type="dxa"/>
              <w:left w:w="85" w:type="dxa"/>
              <w:bottom w:w="113" w:type="dxa"/>
              <w:right w:w="85" w:type="dxa"/>
            </w:tcMar>
            <w:vAlign w:val="center"/>
          </w:tcPr>
          <w:p w14:paraId="49927FB8" w14:textId="77777777" w:rsidR="003628A8" w:rsidRPr="003628A8" w:rsidRDefault="003628A8" w:rsidP="003628A8">
            <w:pPr>
              <w:pStyle w:val="CDIFigure-Table-TotalCentre"/>
            </w:pPr>
            <w:r w:rsidRPr="003628A8">
              <w:t>14,231</w:t>
            </w:r>
          </w:p>
        </w:tc>
        <w:tc>
          <w:tcPr>
            <w:tcW w:w="708" w:type="dxa"/>
            <w:shd w:val="clear" w:color="auto" w:fill="C5FFEF" w:themeFill="background2" w:themeFillTint="33"/>
            <w:tcMar>
              <w:top w:w="113" w:type="dxa"/>
              <w:left w:w="85" w:type="dxa"/>
              <w:bottom w:w="113" w:type="dxa"/>
              <w:right w:w="85" w:type="dxa"/>
            </w:tcMar>
            <w:vAlign w:val="center"/>
          </w:tcPr>
          <w:p w14:paraId="143A863F" w14:textId="77777777" w:rsidR="003628A8" w:rsidRPr="003628A8" w:rsidRDefault="003628A8" w:rsidP="003628A8">
            <w:pPr>
              <w:pStyle w:val="CDIFigure-Table-TotalCentre"/>
            </w:pPr>
            <w:r w:rsidRPr="003628A8">
              <w:t>14,964</w:t>
            </w:r>
          </w:p>
        </w:tc>
        <w:tc>
          <w:tcPr>
            <w:tcW w:w="709" w:type="dxa"/>
            <w:shd w:val="clear" w:color="auto" w:fill="C5FFEF" w:themeFill="background2" w:themeFillTint="33"/>
            <w:tcMar>
              <w:top w:w="113" w:type="dxa"/>
              <w:left w:w="85" w:type="dxa"/>
              <w:bottom w:w="113" w:type="dxa"/>
              <w:right w:w="85" w:type="dxa"/>
            </w:tcMar>
            <w:vAlign w:val="center"/>
          </w:tcPr>
          <w:p w14:paraId="243CCE8B" w14:textId="77777777" w:rsidR="003628A8" w:rsidRPr="003628A8" w:rsidRDefault="003628A8" w:rsidP="003628A8">
            <w:pPr>
              <w:pStyle w:val="CDIFigure-Table-TotalCentre"/>
            </w:pPr>
            <w:r w:rsidRPr="003628A8">
              <w:t>14,813</w:t>
            </w:r>
          </w:p>
        </w:tc>
        <w:tc>
          <w:tcPr>
            <w:tcW w:w="708" w:type="dxa"/>
            <w:shd w:val="clear" w:color="auto" w:fill="C5FFEF" w:themeFill="background2" w:themeFillTint="33"/>
            <w:tcMar>
              <w:top w:w="113" w:type="dxa"/>
              <w:left w:w="85" w:type="dxa"/>
              <w:bottom w:w="113" w:type="dxa"/>
              <w:right w:w="85" w:type="dxa"/>
            </w:tcMar>
            <w:vAlign w:val="center"/>
          </w:tcPr>
          <w:p w14:paraId="4BCC720D" w14:textId="77777777" w:rsidR="003628A8" w:rsidRPr="003628A8" w:rsidRDefault="003628A8" w:rsidP="003628A8">
            <w:pPr>
              <w:pStyle w:val="CDIFigure-Table-TotalCentre"/>
            </w:pPr>
            <w:r w:rsidRPr="003628A8">
              <w:t>15,446</w:t>
            </w:r>
          </w:p>
        </w:tc>
        <w:tc>
          <w:tcPr>
            <w:tcW w:w="709" w:type="dxa"/>
            <w:shd w:val="clear" w:color="auto" w:fill="C5FFEF" w:themeFill="background2" w:themeFillTint="33"/>
            <w:tcMar>
              <w:top w:w="113" w:type="dxa"/>
              <w:left w:w="85" w:type="dxa"/>
              <w:bottom w:w="113" w:type="dxa"/>
              <w:right w:w="85" w:type="dxa"/>
            </w:tcMar>
            <w:vAlign w:val="center"/>
          </w:tcPr>
          <w:p w14:paraId="7D404877" w14:textId="77777777" w:rsidR="003628A8" w:rsidRPr="003628A8" w:rsidRDefault="003628A8" w:rsidP="003628A8">
            <w:pPr>
              <w:pStyle w:val="CDIFigure-Table-TotalCentre"/>
            </w:pPr>
            <w:r w:rsidRPr="003628A8">
              <w:t>14,396</w:t>
            </w:r>
          </w:p>
        </w:tc>
        <w:tc>
          <w:tcPr>
            <w:tcW w:w="709" w:type="dxa"/>
            <w:shd w:val="clear" w:color="auto" w:fill="C5FFEF" w:themeFill="background2" w:themeFillTint="33"/>
            <w:tcMar>
              <w:top w:w="113" w:type="dxa"/>
              <w:left w:w="85" w:type="dxa"/>
              <w:bottom w:w="113" w:type="dxa"/>
              <w:right w:w="85" w:type="dxa"/>
            </w:tcMar>
            <w:vAlign w:val="center"/>
          </w:tcPr>
          <w:p w14:paraId="26290514" w14:textId="77777777" w:rsidR="003628A8" w:rsidRPr="003628A8" w:rsidRDefault="003628A8" w:rsidP="003628A8">
            <w:pPr>
              <w:pStyle w:val="CDIFigure-Table-TotalCentre"/>
            </w:pPr>
            <w:r w:rsidRPr="003628A8">
              <w:t>11,453</w:t>
            </w:r>
          </w:p>
        </w:tc>
        <w:tc>
          <w:tcPr>
            <w:tcW w:w="708" w:type="dxa"/>
            <w:shd w:val="clear" w:color="auto" w:fill="C5FFEF" w:themeFill="background2" w:themeFillTint="33"/>
            <w:tcMar>
              <w:top w:w="113" w:type="dxa"/>
              <w:left w:w="85" w:type="dxa"/>
              <w:bottom w:w="113" w:type="dxa"/>
              <w:right w:w="85" w:type="dxa"/>
            </w:tcMar>
            <w:vAlign w:val="center"/>
          </w:tcPr>
          <w:p w14:paraId="0EB48FE2" w14:textId="77777777" w:rsidR="003628A8" w:rsidRPr="003628A8" w:rsidRDefault="003628A8" w:rsidP="003628A8">
            <w:pPr>
              <w:pStyle w:val="CDIFigure-Table-TotalCentre"/>
            </w:pPr>
            <w:r w:rsidRPr="003628A8">
              <w:t>9,352</w:t>
            </w:r>
          </w:p>
        </w:tc>
        <w:tc>
          <w:tcPr>
            <w:tcW w:w="709" w:type="dxa"/>
            <w:shd w:val="clear" w:color="auto" w:fill="C5FFEF" w:themeFill="background2" w:themeFillTint="33"/>
            <w:tcMar>
              <w:top w:w="113" w:type="dxa"/>
              <w:left w:w="85" w:type="dxa"/>
              <w:bottom w:w="113" w:type="dxa"/>
              <w:right w:w="85" w:type="dxa"/>
            </w:tcMar>
            <w:vAlign w:val="center"/>
          </w:tcPr>
          <w:p w14:paraId="40008CBF" w14:textId="77777777" w:rsidR="003628A8" w:rsidRPr="003628A8" w:rsidRDefault="003628A8" w:rsidP="003628A8">
            <w:pPr>
              <w:pStyle w:val="CDIFigure-Table-TotalCentre"/>
            </w:pPr>
            <w:r w:rsidRPr="003628A8">
              <w:t>6,369</w:t>
            </w:r>
          </w:p>
        </w:tc>
        <w:tc>
          <w:tcPr>
            <w:tcW w:w="709" w:type="dxa"/>
            <w:shd w:val="clear" w:color="auto" w:fill="C5FFEF" w:themeFill="background2" w:themeFillTint="33"/>
            <w:tcMar>
              <w:top w:w="113" w:type="dxa"/>
              <w:left w:w="85" w:type="dxa"/>
              <w:bottom w:w="113" w:type="dxa"/>
              <w:right w:w="85" w:type="dxa"/>
            </w:tcMar>
            <w:vAlign w:val="center"/>
          </w:tcPr>
          <w:p w14:paraId="70244557" w14:textId="77777777" w:rsidR="003628A8" w:rsidRPr="003628A8" w:rsidRDefault="003628A8" w:rsidP="003628A8">
            <w:pPr>
              <w:pStyle w:val="CDIFigure-Table-TotalCentre"/>
            </w:pPr>
            <w:r w:rsidRPr="003628A8">
              <w:t>4,207</w:t>
            </w:r>
          </w:p>
        </w:tc>
        <w:tc>
          <w:tcPr>
            <w:tcW w:w="609" w:type="dxa"/>
            <w:shd w:val="clear" w:color="auto" w:fill="C5FFEF" w:themeFill="background2" w:themeFillTint="33"/>
            <w:tcMar>
              <w:top w:w="113" w:type="dxa"/>
              <w:left w:w="85" w:type="dxa"/>
              <w:bottom w:w="113" w:type="dxa"/>
              <w:right w:w="85" w:type="dxa"/>
            </w:tcMar>
            <w:vAlign w:val="center"/>
          </w:tcPr>
          <w:p w14:paraId="3A84FF29" w14:textId="77777777" w:rsidR="003628A8" w:rsidRPr="003628A8" w:rsidRDefault="003628A8" w:rsidP="003628A8">
            <w:pPr>
              <w:pStyle w:val="CDIFigure-Table-TotalCentre"/>
            </w:pPr>
            <w:r w:rsidRPr="003628A8">
              <w:t>3,455</w:t>
            </w:r>
          </w:p>
        </w:tc>
        <w:tc>
          <w:tcPr>
            <w:tcW w:w="766" w:type="dxa"/>
            <w:shd w:val="clear" w:color="auto" w:fill="C5FFEF" w:themeFill="background2" w:themeFillTint="33"/>
            <w:tcMar>
              <w:top w:w="113" w:type="dxa"/>
              <w:left w:w="85" w:type="dxa"/>
              <w:bottom w:w="113" w:type="dxa"/>
              <w:right w:w="85" w:type="dxa"/>
            </w:tcMar>
            <w:vAlign w:val="center"/>
          </w:tcPr>
          <w:p w14:paraId="1B3D98BF" w14:textId="77777777" w:rsidR="003628A8" w:rsidRPr="003628A8" w:rsidRDefault="003628A8" w:rsidP="003628A8">
            <w:pPr>
              <w:pStyle w:val="CDIFigure-Table-TotalCentre"/>
            </w:pPr>
            <w:r w:rsidRPr="003628A8">
              <w:t>231,104</w:t>
            </w:r>
          </w:p>
        </w:tc>
      </w:tr>
    </w:tbl>
    <w:p w14:paraId="323CBC0E" w14:textId="77777777" w:rsidR="00AC0F5D" w:rsidRPr="003628A8" w:rsidRDefault="00AC0F5D" w:rsidP="003628A8"/>
    <w:p w14:paraId="5F073B7A" w14:textId="77777777" w:rsidR="00AC0F5D" w:rsidRDefault="00AC0F5D" w:rsidP="00B33E0B">
      <w:pPr>
        <w:sectPr w:rsidR="00AC0F5D" w:rsidSect="001A26DD">
          <w:footerReference w:type="default" r:id="rId17"/>
          <w:pgSz w:w="16840" w:h="11907" w:orient="landscape" w:code="9"/>
          <w:pgMar w:top="1134" w:right="1304" w:bottom="1134" w:left="1304" w:header="709" w:footer="527" w:gutter="0"/>
          <w:cols w:space="708"/>
          <w:docGrid w:linePitch="360"/>
        </w:sectPr>
      </w:pPr>
    </w:p>
    <w:p w14:paraId="3381A1B8"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0F25E6FD" w14:textId="0EF4EE4B" w:rsidR="000A5F42" w:rsidRPr="0089025E" w:rsidRDefault="000A5F42" w:rsidP="00194A12">
      <w:pPr>
        <w:pStyle w:val="CDICopyrightText"/>
      </w:pPr>
      <w:r w:rsidRPr="0089025E">
        <w:t xml:space="preserve">Communicable Diseases Intelligence (CDI) is a peer-reviewed scientific journal published by the </w:t>
      </w:r>
      <w:r w:rsidR="000E17F1" w:rsidRPr="000E17F1">
        <w:t>Health Protection Policy &amp; Surveillance</w:t>
      </w:r>
      <w:r w:rsidR="00470C19">
        <w:t xml:space="preserv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3C1B34E7" w14:textId="77777777" w:rsidR="000705FF" w:rsidRPr="0089025E" w:rsidRDefault="000705FF" w:rsidP="00194A12">
      <w:pPr>
        <w:pStyle w:val="CDICopyrightText"/>
      </w:pPr>
      <w:r w:rsidRPr="0089025E">
        <w:t xml:space="preserve">© </w:t>
      </w:r>
      <w:fldSimple w:instr=" DOCPROPERTY  Year  \* MERGEFORMAT ">
        <w:r w:rsidR="000E17F1">
          <w:t>2024</w:t>
        </w:r>
      </w:fldSimple>
      <w:r w:rsidRPr="0089025E">
        <w:t xml:space="preserve"> Commonwealth of Australia as represented by the Department of Health and Aged Care</w:t>
      </w:r>
    </w:p>
    <w:p w14:paraId="7AC95636" w14:textId="77777777" w:rsidR="00DE4482" w:rsidRPr="0089025E" w:rsidRDefault="00DE4482" w:rsidP="00194A12">
      <w:pPr>
        <w:pStyle w:val="CDICopyrightText"/>
      </w:pPr>
      <w:r w:rsidRPr="0089025E">
        <w:t>ISSN: 2209-6051 Online</w:t>
      </w:r>
    </w:p>
    <w:p w14:paraId="18FD3CB9" w14:textId="77777777" w:rsidR="00DE4482" w:rsidRPr="0089025E" w:rsidRDefault="00DE4482" w:rsidP="00194A12">
      <w:pPr>
        <w:pStyle w:val="CDICopyrightText"/>
      </w:pPr>
      <w:r w:rsidRPr="0089025E">
        <w:t>This journal is indexed by Index Medicus and Medline.</w:t>
      </w:r>
    </w:p>
    <w:p w14:paraId="460F3649"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50A26762" w14:textId="77777777" w:rsidR="000705FF" w:rsidRPr="00194A12" w:rsidRDefault="000705FF" w:rsidP="00194A12">
      <w:pPr>
        <w:pStyle w:val="CDICopyrightHeading"/>
      </w:pPr>
      <w:r w:rsidRPr="00194A12">
        <w:t>Restrictions</w:t>
      </w:r>
    </w:p>
    <w:p w14:paraId="016504C7"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B750888"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73D512C2" w14:textId="77777777" w:rsidR="000705FF" w:rsidRPr="0089025E" w:rsidRDefault="000705FF" w:rsidP="00AC0F5D">
      <w:pPr>
        <w:pStyle w:val="CDICopyrightBullets"/>
      </w:pPr>
      <w:r w:rsidRPr="0089025E">
        <w:t>any logos (including the Department of Health and Aged Care’s logo) and trademarks;</w:t>
      </w:r>
    </w:p>
    <w:p w14:paraId="503DA183" w14:textId="77777777" w:rsidR="000705FF" w:rsidRPr="0089025E" w:rsidRDefault="000705FF" w:rsidP="00AC0F5D">
      <w:pPr>
        <w:pStyle w:val="CDICopyrightBullets"/>
      </w:pPr>
      <w:r w:rsidRPr="0089025E">
        <w:t xml:space="preserve">any photographs and images; </w:t>
      </w:r>
    </w:p>
    <w:p w14:paraId="6769F894" w14:textId="77777777" w:rsidR="000705FF" w:rsidRPr="0089025E" w:rsidRDefault="000705FF" w:rsidP="00AC0F5D">
      <w:pPr>
        <w:pStyle w:val="CDICopyrightBullets"/>
      </w:pPr>
      <w:r w:rsidRPr="0089025E">
        <w:t>any signatures; and</w:t>
      </w:r>
    </w:p>
    <w:p w14:paraId="6772255F" w14:textId="77777777" w:rsidR="000705FF" w:rsidRPr="0089025E" w:rsidRDefault="000705FF" w:rsidP="00AC0F5D">
      <w:pPr>
        <w:pStyle w:val="CDICopyrightBullets"/>
      </w:pPr>
      <w:r w:rsidRPr="0089025E">
        <w:t xml:space="preserve">any material belonging to third parties. </w:t>
      </w:r>
    </w:p>
    <w:p w14:paraId="2110A506" w14:textId="77777777" w:rsidR="000F223B" w:rsidRPr="0089025E" w:rsidRDefault="000705FF" w:rsidP="00194A12">
      <w:pPr>
        <w:pStyle w:val="CDICopyrightHeading"/>
      </w:pPr>
      <w:r w:rsidRPr="0089025E">
        <w:t>Disclaimer</w:t>
      </w:r>
    </w:p>
    <w:p w14:paraId="1697A628"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52CE113D" w14:textId="77777777" w:rsidR="000F223B" w:rsidRPr="0089025E" w:rsidRDefault="000705FF" w:rsidP="00194A12">
      <w:pPr>
        <w:pStyle w:val="CDICopyrightHeading"/>
      </w:pPr>
      <w:r w:rsidRPr="0089025E">
        <w:t>Enquiries</w:t>
      </w:r>
    </w:p>
    <w:p w14:paraId="467840A7"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8" w:history="1">
        <w:r w:rsidR="006307C1" w:rsidRPr="005A4A08">
          <w:rPr>
            <w:rStyle w:val="Hyperlink"/>
          </w:rPr>
          <w:t>cdi.editor@health.gov.au</w:t>
        </w:r>
      </w:hyperlink>
      <w:r w:rsidR="006307C1">
        <w:t xml:space="preserve"> </w:t>
      </w:r>
      <w:r w:rsidRPr="0089025E">
        <w:t xml:space="preserve"> </w:t>
      </w:r>
    </w:p>
    <w:p w14:paraId="0E552B4D" w14:textId="77777777" w:rsidR="000F223B" w:rsidRPr="0089025E" w:rsidRDefault="000705FF" w:rsidP="00194A12">
      <w:pPr>
        <w:pStyle w:val="CDICopyrightHeading"/>
      </w:pPr>
      <w:r w:rsidRPr="0089025E">
        <w:t>Communicable Diseases Network Australia</w:t>
      </w:r>
    </w:p>
    <w:p w14:paraId="746ADA46"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42449D33" w14:textId="4513CF8C"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r w:rsidR="000E17F1">
        <w:t>/Kasra Yousefi</w:t>
      </w:r>
    </w:p>
    <w:p w14:paraId="5D4F8B69" w14:textId="1513D03D"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0E17F1">
        <w:t xml:space="preserve">, </w:t>
      </w:r>
      <w:r w:rsidR="00CF75DF" w:rsidRPr="0089025E">
        <w:t>Meru</w:t>
      </w:r>
      <w:r w:rsidR="0089025E" w:rsidRPr="0089025E">
        <w:t> </w:t>
      </w:r>
      <w:r w:rsidR="00CF75DF" w:rsidRPr="0089025E">
        <w:t>Sheel</w:t>
      </w:r>
      <w:r w:rsidR="000E17F1">
        <w:t xml:space="preserve"> and Stephanie Williams</w:t>
      </w:r>
    </w:p>
    <w:p w14:paraId="4FA42BD6" w14:textId="77777777" w:rsidR="00DE4482" w:rsidRPr="0089025E" w:rsidRDefault="000A5F42" w:rsidP="00194A12">
      <w:pPr>
        <w:pStyle w:val="CDICopyrightHeading"/>
      </w:pPr>
      <w:r w:rsidRPr="0089025E">
        <w:t>Contacts</w:t>
      </w:r>
    </w:p>
    <w:p w14:paraId="683291C6" w14:textId="77777777" w:rsidR="00682E53" w:rsidRDefault="00E54BBD" w:rsidP="00194A12">
      <w:pPr>
        <w:pStyle w:val="CDICopyrightText"/>
      </w:pPr>
      <w:r w:rsidRPr="0089025E">
        <w:t>CDI is produced by</w:t>
      </w:r>
      <w:r w:rsidR="00682E53">
        <w:t>:</w:t>
      </w:r>
    </w:p>
    <w:p w14:paraId="770F3B62" w14:textId="009B7BF3" w:rsidR="000A5F42" w:rsidRPr="0089025E" w:rsidRDefault="000E17F1" w:rsidP="00194A12">
      <w:pPr>
        <w:pStyle w:val="CDICopyrightText"/>
      </w:pPr>
      <w:r w:rsidRPr="000E17F1">
        <w:t>Health Protection Policy &amp; Surveillance</w:t>
      </w:r>
      <w:r>
        <w:t xml:space="preserve"> </w:t>
      </w:r>
      <w:r w:rsidR="00470C19">
        <w:t>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1E66125E" w14:textId="77777777" w:rsidR="00DA2E9E" w:rsidRPr="0089025E" w:rsidRDefault="00DA2E9E" w:rsidP="00194A12">
      <w:pPr>
        <w:pStyle w:val="CDICopyrightText"/>
      </w:pPr>
      <w:r w:rsidRPr="0089025E">
        <w:t xml:space="preserve">Website: </w:t>
      </w:r>
      <w:hyperlink r:id="rId19" w:history="1">
        <w:r w:rsidR="00AC0F5D" w:rsidRPr="000C6EB5">
          <w:rPr>
            <w:rStyle w:val="Hyperlink"/>
          </w:rPr>
          <w:t>www.health.gov.au/cdi</w:t>
        </w:r>
      </w:hyperlink>
      <w:r w:rsidR="00AC0F5D">
        <w:t xml:space="preserve"> </w:t>
      </w:r>
    </w:p>
    <w:p w14:paraId="4CDB6C0D" w14:textId="77777777" w:rsidR="000A5F42" w:rsidRPr="0089025E" w:rsidRDefault="000A5F42" w:rsidP="00194A12">
      <w:pPr>
        <w:pStyle w:val="CDICopyrightText"/>
      </w:pPr>
      <w:r w:rsidRPr="0089025E">
        <w:t xml:space="preserve">Email: </w:t>
      </w:r>
      <w:hyperlink r:id="rId20" w:history="1">
        <w:r w:rsidR="00AC0F5D" w:rsidRPr="000C6EB5">
          <w:rPr>
            <w:rStyle w:val="Hyperlink"/>
          </w:rPr>
          <w:t>cdi.editor@health.gov.au</w:t>
        </w:r>
      </w:hyperlink>
      <w:r w:rsidR="00AC0F5D">
        <w:t xml:space="preserve"> </w:t>
      </w:r>
    </w:p>
    <w:p w14:paraId="18CD08A4"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0CD12DDC"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4FD8FFD4" w14:textId="77777777" w:rsidR="000A5F42" w:rsidRPr="0089025E" w:rsidRDefault="000A5F42" w:rsidP="00194A12">
      <w:pPr>
        <w:pStyle w:val="CDICopyrightText"/>
      </w:pPr>
      <w:r w:rsidRPr="0089025E">
        <w:t xml:space="preserve">Further enquiries should be directed to: </w:t>
      </w:r>
      <w:hyperlink r:id="rId21" w:history="1">
        <w:r w:rsidR="00AC0F5D" w:rsidRPr="000C6EB5">
          <w:rPr>
            <w:rStyle w:val="Hyperlink"/>
          </w:rPr>
          <w:t>cdi.editor@health.gov.au</w:t>
        </w:r>
      </w:hyperlink>
      <w:r w:rsidR="00AC0F5D">
        <w:t xml:space="preserve"> </w:t>
      </w:r>
    </w:p>
    <w:sectPr w:rsidR="000A5F42" w:rsidRPr="0089025E" w:rsidSect="001A26DD">
      <w:footerReference w:type="default" r:id="rId22"/>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FD6E7" w14:textId="77777777" w:rsidR="000E17F1" w:rsidRDefault="000E17F1" w:rsidP="00E54DBA">
      <w:r>
        <w:separator/>
      </w:r>
    </w:p>
    <w:p w14:paraId="2D34517B" w14:textId="77777777" w:rsidR="000E17F1" w:rsidRDefault="000E17F1"/>
    <w:p w14:paraId="4B26B54C" w14:textId="77777777" w:rsidR="000E17F1" w:rsidRDefault="000E17F1" w:rsidP="008714B0"/>
  </w:endnote>
  <w:endnote w:type="continuationSeparator" w:id="0">
    <w:p w14:paraId="2D63C36A" w14:textId="77777777" w:rsidR="000E17F1" w:rsidRDefault="000E17F1" w:rsidP="00E54DBA">
      <w:r>
        <w:continuationSeparator/>
      </w:r>
    </w:p>
    <w:p w14:paraId="674C869B" w14:textId="77777777" w:rsidR="000E17F1" w:rsidRDefault="000E17F1"/>
    <w:p w14:paraId="7DD4E4FC" w14:textId="77777777" w:rsidR="000E17F1" w:rsidRDefault="000E17F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50D5B"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75960" w14:textId="7FB72EC0"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0E17F1">
        <w:t>2024</w:t>
      </w:r>
    </w:fldSimple>
    <w:r w:rsidRPr="001D0612">
      <w:t xml:space="preserve"> </w:t>
    </w:r>
    <w:fldSimple w:instr=" DOCPROPERTY  Vol  \* MERGEFORMAT ">
      <w:r w:rsidR="000E17F1">
        <w:t>48</w:t>
      </w:r>
    </w:fldSimple>
    <w:r w:rsidRPr="001D0612">
      <w:t xml:space="preserve">  (</w:t>
    </w:r>
    <w:fldSimple w:instr=" DOCPROPERTY  DOI  \* MERGEFORMAT ">
      <w:r w:rsidR="000E17F1">
        <w:t>https://doi.org/10.33321/cdi.2024.48.45</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0E17F1">
        <w:t>24/06/2024</w:t>
      </w:r>
    </w:fldSimple>
    <w:r w:rsidR="000E17F1">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4D044"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9983A" w14:textId="50969423"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0E17F1">
        <w:t>2024</w:t>
      </w:r>
    </w:fldSimple>
    <w:r w:rsidRPr="001D0612">
      <w:t xml:space="preserve"> </w:t>
    </w:r>
    <w:fldSimple w:instr=" DOCPROPERTY  Vol  \* MERGEFORMAT ">
      <w:r w:rsidR="000E17F1">
        <w:t>48</w:t>
      </w:r>
    </w:fldSimple>
    <w:r w:rsidRPr="001D0612">
      <w:t xml:space="preserve">  (</w:t>
    </w:r>
    <w:fldSimple w:instr=" DOCPROPERTY  DOI  \* MERGEFORMAT ">
      <w:r w:rsidR="000E17F1">
        <w:t>https://doi.org/10.33321/cdi.2024.48.45</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0E17F1">
        <w:t>24/06/2024</w:t>
      </w:r>
    </w:fldSimple>
    <w:r w:rsidR="000E17F1">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D3A66" w14:textId="0E25FF9F"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0E17F1">
        <w:t>2024</w:t>
      </w:r>
    </w:fldSimple>
    <w:r w:rsidRPr="001D0612">
      <w:t xml:space="preserve"> </w:t>
    </w:r>
    <w:fldSimple w:instr=" DOCPROPERTY  Vol  \* MERGEFORMAT ">
      <w:r w:rsidR="000E17F1">
        <w:t>48</w:t>
      </w:r>
    </w:fldSimple>
    <w:r w:rsidRPr="001D0612">
      <w:t xml:space="preserve">  (</w:t>
    </w:r>
    <w:fldSimple w:instr=" DOCPROPERTY  DOI  \* MERGEFORMAT ">
      <w:r w:rsidR="000E17F1">
        <w:t>https://doi.org/10.33321/cdi.2024.48.45</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0E17F1">
        <w:t>24/06/2024</w:t>
      </w:r>
    </w:fldSimple>
    <w:r w:rsidR="000E17F1">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B13A1" w14:textId="77777777" w:rsidR="000E17F1" w:rsidRPr="00B91FB5" w:rsidRDefault="000E17F1" w:rsidP="00B91FB5">
      <w:pPr>
        <w:spacing w:line="240" w:lineRule="auto"/>
        <w:rPr>
          <w:sz w:val="18"/>
          <w:szCs w:val="18"/>
        </w:rPr>
      </w:pPr>
      <w:r w:rsidRPr="00B91FB5">
        <w:rPr>
          <w:sz w:val="18"/>
          <w:szCs w:val="18"/>
        </w:rPr>
        <w:separator/>
      </w:r>
    </w:p>
  </w:footnote>
  <w:footnote w:type="continuationSeparator" w:id="0">
    <w:p w14:paraId="5CB29E76" w14:textId="77777777" w:rsidR="000E17F1" w:rsidRDefault="000E17F1" w:rsidP="00E54DBA">
      <w:r>
        <w:continuationSeparator/>
      </w:r>
    </w:p>
  </w:footnote>
  <w:footnote w:type="continuationNotice" w:id="1">
    <w:p w14:paraId="08A38CCA" w14:textId="77777777" w:rsidR="000E17F1" w:rsidRPr="00224EFF" w:rsidRDefault="000E17F1"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761F2"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49611"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23CFF"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41E575F9" wp14:editId="1AEB97D1">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86674632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F1"/>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1322"/>
    <w:rsid w:val="000E17F1"/>
    <w:rsid w:val="000E6C4C"/>
    <w:rsid w:val="000F223B"/>
    <w:rsid w:val="000F2D45"/>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647B"/>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28A8"/>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0EA"/>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56CEA"/>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49E4"/>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34E9"/>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0736"/>
    <w:rsid w:val="008A2A70"/>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19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17AE7"/>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21C5"/>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18D9"/>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59BF9"/>
  <w15:docId w15:val="{AF31AD40-A90B-4E06-BB53-2692964D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9E4"/>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customStyle="1" w:styleId="Heading1-nospacebefore">
    <w:name w:val="Heading 1 - no space before"/>
    <w:basedOn w:val="Heading1"/>
    <w:qFormat/>
    <w:rsid w:val="003628A8"/>
    <w:pPr>
      <w:spacing w:before="0"/>
    </w:pPr>
  </w:style>
  <w:style w:type="paragraph" w:styleId="BodyText">
    <w:name w:val="Body Text"/>
    <w:basedOn w:val="Normal"/>
    <w:link w:val="BodyTextChar"/>
    <w:uiPriority w:val="99"/>
    <w:semiHidden/>
    <w:unhideWhenUsed/>
    <w:rsid w:val="003628A8"/>
    <w:pPr>
      <w:spacing w:after="120"/>
    </w:pPr>
  </w:style>
  <w:style w:type="character" w:customStyle="1" w:styleId="BodyTextChar">
    <w:name w:val="Body Text Char"/>
    <w:basedOn w:val="DefaultParagraphFont"/>
    <w:link w:val="BodyText"/>
    <w:uiPriority w:val="99"/>
    <w:semiHidden/>
    <w:rsid w:val="003628A8"/>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4</TotalTime>
  <Pages>20</Pages>
  <Words>6826</Words>
  <Characters>40815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Communicable Diseases Intelligence - Epidemiology of respiratory syncytial virus in Central Queensland, Australia</vt:lpstr>
    </vt:vector>
  </TitlesOfParts>
  <Company>Interim Australian Centre for Disease Control</Company>
  <LinksUpToDate>false</LinksUpToDate>
  <CharactersWithSpaces>47546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Epidemiology of respiratory syncytial virus in Central Queensland, Australia</dc:title>
  <dc:subject>This study retrospectively examined the epidemiology and seasonality of Respiratory Syncytial Virus in the Central Queensland region over a twelve-month period. The findings of the study suggest that Respiratory Syncytial Virus season followed a distinctive winter peak, however, year-round transmission in sub-tropical Central Queensland has also been observed.</dc:subject>
  <dc:creator>Emma Gale;Nicolas Smoll;Mahmudul Hassan Al Imam;Jacina Walker;Michael Kirk;Sunday Pam;Robert Menzies;Gulam Khandaker</dc:creator>
  <cp:keywords>epidemiology; respiratory syncytial virus; seasonality; surveillance; Australia</cp:keywords>
  <dc:description>© Commonwealth of Australia CC BY-NC-ND</dc:description>
  <cp:revision>2</cp:revision>
  <cp:lastPrinted>2024-03-07T01:06:00Z</cp:lastPrinted>
  <dcterms:created xsi:type="dcterms:W3CDTF">2025-01-12T23:31:00Z</dcterms:created>
  <dcterms:modified xsi:type="dcterms:W3CDTF">2025-01-12T23:31:00Z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24/06/2024</vt:lpwstr>
  </property>
  <property fmtid="{D5CDD505-2E9C-101B-9397-08002B2CF9AE}" pid="5" name="DOI">
    <vt:lpwstr>https://doi.org/10.33321/cdi.2024.48.45</vt:lpwstr>
  </property>
</Properties>
</file>