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1351" w14:textId="3DA9C191" w:rsidR="00B50D8D" w:rsidRPr="00341720" w:rsidRDefault="00282B56" w:rsidP="00341720">
      <w:pPr>
        <w:pStyle w:val="CDIDOIInformation"/>
      </w:pPr>
      <w:r>
        <w:fldChar w:fldCharType="begin"/>
      </w:r>
      <w:r>
        <w:instrText xml:space="preserve"> DOCPROPERTY  Year  \* MERGEFORMAT </w:instrText>
      </w:r>
      <w:r>
        <w:fldChar w:fldCharType="separate"/>
      </w:r>
      <w:r w:rsidR="00915CBA">
        <w:t>2024</w:t>
      </w:r>
      <w:r>
        <w:fldChar w:fldCharType="end"/>
      </w:r>
      <w:r w:rsidR="00A623E8" w:rsidRPr="00341720">
        <w:t xml:space="preserve"> • </w:t>
      </w:r>
      <w:r w:rsidR="00B50D8D" w:rsidRPr="00341720">
        <w:t xml:space="preserve">Volume </w:t>
      </w:r>
      <w:fldSimple w:instr=" DOCPROPERTY  Vol  \* MERGEFORMAT ">
        <w:r w:rsidR="00915CBA">
          <w:t>48</w:t>
        </w:r>
      </w:fldSimple>
      <w:r w:rsidR="00725C33" w:rsidRPr="00341720">
        <w:t xml:space="preserve"> </w:t>
      </w:r>
      <w:r w:rsidR="008E3F81" w:rsidRPr="00341720">
        <w:t>•</w:t>
      </w:r>
      <w:r w:rsidR="00725C33" w:rsidRPr="00341720">
        <w:t xml:space="preserve"> </w:t>
      </w:r>
      <w:fldSimple w:instr=" DOCPROPERTY  DOI  \* MERGEFORMAT ">
        <w:r w:rsidR="00915CBA">
          <w:t>https://doi.org/10.33321/cdi.2024.48.24</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915CBA">
          <w:t>24/06/2024</w:t>
        </w:r>
      </w:fldSimple>
    </w:p>
    <w:p w14:paraId="3A0CDD72" w14:textId="79704553" w:rsidR="00E30C30" w:rsidRPr="0037146D" w:rsidRDefault="00915CBA" w:rsidP="0037146D">
      <w:pPr>
        <w:pStyle w:val="Title"/>
        <w:divId w:val="935526654"/>
      </w:pPr>
      <w:r w:rsidRPr="00915CBA">
        <w:t>Pertussis notifications decline in Australia during COVID-19 non-pharmaceutical interventions, 2020–2021</w:t>
      </w:r>
    </w:p>
    <w:p w14:paraId="1A984225" w14:textId="5438F542" w:rsidR="007A33B9" w:rsidRPr="0037146D" w:rsidRDefault="00915CBA" w:rsidP="0037146D">
      <w:pPr>
        <w:pStyle w:val="Subtitle"/>
        <w:divId w:val="935526654"/>
      </w:pPr>
      <w:r w:rsidRPr="00915CBA">
        <w:t>Saskia van der Kooi, Frank Beard, Aditi Dey, Peter McIntyre, Chrissy Imai, Janaki Amin</w:t>
      </w:r>
    </w:p>
    <w:p w14:paraId="5E2E5636" w14:textId="77777777" w:rsidR="0037146D" w:rsidRDefault="0037146D" w:rsidP="0037146D">
      <w:pPr>
        <w:pStyle w:val="Heading1"/>
        <w:divId w:val="935526654"/>
        <w:rPr>
          <w:lang w:val="en-GB"/>
        </w:rPr>
      </w:pPr>
      <w:r>
        <w:rPr>
          <w:lang w:val="en-GB"/>
        </w:rPr>
        <w:t>Abstract</w:t>
      </w:r>
    </w:p>
    <w:p w14:paraId="32AE4E7A" w14:textId="667B9DCB" w:rsidR="00065A6B" w:rsidRDefault="00915CBA" w:rsidP="00065A6B">
      <w:pPr>
        <w:pStyle w:val="CDIBoxHeadingGreen"/>
        <w:divId w:val="935526654"/>
        <w:rPr>
          <w:lang w:val="en-GB"/>
        </w:rPr>
      </w:pPr>
      <w:r>
        <w:rPr>
          <w:lang w:val="en-GB"/>
        </w:rPr>
        <w:t>Background</w:t>
      </w:r>
    </w:p>
    <w:p w14:paraId="0956567D" w14:textId="77777777" w:rsidR="00915CBA" w:rsidRPr="00915CBA" w:rsidRDefault="00915CBA" w:rsidP="00915CBA">
      <w:pPr>
        <w:pStyle w:val="CDIBoxTextGreen"/>
        <w:divId w:val="935526654"/>
        <w:rPr>
          <w:lang w:val="en-GB"/>
        </w:rPr>
      </w:pPr>
      <w:r w:rsidRPr="00915CBA">
        <w:rPr>
          <w:lang w:val="en-GB"/>
        </w:rPr>
        <w:t>Following implementation of coronavirus diseases 2019 (COVID-19) non-pharmaceutical interventions (NPIs) in early 2020, declines in the incidence of other respiratory pathogens have been reported. This study aimed to assess the impact of these interventions on pertussis notifications in Australia.</w:t>
      </w:r>
    </w:p>
    <w:p w14:paraId="486044FE" w14:textId="7833D6CB" w:rsidR="00915CBA" w:rsidRDefault="00915CBA" w:rsidP="00915CBA">
      <w:pPr>
        <w:pStyle w:val="CDIBoxHeadingGreen"/>
        <w:divId w:val="935526654"/>
        <w:rPr>
          <w:lang w:val="en-GB"/>
        </w:rPr>
      </w:pPr>
      <w:r>
        <w:rPr>
          <w:lang w:val="en-GB"/>
        </w:rPr>
        <w:t>Methods</w:t>
      </w:r>
    </w:p>
    <w:p w14:paraId="2CED3D8A" w14:textId="77777777" w:rsidR="00915CBA" w:rsidRPr="00915CBA" w:rsidRDefault="00915CBA" w:rsidP="00915CBA">
      <w:pPr>
        <w:pStyle w:val="CDIBoxTextGreen"/>
        <w:divId w:val="935526654"/>
        <w:rPr>
          <w:lang w:val="en-GB"/>
        </w:rPr>
      </w:pPr>
      <w:r w:rsidRPr="00915CBA">
        <w:rPr>
          <w:lang w:val="en-GB"/>
        </w:rPr>
        <w:t>We compared monthly national notification rates for pertussis during the first two years of the COVID-19 pandemic (2020 and 2021) to those during the three pre-pandemic years (2017 to 2019). Incidence rate ratios (IRR) by age group and jurisdiction were calculated for 2020 and 2021 compared to the mean pre-pandemic annual notification rate.</w:t>
      </w:r>
    </w:p>
    <w:p w14:paraId="750D7C9E" w14:textId="1D49E4D8" w:rsidR="00915CBA" w:rsidRDefault="00915CBA" w:rsidP="00915CBA">
      <w:pPr>
        <w:pStyle w:val="CDIBoxHeadingGreen"/>
        <w:divId w:val="935526654"/>
        <w:rPr>
          <w:lang w:val="en-GB"/>
        </w:rPr>
      </w:pPr>
      <w:r>
        <w:rPr>
          <w:lang w:val="en-GB"/>
        </w:rPr>
        <w:t>Results</w:t>
      </w:r>
    </w:p>
    <w:p w14:paraId="0016191A" w14:textId="77777777" w:rsidR="00915CBA" w:rsidRPr="00915CBA" w:rsidRDefault="00915CBA" w:rsidP="00915CBA">
      <w:pPr>
        <w:pStyle w:val="CDIBoxTextGreen"/>
        <w:divId w:val="935526654"/>
        <w:rPr>
          <w:lang w:val="en-GB"/>
        </w:rPr>
      </w:pPr>
      <w:r w:rsidRPr="00915CBA">
        <w:rPr>
          <w:lang w:val="en-GB"/>
        </w:rPr>
        <w:t>A substantial progressive decline in pertussis notifications was seen across all age groups, with all-age notification rates more than 40% lower than the pre-pandemic period in all jurisdictions in 2020, and more than 80% lower in 2021. Notification rates decreased more slowly from a lower baseline in Victoria than in other states and territories, despite the stricter, more sustained NPIs implemented in Victoria.</w:t>
      </w:r>
    </w:p>
    <w:p w14:paraId="53A7C400" w14:textId="664528DE" w:rsidR="00915CBA" w:rsidRDefault="00915CBA" w:rsidP="00915CBA">
      <w:pPr>
        <w:pStyle w:val="CDIBoxHeadingGreen"/>
        <w:divId w:val="935526654"/>
        <w:rPr>
          <w:lang w:val="en-GB"/>
        </w:rPr>
      </w:pPr>
      <w:r>
        <w:rPr>
          <w:lang w:val="en-GB"/>
        </w:rPr>
        <w:t>Conclusion</w:t>
      </w:r>
    </w:p>
    <w:p w14:paraId="1D3E3AB9" w14:textId="40A7A575" w:rsidR="00915CBA" w:rsidRDefault="00915CBA" w:rsidP="00065A6B">
      <w:pPr>
        <w:pStyle w:val="CDIBoxTextGreen"/>
        <w:divId w:val="935526654"/>
        <w:rPr>
          <w:lang w:val="en-GB"/>
        </w:rPr>
      </w:pPr>
      <w:r w:rsidRPr="00915CBA">
        <w:rPr>
          <w:lang w:val="en-GB"/>
        </w:rPr>
        <w:t>The significant decrease in pertussis notifications across all jurisdictions and age groups has likely resulted in reduced infection-acquired immunity, making maintenance of high vaccine uptake, particularly among pregnant women and young infants, of key importance.</w:t>
      </w:r>
    </w:p>
    <w:p w14:paraId="6EDD6AFB" w14:textId="3DACE4DA" w:rsidR="00620509" w:rsidRPr="006D508B" w:rsidRDefault="00620509" w:rsidP="00915CBA">
      <w:pPr>
        <w:divId w:val="935526654"/>
        <w:rPr>
          <w:lang w:val="en-GB"/>
        </w:rPr>
      </w:pPr>
      <w:r w:rsidRPr="0037146D">
        <w:rPr>
          <w:lang w:val="en-GB"/>
        </w:rPr>
        <w:lastRenderedPageBreak/>
        <w:t xml:space="preserve">Keywords: </w:t>
      </w:r>
      <w:r w:rsidR="00915CBA" w:rsidRPr="00915CBA">
        <w:rPr>
          <w:lang w:val="en-GB"/>
        </w:rPr>
        <w:t>pertussis; VPD; COVID-19; nonpharmaceutical interventions; Australia</w:t>
      </w:r>
    </w:p>
    <w:p w14:paraId="1DB8D32C" w14:textId="77777777" w:rsidR="008A0736" w:rsidRDefault="008A0736" w:rsidP="008A0736">
      <w:pPr>
        <w:pStyle w:val="Heading1"/>
        <w:divId w:val="935526654"/>
      </w:pPr>
      <w:r>
        <w:t>Introduction</w:t>
      </w:r>
    </w:p>
    <w:p w14:paraId="7C68583D" w14:textId="77777777" w:rsidR="00A527AD" w:rsidRPr="00A527AD" w:rsidRDefault="00A527AD" w:rsidP="00A527AD">
      <w:pPr>
        <w:divId w:val="935526654"/>
        <w:rPr>
          <w:lang w:val="en-GB"/>
        </w:rPr>
      </w:pPr>
      <w:r w:rsidRPr="00A527AD">
        <w:rPr>
          <w:lang w:val="en-GB"/>
        </w:rPr>
        <w:t xml:space="preserve">Pertussis is a highly contagious, acute respiratory disease caused by droplet transmission of the </w:t>
      </w:r>
      <w:r w:rsidRPr="00A527AD">
        <w:rPr>
          <w:i/>
          <w:iCs/>
          <w:lang w:val="en-GB"/>
        </w:rPr>
        <w:t>Bordetella pertussis</w:t>
      </w:r>
      <w:r w:rsidRPr="00A527AD">
        <w:rPr>
          <w:lang w:val="en-GB"/>
        </w:rPr>
        <w:t xml:space="preserve"> bacterium.</w:t>
      </w:r>
      <w:r w:rsidRPr="00A527AD">
        <w:rPr>
          <w:vertAlign w:val="superscript"/>
          <w:lang w:val="en-GB"/>
        </w:rPr>
        <w:t>1</w:t>
      </w:r>
      <w:r w:rsidRPr="00A527AD">
        <w:rPr>
          <w:lang w:val="en-GB"/>
        </w:rPr>
        <w:t xml:space="preserve"> In Australia, where pertussis infection remains endemic, notifications display multiannual cycles, with epidemic peaks every three to four years.</w:t>
      </w:r>
      <w:r w:rsidRPr="00A527AD">
        <w:rPr>
          <w:vertAlign w:val="superscript"/>
          <w:lang w:val="en-GB"/>
        </w:rPr>
        <w:t>2</w:t>
      </w:r>
      <w:r w:rsidRPr="00A527AD">
        <w:rPr>
          <w:lang w:val="en-GB"/>
        </w:rPr>
        <w:t xml:space="preserve"> Between 2013 and 2018, pertussis was the second most frequently notified vaccine-preventable disease (VPD) in Australia, after influenza, with the highest national notification rates among children aged 9–11 years, followed by those aged 3 years.</w:t>
      </w:r>
      <w:r w:rsidRPr="00A527AD">
        <w:rPr>
          <w:vertAlign w:val="superscript"/>
          <w:lang w:val="en-GB"/>
        </w:rPr>
        <w:t>1</w:t>
      </w:r>
      <w:r w:rsidRPr="00A527AD">
        <w:rPr>
          <w:lang w:val="en-GB"/>
        </w:rPr>
        <w:t xml:space="preserve"> The highest morbidity and mortality from pertussis infection occurs in infants under 3 months of age, who are too young to receive more than one vaccine dose, with protection relying on maternal immunisation.</w:t>
      </w:r>
      <w:r w:rsidRPr="00A527AD">
        <w:rPr>
          <w:vertAlign w:val="superscript"/>
          <w:lang w:val="en-GB"/>
        </w:rPr>
        <w:t>3,4</w:t>
      </w:r>
      <w:r w:rsidRPr="00A527AD">
        <w:rPr>
          <w:lang w:val="en-GB"/>
        </w:rPr>
        <w:t xml:space="preserve"> Between 2013 and 2017, infants under 2 months of age and those aged 2–3 months had the highest mean annual pertussis hospitalisation rates (143 and 138 per 100,000 population respectively) of any age group.</w:t>
      </w:r>
      <w:r w:rsidRPr="00A527AD">
        <w:rPr>
          <w:vertAlign w:val="superscript"/>
          <w:lang w:val="en-GB"/>
        </w:rPr>
        <w:t>1</w:t>
      </w:r>
    </w:p>
    <w:p w14:paraId="4A0E15D8" w14:textId="77777777" w:rsidR="00A527AD" w:rsidRPr="00A527AD" w:rsidRDefault="00A527AD" w:rsidP="00A527AD">
      <w:pPr>
        <w:divId w:val="935526654"/>
        <w:rPr>
          <w:lang w:val="en-GB"/>
        </w:rPr>
      </w:pPr>
      <w:r w:rsidRPr="00A527AD">
        <w:rPr>
          <w:lang w:val="en-GB"/>
        </w:rPr>
        <w:t>In March 2020, after the World Health Organization (WHO) declared coronavirus disease 2019 (COVID-19) a pandemic,</w:t>
      </w:r>
      <w:r w:rsidRPr="00A527AD">
        <w:rPr>
          <w:vertAlign w:val="superscript"/>
          <w:lang w:val="en-GB"/>
        </w:rPr>
        <w:t>5</w:t>
      </w:r>
      <w:r w:rsidRPr="00A527AD">
        <w:rPr>
          <w:lang w:val="en-GB"/>
        </w:rPr>
        <w:t xml:space="preserve"> Australia adopted a range of non-pharmaceutical interventions (NPIs) to control disease transmission, including national and jurisdictional border closures, stay at home orders, and mask mandates.</w:t>
      </w:r>
      <w:r w:rsidRPr="00A527AD">
        <w:rPr>
          <w:vertAlign w:val="superscript"/>
          <w:lang w:val="en-GB"/>
        </w:rPr>
        <w:t>6</w:t>
      </w:r>
      <w:r w:rsidRPr="00A527AD">
        <w:rPr>
          <w:lang w:val="en-GB"/>
        </w:rPr>
        <w:t xml:space="preserve"> In addition to the near elimination of COVID-19 in 2020, COVID-19-targeted public health measures dramatically reduced the transmission of other infectious diseases.</w:t>
      </w:r>
      <w:r w:rsidRPr="00A527AD">
        <w:rPr>
          <w:vertAlign w:val="superscript"/>
          <w:lang w:val="en-GB"/>
        </w:rPr>
        <w:t>7,8</w:t>
      </w:r>
      <w:r w:rsidRPr="00A527AD">
        <w:rPr>
          <w:lang w:val="en-GB"/>
        </w:rPr>
        <w:t xml:space="preserve"> This was most notable for viral infections transmitted by the respiratory route, such as respiratory syncytial virus (RSV) and influenza.</w:t>
      </w:r>
      <w:r w:rsidRPr="00A527AD">
        <w:rPr>
          <w:vertAlign w:val="superscript"/>
          <w:lang w:val="en-GB"/>
        </w:rPr>
        <w:t>9–13</w:t>
      </w:r>
      <w:r w:rsidRPr="00A527AD">
        <w:rPr>
          <w:lang w:val="en-GB"/>
        </w:rPr>
        <w:t xml:space="preserve"> Declines in pertussis notifications following implementation of COVID-19 NPIs have been reported in early national and regional data,</w:t>
      </w:r>
      <w:r w:rsidRPr="00A527AD">
        <w:rPr>
          <w:vertAlign w:val="superscript"/>
          <w:lang w:val="en-GB"/>
        </w:rPr>
        <w:t>7,13,14</w:t>
      </w:r>
      <w:r w:rsidRPr="00A527AD">
        <w:rPr>
          <w:lang w:val="en-GB"/>
        </w:rPr>
        <w:t xml:space="preserve"> but longer-term data analyses by jurisdiction and age group are lacking. We compared notification data in 2020 and 2021 with three pre-pandemic years by jurisdiction and age group.</w:t>
      </w:r>
    </w:p>
    <w:p w14:paraId="0594A5A1" w14:textId="77777777" w:rsidR="008A0736" w:rsidRDefault="008A0736" w:rsidP="008A0736">
      <w:pPr>
        <w:pStyle w:val="Heading1"/>
        <w:divId w:val="935526654"/>
        <w:rPr>
          <w:lang w:val="en-GB"/>
        </w:rPr>
      </w:pPr>
      <w:r>
        <w:rPr>
          <w:lang w:val="en-GB"/>
        </w:rPr>
        <w:t>Methods</w:t>
      </w:r>
    </w:p>
    <w:p w14:paraId="32A2C15E" w14:textId="3D02A8D8" w:rsidR="008A0736" w:rsidRDefault="00A527AD" w:rsidP="00A527AD">
      <w:pPr>
        <w:pStyle w:val="Heading2"/>
        <w:divId w:val="935526654"/>
        <w:rPr>
          <w:lang w:val="en-GB"/>
        </w:rPr>
      </w:pPr>
      <w:r>
        <w:rPr>
          <w:lang w:val="en-GB"/>
        </w:rPr>
        <w:t>Study design</w:t>
      </w:r>
    </w:p>
    <w:p w14:paraId="675B3834" w14:textId="77777777" w:rsidR="00A527AD" w:rsidRPr="00A527AD" w:rsidRDefault="00A527AD" w:rsidP="00A527AD">
      <w:pPr>
        <w:divId w:val="935526654"/>
        <w:rPr>
          <w:lang w:val="en-GB"/>
        </w:rPr>
      </w:pPr>
      <w:r w:rsidRPr="00A527AD">
        <w:rPr>
          <w:lang w:val="en-GB"/>
        </w:rPr>
        <w:t>In this descriptive study, we examined trends in pertussis notifications during 2020 and 2021 against the three years 2017 to 2019. We did not include the years 2015 and 2016 in the comparator period because both were pertussis epidemic years.</w:t>
      </w:r>
      <w:r w:rsidRPr="00A527AD">
        <w:rPr>
          <w:vertAlign w:val="superscript"/>
          <w:lang w:val="en-GB"/>
        </w:rPr>
        <w:t>1</w:t>
      </w:r>
    </w:p>
    <w:p w14:paraId="193206C0" w14:textId="4FFFF807" w:rsidR="00A527AD" w:rsidRDefault="00A527AD" w:rsidP="00A527AD">
      <w:pPr>
        <w:pStyle w:val="Heading2"/>
        <w:divId w:val="935526654"/>
        <w:rPr>
          <w:lang w:val="en-GB"/>
        </w:rPr>
      </w:pPr>
      <w:r>
        <w:rPr>
          <w:lang w:val="en-GB"/>
        </w:rPr>
        <w:t>Data</w:t>
      </w:r>
    </w:p>
    <w:p w14:paraId="5451C543" w14:textId="77777777" w:rsidR="00A527AD" w:rsidRPr="00A527AD" w:rsidRDefault="00A527AD" w:rsidP="00A527AD">
      <w:pPr>
        <w:divId w:val="935526654"/>
        <w:rPr>
          <w:lang w:val="en-GB"/>
        </w:rPr>
      </w:pPr>
      <w:r w:rsidRPr="00A527AD">
        <w:rPr>
          <w:lang w:val="en-GB"/>
        </w:rPr>
        <w:t>Pertussis is a notifiable disease under public health legislation in all states and territories. Registered medical practitioners and pathology laboratories are required to report cases to state and territory health departments, which supply de-identified data to the National Notifiable Diseases Surveillance System (NNDSS).</w:t>
      </w:r>
      <w:r w:rsidRPr="00A527AD">
        <w:rPr>
          <w:vertAlign w:val="superscript"/>
          <w:lang w:val="en-GB"/>
        </w:rPr>
        <w:t>15</w:t>
      </w:r>
      <w:r w:rsidRPr="00A527AD">
        <w:rPr>
          <w:lang w:val="en-GB"/>
        </w:rPr>
        <w:t xml:space="preserve"> For surveillance purposes, a confirmed pertussis case requires laboratory evidence such as isolation of </w:t>
      </w:r>
      <w:r w:rsidRPr="00A527AD">
        <w:rPr>
          <w:i/>
          <w:iCs/>
          <w:lang w:val="en-GB"/>
        </w:rPr>
        <w:t>B. pertussis</w:t>
      </w:r>
      <w:r w:rsidRPr="00A527AD">
        <w:rPr>
          <w:lang w:val="en-GB"/>
        </w:rPr>
        <w:t xml:space="preserve"> by culture or detection by nucleic acid testing, and a probable case requires both clinical and epidemiological evidence.</w:t>
      </w:r>
      <w:r w:rsidRPr="00A527AD">
        <w:rPr>
          <w:vertAlign w:val="superscript"/>
          <w:lang w:val="en-GB"/>
        </w:rPr>
        <w:t>16</w:t>
      </w:r>
      <w:r w:rsidRPr="00A527AD">
        <w:rPr>
          <w:lang w:val="en-GB"/>
        </w:rPr>
        <w:t xml:space="preserve"> Monthly pertussis notification data stratified into five-year age groups between January 2015 and December 2021 were obtained from the NNDSS.</w:t>
      </w:r>
    </w:p>
    <w:p w14:paraId="526C66C2" w14:textId="36A280B2" w:rsidR="00A527AD" w:rsidRDefault="00A527AD" w:rsidP="00A527AD">
      <w:pPr>
        <w:pStyle w:val="Heading2"/>
        <w:divId w:val="935526654"/>
        <w:rPr>
          <w:lang w:val="en-GB"/>
        </w:rPr>
      </w:pPr>
      <w:r>
        <w:rPr>
          <w:lang w:val="en-GB"/>
        </w:rPr>
        <w:lastRenderedPageBreak/>
        <w:t>Timeline of state and territory public health measures</w:t>
      </w:r>
    </w:p>
    <w:p w14:paraId="34DAF002" w14:textId="77777777" w:rsidR="00A527AD" w:rsidRPr="00A527AD" w:rsidRDefault="00A527AD" w:rsidP="00A527AD">
      <w:pPr>
        <w:divId w:val="935526654"/>
        <w:rPr>
          <w:lang w:val="en-GB"/>
        </w:rPr>
      </w:pPr>
      <w:r w:rsidRPr="00A527AD">
        <w:rPr>
          <w:lang w:val="en-GB"/>
        </w:rPr>
        <w:t>Chronologies of COVID-19 public health measures for each state and territory (stay at home orders [lockdowns] and associated mandatory wearing of face masks outside the home) were sourced from reports published by the Parliament of Australia,</w:t>
      </w:r>
      <w:r w:rsidRPr="00A527AD">
        <w:rPr>
          <w:vertAlign w:val="superscript"/>
          <w:lang w:val="en-GB"/>
        </w:rPr>
        <w:t>6</w:t>
      </w:r>
      <w:r w:rsidRPr="00A527AD">
        <w:rPr>
          <w:lang w:val="en-GB"/>
        </w:rPr>
        <w:t xml:space="preserve"> from the Australian Bureau of Statistics (ABS),</w:t>
      </w:r>
      <w:r w:rsidRPr="00A527AD">
        <w:rPr>
          <w:vertAlign w:val="superscript"/>
          <w:lang w:val="en-GB"/>
        </w:rPr>
        <w:t>17</w:t>
      </w:r>
      <w:r w:rsidRPr="00A527AD">
        <w:rPr>
          <w:lang w:val="en-GB"/>
        </w:rPr>
        <w:t xml:space="preserve"> and from state and territory Government media releases.</w:t>
      </w:r>
    </w:p>
    <w:p w14:paraId="0BD9BAB0" w14:textId="1655CAF3" w:rsidR="00A527AD" w:rsidRDefault="00A527AD" w:rsidP="00A527AD">
      <w:pPr>
        <w:pStyle w:val="Heading2"/>
        <w:divId w:val="935526654"/>
        <w:rPr>
          <w:lang w:val="en-GB"/>
        </w:rPr>
      </w:pPr>
      <w:r>
        <w:rPr>
          <w:lang w:val="en-GB"/>
        </w:rPr>
        <w:t>Analysis</w:t>
      </w:r>
    </w:p>
    <w:p w14:paraId="1A36EE6D" w14:textId="77777777" w:rsidR="00A527AD" w:rsidRPr="00A527AD" w:rsidRDefault="00A527AD" w:rsidP="00A527AD">
      <w:pPr>
        <w:divId w:val="935526654"/>
        <w:rPr>
          <w:lang w:val="en-GB"/>
        </w:rPr>
      </w:pPr>
      <w:r w:rsidRPr="00A527AD">
        <w:rPr>
          <w:lang w:val="en-GB"/>
        </w:rPr>
        <w:t>For each jurisdiction, we compared mean monthly pertussis notifications for the pre-pandemic period (2017–2019) to notifications for each month in 2020 and 2021. Annual notification rates per 100,000 population were calculated by dividing the total annual pertussis notifications by the mid-year estimated population of each jurisdiction and multiplying by 100,000. Population data were sourced from the ABS Quarterly Population Estimates.</w:t>
      </w:r>
      <w:r w:rsidRPr="00A527AD">
        <w:rPr>
          <w:vertAlign w:val="superscript"/>
          <w:lang w:val="en-GB"/>
        </w:rPr>
        <w:t>18</w:t>
      </w:r>
      <w:r w:rsidRPr="00A527AD">
        <w:rPr>
          <w:lang w:val="en-GB"/>
        </w:rPr>
        <w:t xml:space="preserve"> Incidence rate ratios and 95% confidence intervals (IRR, 95% CI) were calculated for the annual notification rate for 2020 and 2021 compared to the mean annual notification rate for 2017 to 2019.</w:t>
      </w:r>
    </w:p>
    <w:p w14:paraId="48659C72" w14:textId="77777777" w:rsidR="00A527AD" w:rsidRPr="00A527AD" w:rsidRDefault="00A527AD" w:rsidP="00A527AD">
      <w:pPr>
        <w:divId w:val="935526654"/>
        <w:rPr>
          <w:lang w:val="en-GB"/>
        </w:rPr>
      </w:pPr>
      <w:r w:rsidRPr="00A527AD">
        <w:rPr>
          <w:lang w:val="en-GB"/>
        </w:rPr>
        <w:t>Age-stratified notification rates and IRRs were calculated for the age groups 0–4, 5–14, 15–24, 25–69, and ≥ 70 years for each jurisdiction and nationally.</w:t>
      </w:r>
    </w:p>
    <w:p w14:paraId="7D2F9AE0" w14:textId="77777777" w:rsidR="00A527AD" w:rsidRPr="00A527AD" w:rsidRDefault="00A527AD" w:rsidP="00A527AD">
      <w:pPr>
        <w:divId w:val="935526654"/>
        <w:rPr>
          <w:lang w:val="en-GB"/>
        </w:rPr>
      </w:pPr>
      <w:r w:rsidRPr="00A527AD">
        <w:rPr>
          <w:lang w:val="en-GB"/>
        </w:rPr>
        <w:t>Data were analysed using Stata 17.0.</w:t>
      </w:r>
    </w:p>
    <w:p w14:paraId="517CAD5B" w14:textId="5ACC65A5" w:rsidR="00A527AD" w:rsidRDefault="00A527AD" w:rsidP="00A527AD">
      <w:pPr>
        <w:pStyle w:val="Heading2"/>
        <w:divId w:val="935526654"/>
        <w:rPr>
          <w:lang w:val="en-GB"/>
        </w:rPr>
      </w:pPr>
      <w:r>
        <w:rPr>
          <w:lang w:val="en-GB"/>
        </w:rPr>
        <w:t>Ethics</w:t>
      </w:r>
    </w:p>
    <w:p w14:paraId="42444E97" w14:textId="62A903EE" w:rsidR="00824584" w:rsidRDefault="00A527AD" w:rsidP="00824584">
      <w:pPr>
        <w:rPr>
          <w:lang w:val="en-GB"/>
        </w:rPr>
      </w:pPr>
      <w:r w:rsidRPr="00A527AD">
        <w:rPr>
          <w:lang w:val="en-GB"/>
        </w:rPr>
        <w:t>Institutional ethics approval was provided by the Macquarie University Human Research Ethics Committee (HREC520221151037299).</w:t>
      </w:r>
      <w:r w:rsidR="00824584">
        <w:rPr>
          <w:lang w:val="en-GB"/>
        </w:rPr>
        <w:br w:type="page"/>
      </w:r>
    </w:p>
    <w:p w14:paraId="28E10F9D" w14:textId="77777777" w:rsidR="008A0736" w:rsidRDefault="008A0736" w:rsidP="008A0736">
      <w:pPr>
        <w:pStyle w:val="Heading1"/>
        <w:divId w:val="935526654"/>
        <w:rPr>
          <w:lang w:val="en-GB"/>
        </w:rPr>
      </w:pPr>
      <w:r>
        <w:rPr>
          <w:lang w:val="en-GB"/>
        </w:rPr>
        <w:lastRenderedPageBreak/>
        <w:t>Results</w:t>
      </w:r>
    </w:p>
    <w:p w14:paraId="5D20B30E" w14:textId="0E9FC4F6" w:rsidR="008A0736" w:rsidRDefault="00A527AD" w:rsidP="00A527AD">
      <w:pPr>
        <w:pStyle w:val="Heading2"/>
        <w:divId w:val="935526654"/>
      </w:pPr>
      <w:r w:rsidRPr="00A527AD">
        <w:t>Pertussis notifications</w:t>
      </w:r>
    </w:p>
    <w:p w14:paraId="442BF7D9" w14:textId="0B12C46E" w:rsidR="00A527AD" w:rsidRDefault="00A527AD" w:rsidP="00A527AD">
      <w:pPr>
        <w:pStyle w:val="Heading3"/>
        <w:divId w:val="935526654"/>
      </w:pPr>
      <w:r>
        <w:t>Australia</w:t>
      </w:r>
    </w:p>
    <w:p w14:paraId="1021E862" w14:textId="77777777" w:rsidR="00A527AD" w:rsidRDefault="00A527AD" w:rsidP="00A527AD">
      <w:pPr>
        <w:divId w:val="935526654"/>
        <w:rPr>
          <w:lang w:val="en-GB"/>
        </w:rPr>
      </w:pPr>
      <w:r w:rsidRPr="00A527AD">
        <w:rPr>
          <w:lang w:val="en-GB"/>
        </w:rPr>
        <w:t>Between 2017 and 2021, a total of 40,850 pertussis notifications were recorded in the NNDSS. Annual notification rates were between 47.5 and 50.4 per 100,000 population between 2017 and 2019, before falling steeply to 13.5 per 100,000 in 2020 and to 2.1 per 100,000 in 2021. Compared to the 2017 to 2019 mean of 49.2 per 100,000 population, notification rates were 72.6% lower in 2020 (IRR: 0.27; 95% CI: 0.26–0.28) and 95.6% lower in 2021 (IRR: 0.04; 95% CI: 0.04–0.05) (Table 1).</w:t>
      </w:r>
    </w:p>
    <w:p w14:paraId="43C5988C" w14:textId="5B1F59B2" w:rsidR="00A527AD" w:rsidRDefault="00A527AD" w:rsidP="00A527AD">
      <w:pPr>
        <w:pStyle w:val="CDIFigure-Table-Title"/>
        <w:divId w:val="935526654"/>
      </w:pPr>
      <w:r w:rsidRPr="00A527AD">
        <w:t>Table 1: Pertussis notification rates for 2020 and 2021 compared to the 2017 to 2019 mean annual rate, by age group, Australia</w:t>
      </w:r>
    </w:p>
    <w:tbl>
      <w:tblPr>
        <w:tblW w:w="9638" w:type="dxa"/>
        <w:tblInd w:w="-8" w:type="dxa"/>
        <w:tblLayout w:type="fixed"/>
        <w:tblCellMar>
          <w:left w:w="0" w:type="dxa"/>
          <w:right w:w="0" w:type="dxa"/>
        </w:tblCellMar>
        <w:tblLook w:val="0000" w:firstRow="0" w:lastRow="0" w:firstColumn="0" w:lastColumn="0" w:noHBand="0" w:noVBand="0"/>
        <w:tblCaption w:val="Table 1: Pertussis notification rates for 2020 and 2021 compared to the 2017 to 2019 mean annual rate, by age group, Australia"/>
        <w:tblDescription w:val="Table 1 shows pertussis notification rates per 100,000 population for 2020 and 2021 compared to the mean annual rate for 2017 to 2019, with incidence rate ratios and 95% confidence intervals, by age group in Australia."/>
      </w:tblPr>
      <w:tblGrid>
        <w:gridCol w:w="1701"/>
        <w:gridCol w:w="1134"/>
        <w:gridCol w:w="1134"/>
        <w:gridCol w:w="1133"/>
        <w:gridCol w:w="1134"/>
        <w:gridCol w:w="1134"/>
        <w:gridCol w:w="1134"/>
        <w:gridCol w:w="1134"/>
      </w:tblGrid>
      <w:tr w:rsidR="001B31B4" w:rsidRPr="001B31B4" w14:paraId="329B8FDF" w14:textId="77777777" w:rsidTr="001B31B4">
        <w:trPr>
          <w:divId w:val="935526654"/>
          <w:trHeight w:val="20"/>
          <w:tblHeader/>
        </w:trPr>
        <w:tc>
          <w:tcPr>
            <w:tcW w:w="1701" w:type="dxa"/>
            <w:vMerge w:val="restart"/>
            <w:tcBorders>
              <w:right w:val="single" w:sz="6" w:space="0" w:color="FFFFFF" w:themeColor="background1"/>
            </w:tcBorders>
            <w:shd w:val="clear" w:color="auto" w:fill="033636" w:themeFill="text2"/>
            <w:tcMar>
              <w:top w:w="108" w:type="dxa"/>
              <w:left w:w="113" w:type="dxa"/>
              <w:bottom w:w="108" w:type="dxa"/>
              <w:right w:w="113" w:type="dxa"/>
            </w:tcMar>
            <w:vAlign w:val="bottom"/>
          </w:tcPr>
          <w:p w14:paraId="547C96E3" w14:textId="7E7034AF" w:rsidR="001B31B4" w:rsidRPr="001B31B4" w:rsidRDefault="001B31B4" w:rsidP="001B31B4">
            <w:pPr>
              <w:pStyle w:val="CDIFigure-Table-H1Left"/>
            </w:pPr>
            <w:r w:rsidRPr="001B31B4">
              <w:t>Age group (years)</w:t>
            </w:r>
          </w:p>
        </w:tc>
        <w:tc>
          <w:tcPr>
            <w:tcW w:w="3401" w:type="dxa"/>
            <w:gridSpan w:val="3"/>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08" w:type="dxa"/>
              <w:left w:w="113" w:type="dxa"/>
              <w:bottom w:w="108" w:type="dxa"/>
              <w:right w:w="113" w:type="dxa"/>
            </w:tcMar>
            <w:vAlign w:val="bottom"/>
          </w:tcPr>
          <w:p w14:paraId="4AB57089" w14:textId="7834A2C3" w:rsidR="001B31B4" w:rsidRPr="001B31B4" w:rsidRDefault="001B31B4" w:rsidP="001B31B4">
            <w:pPr>
              <w:pStyle w:val="CDIFigure-Table-H1"/>
            </w:pPr>
            <w:r w:rsidRPr="001B31B4">
              <w:t>Notification rate per 100,000 population</w:t>
            </w:r>
            <w:r>
              <w:t> </w:t>
            </w:r>
            <w:r w:rsidRPr="001B31B4">
              <w:t>per year</w:t>
            </w:r>
          </w:p>
        </w:tc>
        <w:tc>
          <w:tcPr>
            <w:tcW w:w="226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08" w:type="dxa"/>
              <w:left w:w="113" w:type="dxa"/>
              <w:bottom w:w="108" w:type="dxa"/>
              <w:right w:w="113" w:type="dxa"/>
            </w:tcMar>
            <w:vAlign w:val="bottom"/>
          </w:tcPr>
          <w:p w14:paraId="2DAB0B17" w14:textId="77777777" w:rsidR="001B31B4" w:rsidRPr="001B31B4" w:rsidRDefault="001B31B4" w:rsidP="001B31B4">
            <w:pPr>
              <w:pStyle w:val="CDIFigure-Table-H1"/>
            </w:pPr>
            <w:r w:rsidRPr="001B31B4">
              <w:t>2020 vs. 2017–2019</w:t>
            </w:r>
            <w:r w:rsidRPr="001B31B4">
              <w:rPr>
                <w:vertAlign w:val="superscript"/>
              </w:rPr>
              <w:t>a</w:t>
            </w:r>
          </w:p>
        </w:tc>
        <w:tc>
          <w:tcPr>
            <w:tcW w:w="2268" w:type="dxa"/>
            <w:gridSpan w:val="2"/>
            <w:tcBorders>
              <w:left w:val="single" w:sz="6" w:space="0" w:color="FFFFFF" w:themeColor="background1"/>
              <w:bottom w:val="single" w:sz="6" w:space="0" w:color="FFFFFF" w:themeColor="background1"/>
            </w:tcBorders>
            <w:shd w:val="clear" w:color="auto" w:fill="033636" w:themeFill="text2"/>
            <w:tcMar>
              <w:top w:w="108" w:type="dxa"/>
              <w:left w:w="113" w:type="dxa"/>
              <w:bottom w:w="108" w:type="dxa"/>
              <w:right w:w="113" w:type="dxa"/>
            </w:tcMar>
            <w:vAlign w:val="bottom"/>
          </w:tcPr>
          <w:p w14:paraId="15D54A99" w14:textId="77777777" w:rsidR="001B31B4" w:rsidRPr="001B31B4" w:rsidRDefault="001B31B4" w:rsidP="001B31B4">
            <w:pPr>
              <w:pStyle w:val="CDIFigure-Table-H1"/>
            </w:pPr>
            <w:r w:rsidRPr="001B31B4">
              <w:t>2021 vs. 2017–2019</w:t>
            </w:r>
            <w:r w:rsidRPr="001B31B4">
              <w:rPr>
                <w:vertAlign w:val="superscript"/>
              </w:rPr>
              <w:t>a</w:t>
            </w:r>
          </w:p>
        </w:tc>
      </w:tr>
      <w:tr w:rsidR="001B31B4" w:rsidRPr="001B31B4" w14:paraId="7194D04B" w14:textId="77777777" w:rsidTr="001B31B4">
        <w:trPr>
          <w:divId w:val="935526654"/>
          <w:trHeight w:val="20"/>
          <w:tblHeader/>
        </w:trPr>
        <w:tc>
          <w:tcPr>
            <w:tcW w:w="1701" w:type="dxa"/>
            <w:vMerge/>
            <w:tcBorders>
              <w:right w:val="single" w:sz="6" w:space="0" w:color="FFFFFF" w:themeColor="background1"/>
            </w:tcBorders>
            <w:shd w:val="clear" w:color="auto" w:fill="033636" w:themeFill="text2"/>
            <w:tcMar>
              <w:top w:w="108" w:type="dxa"/>
              <w:left w:w="113" w:type="dxa"/>
              <w:bottom w:w="108" w:type="dxa"/>
              <w:right w:w="113" w:type="dxa"/>
            </w:tcMar>
            <w:vAlign w:val="bottom"/>
          </w:tcPr>
          <w:p w14:paraId="14EB3202" w14:textId="50E864CF" w:rsidR="001B31B4" w:rsidRPr="001B31B4" w:rsidRDefault="001B31B4" w:rsidP="001B31B4"/>
        </w:tc>
        <w:tc>
          <w:tcPr>
            <w:tcW w:w="1134" w:type="dxa"/>
            <w:tcBorders>
              <w:top w:val="single" w:sz="6" w:space="0" w:color="FFFFFF" w:themeColor="background1"/>
              <w:left w:val="single" w:sz="6" w:space="0" w:color="FFFFFF" w:themeColor="background1"/>
            </w:tcBorders>
            <w:shd w:val="clear" w:color="auto" w:fill="033636" w:themeFill="text2"/>
            <w:tcMar>
              <w:top w:w="108" w:type="dxa"/>
              <w:left w:w="113" w:type="dxa"/>
              <w:bottom w:w="108" w:type="dxa"/>
              <w:right w:w="113" w:type="dxa"/>
            </w:tcMar>
            <w:vAlign w:val="bottom"/>
          </w:tcPr>
          <w:p w14:paraId="1DEA41F5" w14:textId="77777777" w:rsidR="001B31B4" w:rsidRPr="001B31B4" w:rsidRDefault="001B31B4" w:rsidP="001B31B4">
            <w:pPr>
              <w:pStyle w:val="CDIFigure-Table-H1"/>
            </w:pPr>
            <w:r w:rsidRPr="001B31B4">
              <w:t>2017 to 2019 mean</w:t>
            </w:r>
          </w:p>
        </w:tc>
        <w:tc>
          <w:tcPr>
            <w:tcW w:w="1134" w:type="dxa"/>
            <w:tcBorders>
              <w:top w:val="single" w:sz="6" w:space="0" w:color="FFFFFF" w:themeColor="background1"/>
            </w:tcBorders>
            <w:shd w:val="clear" w:color="auto" w:fill="033636" w:themeFill="text2"/>
            <w:tcMar>
              <w:top w:w="108" w:type="dxa"/>
              <w:left w:w="113" w:type="dxa"/>
              <w:bottom w:w="108" w:type="dxa"/>
              <w:right w:w="113" w:type="dxa"/>
            </w:tcMar>
            <w:vAlign w:val="bottom"/>
          </w:tcPr>
          <w:p w14:paraId="3EF11591" w14:textId="77777777" w:rsidR="001B31B4" w:rsidRPr="001B31B4" w:rsidRDefault="001B31B4" w:rsidP="001B31B4">
            <w:pPr>
              <w:pStyle w:val="CDIFigure-Table-H1"/>
            </w:pPr>
            <w:r w:rsidRPr="001B31B4">
              <w:t>2020</w:t>
            </w:r>
          </w:p>
        </w:tc>
        <w:tc>
          <w:tcPr>
            <w:tcW w:w="1133" w:type="dxa"/>
            <w:tcBorders>
              <w:top w:val="single" w:sz="6" w:space="0" w:color="FFFFFF" w:themeColor="background1"/>
              <w:right w:val="single" w:sz="6" w:space="0" w:color="FFFFFF" w:themeColor="background1"/>
            </w:tcBorders>
            <w:shd w:val="clear" w:color="auto" w:fill="033636" w:themeFill="text2"/>
            <w:tcMar>
              <w:top w:w="108" w:type="dxa"/>
              <w:left w:w="113" w:type="dxa"/>
              <w:bottom w:w="108" w:type="dxa"/>
              <w:right w:w="113" w:type="dxa"/>
            </w:tcMar>
            <w:vAlign w:val="bottom"/>
          </w:tcPr>
          <w:p w14:paraId="41D5330B" w14:textId="77777777" w:rsidR="001B31B4" w:rsidRPr="001B31B4" w:rsidRDefault="001B31B4" w:rsidP="001B31B4">
            <w:pPr>
              <w:pStyle w:val="CDIFigure-Table-H1"/>
            </w:pPr>
            <w:r w:rsidRPr="001B31B4">
              <w:t>2021</w:t>
            </w:r>
          </w:p>
        </w:tc>
        <w:tc>
          <w:tcPr>
            <w:tcW w:w="1134" w:type="dxa"/>
            <w:tcBorders>
              <w:top w:val="single" w:sz="6" w:space="0" w:color="FFFFFF" w:themeColor="background1"/>
              <w:left w:val="single" w:sz="6" w:space="0" w:color="FFFFFF" w:themeColor="background1"/>
            </w:tcBorders>
            <w:shd w:val="clear" w:color="auto" w:fill="033636" w:themeFill="text2"/>
            <w:tcMar>
              <w:top w:w="108" w:type="dxa"/>
              <w:left w:w="113" w:type="dxa"/>
              <w:bottom w:w="108" w:type="dxa"/>
              <w:right w:w="113" w:type="dxa"/>
            </w:tcMar>
            <w:vAlign w:val="bottom"/>
          </w:tcPr>
          <w:p w14:paraId="2B13FEE5" w14:textId="77777777" w:rsidR="001B31B4" w:rsidRPr="001B31B4" w:rsidRDefault="001B31B4" w:rsidP="001B31B4">
            <w:pPr>
              <w:pStyle w:val="CDIFigure-Table-H1"/>
            </w:pPr>
            <w:r w:rsidRPr="001B31B4">
              <w:t>IRR</w:t>
            </w:r>
          </w:p>
        </w:tc>
        <w:tc>
          <w:tcPr>
            <w:tcW w:w="1134" w:type="dxa"/>
            <w:tcBorders>
              <w:top w:val="single" w:sz="6" w:space="0" w:color="FFFFFF" w:themeColor="background1"/>
              <w:right w:val="single" w:sz="6" w:space="0" w:color="FFFFFF" w:themeColor="background1"/>
            </w:tcBorders>
            <w:shd w:val="clear" w:color="auto" w:fill="033636" w:themeFill="text2"/>
            <w:tcMar>
              <w:top w:w="108" w:type="dxa"/>
              <w:left w:w="113" w:type="dxa"/>
              <w:bottom w:w="108" w:type="dxa"/>
              <w:right w:w="113" w:type="dxa"/>
            </w:tcMar>
            <w:vAlign w:val="bottom"/>
          </w:tcPr>
          <w:p w14:paraId="39265F20" w14:textId="77777777" w:rsidR="001B31B4" w:rsidRPr="001B31B4" w:rsidRDefault="001B31B4" w:rsidP="001B31B4">
            <w:pPr>
              <w:pStyle w:val="CDIFigure-Table-H1"/>
            </w:pPr>
            <w:r w:rsidRPr="001B31B4">
              <w:t>95% CI</w:t>
            </w:r>
          </w:p>
        </w:tc>
        <w:tc>
          <w:tcPr>
            <w:tcW w:w="1134" w:type="dxa"/>
            <w:tcBorders>
              <w:top w:val="single" w:sz="6" w:space="0" w:color="FFFFFF" w:themeColor="background1"/>
              <w:left w:val="single" w:sz="6" w:space="0" w:color="FFFFFF" w:themeColor="background1"/>
            </w:tcBorders>
            <w:shd w:val="clear" w:color="auto" w:fill="033636" w:themeFill="text2"/>
            <w:tcMar>
              <w:top w:w="108" w:type="dxa"/>
              <w:left w:w="113" w:type="dxa"/>
              <w:bottom w:w="108" w:type="dxa"/>
              <w:right w:w="113" w:type="dxa"/>
            </w:tcMar>
            <w:vAlign w:val="bottom"/>
          </w:tcPr>
          <w:p w14:paraId="101C107D" w14:textId="77777777" w:rsidR="001B31B4" w:rsidRPr="001B31B4" w:rsidRDefault="001B31B4" w:rsidP="001B31B4">
            <w:pPr>
              <w:pStyle w:val="CDIFigure-Table-H1"/>
            </w:pPr>
            <w:r w:rsidRPr="001B31B4">
              <w:t>IRR</w:t>
            </w:r>
          </w:p>
        </w:tc>
        <w:tc>
          <w:tcPr>
            <w:tcW w:w="1134" w:type="dxa"/>
            <w:tcBorders>
              <w:top w:val="single" w:sz="6" w:space="0" w:color="FFFFFF" w:themeColor="background1"/>
            </w:tcBorders>
            <w:shd w:val="clear" w:color="auto" w:fill="033636" w:themeFill="text2"/>
            <w:tcMar>
              <w:top w:w="108" w:type="dxa"/>
              <w:left w:w="113" w:type="dxa"/>
              <w:bottom w:w="108" w:type="dxa"/>
              <w:right w:w="113" w:type="dxa"/>
            </w:tcMar>
            <w:vAlign w:val="bottom"/>
          </w:tcPr>
          <w:p w14:paraId="1FB1584A" w14:textId="77777777" w:rsidR="001B31B4" w:rsidRPr="001B31B4" w:rsidRDefault="001B31B4" w:rsidP="001B31B4">
            <w:pPr>
              <w:pStyle w:val="CDIFigure-Table-H1"/>
            </w:pPr>
            <w:r w:rsidRPr="001B31B4">
              <w:t>95% CI</w:t>
            </w:r>
          </w:p>
        </w:tc>
      </w:tr>
      <w:tr w:rsidR="001B31B4" w:rsidRPr="001B31B4" w14:paraId="1AE32C2E" w14:textId="77777777" w:rsidTr="001B31B4">
        <w:trPr>
          <w:divId w:val="935526654"/>
          <w:trHeight w:val="20"/>
        </w:trPr>
        <w:tc>
          <w:tcPr>
            <w:tcW w:w="1701" w:type="dxa"/>
            <w:shd w:val="clear" w:color="auto" w:fill="F2F2F2" w:themeFill="background1" w:themeFillShade="F2"/>
            <w:tcMar>
              <w:top w:w="108" w:type="dxa"/>
              <w:left w:w="113" w:type="dxa"/>
              <w:bottom w:w="108" w:type="dxa"/>
              <w:right w:w="113" w:type="dxa"/>
            </w:tcMar>
            <w:vAlign w:val="center"/>
          </w:tcPr>
          <w:p w14:paraId="7507BD09" w14:textId="77777777" w:rsidR="001B31B4" w:rsidRPr="001B31B4" w:rsidRDefault="001B31B4" w:rsidP="001B31B4">
            <w:pPr>
              <w:pStyle w:val="CDIFigure-Table-BodyTextLeft"/>
            </w:pPr>
            <w:r w:rsidRPr="001B31B4">
              <w:t>0–4</w:t>
            </w:r>
          </w:p>
        </w:tc>
        <w:tc>
          <w:tcPr>
            <w:tcW w:w="1134" w:type="dxa"/>
            <w:shd w:val="clear" w:color="auto" w:fill="F2F2F2" w:themeFill="background1" w:themeFillShade="F2"/>
            <w:tcMar>
              <w:top w:w="108" w:type="dxa"/>
              <w:left w:w="113" w:type="dxa"/>
              <w:bottom w:w="108" w:type="dxa"/>
              <w:right w:w="113" w:type="dxa"/>
            </w:tcMar>
            <w:vAlign w:val="center"/>
          </w:tcPr>
          <w:p w14:paraId="44EC02C6" w14:textId="77777777" w:rsidR="001B31B4" w:rsidRPr="001B31B4" w:rsidRDefault="001B31B4" w:rsidP="001B31B4">
            <w:pPr>
              <w:pStyle w:val="CDIFigure-Table-BodyTextCentre"/>
            </w:pPr>
            <w:r w:rsidRPr="001B31B4">
              <w:t>98.3</w:t>
            </w:r>
          </w:p>
        </w:tc>
        <w:tc>
          <w:tcPr>
            <w:tcW w:w="1134" w:type="dxa"/>
            <w:shd w:val="clear" w:color="auto" w:fill="F2F2F2" w:themeFill="background1" w:themeFillShade="F2"/>
            <w:tcMar>
              <w:top w:w="108" w:type="dxa"/>
              <w:left w:w="113" w:type="dxa"/>
              <w:bottom w:w="108" w:type="dxa"/>
              <w:right w:w="113" w:type="dxa"/>
            </w:tcMar>
            <w:vAlign w:val="center"/>
          </w:tcPr>
          <w:p w14:paraId="2D332D30" w14:textId="77777777" w:rsidR="001B31B4" w:rsidRPr="001B31B4" w:rsidRDefault="001B31B4" w:rsidP="001B31B4">
            <w:pPr>
              <w:pStyle w:val="CDIFigure-Table-BodyTextCentre"/>
            </w:pPr>
            <w:r w:rsidRPr="001B31B4">
              <w:t>24.5</w:t>
            </w:r>
          </w:p>
        </w:tc>
        <w:tc>
          <w:tcPr>
            <w:tcW w:w="1133" w:type="dxa"/>
            <w:shd w:val="clear" w:color="auto" w:fill="F2F2F2" w:themeFill="background1" w:themeFillShade="F2"/>
            <w:tcMar>
              <w:top w:w="108" w:type="dxa"/>
              <w:left w:w="113" w:type="dxa"/>
              <w:bottom w:w="108" w:type="dxa"/>
              <w:right w:w="113" w:type="dxa"/>
            </w:tcMar>
            <w:vAlign w:val="center"/>
          </w:tcPr>
          <w:p w14:paraId="1F595A50" w14:textId="77777777" w:rsidR="001B31B4" w:rsidRPr="001B31B4" w:rsidRDefault="001B31B4" w:rsidP="001B31B4">
            <w:pPr>
              <w:pStyle w:val="CDIFigure-Table-BodyTextCentre"/>
            </w:pPr>
            <w:r w:rsidRPr="001B31B4">
              <w:t>3.0</w:t>
            </w:r>
          </w:p>
        </w:tc>
        <w:tc>
          <w:tcPr>
            <w:tcW w:w="1134" w:type="dxa"/>
            <w:shd w:val="clear" w:color="auto" w:fill="F2F2F2" w:themeFill="background1" w:themeFillShade="F2"/>
            <w:tcMar>
              <w:top w:w="108" w:type="dxa"/>
              <w:left w:w="113" w:type="dxa"/>
              <w:bottom w:w="108" w:type="dxa"/>
              <w:right w:w="113" w:type="dxa"/>
            </w:tcMar>
            <w:vAlign w:val="center"/>
          </w:tcPr>
          <w:p w14:paraId="41EA7AAA" w14:textId="77777777" w:rsidR="001B31B4" w:rsidRPr="001B31B4" w:rsidRDefault="001B31B4" w:rsidP="001B31B4">
            <w:pPr>
              <w:pStyle w:val="CDIFigure-Table-BodyTextCentre"/>
            </w:pPr>
            <w:r w:rsidRPr="001B31B4">
              <w:t>0.25</w:t>
            </w:r>
          </w:p>
        </w:tc>
        <w:tc>
          <w:tcPr>
            <w:tcW w:w="1134" w:type="dxa"/>
            <w:shd w:val="clear" w:color="auto" w:fill="F2F2F2" w:themeFill="background1" w:themeFillShade="F2"/>
            <w:tcMar>
              <w:top w:w="108" w:type="dxa"/>
              <w:left w:w="113" w:type="dxa"/>
              <w:bottom w:w="108" w:type="dxa"/>
              <w:right w:w="113" w:type="dxa"/>
            </w:tcMar>
            <w:vAlign w:val="center"/>
          </w:tcPr>
          <w:p w14:paraId="5B70B029" w14:textId="77777777" w:rsidR="001B31B4" w:rsidRPr="001B31B4" w:rsidRDefault="001B31B4" w:rsidP="001B31B4">
            <w:pPr>
              <w:pStyle w:val="CDIFigure-Table-BodyTextCentre"/>
            </w:pPr>
            <w:r w:rsidRPr="001B31B4">
              <w:t>0.22–0.28</w:t>
            </w:r>
          </w:p>
        </w:tc>
        <w:tc>
          <w:tcPr>
            <w:tcW w:w="1134" w:type="dxa"/>
            <w:shd w:val="clear" w:color="auto" w:fill="F2F2F2" w:themeFill="background1" w:themeFillShade="F2"/>
            <w:tcMar>
              <w:top w:w="108" w:type="dxa"/>
              <w:left w:w="113" w:type="dxa"/>
              <w:bottom w:w="108" w:type="dxa"/>
              <w:right w:w="113" w:type="dxa"/>
            </w:tcMar>
            <w:vAlign w:val="center"/>
          </w:tcPr>
          <w:p w14:paraId="0D22FE06" w14:textId="77777777" w:rsidR="001B31B4" w:rsidRPr="001B31B4" w:rsidRDefault="001B31B4" w:rsidP="001B31B4">
            <w:pPr>
              <w:pStyle w:val="CDIFigure-Table-BodyTextCentre"/>
            </w:pPr>
            <w:r w:rsidRPr="001B31B4">
              <w:t>0.03</w:t>
            </w:r>
          </w:p>
        </w:tc>
        <w:tc>
          <w:tcPr>
            <w:tcW w:w="1134" w:type="dxa"/>
            <w:shd w:val="clear" w:color="auto" w:fill="F2F2F2" w:themeFill="background1" w:themeFillShade="F2"/>
            <w:tcMar>
              <w:top w:w="108" w:type="dxa"/>
              <w:left w:w="113" w:type="dxa"/>
              <w:bottom w:w="108" w:type="dxa"/>
              <w:right w:w="113" w:type="dxa"/>
            </w:tcMar>
            <w:vAlign w:val="center"/>
          </w:tcPr>
          <w:p w14:paraId="1277D997" w14:textId="77777777" w:rsidR="001B31B4" w:rsidRPr="001B31B4" w:rsidRDefault="001B31B4" w:rsidP="001B31B4">
            <w:pPr>
              <w:pStyle w:val="CDIFigure-Table-BodyTextCentre"/>
            </w:pPr>
            <w:r w:rsidRPr="001B31B4">
              <w:t>0.02–0.04</w:t>
            </w:r>
          </w:p>
        </w:tc>
      </w:tr>
      <w:tr w:rsidR="001B31B4" w:rsidRPr="001B31B4" w14:paraId="23E1BF23" w14:textId="77777777" w:rsidTr="001B31B4">
        <w:trPr>
          <w:divId w:val="935526654"/>
          <w:trHeight w:val="20"/>
        </w:trPr>
        <w:tc>
          <w:tcPr>
            <w:tcW w:w="1701" w:type="dxa"/>
            <w:tcMar>
              <w:top w:w="108" w:type="dxa"/>
              <w:left w:w="113" w:type="dxa"/>
              <w:bottom w:w="108" w:type="dxa"/>
              <w:right w:w="113" w:type="dxa"/>
            </w:tcMar>
            <w:vAlign w:val="center"/>
          </w:tcPr>
          <w:p w14:paraId="1822AEA4" w14:textId="77777777" w:rsidR="001B31B4" w:rsidRPr="001B31B4" w:rsidRDefault="001B31B4" w:rsidP="001B31B4">
            <w:pPr>
              <w:pStyle w:val="CDIFigure-Table-BodyTextLeft"/>
            </w:pPr>
            <w:r w:rsidRPr="001B31B4">
              <w:t>5–14</w:t>
            </w:r>
          </w:p>
        </w:tc>
        <w:tc>
          <w:tcPr>
            <w:tcW w:w="1134" w:type="dxa"/>
            <w:tcMar>
              <w:top w:w="108" w:type="dxa"/>
              <w:left w:w="113" w:type="dxa"/>
              <w:bottom w:w="108" w:type="dxa"/>
              <w:right w:w="113" w:type="dxa"/>
            </w:tcMar>
            <w:vAlign w:val="center"/>
          </w:tcPr>
          <w:p w14:paraId="05927976" w14:textId="77777777" w:rsidR="001B31B4" w:rsidRPr="001B31B4" w:rsidRDefault="001B31B4" w:rsidP="001B31B4">
            <w:pPr>
              <w:pStyle w:val="CDIFigure-Table-BodyTextCentre"/>
            </w:pPr>
            <w:r w:rsidRPr="001B31B4">
              <w:t>152.1</w:t>
            </w:r>
          </w:p>
        </w:tc>
        <w:tc>
          <w:tcPr>
            <w:tcW w:w="1134" w:type="dxa"/>
            <w:tcMar>
              <w:top w:w="108" w:type="dxa"/>
              <w:left w:w="113" w:type="dxa"/>
              <w:bottom w:w="108" w:type="dxa"/>
              <w:right w:w="113" w:type="dxa"/>
            </w:tcMar>
            <w:vAlign w:val="center"/>
          </w:tcPr>
          <w:p w14:paraId="5F4A59F7" w14:textId="77777777" w:rsidR="001B31B4" w:rsidRPr="001B31B4" w:rsidRDefault="001B31B4" w:rsidP="001B31B4">
            <w:pPr>
              <w:pStyle w:val="CDIFigure-Table-BodyTextCentre"/>
            </w:pPr>
            <w:r w:rsidRPr="001B31B4">
              <w:t>30.9</w:t>
            </w:r>
          </w:p>
        </w:tc>
        <w:tc>
          <w:tcPr>
            <w:tcW w:w="1133" w:type="dxa"/>
            <w:tcMar>
              <w:top w:w="108" w:type="dxa"/>
              <w:left w:w="113" w:type="dxa"/>
              <w:bottom w:w="108" w:type="dxa"/>
              <w:right w:w="113" w:type="dxa"/>
            </w:tcMar>
            <w:vAlign w:val="center"/>
          </w:tcPr>
          <w:p w14:paraId="426A381D" w14:textId="77777777" w:rsidR="001B31B4" w:rsidRPr="001B31B4" w:rsidRDefault="001B31B4" w:rsidP="001B31B4">
            <w:pPr>
              <w:pStyle w:val="CDIFigure-Table-BodyTextCentre"/>
            </w:pPr>
            <w:r w:rsidRPr="001B31B4">
              <w:t>1.7</w:t>
            </w:r>
          </w:p>
        </w:tc>
        <w:tc>
          <w:tcPr>
            <w:tcW w:w="1134" w:type="dxa"/>
            <w:tcMar>
              <w:top w:w="108" w:type="dxa"/>
              <w:left w:w="113" w:type="dxa"/>
              <w:bottom w:w="108" w:type="dxa"/>
              <w:right w:w="113" w:type="dxa"/>
            </w:tcMar>
            <w:vAlign w:val="center"/>
          </w:tcPr>
          <w:p w14:paraId="7FF79323" w14:textId="77777777" w:rsidR="001B31B4" w:rsidRPr="001B31B4" w:rsidRDefault="001B31B4" w:rsidP="001B31B4">
            <w:pPr>
              <w:pStyle w:val="CDIFigure-Table-BodyTextCentre"/>
            </w:pPr>
            <w:r w:rsidRPr="001B31B4">
              <w:t>0.20</w:t>
            </w:r>
          </w:p>
        </w:tc>
        <w:tc>
          <w:tcPr>
            <w:tcW w:w="1134" w:type="dxa"/>
            <w:tcMar>
              <w:top w:w="108" w:type="dxa"/>
              <w:left w:w="113" w:type="dxa"/>
              <w:bottom w:w="108" w:type="dxa"/>
              <w:right w:w="113" w:type="dxa"/>
            </w:tcMar>
            <w:vAlign w:val="center"/>
          </w:tcPr>
          <w:p w14:paraId="57D4A76A" w14:textId="77777777" w:rsidR="001B31B4" w:rsidRPr="001B31B4" w:rsidRDefault="001B31B4" w:rsidP="001B31B4">
            <w:pPr>
              <w:pStyle w:val="CDIFigure-Table-BodyTextCentre"/>
            </w:pPr>
            <w:r w:rsidRPr="001B31B4">
              <w:t>0.18–0.22</w:t>
            </w:r>
          </w:p>
        </w:tc>
        <w:tc>
          <w:tcPr>
            <w:tcW w:w="1134" w:type="dxa"/>
            <w:tcMar>
              <w:top w:w="108" w:type="dxa"/>
              <w:left w:w="113" w:type="dxa"/>
              <w:bottom w:w="108" w:type="dxa"/>
              <w:right w:w="113" w:type="dxa"/>
            </w:tcMar>
            <w:vAlign w:val="center"/>
          </w:tcPr>
          <w:p w14:paraId="14277789" w14:textId="77777777" w:rsidR="001B31B4" w:rsidRPr="001B31B4" w:rsidRDefault="001B31B4" w:rsidP="001B31B4">
            <w:pPr>
              <w:pStyle w:val="CDIFigure-Table-BodyTextCentre"/>
            </w:pPr>
            <w:r w:rsidRPr="001B31B4">
              <w:t>0.01</w:t>
            </w:r>
          </w:p>
        </w:tc>
        <w:tc>
          <w:tcPr>
            <w:tcW w:w="1134" w:type="dxa"/>
            <w:tcMar>
              <w:top w:w="108" w:type="dxa"/>
              <w:left w:w="113" w:type="dxa"/>
              <w:bottom w:w="108" w:type="dxa"/>
              <w:right w:w="113" w:type="dxa"/>
            </w:tcMar>
            <w:vAlign w:val="center"/>
          </w:tcPr>
          <w:p w14:paraId="49217712" w14:textId="77777777" w:rsidR="001B31B4" w:rsidRPr="001B31B4" w:rsidRDefault="001B31B4" w:rsidP="001B31B4">
            <w:pPr>
              <w:pStyle w:val="CDIFigure-Table-BodyTextCentre"/>
            </w:pPr>
            <w:r w:rsidRPr="001B31B4">
              <w:t>0.01–0.01</w:t>
            </w:r>
          </w:p>
        </w:tc>
      </w:tr>
      <w:tr w:rsidR="001B31B4" w:rsidRPr="001B31B4" w14:paraId="0B4D3A66" w14:textId="77777777" w:rsidTr="001B31B4">
        <w:trPr>
          <w:divId w:val="935526654"/>
          <w:trHeight w:val="20"/>
        </w:trPr>
        <w:tc>
          <w:tcPr>
            <w:tcW w:w="1701" w:type="dxa"/>
            <w:shd w:val="clear" w:color="auto" w:fill="F2F2F2" w:themeFill="background1" w:themeFillShade="F2"/>
            <w:tcMar>
              <w:top w:w="108" w:type="dxa"/>
              <w:left w:w="113" w:type="dxa"/>
              <w:bottom w:w="108" w:type="dxa"/>
              <w:right w:w="113" w:type="dxa"/>
            </w:tcMar>
            <w:vAlign w:val="center"/>
          </w:tcPr>
          <w:p w14:paraId="266E7423" w14:textId="77777777" w:rsidR="001B31B4" w:rsidRPr="001B31B4" w:rsidRDefault="001B31B4" w:rsidP="001B31B4">
            <w:pPr>
              <w:pStyle w:val="CDIFigure-Table-BodyTextLeft"/>
            </w:pPr>
            <w:r w:rsidRPr="001B31B4">
              <w:t>15–24</w:t>
            </w:r>
          </w:p>
        </w:tc>
        <w:tc>
          <w:tcPr>
            <w:tcW w:w="1134" w:type="dxa"/>
            <w:shd w:val="clear" w:color="auto" w:fill="F2F2F2" w:themeFill="background1" w:themeFillShade="F2"/>
            <w:tcMar>
              <w:top w:w="108" w:type="dxa"/>
              <w:left w:w="113" w:type="dxa"/>
              <w:bottom w:w="108" w:type="dxa"/>
              <w:right w:w="113" w:type="dxa"/>
            </w:tcMar>
            <w:vAlign w:val="center"/>
          </w:tcPr>
          <w:p w14:paraId="766A350F" w14:textId="77777777" w:rsidR="001B31B4" w:rsidRPr="001B31B4" w:rsidRDefault="001B31B4" w:rsidP="001B31B4">
            <w:pPr>
              <w:pStyle w:val="CDIFigure-Table-BodyTextCentre"/>
            </w:pPr>
            <w:r w:rsidRPr="001B31B4">
              <w:t>38.4</w:t>
            </w:r>
          </w:p>
        </w:tc>
        <w:tc>
          <w:tcPr>
            <w:tcW w:w="1134" w:type="dxa"/>
            <w:shd w:val="clear" w:color="auto" w:fill="F2F2F2" w:themeFill="background1" w:themeFillShade="F2"/>
            <w:tcMar>
              <w:top w:w="108" w:type="dxa"/>
              <w:left w:w="113" w:type="dxa"/>
              <w:bottom w:w="108" w:type="dxa"/>
              <w:right w:w="113" w:type="dxa"/>
            </w:tcMar>
            <w:vAlign w:val="center"/>
          </w:tcPr>
          <w:p w14:paraId="63827230" w14:textId="77777777" w:rsidR="001B31B4" w:rsidRPr="001B31B4" w:rsidRDefault="001B31B4" w:rsidP="001B31B4">
            <w:pPr>
              <w:pStyle w:val="CDIFigure-Table-BodyTextCentre"/>
            </w:pPr>
            <w:r w:rsidRPr="001B31B4">
              <w:t>13.0</w:t>
            </w:r>
          </w:p>
        </w:tc>
        <w:tc>
          <w:tcPr>
            <w:tcW w:w="1133" w:type="dxa"/>
            <w:shd w:val="clear" w:color="auto" w:fill="F2F2F2" w:themeFill="background1" w:themeFillShade="F2"/>
            <w:tcMar>
              <w:top w:w="108" w:type="dxa"/>
              <w:left w:w="113" w:type="dxa"/>
              <w:bottom w:w="108" w:type="dxa"/>
              <w:right w:w="113" w:type="dxa"/>
            </w:tcMar>
            <w:vAlign w:val="center"/>
          </w:tcPr>
          <w:p w14:paraId="1E639174" w14:textId="77777777" w:rsidR="001B31B4" w:rsidRPr="001B31B4" w:rsidRDefault="001B31B4" w:rsidP="001B31B4">
            <w:pPr>
              <w:pStyle w:val="CDIFigure-Table-BodyTextCentre"/>
            </w:pPr>
            <w:r w:rsidRPr="001B31B4">
              <w:t>1.7</w:t>
            </w:r>
          </w:p>
        </w:tc>
        <w:tc>
          <w:tcPr>
            <w:tcW w:w="1134" w:type="dxa"/>
            <w:shd w:val="clear" w:color="auto" w:fill="F2F2F2" w:themeFill="background1" w:themeFillShade="F2"/>
            <w:tcMar>
              <w:top w:w="108" w:type="dxa"/>
              <w:left w:w="113" w:type="dxa"/>
              <w:bottom w:w="108" w:type="dxa"/>
              <w:right w:w="113" w:type="dxa"/>
            </w:tcMar>
            <w:vAlign w:val="center"/>
          </w:tcPr>
          <w:p w14:paraId="6CCFC5D6" w14:textId="77777777" w:rsidR="001B31B4" w:rsidRPr="001B31B4" w:rsidRDefault="001B31B4" w:rsidP="001B31B4">
            <w:pPr>
              <w:pStyle w:val="CDIFigure-Table-BodyTextCentre"/>
            </w:pPr>
            <w:r w:rsidRPr="001B31B4">
              <w:t>0.37</w:t>
            </w:r>
          </w:p>
        </w:tc>
        <w:tc>
          <w:tcPr>
            <w:tcW w:w="1134" w:type="dxa"/>
            <w:shd w:val="clear" w:color="auto" w:fill="F2F2F2" w:themeFill="background1" w:themeFillShade="F2"/>
            <w:tcMar>
              <w:top w:w="108" w:type="dxa"/>
              <w:left w:w="113" w:type="dxa"/>
              <w:bottom w:w="108" w:type="dxa"/>
              <w:right w:w="113" w:type="dxa"/>
            </w:tcMar>
            <w:vAlign w:val="center"/>
          </w:tcPr>
          <w:p w14:paraId="79E59382" w14:textId="77777777" w:rsidR="001B31B4" w:rsidRPr="001B31B4" w:rsidRDefault="001B31B4" w:rsidP="001B31B4">
            <w:pPr>
              <w:pStyle w:val="CDIFigure-Table-BodyTextCentre"/>
            </w:pPr>
            <w:r w:rsidRPr="001B31B4">
              <w:t>0.33–0.42</w:t>
            </w:r>
          </w:p>
        </w:tc>
        <w:tc>
          <w:tcPr>
            <w:tcW w:w="1134" w:type="dxa"/>
            <w:shd w:val="clear" w:color="auto" w:fill="F2F2F2" w:themeFill="background1" w:themeFillShade="F2"/>
            <w:tcMar>
              <w:top w:w="108" w:type="dxa"/>
              <w:left w:w="113" w:type="dxa"/>
              <w:bottom w:w="108" w:type="dxa"/>
              <w:right w:w="113" w:type="dxa"/>
            </w:tcMar>
            <w:vAlign w:val="center"/>
          </w:tcPr>
          <w:p w14:paraId="7758CA4D" w14:textId="77777777" w:rsidR="001B31B4" w:rsidRPr="001B31B4" w:rsidRDefault="001B31B4" w:rsidP="001B31B4">
            <w:pPr>
              <w:pStyle w:val="CDIFigure-Table-BodyTextCentre"/>
            </w:pPr>
            <w:r w:rsidRPr="001B31B4">
              <w:t>0.05</w:t>
            </w:r>
          </w:p>
        </w:tc>
        <w:tc>
          <w:tcPr>
            <w:tcW w:w="1134" w:type="dxa"/>
            <w:shd w:val="clear" w:color="auto" w:fill="F2F2F2" w:themeFill="background1" w:themeFillShade="F2"/>
            <w:tcMar>
              <w:top w:w="108" w:type="dxa"/>
              <w:left w:w="113" w:type="dxa"/>
              <w:bottom w:w="108" w:type="dxa"/>
              <w:right w:w="113" w:type="dxa"/>
            </w:tcMar>
            <w:vAlign w:val="center"/>
          </w:tcPr>
          <w:p w14:paraId="2455D15A" w14:textId="77777777" w:rsidR="001B31B4" w:rsidRPr="001B31B4" w:rsidRDefault="001B31B4" w:rsidP="001B31B4">
            <w:pPr>
              <w:pStyle w:val="CDIFigure-Table-BodyTextCentre"/>
            </w:pPr>
            <w:r w:rsidRPr="001B31B4">
              <w:t>0.04–0.07</w:t>
            </w:r>
          </w:p>
        </w:tc>
      </w:tr>
      <w:tr w:rsidR="001B31B4" w:rsidRPr="001B31B4" w14:paraId="11760C18" w14:textId="77777777" w:rsidTr="001B31B4">
        <w:trPr>
          <w:divId w:val="935526654"/>
          <w:trHeight w:val="20"/>
        </w:trPr>
        <w:tc>
          <w:tcPr>
            <w:tcW w:w="1701" w:type="dxa"/>
            <w:tcMar>
              <w:top w:w="108" w:type="dxa"/>
              <w:left w:w="113" w:type="dxa"/>
              <w:bottom w:w="108" w:type="dxa"/>
              <w:right w:w="113" w:type="dxa"/>
            </w:tcMar>
            <w:vAlign w:val="center"/>
          </w:tcPr>
          <w:p w14:paraId="2CC60038" w14:textId="77777777" w:rsidR="001B31B4" w:rsidRPr="001B31B4" w:rsidRDefault="001B31B4" w:rsidP="001B31B4">
            <w:pPr>
              <w:pStyle w:val="CDIFigure-Table-BodyTextLeft"/>
            </w:pPr>
            <w:r w:rsidRPr="001B31B4">
              <w:t>25–69</w:t>
            </w:r>
          </w:p>
        </w:tc>
        <w:tc>
          <w:tcPr>
            <w:tcW w:w="1134" w:type="dxa"/>
            <w:tcMar>
              <w:top w:w="108" w:type="dxa"/>
              <w:left w:w="113" w:type="dxa"/>
              <w:bottom w:w="108" w:type="dxa"/>
              <w:right w:w="113" w:type="dxa"/>
            </w:tcMar>
            <w:vAlign w:val="center"/>
          </w:tcPr>
          <w:p w14:paraId="430341C8" w14:textId="77777777" w:rsidR="001B31B4" w:rsidRPr="001B31B4" w:rsidRDefault="001B31B4" w:rsidP="001B31B4">
            <w:pPr>
              <w:pStyle w:val="CDIFigure-Table-BodyTextCentre"/>
            </w:pPr>
            <w:r w:rsidRPr="001B31B4">
              <w:t>29.3</w:t>
            </w:r>
          </w:p>
        </w:tc>
        <w:tc>
          <w:tcPr>
            <w:tcW w:w="1134" w:type="dxa"/>
            <w:tcMar>
              <w:top w:w="108" w:type="dxa"/>
              <w:left w:w="113" w:type="dxa"/>
              <w:bottom w:w="108" w:type="dxa"/>
              <w:right w:w="113" w:type="dxa"/>
            </w:tcMar>
            <w:vAlign w:val="center"/>
          </w:tcPr>
          <w:p w14:paraId="6EFF5C89" w14:textId="77777777" w:rsidR="001B31B4" w:rsidRPr="001B31B4" w:rsidRDefault="001B31B4" w:rsidP="001B31B4">
            <w:pPr>
              <w:pStyle w:val="CDIFigure-Table-BodyTextCentre"/>
            </w:pPr>
            <w:r w:rsidRPr="001B31B4">
              <w:t>9.8</w:t>
            </w:r>
          </w:p>
        </w:tc>
        <w:tc>
          <w:tcPr>
            <w:tcW w:w="1133" w:type="dxa"/>
            <w:tcMar>
              <w:top w:w="108" w:type="dxa"/>
              <w:left w:w="113" w:type="dxa"/>
              <w:bottom w:w="108" w:type="dxa"/>
              <w:right w:w="113" w:type="dxa"/>
            </w:tcMar>
            <w:vAlign w:val="center"/>
          </w:tcPr>
          <w:p w14:paraId="558DED87" w14:textId="77777777" w:rsidR="001B31B4" w:rsidRPr="001B31B4" w:rsidRDefault="001B31B4" w:rsidP="001B31B4">
            <w:pPr>
              <w:pStyle w:val="CDIFigure-Table-BodyTextCentre"/>
            </w:pPr>
            <w:r w:rsidRPr="001B31B4">
              <w:t>2.3</w:t>
            </w:r>
          </w:p>
        </w:tc>
        <w:tc>
          <w:tcPr>
            <w:tcW w:w="1134" w:type="dxa"/>
            <w:tcMar>
              <w:top w:w="108" w:type="dxa"/>
              <w:left w:w="113" w:type="dxa"/>
              <w:bottom w:w="108" w:type="dxa"/>
              <w:right w:w="113" w:type="dxa"/>
            </w:tcMar>
            <w:vAlign w:val="center"/>
          </w:tcPr>
          <w:p w14:paraId="40DE3453" w14:textId="77777777" w:rsidR="001B31B4" w:rsidRPr="001B31B4" w:rsidRDefault="001B31B4" w:rsidP="001B31B4">
            <w:pPr>
              <w:pStyle w:val="CDIFigure-Table-BodyTextCentre"/>
            </w:pPr>
            <w:r w:rsidRPr="001B31B4">
              <w:t>0.34</w:t>
            </w:r>
          </w:p>
        </w:tc>
        <w:tc>
          <w:tcPr>
            <w:tcW w:w="1134" w:type="dxa"/>
            <w:tcMar>
              <w:top w:w="108" w:type="dxa"/>
              <w:left w:w="113" w:type="dxa"/>
              <w:bottom w:w="108" w:type="dxa"/>
              <w:right w:w="113" w:type="dxa"/>
            </w:tcMar>
            <w:vAlign w:val="center"/>
          </w:tcPr>
          <w:p w14:paraId="278A3DA7" w14:textId="77777777" w:rsidR="001B31B4" w:rsidRPr="001B31B4" w:rsidRDefault="001B31B4" w:rsidP="001B31B4">
            <w:pPr>
              <w:pStyle w:val="CDIFigure-Table-BodyTextCentre"/>
            </w:pPr>
            <w:r w:rsidRPr="001B31B4">
              <w:t>0.32–0.36</w:t>
            </w:r>
          </w:p>
        </w:tc>
        <w:tc>
          <w:tcPr>
            <w:tcW w:w="1134" w:type="dxa"/>
            <w:tcMar>
              <w:top w:w="108" w:type="dxa"/>
              <w:left w:w="113" w:type="dxa"/>
              <w:bottom w:w="108" w:type="dxa"/>
              <w:right w:w="113" w:type="dxa"/>
            </w:tcMar>
            <w:vAlign w:val="center"/>
          </w:tcPr>
          <w:p w14:paraId="7D6BFFEA" w14:textId="77777777" w:rsidR="001B31B4" w:rsidRPr="001B31B4" w:rsidRDefault="001B31B4" w:rsidP="001B31B4">
            <w:pPr>
              <w:pStyle w:val="CDIFigure-Table-BodyTextCentre"/>
            </w:pPr>
            <w:r w:rsidRPr="001B31B4">
              <w:t>0.08</w:t>
            </w:r>
          </w:p>
        </w:tc>
        <w:tc>
          <w:tcPr>
            <w:tcW w:w="1134" w:type="dxa"/>
            <w:tcMar>
              <w:top w:w="108" w:type="dxa"/>
              <w:left w:w="113" w:type="dxa"/>
              <w:bottom w:w="108" w:type="dxa"/>
              <w:right w:w="113" w:type="dxa"/>
            </w:tcMar>
            <w:vAlign w:val="center"/>
          </w:tcPr>
          <w:p w14:paraId="3345A274" w14:textId="77777777" w:rsidR="001B31B4" w:rsidRPr="001B31B4" w:rsidRDefault="001B31B4" w:rsidP="001B31B4">
            <w:pPr>
              <w:pStyle w:val="CDIFigure-Table-BodyTextCentre"/>
            </w:pPr>
            <w:r w:rsidRPr="001B31B4">
              <w:t>0.07–0.09</w:t>
            </w:r>
          </w:p>
        </w:tc>
      </w:tr>
      <w:tr w:rsidR="001B31B4" w:rsidRPr="001B31B4" w14:paraId="209C69A3" w14:textId="77777777" w:rsidTr="001B31B4">
        <w:trPr>
          <w:divId w:val="935526654"/>
          <w:trHeight w:val="20"/>
        </w:trPr>
        <w:tc>
          <w:tcPr>
            <w:tcW w:w="1701" w:type="dxa"/>
            <w:shd w:val="clear" w:color="auto" w:fill="F2F2F2" w:themeFill="background1" w:themeFillShade="F2"/>
            <w:tcMar>
              <w:top w:w="108" w:type="dxa"/>
              <w:left w:w="113" w:type="dxa"/>
              <w:bottom w:w="108" w:type="dxa"/>
              <w:right w:w="113" w:type="dxa"/>
            </w:tcMar>
            <w:vAlign w:val="center"/>
          </w:tcPr>
          <w:p w14:paraId="78BAA0EC" w14:textId="77777777" w:rsidR="001B31B4" w:rsidRPr="001B31B4" w:rsidRDefault="001B31B4" w:rsidP="001B31B4">
            <w:pPr>
              <w:pStyle w:val="CDIFigure-Table-BodyTextLeft"/>
            </w:pPr>
            <w:r w:rsidRPr="001B31B4">
              <w:t>≥ 70</w:t>
            </w:r>
          </w:p>
        </w:tc>
        <w:tc>
          <w:tcPr>
            <w:tcW w:w="1134" w:type="dxa"/>
            <w:shd w:val="clear" w:color="auto" w:fill="F2F2F2" w:themeFill="background1" w:themeFillShade="F2"/>
            <w:tcMar>
              <w:top w:w="108" w:type="dxa"/>
              <w:left w:w="113" w:type="dxa"/>
              <w:bottom w:w="108" w:type="dxa"/>
              <w:right w:w="113" w:type="dxa"/>
            </w:tcMar>
            <w:vAlign w:val="center"/>
          </w:tcPr>
          <w:p w14:paraId="2ABC8462" w14:textId="77777777" w:rsidR="001B31B4" w:rsidRPr="001B31B4" w:rsidRDefault="001B31B4" w:rsidP="001B31B4">
            <w:pPr>
              <w:pStyle w:val="CDIFigure-Table-BodyTextCentre"/>
            </w:pPr>
            <w:r w:rsidRPr="001B31B4">
              <w:t>24.9</w:t>
            </w:r>
          </w:p>
        </w:tc>
        <w:tc>
          <w:tcPr>
            <w:tcW w:w="1134" w:type="dxa"/>
            <w:shd w:val="clear" w:color="auto" w:fill="F2F2F2" w:themeFill="background1" w:themeFillShade="F2"/>
            <w:tcMar>
              <w:top w:w="108" w:type="dxa"/>
              <w:left w:w="113" w:type="dxa"/>
              <w:bottom w:w="108" w:type="dxa"/>
              <w:right w:w="113" w:type="dxa"/>
            </w:tcMar>
            <w:vAlign w:val="center"/>
          </w:tcPr>
          <w:p w14:paraId="1D2F66D1" w14:textId="77777777" w:rsidR="001B31B4" w:rsidRPr="001B31B4" w:rsidRDefault="001B31B4" w:rsidP="001B31B4">
            <w:pPr>
              <w:pStyle w:val="CDIFigure-Table-BodyTextCentre"/>
            </w:pPr>
            <w:r w:rsidRPr="001B31B4">
              <w:t>7.6</w:t>
            </w:r>
          </w:p>
        </w:tc>
        <w:tc>
          <w:tcPr>
            <w:tcW w:w="1133" w:type="dxa"/>
            <w:shd w:val="clear" w:color="auto" w:fill="F2F2F2" w:themeFill="background1" w:themeFillShade="F2"/>
            <w:tcMar>
              <w:top w:w="108" w:type="dxa"/>
              <w:left w:w="113" w:type="dxa"/>
              <w:bottom w:w="108" w:type="dxa"/>
              <w:right w:w="113" w:type="dxa"/>
            </w:tcMar>
            <w:vAlign w:val="center"/>
          </w:tcPr>
          <w:p w14:paraId="3E8810C8" w14:textId="77777777" w:rsidR="001B31B4" w:rsidRPr="001B31B4" w:rsidRDefault="001B31B4" w:rsidP="001B31B4">
            <w:pPr>
              <w:pStyle w:val="CDIFigure-Table-BodyTextCentre"/>
            </w:pPr>
            <w:r w:rsidRPr="001B31B4">
              <w:t>1.9</w:t>
            </w:r>
          </w:p>
        </w:tc>
        <w:tc>
          <w:tcPr>
            <w:tcW w:w="1134" w:type="dxa"/>
            <w:shd w:val="clear" w:color="auto" w:fill="F2F2F2" w:themeFill="background1" w:themeFillShade="F2"/>
            <w:tcMar>
              <w:top w:w="108" w:type="dxa"/>
              <w:left w:w="113" w:type="dxa"/>
              <w:bottom w:w="108" w:type="dxa"/>
              <w:right w:w="113" w:type="dxa"/>
            </w:tcMar>
            <w:vAlign w:val="center"/>
          </w:tcPr>
          <w:p w14:paraId="04F88C9F" w14:textId="77777777" w:rsidR="001B31B4" w:rsidRPr="001B31B4" w:rsidRDefault="001B31B4" w:rsidP="001B31B4">
            <w:pPr>
              <w:pStyle w:val="CDIFigure-Table-BodyTextCentre"/>
            </w:pPr>
            <w:r w:rsidRPr="001B31B4">
              <w:t>0.31</w:t>
            </w:r>
          </w:p>
        </w:tc>
        <w:tc>
          <w:tcPr>
            <w:tcW w:w="1134" w:type="dxa"/>
            <w:shd w:val="clear" w:color="auto" w:fill="F2F2F2" w:themeFill="background1" w:themeFillShade="F2"/>
            <w:tcMar>
              <w:top w:w="108" w:type="dxa"/>
              <w:left w:w="113" w:type="dxa"/>
              <w:bottom w:w="108" w:type="dxa"/>
              <w:right w:w="113" w:type="dxa"/>
            </w:tcMar>
            <w:vAlign w:val="center"/>
          </w:tcPr>
          <w:p w14:paraId="4E375992" w14:textId="77777777" w:rsidR="001B31B4" w:rsidRPr="001B31B4" w:rsidRDefault="001B31B4" w:rsidP="001B31B4">
            <w:pPr>
              <w:pStyle w:val="CDIFigure-Table-BodyTextCentre"/>
            </w:pPr>
            <w:r w:rsidRPr="001B31B4">
              <w:t>0.26–0.36</w:t>
            </w:r>
          </w:p>
        </w:tc>
        <w:tc>
          <w:tcPr>
            <w:tcW w:w="1134" w:type="dxa"/>
            <w:shd w:val="clear" w:color="auto" w:fill="F2F2F2" w:themeFill="background1" w:themeFillShade="F2"/>
            <w:tcMar>
              <w:top w:w="108" w:type="dxa"/>
              <w:left w:w="113" w:type="dxa"/>
              <w:bottom w:w="108" w:type="dxa"/>
              <w:right w:w="113" w:type="dxa"/>
            </w:tcMar>
            <w:vAlign w:val="center"/>
          </w:tcPr>
          <w:p w14:paraId="3C741D84" w14:textId="77777777" w:rsidR="001B31B4" w:rsidRPr="001B31B4" w:rsidRDefault="001B31B4" w:rsidP="001B31B4">
            <w:pPr>
              <w:pStyle w:val="CDIFigure-Table-BodyTextCentre"/>
            </w:pPr>
            <w:r w:rsidRPr="001B31B4">
              <w:t>0.08</w:t>
            </w:r>
          </w:p>
        </w:tc>
        <w:tc>
          <w:tcPr>
            <w:tcW w:w="1134" w:type="dxa"/>
            <w:shd w:val="clear" w:color="auto" w:fill="F2F2F2" w:themeFill="background1" w:themeFillShade="F2"/>
            <w:tcMar>
              <w:top w:w="108" w:type="dxa"/>
              <w:left w:w="113" w:type="dxa"/>
              <w:bottom w:w="108" w:type="dxa"/>
              <w:right w:w="113" w:type="dxa"/>
            </w:tcMar>
            <w:vAlign w:val="center"/>
          </w:tcPr>
          <w:p w14:paraId="4D9D24DF" w14:textId="77777777" w:rsidR="001B31B4" w:rsidRPr="001B31B4" w:rsidRDefault="001B31B4" w:rsidP="001B31B4">
            <w:pPr>
              <w:pStyle w:val="CDIFigure-Table-BodyTextCentre"/>
            </w:pPr>
            <w:r w:rsidRPr="001B31B4">
              <w:t>0.06–0.10</w:t>
            </w:r>
          </w:p>
        </w:tc>
      </w:tr>
      <w:tr w:rsidR="001B31B4" w:rsidRPr="001B31B4" w14:paraId="469E82F2" w14:textId="77777777" w:rsidTr="001B31B4">
        <w:trPr>
          <w:divId w:val="935526654"/>
          <w:trHeight w:val="20"/>
        </w:trPr>
        <w:tc>
          <w:tcPr>
            <w:tcW w:w="1701" w:type="dxa"/>
            <w:shd w:val="clear" w:color="auto" w:fill="C5FFEF" w:themeFill="background2" w:themeFillTint="33"/>
            <w:tcMar>
              <w:top w:w="108" w:type="dxa"/>
              <w:left w:w="113" w:type="dxa"/>
              <w:bottom w:w="108" w:type="dxa"/>
              <w:right w:w="113" w:type="dxa"/>
            </w:tcMar>
            <w:vAlign w:val="center"/>
          </w:tcPr>
          <w:p w14:paraId="2B8D57E6" w14:textId="77777777" w:rsidR="001B31B4" w:rsidRPr="001B31B4" w:rsidRDefault="001B31B4" w:rsidP="001B31B4">
            <w:pPr>
              <w:pStyle w:val="CDIFigure-Table-TotalLeft"/>
            </w:pPr>
            <w:r w:rsidRPr="001B31B4">
              <w:t>Overall</w:t>
            </w:r>
          </w:p>
        </w:tc>
        <w:tc>
          <w:tcPr>
            <w:tcW w:w="1134" w:type="dxa"/>
            <w:shd w:val="clear" w:color="auto" w:fill="C5FFEF" w:themeFill="background2" w:themeFillTint="33"/>
            <w:tcMar>
              <w:top w:w="108" w:type="dxa"/>
              <w:left w:w="113" w:type="dxa"/>
              <w:bottom w:w="108" w:type="dxa"/>
              <w:right w:w="113" w:type="dxa"/>
            </w:tcMar>
            <w:vAlign w:val="center"/>
          </w:tcPr>
          <w:p w14:paraId="6871E98B" w14:textId="77777777" w:rsidR="001B31B4" w:rsidRPr="001B31B4" w:rsidRDefault="001B31B4" w:rsidP="001B31B4">
            <w:pPr>
              <w:pStyle w:val="CDIFigure-Table-TotalCentre"/>
            </w:pPr>
            <w:r w:rsidRPr="001B31B4">
              <w:t>49.2</w:t>
            </w:r>
          </w:p>
        </w:tc>
        <w:tc>
          <w:tcPr>
            <w:tcW w:w="1134" w:type="dxa"/>
            <w:shd w:val="clear" w:color="auto" w:fill="C5FFEF" w:themeFill="background2" w:themeFillTint="33"/>
            <w:tcMar>
              <w:top w:w="108" w:type="dxa"/>
              <w:left w:w="113" w:type="dxa"/>
              <w:bottom w:w="108" w:type="dxa"/>
              <w:right w:w="113" w:type="dxa"/>
            </w:tcMar>
            <w:vAlign w:val="center"/>
          </w:tcPr>
          <w:p w14:paraId="75197546" w14:textId="77777777" w:rsidR="001B31B4" w:rsidRPr="001B31B4" w:rsidRDefault="001B31B4" w:rsidP="001B31B4">
            <w:pPr>
              <w:pStyle w:val="CDIFigure-Table-TotalCentre"/>
            </w:pPr>
            <w:r w:rsidRPr="001B31B4">
              <w:t>13.5</w:t>
            </w:r>
          </w:p>
        </w:tc>
        <w:tc>
          <w:tcPr>
            <w:tcW w:w="1133" w:type="dxa"/>
            <w:shd w:val="clear" w:color="auto" w:fill="C5FFEF" w:themeFill="background2" w:themeFillTint="33"/>
            <w:tcMar>
              <w:top w:w="108" w:type="dxa"/>
              <w:left w:w="113" w:type="dxa"/>
              <w:bottom w:w="108" w:type="dxa"/>
              <w:right w:w="113" w:type="dxa"/>
            </w:tcMar>
            <w:vAlign w:val="center"/>
          </w:tcPr>
          <w:p w14:paraId="6CB50154" w14:textId="77777777" w:rsidR="001B31B4" w:rsidRPr="001B31B4" w:rsidRDefault="001B31B4" w:rsidP="001B31B4">
            <w:pPr>
              <w:pStyle w:val="CDIFigure-Table-TotalCentre"/>
            </w:pPr>
            <w:r w:rsidRPr="001B31B4">
              <w:t>2.1</w:t>
            </w:r>
          </w:p>
        </w:tc>
        <w:tc>
          <w:tcPr>
            <w:tcW w:w="1134" w:type="dxa"/>
            <w:shd w:val="clear" w:color="auto" w:fill="C5FFEF" w:themeFill="background2" w:themeFillTint="33"/>
            <w:tcMar>
              <w:top w:w="108" w:type="dxa"/>
              <w:left w:w="113" w:type="dxa"/>
              <w:bottom w:w="108" w:type="dxa"/>
              <w:right w:w="113" w:type="dxa"/>
            </w:tcMar>
            <w:vAlign w:val="center"/>
          </w:tcPr>
          <w:p w14:paraId="7700D9F1" w14:textId="77777777" w:rsidR="001B31B4" w:rsidRPr="001B31B4" w:rsidRDefault="001B31B4" w:rsidP="001B31B4">
            <w:pPr>
              <w:pStyle w:val="CDIFigure-Table-TotalCentre"/>
            </w:pPr>
            <w:r w:rsidRPr="001B31B4">
              <w:t>0.27</w:t>
            </w:r>
          </w:p>
        </w:tc>
        <w:tc>
          <w:tcPr>
            <w:tcW w:w="1134" w:type="dxa"/>
            <w:shd w:val="clear" w:color="auto" w:fill="C5FFEF" w:themeFill="background2" w:themeFillTint="33"/>
            <w:tcMar>
              <w:top w:w="108" w:type="dxa"/>
              <w:left w:w="113" w:type="dxa"/>
              <w:bottom w:w="108" w:type="dxa"/>
              <w:right w:w="113" w:type="dxa"/>
            </w:tcMar>
            <w:vAlign w:val="center"/>
          </w:tcPr>
          <w:p w14:paraId="76B5D813" w14:textId="77777777" w:rsidR="001B31B4" w:rsidRPr="001B31B4" w:rsidRDefault="001B31B4" w:rsidP="001B31B4">
            <w:pPr>
              <w:pStyle w:val="CDIFigure-Table-TotalCentre"/>
            </w:pPr>
            <w:r w:rsidRPr="001B31B4">
              <w:t>0.26–0.28</w:t>
            </w:r>
          </w:p>
        </w:tc>
        <w:tc>
          <w:tcPr>
            <w:tcW w:w="1134" w:type="dxa"/>
            <w:shd w:val="clear" w:color="auto" w:fill="C5FFEF" w:themeFill="background2" w:themeFillTint="33"/>
            <w:tcMar>
              <w:top w:w="108" w:type="dxa"/>
              <w:left w:w="113" w:type="dxa"/>
              <w:bottom w:w="108" w:type="dxa"/>
              <w:right w:w="113" w:type="dxa"/>
            </w:tcMar>
            <w:vAlign w:val="center"/>
          </w:tcPr>
          <w:p w14:paraId="392F55E7" w14:textId="77777777" w:rsidR="001B31B4" w:rsidRPr="001B31B4" w:rsidRDefault="001B31B4" w:rsidP="001B31B4">
            <w:pPr>
              <w:pStyle w:val="CDIFigure-Table-TotalCentre"/>
            </w:pPr>
            <w:r w:rsidRPr="001B31B4">
              <w:t>0.04</w:t>
            </w:r>
          </w:p>
        </w:tc>
        <w:tc>
          <w:tcPr>
            <w:tcW w:w="1134" w:type="dxa"/>
            <w:shd w:val="clear" w:color="auto" w:fill="C5FFEF" w:themeFill="background2" w:themeFillTint="33"/>
            <w:tcMar>
              <w:top w:w="108" w:type="dxa"/>
              <w:left w:w="113" w:type="dxa"/>
              <w:bottom w:w="108" w:type="dxa"/>
              <w:right w:w="113" w:type="dxa"/>
            </w:tcMar>
            <w:vAlign w:val="center"/>
          </w:tcPr>
          <w:p w14:paraId="67FF4247" w14:textId="77777777" w:rsidR="001B31B4" w:rsidRPr="001B31B4" w:rsidRDefault="001B31B4" w:rsidP="001B31B4">
            <w:pPr>
              <w:pStyle w:val="CDIFigure-Table-TotalCentre"/>
            </w:pPr>
            <w:r w:rsidRPr="001B31B4">
              <w:t>0.04–0.05</w:t>
            </w:r>
          </w:p>
        </w:tc>
      </w:tr>
    </w:tbl>
    <w:p w14:paraId="20F53E69" w14:textId="6660092C" w:rsidR="00A527AD" w:rsidRDefault="00A527AD" w:rsidP="00A527AD">
      <w:pPr>
        <w:pStyle w:val="CDIFigure-Table-FirstFootnote"/>
        <w:divId w:val="935526654"/>
      </w:pPr>
      <w:proofErr w:type="gramStart"/>
      <w:r w:rsidRPr="00A527AD">
        <w:t>a</w:t>
      </w:r>
      <w:proofErr w:type="gramEnd"/>
      <w:r w:rsidRPr="00A527AD">
        <w:tab/>
        <w:t>IRR: incidence rate ratio. 95% CI: 95% confidence interval.</w:t>
      </w:r>
    </w:p>
    <w:p w14:paraId="7B1111AE" w14:textId="6B7D0C5B" w:rsidR="00A527AD" w:rsidRDefault="00A527AD" w:rsidP="00A527AD">
      <w:pPr>
        <w:pStyle w:val="Heading3"/>
        <w:divId w:val="935526654"/>
      </w:pPr>
      <w:r>
        <w:t>By jurisdiction</w:t>
      </w:r>
    </w:p>
    <w:p w14:paraId="00117ADE" w14:textId="77777777" w:rsidR="00A527AD" w:rsidRPr="00A527AD" w:rsidRDefault="00A527AD" w:rsidP="00A527AD">
      <w:pPr>
        <w:divId w:val="935526654"/>
        <w:rPr>
          <w:lang w:val="en-GB"/>
        </w:rPr>
      </w:pPr>
      <w:r w:rsidRPr="00A527AD">
        <w:rPr>
          <w:lang w:val="en-GB"/>
        </w:rPr>
        <w:t>In the pre-pandemic period, between 2017 and 2019, the highest mean annual notification rates per 100,000 population were in New South Wales (74.9), followed by Tasmania (64.3) and the Australian Capital Territory (63.5). The lowest were in the Northern Territory (28.9) and Victoria (30.0).</w:t>
      </w:r>
    </w:p>
    <w:p w14:paraId="39A356CA" w14:textId="4C3C46D4" w:rsidR="00A527AD" w:rsidRPr="00A527AD" w:rsidRDefault="00A527AD" w:rsidP="00A527AD">
      <w:pPr>
        <w:divId w:val="935526654"/>
        <w:rPr>
          <w:lang w:val="en-GB"/>
        </w:rPr>
      </w:pPr>
      <w:r w:rsidRPr="00A527AD">
        <w:rPr>
          <w:lang w:val="en-GB"/>
        </w:rPr>
        <w:t>During 2020 and 2021, all jurisdictions saw a substantial and sustained decline in pertussis notifications (Appendix A, Table A.1). In 2020, five states and territories had declines greater than the national average of 72.6%: Western Australia (89.1%; IRR: 0.11 [95% CI: 0.09–0.13]), Tasmania (81.4%; IRR: 0.19 [95% CI: 0.14–0.24]), Australian Capital Territory (80.8%; IRR 0.19 [95% CI: 0.14–0.26]), the Northern Territory (78.8%; IRR: 0.21 [95% CI: 0.11–0.37]), and New South Wales (78.4%; IRR: 0.22 [95% CI: 0.20–0.23]). Victoria had the smallest reduction (45.8%; IRR: 0.54 [95% CI: 0.50–0.58]).</w:t>
      </w:r>
    </w:p>
    <w:p w14:paraId="4A454971" w14:textId="77777777" w:rsidR="00A527AD" w:rsidRPr="00A527AD" w:rsidRDefault="00A527AD" w:rsidP="00A527AD">
      <w:pPr>
        <w:divId w:val="935526654"/>
        <w:rPr>
          <w:lang w:val="en-GB"/>
        </w:rPr>
      </w:pPr>
      <w:r w:rsidRPr="00A527AD">
        <w:rPr>
          <w:lang w:val="en-GB"/>
        </w:rPr>
        <w:t>In 2021, all-age pertussis notifications were lower by more than 90% compared to the pre-pandemic period in all jurisdictions other than Victoria (84.6%).</w:t>
      </w:r>
    </w:p>
    <w:p w14:paraId="1129144D" w14:textId="28F1D158" w:rsidR="00A527AD" w:rsidRDefault="00A527AD" w:rsidP="00A527AD">
      <w:pPr>
        <w:pStyle w:val="Heading3"/>
        <w:divId w:val="935526654"/>
      </w:pPr>
      <w:r>
        <w:lastRenderedPageBreak/>
        <w:t>By age group</w:t>
      </w:r>
    </w:p>
    <w:p w14:paraId="49ECE179" w14:textId="77777777" w:rsidR="00A527AD" w:rsidRPr="00A527AD" w:rsidRDefault="00A527AD" w:rsidP="00A527AD">
      <w:pPr>
        <w:divId w:val="935526654"/>
        <w:rPr>
          <w:lang w:val="en-GB"/>
        </w:rPr>
      </w:pPr>
      <w:r w:rsidRPr="00A527AD">
        <w:rPr>
          <w:lang w:val="en-GB"/>
        </w:rPr>
        <w:t>Between 2017 and 2019, the highest age-specific mean annual notification rates per 100,000 population in Australia were in children aged 5–9 years (165.7) and 10–14 years (137.7), followed by children aged 0–4 years (98.3). Annual notification rates in 2020 and 2021 were substantially lower across all age groups compared to the 2017 to 2019 mean (Appendix A, Figure A.1).</w:t>
      </w:r>
    </w:p>
    <w:p w14:paraId="1F92AADD" w14:textId="77777777" w:rsidR="00A527AD" w:rsidRPr="00A527AD" w:rsidRDefault="00A527AD" w:rsidP="00A527AD">
      <w:pPr>
        <w:divId w:val="935526654"/>
        <w:rPr>
          <w:lang w:val="en-GB"/>
        </w:rPr>
      </w:pPr>
      <w:r w:rsidRPr="00A527AD">
        <w:rPr>
          <w:lang w:val="en-GB"/>
        </w:rPr>
        <w:t>Compared to the pre-pandemic period, the largest decrease in national notifications was observed in the 5–14 years age group: 79.7% (IRR: 0.20 [95% CI: 0.18–0.22]) in 2020 and 98.8% (IRR: 0.01 [95% CI: 0.01–0.01]) in 2021, followed by the 0–4 years age group: 75.2% (IRR: 0.25 [95% CI: 0.22–0.28]) in 2020 and 97.0% (IRR: 0.03 [95% CI: 0.02–0.04]) in 2021. Trends by age group were broadly similar in all jurisdictions (Appendix A, Table A.1).</w:t>
      </w:r>
    </w:p>
    <w:p w14:paraId="30678D41" w14:textId="5EC24BAA" w:rsidR="00A527AD" w:rsidRDefault="00A527AD" w:rsidP="00A527AD">
      <w:pPr>
        <w:pStyle w:val="Heading3"/>
        <w:divId w:val="935526654"/>
      </w:pPr>
      <w:r>
        <w:t>Time trends by jurisdiction</w:t>
      </w:r>
    </w:p>
    <w:p w14:paraId="654FF905" w14:textId="43F83B47" w:rsidR="001B31B4" w:rsidRDefault="00A527AD" w:rsidP="001B31B4">
      <w:pPr>
        <w:rPr>
          <w:lang w:val="en-GB"/>
        </w:rPr>
      </w:pPr>
      <w:r w:rsidRPr="00A527AD">
        <w:rPr>
          <w:lang w:val="en-GB"/>
        </w:rPr>
        <w:t>Figure 1 shows jurisdictional trends in all-age monthly pertussis notifications in relation to state and territory public health measures comprising lockdown periods and mask mandates. In 2020, pertussis notifications decreased following the national lockdown, which commenced in late March, with a marked immediate fall in New South Wales, the Northern Territory, and Queensland, and more gradual decline in other jurisdictions. Throughout 2021, pertussis notifications remained well below the 2017 to 2019 mean in all states and territories, although Victoria had consistently higher notifications.</w:t>
      </w:r>
      <w:r w:rsidR="001B31B4">
        <w:rPr>
          <w:lang w:val="en-GB"/>
        </w:rPr>
        <w:br w:type="page"/>
      </w:r>
    </w:p>
    <w:p w14:paraId="66108DF4" w14:textId="099997A7" w:rsidR="00A527AD" w:rsidRDefault="001B31B4" w:rsidP="001B31B4">
      <w:pPr>
        <w:pStyle w:val="CDIFigure-Table-Title"/>
        <w:divId w:val="935526654"/>
      </w:pPr>
      <w:r w:rsidRPr="001B31B4">
        <w:lastRenderedPageBreak/>
        <w:t xml:space="preserve">Figure 1: Monthly notifications by jurisdiction, Australia, for 2020 and 2021 compared to the 2017–2019 monthly </w:t>
      </w:r>
      <w:proofErr w:type="spellStart"/>
      <w:proofErr w:type="gramStart"/>
      <w:r w:rsidRPr="001B31B4">
        <w:t>mean</w:t>
      </w:r>
      <w:r w:rsidRPr="001B31B4">
        <w:rPr>
          <w:vertAlign w:val="superscript"/>
        </w:rPr>
        <w:t>a,b</w:t>
      </w:r>
      <w:proofErr w:type="gramEnd"/>
      <w:r w:rsidRPr="001B31B4">
        <w:rPr>
          <w:vertAlign w:val="superscript"/>
        </w:rPr>
        <w:t>,c</w:t>
      </w:r>
      <w:proofErr w:type="spellEnd"/>
    </w:p>
    <w:p w14:paraId="79A1E7E4" w14:textId="63FABB3E" w:rsidR="001B31B4" w:rsidRDefault="001B31B4" w:rsidP="001B31B4">
      <w:pPr>
        <w:pStyle w:val="CDIFigure-Table-ImagePlaceholder"/>
        <w:divId w:val="935526654"/>
        <w:rPr>
          <w:lang w:val="en-GB"/>
        </w:rPr>
      </w:pPr>
      <w:r>
        <w:rPr>
          <w:noProof/>
          <w:lang w:val="en-GB"/>
          <w14:ligatures w14:val="none"/>
        </w:rPr>
        <w:drawing>
          <wp:inline distT="0" distB="0" distL="0" distR="0" wp14:anchorId="24EE2A71" wp14:editId="5FDF009F">
            <wp:extent cx="5725193" cy="7200000"/>
            <wp:effectExtent l="0" t="0" r="8890" b="1270"/>
            <wp:docPr id="2" name="Picture 2" descr="Column graph showing annual pertussis notification rates for 2020 and 2021, and the 2017 to 2019 mean annual notification rate, by 5-year age group. Between 2017 and 2019, the highest age-specific rates per 100,000 population occurred in children aged 5-9 years (165.7), and 10-14 years (137.7), followed by children aged 0-4 years (98.3). In 2020 and 2021, national notification rates were substantially lower across all age groups compared to their 2017 to 2019 mean rates. In 2020, the highest notification rates per 100,000 population were among children aged 5-9 years (31.7), followed by children aged 10-14 years (30.1). In 2021, the highest notification rates per 100,000 population were among children aged 0-4 years (3.0), followed by adults aged 50-54 years and 65-69 years (2.7,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umn graph showing annual pertussis notification rates for 2020 and 2021, and the 2017 to 2019 mean annual notification rate, by 5-year age group. Between 2017 and 2019, the highest age-specific rates per 100,000 population occurred in children aged 5-9 years (165.7), and 10-14 years (137.7), followed by children aged 0-4 years (98.3). In 2020 and 2021, national notification rates were substantially lower across all age groups compared to their 2017 to 2019 mean rates. In 2020, the highest notification rates per 100,000 population were among children aged 5-9 years (31.7), followed by children aged 10-14 years (30.1). In 2021, the highest notification rates per 100,000 population were among children aged 0-4 years (3.0), followed by adults aged 50-54 years and 65-69 years (2.7, respectively)."/>
                    <pic:cNvPicPr/>
                  </pic:nvPicPr>
                  <pic:blipFill>
                    <a:blip r:embed="rId9">
                      <a:extLst>
                        <a:ext uri="{28A0092B-C50C-407E-A947-70E740481C1C}">
                          <a14:useLocalDpi xmlns:a14="http://schemas.microsoft.com/office/drawing/2010/main" val="0"/>
                        </a:ext>
                      </a:extLst>
                    </a:blip>
                    <a:stretch>
                      <a:fillRect/>
                    </a:stretch>
                  </pic:blipFill>
                  <pic:spPr>
                    <a:xfrm>
                      <a:off x="0" y="0"/>
                      <a:ext cx="5725193" cy="7200000"/>
                    </a:xfrm>
                    <a:prstGeom prst="rect">
                      <a:avLst/>
                    </a:prstGeom>
                  </pic:spPr>
                </pic:pic>
              </a:graphicData>
            </a:graphic>
          </wp:inline>
        </w:drawing>
      </w:r>
    </w:p>
    <w:p w14:paraId="7BF0013C" w14:textId="77777777" w:rsidR="001B31B4" w:rsidRDefault="001B31B4" w:rsidP="001B31B4">
      <w:pPr>
        <w:pStyle w:val="CDIFigure-Table-FirstFootnote"/>
        <w:divId w:val="935526654"/>
      </w:pPr>
      <w:r>
        <w:t>a</w:t>
      </w:r>
      <w:r>
        <w:tab/>
        <w:t>Maxima and minima for the 2017–2019 monthly mean are displayed as error bars.</w:t>
      </w:r>
    </w:p>
    <w:p w14:paraId="416C432C" w14:textId="77777777" w:rsidR="001B31B4" w:rsidRDefault="001B31B4" w:rsidP="001B31B4">
      <w:pPr>
        <w:pStyle w:val="CDIFigure-Table-Footnote"/>
        <w:divId w:val="935526654"/>
      </w:pPr>
      <w:r>
        <w:t>b</w:t>
      </w:r>
      <w:r>
        <w:tab/>
        <w:t>ACT: Australian Capital Territory; NSW: New South Wales; NT: Northern Territory; Qld: Queensland; SA: South Australia; Tas.: Tasmania; Vic.: Victoria; WA: Western Australia.</w:t>
      </w:r>
    </w:p>
    <w:p w14:paraId="7159C9DF" w14:textId="77777777" w:rsidR="001B31B4" w:rsidRDefault="001B31B4" w:rsidP="001B31B4">
      <w:pPr>
        <w:pStyle w:val="CDIFigure-Table-Footnote"/>
        <w:divId w:val="935526654"/>
      </w:pPr>
      <w:r>
        <w:t>c</w:t>
      </w:r>
      <w:r>
        <w:tab/>
        <w:t>Lockdowns of one month or greater duration are displayed, as per legend; lockdown periods of less than one month are not shown.</w:t>
      </w:r>
    </w:p>
    <w:p w14:paraId="1CA25684" w14:textId="77777777" w:rsidR="001B31B4" w:rsidRDefault="001B31B4" w:rsidP="001B31B4">
      <w:pPr>
        <w:pStyle w:val="CDIFigure-Table-Footnote"/>
        <w:divId w:val="935526654"/>
      </w:pPr>
      <w:r>
        <w:t>d</w:t>
      </w:r>
      <w:r>
        <w:tab/>
        <w:t>Victoria only; mandatory masks.</w:t>
      </w:r>
    </w:p>
    <w:p w14:paraId="0845432C" w14:textId="1ADDCC04" w:rsidR="001B31B4" w:rsidRPr="00A527AD" w:rsidRDefault="001B31B4" w:rsidP="001B31B4">
      <w:pPr>
        <w:pStyle w:val="CDIFigure-Table-Footnote"/>
        <w:divId w:val="935526654"/>
      </w:pPr>
      <w:r>
        <w:t>e</w:t>
      </w:r>
      <w:r>
        <w:tab/>
        <w:t>Australian Capital Territory, New South Wales and Victoria only; mandatory masks.</w:t>
      </w:r>
    </w:p>
    <w:p w14:paraId="7477200F" w14:textId="47A4C7E4" w:rsidR="00A527AD" w:rsidRDefault="00A527AD" w:rsidP="00A527AD">
      <w:pPr>
        <w:pStyle w:val="Heading2"/>
        <w:divId w:val="935526654"/>
      </w:pPr>
      <w:r>
        <w:lastRenderedPageBreak/>
        <w:t>Sensitivity analysis</w:t>
      </w:r>
    </w:p>
    <w:p w14:paraId="53B70078" w14:textId="77777777" w:rsidR="00A527AD" w:rsidRPr="00A527AD" w:rsidRDefault="00A527AD" w:rsidP="00A527AD">
      <w:pPr>
        <w:divId w:val="935526654"/>
        <w:rPr>
          <w:lang w:val="en-GB"/>
        </w:rPr>
      </w:pPr>
      <w:r w:rsidRPr="00A527AD">
        <w:rPr>
          <w:lang w:val="en-GB"/>
        </w:rPr>
        <w:t xml:space="preserve">A sensitivity analysis using a five-year (2015–2019) rather than three-year (2017–2019) pre-pandemic comparison period showed a greater decrease in annual notification rate relative to this longer pre-pandemic </w:t>
      </w:r>
      <w:proofErr w:type="gramStart"/>
      <w:r w:rsidRPr="00A527AD">
        <w:rPr>
          <w:lang w:val="en-GB"/>
        </w:rPr>
        <w:t>mean</w:t>
      </w:r>
      <w:proofErr w:type="gramEnd"/>
      <w:r w:rsidRPr="00A527AD">
        <w:rPr>
          <w:lang w:val="en-GB"/>
        </w:rPr>
        <w:t xml:space="preserve"> in all jurisdictions except Tasmania, in both 2020 (range 0.1% to 24.1%) and 2021 (0.2% to 6.9%) (Appendix A, Table A.2). In Tasmania, the decrease in pertussis notifications was less pronounced in 2020 and 2021 using a five-year pre-pandemic analysis than in the primary three-year analysis.</w:t>
      </w:r>
    </w:p>
    <w:p w14:paraId="4A8202B1" w14:textId="77777777" w:rsidR="008A0736" w:rsidRDefault="008A0736" w:rsidP="008A0736">
      <w:pPr>
        <w:pStyle w:val="Heading1"/>
        <w:divId w:val="935526654"/>
        <w:rPr>
          <w:lang w:val="en-GB"/>
        </w:rPr>
      </w:pPr>
      <w:r w:rsidRPr="00702D05">
        <w:rPr>
          <w:lang w:val="en-GB"/>
        </w:rPr>
        <w:t>Discussion</w:t>
      </w:r>
    </w:p>
    <w:p w14:paraId="5824215F" w14:textId="77777777" w:rsidR="00A527AD" w:rsidRPr="00A527AD" w:rsidRDefault="00A527AD" w:rsidP="00A527AD">
      <w:pPr>
        <w:divId w:val="935526654"/>
        <w:rPr>
          <w:lang w:val="en-GB"/>
        </w:rPr>
      </w:pPr>
      <w:r w:rsidRPr="00A527AD">
        <w:rPr>
          <w:lang w:val="en-GB"/>
        </w:rPr>
        <w:t>Our study showed a substantial, progressive decrease in pertussis notifications following the implementation of COVID-19-targeted NPI public health measures in Australia. Compared to the pre-pandemic period (2017 to 2019), pertussis notification rates decreased in all jurisdictions and across all age groups.</w:t>
      </w:r>
    </w:p>
    <w:p w14:paraId="7D211FB6" w14:textId="77777777" w:rsidR="00A527AD" w:rsidRPr="00A527AD" w:rsidRDefault="00A527AD" w:rsidP="00A527AD">
      <w:pPr>
        <w:divId w:val="935526654"/>
        <w:rPr>
          <w:lang w:val="en-GB"/>
        </w:rPr>
      </w:pPr>
      <w:r w:rsidRPr="00A527AD">
        <w:rPr>
          <w:lang w:val="en-GB"/>
        </w:rPr>
        <w:t>From May 2020 onwards, following the initial COVID-19 national lockdown, all-age monthly pertussis notifications remained well below the previous three-year mean in all jurisdictions.</w:t>
      </w:r>
    </w:p>
    <w:p w14:paraId="7ACA8006" w14:textId="77777777" w:rsidR="00A527AD" w:rsidRPr="00A527AD" w:rsidRDefault="00A527AD" w:rsidP="00A527AD">
      <w:pPr>
        <w:divId w:val="935526654"/>
        <w:rPr>
          <w:lang w:val="en-GB"/>
        </w:rPr>
      </w:pPr>
      <w:r w:rsidRPr="00A527AD">
        <w:rPr>
          <w:lang w:val="en-GB"/>
        </w:rPr>
        <w:t>Monthly pertussis notifications in Victoria fell more slowly in 2020 compared to other states and territories. While still substantial, Victoria had the smallest decrease in notification rates compared to the pre-pandemic period, though decreases in Victoria came off a lower baseline. This is despite the additional strict internal containment measures implemented in Victoria (a second lockdown with associated mask mandates for 111 days in 2020)</w:t>
      </w:r>
      <w:r w:rsidRPr="00A527AD">
        <w:rPr>
          <w:vertAlign w:val="superscript"/>
          <w:lang w:val="en-GB"/>
        </w:rPr>
        <w:t>19</w:t>
      </w:r>
      <w:r w:rsidRPr="00A527AD">
        <w:rPr>
          <w:lang w:val="en-GB"/>
        </w:rPr>
        <w:t xml:space="preserve"> and, although genotype data are not available, could suggest ongoing transmission of </w:t>
      </w:r>
      <w:r w:rsidRPr="00A527AD">
        <w:rPr>
          <w:i/>
          <w:iCs/>
          <w:lang w:val="en-GB"/>
        </w:rPr>
        <w:t>B. pertussis</w:t>
      </w:r>
      <w:r w:rsidRPr="00A527AD">
        <w:rPr>
          <w:lang w:val="en-GB"/>
        </w:rPr>
        <w:t xml:space="preserve"> strains relatively newly introduced from interstate or overseas (i.e. prior to the lockdowns) in Victoria during this period. In 2021, all-age notification rates were more than 80% lower than the pre-pandemic period in all jurisdictions, with absolute rates in Victoria being higher than other states and territories, although it is unclear whether this reflects truly higher incidence or different testing and/or public health follow-up practices.</w:t>
      </w:r>
    </w:p>
    <w:p w14:paraId="459E7092" w14:textId="51CD39AE" w:rsidR="00A527AD" w:rsidRPr="00A527AD" w:rsidRDefault="00A527AD" w:rsidP="00A527AD">
      <w:pPr>
        <w:divId w:val="935526654"/>
        <w:rPr>
          <w:lang w:val="en-GB"/>
        </w:rPr>
      </w:pPr>
      <w:r w:rsidRPr="00A527AD">
        <w:rPr>
          <w:lang w:val="en-GB"/>
        </w:rPr>
        <w:t>To date, there are very few Australian studies exploring the relationship between COVID-19 NPIs and pertussis notifications. Studies in the region of Central Queensland and in Victoria, using the same NNDSS data, found similar all-age pertussis notification rates to our study.</w:t>
      </w:r>
      <w:r w:rsidRPr="00A527AD">
        <w:rPr>
          <w:vertAlign w:val="superscript"/>
          <w:lang w:val="en-GB"/>
        </w:rPr>
        <w:t>13,14</w:t>
      </w:r>
      <w:r w:rsidRPr="00A527AD">
        <w:rPr>
          <w:lang w:val="en-GB"/>
        </w:rPr>
        <w:t xml:space="preserve"> In Europe, studies in England and France also demonstrated a decrease in pertussis cases of comparable magnitude temporally associated with the introduction of COVID-19 NPIs among all age groups, including young children.</w:t>
      </w:r>
      <w:r w:rsidRPr="00A527AD">
        <w:rPr>
          <w:vertAlign w:val="superscript"/>
          <w:lang w:val="en-GB"/>
        </w:rPr>
        <w:t>20,21</w:t>
      </w:r>
    </w:p>
    <w:p w14:paraId="6A517DC2" w14:textId="77777777" w:rsidR="00A527AD" w:rsidRPr="00A527AD" w:rsidRDefault="00A527AD" w:rsidP="00A527AD">
      <w:pPr>
        <w:divId w:val="935526654"/>
        <w:rPr>
          <w:lang w:val="en-GB"/>
        </w:rPr>
      </w:pPr>
      <w:r w:rsidRPr="00A527AD">
        <w:rPr>
          <w:lang w:val="en-GB"/>
        </w:rPr>
        <w:t xml:space="preserve">Decreased community circulation of respiratory pathogens, such as </w:t>
      </w:r>
      <w:r w:rsidRPr="00A527AD">
        <w:rPr>
          <w:i/>
          <w:iCs/>
          <w:lang w:val="en-GB"/>
        </w:rPr>
        <w:t>B. pertussis</w:t>
      </w:r>
      <w:r w:rsidRPr="00A527AD">
        <w:rPr>
          <w:lang w:val="en-GB"/>
        </w:rPr>
        <w:t>, associated with COVID-19 NPIs has likely resulted in reduced natural immunity. This, coupled with a decrease in routine vaccine administration in many countries during the pandemic, could contribute to immunity gaps,</w:t>
      </w:r>
      <w:r w:rsidRPr="00A527AD">
        <w:rPr>
          <w:vertAlign w:val="superscript"/>
          <w:lang w:val="en-GB"/>
        </w:rPr>
        <w:t>22</w:t>
      </w:r>
      <w:r w:rsidRPr="00A527AD">
        <w:rPr>
          <w:lang w:val="en-GB"/>
        </w:rPr>
        <w:t xml:space="preserve"> and increased vulnerability of populations to future disease outbreaks. In New Zealand, long-standing low maternal and delayed infant vaccination in the wake of strict COVID-19 measures may have contributed to a cluster of three infant pertussis deaths in early 2023.</w:t>
      </w:r>
      <w:r w:rsidRPr="00A527AD">
        <w:rPr>
          <w:vertAlign w:val="superscript"/>
          <w:lang w:val="en-GB"/>
        </w:rPr>
        <w:t>23</w:t>
      </w:r>
      <w:r w:rsidRPr="00A527AD">
        <w:rPr>
          <w:lang w:val="en-GB"/>
        </w:rPr>
        <w:t xml:space="preserve"> In Australia, maternal pertussis vaccination coverage has been relatively high,</w:t>
      </w:r>
      <w:r w:rsidRPr="00A527AD">
        <w:rPr>
          <w:vertAlign w:val="superscript"/>
          <w:lang w:val="en-GB"/>
        </w:rPr>
        <w:t>24</w:t>
      </w:r>
      <w:r w:rsidRPr="00A527AD">
        <w:rPr>
          <w:lang w:val="en-GB"/>
        </w:rPr>
        <w:t xml:space="preserve"> and the impact of the pandemic on childhood vaccination coverage rates, including pertussis-containing vaccines, has been limited.</w:t>
      </w:r>
      <w:r w:rsidRPr="00A527AD">
        <w:rPr>
          <w:vertAlign w:val="superscript"/>
          <w:lang w:val="en-GB"/>
        </w:rPr>
        <w:t>25,26</w:t>
      </w:r>
      <w:r w:rsidRPr="00A527AD">
        <w:rPr>
          <w:lang w:val="en-GB"/>
        </w:rPr>
        <w:t xml:space="preserve"> More recent maternal data are required to ensure coverage has not reduced in more recent years. It is important to maximise routine vaccination coverage </w:t>
      </w:r>
      <w:r w:rsidRPr="00A527AD">
        <w:rPr>
          <w:lang w:val="en-GB"/>
        </w:rPr>
        <w:lastRenderedPageBreak/>
        <w:t>across all ages and high-risk groups to mitigate this possible transmission risk due to reduced natural immunity.</w:t>
      </w:r>
      <w:r w:rsidRPr="00A527AD">
        <w:rPr>
          <w:vertAlign w:val="superscript"/>
          <w:lang w:val="en-GB"/>
        </w:rPr>
        <w:t>27</w:t>
      </w:r>
    </w:p>
    <w:p w14:paraId="53526AD2" w14:textId="77777777" w:rsidR="00A527AD" w:rsidRPr="00A527AD" w:rsidRDefault="00A527AD" w:rsidP="00A527AD">
      <w:pPr>
        <w:divId w:val="935526654"/>
        <w:rPr>
          <w:lang w:val="en-GB"/>
        </w:rPr>
      </w:pPr>
      <w:r w:rsidRPr="00A527AD">
        <w:rPr>
          <w:lang w:val="en-GB"/>
        </w:rPr>
        <w:t>Although large scale NPIs have generally not been used in Australia since mid-2022, and have focused more on healthcare settings, surveillance data as of early September 2023 suggest no resurgence of pertussis.</w:t>
      </w:r>
      <w:r w:rsidRPr="00A527AD">
        <w:rPr>
          <w:vertAlign w:val="superscript"/>
          <w:lang w:val="en-GB"/>
        </w:rPr>
        <w:t>28,29</w:t>
      </w:r>
      <w:r w:rsidRPr="00A527AD">
        <w:rPr>
          <w:lang w:val="en-GB"/>
        </w:rPr>
        <w:t xml:space="preserve"> In contrast, influenza notifications, which were well below usual levels in 2020 and 2021,</w:t>
      </w:r>
      <w:r w:rsidRPr="00A527AD">
        <w:rPr>
          <w:vertAlign w:val="superscript"/>
          <w:lang w:val="en-GB"/>
        </w:rPr>
        <w:t xml:space="preserve">30,31 </w:t>
      </w:r>
      <w:r w:rsidRPr="00A527AD">
        <w:rPr>
          <w:lang w:val="en-GB"/>
        </w:rPr>
        <w:t>resurged in 2022 and 2023.</w:t>
      </w:r>
      <w:r w:rsidRPr="00A527AD">
        <w:rPr>
          <w:vertAlign w:val="superscript"/>
          <w:lang w:val="en-GB"/>
        </w:rPr>
        <w:t>32,33</w:t>
      </w:r>
      <w:r w:rsidRPr="00A527AD">
        <w:rPr>
          <w:lang w:val="en-GB"/>
        </w:rPr>
        <w:t xml:space="preserve"> This suggests different patterns of immunity, carriage, and transmission between </w:t>
      </w:r>
      <w:r w:rsidRPr="00A527AD">
        <w:rPr>
          <w:i/>
          <w:iCs/>
          <w:lang w:val="en-GB"/>
        </w:rPr>
        <w:t>B. pertussis</w:t>
      </w:r>
      <w:r w:rsidRPr="00A527AD">
        <w:rPr>
          <w:lang w:val="en-GB"/>
        </w:rPr>
        <w:t xml:space="preserve"> and influenza.</w:t>
      </w:r>
    </w:p>
    <w:p w14:paraId="1BD8D0FC" w14:textId="77777777" w:rsidR="00A527AD" w:rsidRPr="00A527AD" w:rsidRDefault="00A527AD" w:rsidP="00A527AD">
      <w:pPr>
        <w:divId w:val="935526654"/>
        <w:rPr>
          <w:lang w:val="en-GB"/>
        </w:rPr>
      </w:pPr>
      <w:r w:rsidRPr="00A527AD">
        <w:rPr>
          <w:lang w:val="en-GB"/>
        </w:rPr>
        <w:t>This study has some limitations. As it is an ecological study, it cannot demonstrate a direct causal relationship between the implementation of COVID-19 NPIs and a decrease in pertussis notifications. Further, as with most notifiable conditions, pertussis notifications are not a complete enumeration of all infections. Infection ascertainment is affected by disease severity and testing and public health follow-up practices, which are also affected by age at infection.</w:t>
      </w:r>
      <w:r w:rsidRPr="00A527AD">
        <w:rPr>
          <w:vertAlign w:val="superscript"/>
          <w:lang w:val="en-GB"/>
        </w:rPr>
        <w:t>34</w:t>
      </w:r>
      <w:r w:rsidRPr="00A527AD">
        <w:rPr>
          <w:lang w:val="en-GB"/>
        </w:rPr>
        <w:t xml:space="preserve"> Pertussis could also have been under-reported during the pandemic due to changes in healthcare-seeking behaviour, and alterations to testing practices,</w:t>
      </w:r>
      <w:r w:rsidRPr="00A527AD">
        <w:rPr>
          <w:vertAlign w:val="superscript"/>
          <w:lang w:val="en-GB"/>
        </w:rPr>
        <w:t>35</w:t>
      </w:r>
      <w:r w:rsidRPr="00A527AD">
        <w:rPr>
          <w:lang w:val="en-GB"/>
        </w:rPr>
        <w:t xml:space="preserve"> which could have varied between age groups and jurisdictions. Based on our sensitivity analysis, it is likely that our findings are generally conservative estimates, though less so for Tasmania.</w:t>
      </w:r>
    </w:p>
    <w:p w14:paraId="4A67262A" w14:textId="77777777" w:rsidR="008A0736" w:rsidRPr="00702D05" w:rsidRDefault="008A0736" w:rsidP="008A0736">
      <w:pPr>
        <w:pStyle w:val="Heading1"/>
        <w:divId w:val="935526654"/>
        <w:rPr>
          <w:lang w:val="en-GB"/>
        </w:rPr>
      </w:pPr>
      <w:r w:rsidRPr="00702D05">
        <w:rPr>
          <w:lang w:val="en-GB"/>
        </w:rPr>
        <w:t>Conclusion</w:t>
      </w:r>
    </w:p>
    <w:p w14:paraId="67190A58" w14:textId="64FED2CD" w:rsidR="001B31B4" w:rsidRDefault="00A527AD" w:rsidP="001B31B4">
      <w:pPr>
        <w:rPr>
          <w:lang w:val="en-GB"/>
        </w:rPr>
      </w:pPr>
      <w:r w:rsidRPr="00A527AD">
        <w:rPr>
          <w:lang w:val="en-GB"/>
        </w:rPr>
        <w:t>The implementation of COVID-19-targeted NPIs in Australia appears to have been associated with a significant decrease in pertussis notifications in all jurisdictions and across all age groups, when compared to the pre-pandemic period. Although these NPIs are no longer in place, pertussis notifications have not yet rebounded. However, it is important to ensure high vaccination rates, particularly among high-risk groups such as pregnant women and young children, to mitigate the potential resurgence of pertussis infections and significant associated health outcomes, especially in the context of potentially increased transmission risk due to reduced natural immunity.</w:t>
      </w:r>
      <w:r w:rsidR="001B31B4">
        <w:rPr>
          <w:lang w:val="en-GB"/>
        </w:rPr>
        <w:br w:type="page"/>
      </w:r>
    </w:p>
    <w:p w14:paraId="08D0329D" w14:textId="77777777" w:rsidR="008A0736" w:rsidRDefault="008A0736" w:rsidP="008A0736">
      <w:pPr>
        <w:pStyle w:val="Heading1"/>
        <w:divId w:val="935526654"/>
      </w:pPr>
      <w:r>
        <w:lastRenderedPageBreak/>
        <w:t>Author details</w:t>
      </w:r>
    </w:p>
    <w:p w14:paraId="0B2D3DBF" w14:textId="77777777" w:rsidR="00A527AD" w:rsidRPr="00A527AD" w:rsidRDefault="00A527AD" w:rsidP="00A527AD">
      <w:pPr>
        <w:divId w:val="935526654"/>
        <w:rPr>
          <w:lang w:val="en-GB"/>
        </w:rPr>
      </w:pPr>
      <w:r w:rsidRPr="00A527AD">
        <w:rPr>
          <w:lang w:val="en-GB"/>
        </w:rPr>
        <w:t>Saskia van der Kooi</w:t>
      </w:r>
      <w:r w:rsidRPr="00A527AD">
        <w:rPr>
          <w:vertAlign w:val="superscript"/>
          <w:lang w:val="en-GB"/>
        </w:rPr>
        <w:t>1,2</w:t>
      </w:r>
    </w:p>
    <w:p w14:paraId="61A67830" w14:textId="77777777" w:rsidR="00A527AD" w:rsidRPr="00A527AD" w:rsidRDefault="00A527AD" w:rsidP="00A527AD">
      <w:pPr>
        <w:pStyle w:val="Normal-lessspace"/>
        <w:divId w:val="935526654"/>
      </w:pPr>
      <w:r w:rsidRPr="00A527AD">
        <w:t>A/Prof. Frank Beard</w:t>
      </w:r>
      <w:r w:rsidRPr="00A527AD">
        <w:rPr>
          <w:vertAlign w:val="superscript"/>
        </w:rPr>
        <w:t>2,3</w:t>
      </w:r>
    </w:p>
    <w:p w14:paraId="4A5DC54B" w14:textId="77777777" w:rsidR="00A527AD" w:rsidRPr="00A527AD" w:rsidRDefault="00A527AD" w:rsidP="00A527AD">
      <w:pPr>
        <w:pStyle w:val="Normal-lessspace"/>
        <w:divId w:val="935526654"/>
      </w:pPr>
      <w:r w:rsidRPr="00A527AD">
        <w:t>Dr Aditi Dey</w:t>
      </w:r>
      <w:r w:rsidRPr="00A527AD">
        <w:rPr>
          <w:vertAlign w:val="superscript"/>
        </w:rPr>
        <w:t>2,3</w:t>
      </w:r>
    </w:p>
    <w:p w14:paraId="0A66B1C1" w14:textId="77777777" w:rsidR="00A527AD" w:rsidRPr="00A527AD" w:rsidRDefault="00A527AD" w:rsidP="00A527AD">
      <w:pPr>
        <w:pStyle w:val="Normal-lessspace"/>
        <w:divId w:val="935526654"/>
      </w:pPr>
      <w:r w:rsidRPr="00A527AD">
        <w:t>Prof. Peter McIntyre</w:t>
      </w:r>
      <w:r w:rsidRPr="00A527AD">
        <w:rPr>
          <w:vertAlign w:val="superscript"/>
        </w:rPr>
        <w:t>4</w:t>
      </w:r>
    </w:p>
    <w:p w14:paraId="20BDF4FC" w14:textId="77777777" w:rsidR="00A527AD" w:rsidRPr="00A527AD" w:rsidRDefault="00A527AD" w:rsidP="00A527AD">
      <w:pPr>
        <w:pStyle w:val="Normal-lessspace"/>
        <w:divId w:val="935526654"/>
      </w:pPr>
      <w:r w:rsidRPr="00A527AD">
        <w:t>Dr Chrissy Imai</w:t>
      </w:r>
      <w:r w:rsidRPr="00A527AD">
        <w:rPr>
          <w:vertAlign w:val="superscript"/>
        </w:rPr>
        <w:t>2</w:t>
      </w:r>
    </w:p>
    <w:p w14:paraId="326C200B" w14:textId="77777777" w:rsidR="00A527AD" w:rsidRPr="00A527AD" w:rsidRDefault="00A527AD" w:rsidP="00A527AD">
      <w:pPr>
        <w:pStyle w:val="Normal-lessspace"/>
        <w:divId w:val="935526654"/>
      </w:pPr>
      <w:r w:rsidRPr="00A527AD">
        <w:t>Prof. Janaki Amin</w:t>
      </w:r>
      <w:r w:rsidRPr="00A527AD">
        <w:rPr>
          <w:vertAlign w:val="superscript"/>
        </w:rPr>
        <w:t>1</w:t>
      </w:r>
    </w:p>
    <w:p w14:paraId="79161E2F" w14:textId="77777777" w:rsidR="00A527AD" w:rsidRPr="00A527AD" w:rsidRDefault="00A527AD" w:rsidP="00A527AD">
      <w:pPr>
        <w:pStyle w:val="CDINumberedList1L1"/>
        <w:divId w:val="935526654"/>
      </w:pPr>
      <w:r w:rsidRPr="00A527AD">
        <w:t>Department of Health Sciences, Faculty of Medicine Health and Human Sciences, Macquarie University, Sydney, New South Wales, Australia</w:t>
      </w:r>
    </w:p>
    <w:p w14:paraId="6090E942" w14:textId="77777777" w:rsidR="00A527AD" w:rsidRPr="00A527AD" w:rsidRDefault="00A527AD" w:rsidP="00A527AD">
      <w:pPr>
        <w:pStyle w:val="CDINumberedList1L1"/>
        <w:divId w:val="935526654"/>
      </w:pPr>
      <w:r w:rsidRPr="00A527AD">
        <w:t>National Centre for Immunisation Research and Surveillance, Westmead, New South Wales, Australia</w:t>
      </w:r>
    </w:p>
    <w:p w14:paraId="3251704E" w14:textId="77777777" w:rsidR="00A527AD" w:rsidRPr="00A527AD" w:rsidRDefault="00A527AD" w:rsidP="00A527AD">
      <w:pPr>
        <w:pStyle w:val="CDINumberedList1L1"/>
        <w:divId w:val="935526654"/>
      </w:pPr>
      <w:r w:rsidRPr="00A527AD">
        <w:t>The University of Sydney, New South Wales, Australia</w:t>
      </w:r>
    </w:p>
    <w:p w14:paraId="794E2651" w14:textId="77777777" w:rsidR="00A527AD" w:rsidRPr="00A527AD" w:rsidRDefault="00A527AD" w:rsidP="00A527AD">
      <w:pPr>
        <w:pStyle w:val="CDINumberedList1L1"/>
        <w:divId w:val="935526654"/>
      </w:pPr>
      <w:r w:rsidRPr="00A527AD">
        <w:t>The University of Otago, Dunedin, New Zealand</w:t>
      </w:r>
    </w:p>
    <w:p w14:paraId="4620E44A" w14:textId="77777777" w:rsidR="00A527AD" w:rsidRPr="00A527AD" w:rsidRDefault="00A527AD" w:rsidP="00A527AD">
      <w:pPr>
        <w:divId w:val="935526654"/>
        <w:rPr>
          <w:b/>
          <w:bCs/>
          <w:lang w:val="en-GB"/>
        </w:rPr>
      </w:pPr>
      <w:r w:rsidRPr="00A527AD">
        <w:rPr>
          <w:b/>
          <w:bCs/>
          <w:lang w:val="en-GB"/>
        </w:rPr>
        <w:t xml:space="preserve">Corresponding author </w:t>
      </w:r>
    </w:p>
    <w:p w14:paraId="76E2D641" w14:textId="77777777" w:rsidR="00A527AD" w:rsidRPr="00A527AD" w:rsidRDefault="00A527AD" w:rsidP="00A527AD">
      <w:pPr>
        <w:pStyle w:val="Normal-lessspace"/>
        <w:divId w:val="935526654"/>
      </w:pPr>
      <w:r w:rsidRPr="00A527AD">
        <w:t>Saskia van der Kooi</w:t>
      </w:r>
    </w:p>
    <w:p w14:paraId="7742609D" w14:textId="77777777" w:rsidR="00A527AD" w:rsidRPr="00A527AD" w:rsidRDefault="00A527AD" w:rsidP="00A527AD">
      <w:pPr>
        <w:pStyle w:val="Normal-lessspace"/>
        <w:divId w:val="935526654"/>
      </w:pPr>
      <w:r w:rsidRPr="00A527AD">
        <w:t>Department of Health Sciences, Faculty of Medicine Health and Human Sciences, Macquarie University, Sydney, New South Wales, Australia</w:t>
      </w:r>
    </w:p>
    <w:p w14:paraId="44E8170A" w14:textId="2047B7B9" w:rsidR="008A0736" w:rsidRPr="007A2D74" w:rsidRDefault="00A527AD" w:rsidP="00A527AD">
      <w:pPr>
        <w:pStyle w:val="Normal-lessspace"/>
        <w:divId w:val="935526654"/>
      </w:pPr>
      <w:r w:rsidRPr="00A527AD">
        <w:t>Email: saskia.vanderkooi@hdr.mq.edu.au</w:t>
      </w:r>
      <w:r w:rsidR="008A0736" w:rsidRPr="007A2D74">
        <w:br w:type="page"/>
      </w:r>
    </w:p>
    <w:p w14:paraId="16C8B812" w14:textId="77777777" w:rsidR="008A0736" w:rsidRDefault="008A0736" w:rsidP="008A0736">
      <w:pPr>
        <w:pStyle w:val="Heading1"/>
        <w:divId w:val="935526654"/>
      </w:pPr>
      <w:r>
        <w:lastRenderedPageBreak/>
        <w:t>References</w:t>
      </w:r>
    </w:p>
    <w:p w14:paraId="34BDA495" w14:textId="2583A1B9" w:rsidR="00A527AD" w:rsidRPr="00A527AD" w:rsidRDefault="00A527AD" w:rsidP="00A527AD">
      <w:pPr>
        <w:pStyle w:val="CDINumberedList1L1"/>
        <w:numPr>
          <w:ilvl w:val="0"/>
          <w:numId w:val="33"/>
        </w:numPr>
        <w:divId w:val="935526654"/>
      </w:pPr>
      <w:r w:rsidRPr="00A527AD">
        <w:t xml:space="preserve">Marshall KS, Quinn HE, Pillsbury AJ, Maguire JE, Lucas RM, Dey A et al. Australian vaccine preventable disease epidemiological review series: pertussis, 2013–2018. </w:t>
      </w:r>
      <w:r w:rsidRPr="00A527AD">
        <w:rPr>
          <w:i/>
          <w:iCs/>
        </w:rPr>
        <w:t>Commun Dis Intell (2018)</w:t>
      </w:r>
      <w:r w:rsidRPr="00A527AD">
        <w:t>. 2022;46. doi:</w:t>
      </w:r>
      <w:r>
        <w:t> </w:t>
      </w:r>
      <w:r w:rsidRPr="00A527AD">
        <w:t>https://doi.org/10.33321/cdi.2022.46.3.</w:t>
      </w:r>
    </w:p>
    <w:p w14:paraId="6A5FA604" w14:textId="77777777" w:rsidR="00A527AD" w:rsidRPr="00A527AD" w:rsidRDefault="00A527AD" w:rsidP="00A527AD">
      <w:pPr>
        <w:pStyle w:val="CDINumberedList1L1"/>
        <w:divId w:val="935526654"/>
      </w:pPr>
      <w:r w:rsidRPr="00A527AD">
        <w:t xml:space="preserve">Leong RNF, Wood JG, Turner RM, Newall AT. Estimating seasonal variation in Australian pertussis notifications from 1991 to 2016: evidence of spring to summer peaks. </w:t>
      </w:r>
      <w:r w:rsidRPr="00A527AD">
        <w:rPr>
          <w:i/>
          <w:iCs/>
        </w:rPr>
        <w:t>Epidemiol Infect</w:t>
      </w:r>
      <w:r w:rsidRPr="00A527AD">
        <w:t>. 2019;</w:t>
      </w:r>
      <w:proofErr w:type="gramStart"/>
      <w:r w:rsidRPr="00A527AD">
        <w:t>147:e</w:t>
      </w:r>
      <w:proofErr w:type="gramEnd"/>
      <w:r w:rsidRPr="00A527AD">
        <w:t>155. doi: https://doi.org/10.1017/S0950268818003680.</w:t>
      </w:r>
    </w:p>
    <w:p w14:paraId="7270E900" w14:textId="77777777" w:rsidR="00A527AD" w:rsidRPr="00A527AD" w:rsidRDefault="00A527AD" w:rsidP="00A527AD">
      <w:pPr>
        <w:pStyle w:val="CDINumberedList1L1"/>
        <w:divId w:val="935526654"/>
      </w:pPr>
      <w:r w:rsidRPr="00A527AD">
        <w:t>Quinn HE, McIntyre PB. Pertussis epidemiology in Australia over the decade 1995–2005—trends by region and age group.</w:t>
      </w:r>
      <w:r w:rsidRPr="00A527AD">
        <w:rPr>
          <w:i/>
          <w:iCs/>
        </w:rPr>
        <w:t xml:space="preserve"> Commun Dis Intell Q Rep</w:t>
      </w:r>
      <w:r w:rsidRPr="00A527AD">
        <w:t>. 2007;31(2):205–15.</w:t>
      </w:r>
    </w:p>
    <w:p w14:paraId="70A7A75F" w14:textId="77777777" w:rsidR="00A527AD" w:rsidRPr="00A527AD" w:rsidRDefault="00A527AD" w:rsidP="00A527AD">
      <w:pPr>
        <w:pStyle w:val="CDINumberedList1L1"/>
        <w:divId w:val="935526654"/>
      </w:pPr>
      <w:r w:rsidRPr="00A527AD">
        <w:t>Pillsbury A, Quinn HE, McIntyre PB. Australian vaccine preventable disease epidemiological review series: pertussis, 2006-2012.</w:t>
      </w:r>
      <w:r w:rsidRPr="00A527AD">
        <w:rPr>
          <w:i/>
          <w:iCs/>
        </w:rPr>
        <w:t xml:space="preserve"> Commun Dis Intell Q Rep</w:t>
      </w:r>
      <w:r w:rsidRPr="00A527AD">
        <w:t>. 2014;38(3</w:t>
      </w:r>
      <w:proofErr w:type="gramStart"/>
      <w:r w:rsidRPr="00A527AD">
        <w:t>):E</w:t>
      </w:r>
      <w:proofErr w:type="gramEnd"/>
      <w:r w:rsidRPr="00A527AD">
        <w:t>179–94.</w:t>
      </w:r>
    </w:p>
    <w:p w14:paraId="6ACCE9CF" w14:textId="77777777" w:rsidR="00A527AD" w:rsidRPr="00A527AD" w:rsidRDefault="00A527AD" w:rsidP="00A527AD">
      <w:pPr>
        <w:pStyle w:val="CDINumberedList1L1"/>
        <w:divId w:val="935526654"/>
      </w:pPr>
      <w:r w:rsidRPr="00A527AD">
        <w:t>World Health Organization (WHO). Timeline: WHO’s COVID-19 response. [Webpage.] Geneva: WHO; 2022. [Accessed in March 2022.] Available from: https://www.who.int/emergencies/diseases/novel-coronavirus-2019/interactive-timeline.</w:t>
      </w:r>
    </w:p>
    <w:p w14:paraId="5232A59B" w14:textId="77777777" w:rsidR="00A527AD" w:rsidRPr="00A527AD" w:rsidRDefault="00A527AD" w:rsidP="00A527AD">
      <w:pPr>
        <w:pStyle w:val="CDINumberedList1L1"/>
        <w:divId w:val="935526654"/>
      </w:pPr>
      <w:r w:rsidRPr="00A527AD">
        <w:t xml:space="preserve">Storen R, Corrigan N. </w:t>
      </w:r>
      <w:r w:rsidRPr="00A527AD">
        <w:rPr>
          <w:i/>
          <w:iCs/>
        </w:rPr>
        <w:t>COVID-19: a chronology of state and territory government announcements (up until 30 June 2020)</w:t>
      </w:r>
      <w:r w:rsidRPr="00A527AD">
        <w:t>. Canberra: Parliament of Australia, Parliamentary Library; 22 October 2020. [Accessed in June 2022.] Available from: https://www.aph.gov.au/About_Parliament/Parliamentary_Departments/Parliamentary_Library/pubs/rp/rp2021/Chronologies/COVID-19StateTerritoryGovernmentAnnouncements.</w:t>
      </w:r>
    </w:p>
    <w:p w14:paraId="7C080B70" w14:textId="77777777" w:rsidR="00A527AD" w:rsidRPr="00A527AD" w:rsidRDefault="00A527AD" w:rsidP="00A527AD">
      <w:pPr>
        <w:pStyle w:val="CDINumberedList1L1"/>
        <w:divId w:val="935526654"/>
      </w:pPr>
      <w:r w:rsidRPr="00A527AD">
        <w:t xml:space="preserve">Bright A, Glynn-Robinson AJ, Kane S, Wright R, Saul N. The effect of COVID-19 public health measures on nationally notifiable diseases in Australia: preliminary analysis. </w:t>
      </w:r>
      <w:r w:rsidRPr="00A527AD">
        <w:rPr>
          <w:i/>
          <w:iCs/>
        </w:rPr>
        <w:t>Commun Dis Intell (2018)</w:t>
      </w:r>
      <w:r w:rsidRPr="00A527AD">
        <w:t>. 2020;44. doi: https://doi.org/10.33321/cdi.2020.44.85.</w:t>
      </w:r>
    </w:p>
    <w:p w14:paraId="5BABC99D" w14:textId="3B5939FE" w:rsidR="00A527AD" w:rsidRPr="00A527AD" w:rsidRDefault="00A527AD" w:rsidP="00A527AD">
      <w:pPr>
        <w:pStyle w:val="CDINumberedList1L1"/>
        <w:divId w:val="935526654"/>
      </w:pPr>
      <w:r w:rsidRPr="00A527AD">
        <w:t xml:space="preserve">Davis BP, Amin J, Franklin N, Beggs PJ. Salmonellosis in Australia in 2020: possible impacts of COVID-19 related public health measures. </w:t>
      </w:r>
      <w:r w:rsidRPr="00A527AD">
        <w:rPr>
          <w:i/>
          <w:iCs/>
        </w:rPr>
        <w:t>Commun Dis Intell (2018)</w:t>
      </w:r>
      <w:r w:rsidRPr="00A527AD">
        <w:t>. 2022;46. doi:</w:t>
      </w:r>
      <w:r w:rsidR="009C7CAD">
        <w:t> </w:t>
      </w:r>
      <w:r w:rsidRPr="00A527AD">
        <w:t>https://doi.org/10.33321/cdi.2022.46.2.</w:t>
      </w:r>
    </w:p>
    <w:p w14:paraId="686264AC" w14:textId="0A608DDB" w:rsidR="00A527AD" w:rsidRPr="00A527AD" w:rsidRDefault="00A527AD" w:rsidP="00A527AD">
      <w:pPr>
        <w:pStyle w:val="CDINumberedList1L1"/>
        <w:divId w:val="935526654"/>
      </w:pPr>
      <w:r w:rsidRPr="00A527AD">
        <w:t xml:space="preserve">Abo YN, Clifford V, Lee LY, Costa AM, Crawford N, Wurzel D et al. COVID-19 public health measures and respiratory viruses in children in Melbourne. </w:t>
      </w:r>
      <w:r w:rsidRPr="00A527AD">
        <w:rPr>
          <w:i/>
          <w:iCs/>
        </w:rPr>
        <w:t xml:space="preserve">J </w:t>
      </w:r>
      <w:proofErr w:type="spellStart"/>
      <w:r w:rsidRPr="00A527AD">
        <w:rPr>
          <w:i/>
          <w:iCs/>
        </w:rPr>
        <w:t>Paediatr</w:t>
      </w:r>
      <w:proofErr w:type="spellEnd"/>
      <w:r w:rsidRPr="00A527AD">
        <w:rPr>
          <w:i/>
          <w:iCs/>
        </w:rPr>
        <w:t xml:space="preserve"> Child Health</w:t>
      </w:r>
      <w:r w:rsidRPr="00A527AD">
        <w:t>. 2021;57(12):1886–92. doi:</w:t>
      </w:r>
      <w:r w:rsidR="009C7CAD">
        <w:t> </w:t>
      </w:r>
      <w:r w:rsidRPr="00A527AD">
        <w:t>https://doi.org/10.1111/jpc.15601.</w:t>
      </w:r>
    </w:p>
    <w:p w14:paraId="21BD161E" w14:textId="77777777" w:rsidR="00A527AD" w:rsidRPr="00A527AD" w:rsidRDefault="00A527AD" w:rsidP="00A527AD">
      <w:pPr>
        <w:pStyle w:val="CDINumberedList1L1"/>
        <w:divId w:val="935526654"/>
      </w:pPr>
      <w:r w:rsidRPr="00A527AD">
        <w:t xml:space="preserve">Sullivan SG, Carlson S, Cheng AC, Chilver MBN, Dwyer DE, Irwin M et al. Where has all the influenza gone? The impact of COVID-19 on the circulation of influenza and other respiratory viruses, Australia, March to September 2020. </w:t>
      </w:r>
      <w:r w:rsidRPr="00A527AD">
        <w:rPr>
          <w:i/>
          <w:iCs/>
        </w:rPr>
        <w:t xml:space="preserve">Euro </w:t>
      </w:r>
      <w:proofErr w:type="spellStart"/>
      <w:r w:rsidRPr="00A527AD">
        <w:rPr>
          <w:i/>
          <w:iCs/>
        </w:rPr>
        <w:t>Surveill</w:t>
      </w:r>
      <w:proofErr w:type="spellEnd"/>
      <w:r w:rsidRPr="00A527AD">
        <w:t>. 2020;25(47):2001847. doi: https://doi.org/10.2807/1560-7917.ES.2020.25.47.2001847.</w:t>
      </w:r>
    </w:p>
    <w:p w14:paraId="6E064B7F" w14:textId="77777777" w:rsidR="00A527AD" w:rsidRPr="00A527AD" w:rsidRDefault="00A527AD" w:rsidP="00A527AD">
      <w:pPr>
        <w:pStyle w:val="CDINumberedList1L1"/>
        <w:divId w:val="935526654"/>
      </w:pPr>
      <w:r w:rsidRPr="00A527AD">
        <w:t xml:space="preserve">Olsen SJ, Azziz-Baumgartner E, Budd AP, Brammer L, Sullivan S, Pineda RF et al. Decreased influenza activity during the COVID-19 pandemic – United States, Australia, Chile, and South Africa, 2020. </w:t>
      </w:r>
      <w:r w:rsidRPr="00A527AD">
        <w:rPr>
          <w:i/>
          <w:iCs/>
        </w:rPr>
        <w:t xml:space="preserve">MMWR </w:t>
      </w:r>
      <w:proofErr w:type="spellStart"/>
      <w:r w:rsidRPr="00A527AD">
        <w:rPr>
          <w:i/>
          <w:iCs/>
        </w:rPr>
        <w:t>Morb</w:t>
      </w:r>
      <w:proofErr w:type="spellEnd"/>
      <w:r w:rsidRPr="00A527AD">
        <w:rPr>
          <w:i/>
          <w:iCs/>
        </w:rPr>
        <w:t xml:space="preserve"> Mortal </w:t>
      </w:r>
      <w:proofErr w:type="spellStart"/>
      <w:r w:rsidRPr="00A527AD">
        <w:rPr>
          <w:i/>
          <w:iCs/>
        </w:rPr>
        <w:t>Wkly</w:t>
      </w:r>
      <w:proofErr w:type="spellEnd"/>
      <w:r w:rsidRPr="00A527AD">
        <w:rPr>
          <w:i/>
          <w:iCs/>
        </w:rPr>
        <w:t xml:space="preserve"> Rep.</w:t>
      </w:r>
      <w:r w:rsidRPr="00A527AD">
        <w:t xml:space="preserve"> 2020;69(37):1305–9. doi: https://doi.org/10.15585/mmwr.mm6937a6.</w:t>
      </w:r>
    </w:p>
    <w:p w14:paraId="028B35BC" w14:textId="60426E27" w:rsidR="00A527AD" w:rsidRPr="00A527AD" w:rsidRDefault="00A527AD" w:rsidP="00A527AD">
      <w:pPr>
        <w:pStyle w:val="CDINumberedList1L1"/>
        <w:divId w:val="935526654"/>
      </w:pPr>
      <w:r w:rsidRPr="00A527AD">
        <w:lastRenderedPageBreak/>
        <w:t xml:space="preserve">Begum H, Dwyer DE, Holmes M, Irving L, Simpson G, </w:t>
      </w:r>
      <w:proofErr w:type="spellStart"/>
      <w:r w:rsidRPr="00A527AD">
        <w:t>Senenayake</w:t>
      </w:r>
      <w:proofErr w:type="spellEnd"/>
      <w:r w:rsidRPr="00A527AD">
        <w:t xml:space="preserve"> S et al. Surveillance for severe influenza and COVID-19 in patients admitted to sentinel Australian hospitals in 2020: the Influenza Complications Alert Network (FluCAN). </w:t>
      </w:r>
      <w:r w:rsidRPr="00A527AD">
        <w:rPr>
          <w:i/>
          <w:iCs/>
        </w:rPr>
        <w:t>Commun Dis Intell (2018)</w:t>
      </w:r>
      <w:r w:rsidRPr="00A527AD">
        <w:t>. 2022;46. doi:</w:t>
      </w:r>
      <w:r w:rsidR="009C7CAD">
        <w:t> </w:t>
      </w:r>
      <w:r w:rsidRPr="00A527AD">
        <w:t>https://doi.org/10.33321/cdi.2022.46.13.</w:t>
      </w:r>
    </w:p>
    <w:p w14:paraId="319924AC" w14:textId="77777777" w:rsidR="00A527AD" w:rsidRPr="00A527AD" w:rsidRDefault="00A527AD" w:rsidP="00A527AD">
      <w:pPr>
        <w:pStyle w:val="CDINumberedList1L1"/>
        <w:divId w:val="935526654"/>
      </w:pPr>
      <w:proofErr w:type="spellStart"/>
      <w:r w:rsidRPr="00A527AD">
        <w:t>Adegbija</w:t>
      </w:r>
      <w:proofErr w:type="spellEnd"/>
      <w:r w:rsidRPr="00A527AD">
        <w:t xml:space="preserve"> O, Walker J, Smoll N, Khan A, Graham J, Khandaker G. Notifiable diseases after implementation of COVID-19 public health prevention measures in Central Queensland, Australia. </w:t>
      </w:r>
      <w:r w:rsidRPr="00A527AD">
        <w:rPr>
          <w:i/>
          <w:iCs/>
        </w:rPr>
        <w:t>Commun Dis Intell (2018)</w:t>
      </w:r>
      <w:r w:rsidRPr="00A527AD">
        <w:t xml:space="preserve">. </w:t>
      </w:r>
      <w:proofErr w:type="gramStart"/>
      <w:r w:rsidRPr="00A527AD">
        <w:t>2021;45:26</w:t>
      </w:r>
      <w:proofErr w:type="gramEnd"/>
      <w:r w:rsidRPr="00A527AD">
        <w:t>. doi: https://doi.org/10.33321/cdi.2021.45.11.</w:t>
      </w:r>
    </w:p>
    <w:p w14:paraId="5B2096E1" w14:textId="77777777" w:rsidR="00A527AD" w:rsidRPr="00A527AD" w:rsidRDefault="00A527AD" w:rsidP="00A527AD">
      <w:pPr>
        <w:pStyle w:val="CDINumberedList1L1"/>
        <w:divId w:val="935526654"/>
      </w:pPr>
      <w:r w:rsidRPr="00A527AD">
        <w:t xml:space="preserve">Bhatt P, Strachan J, Easton M, Franklin L, Drewett G. Effect of COVID-19 restrictions and border closures on vaccine preventable diseases in Victoria, Australia, 2020–2021. </w:t>
      </w:r>
      <w:r w:rsidRPr="00A527AD">
        <w:rPr>
          <w:i/>
          <w:iCs/>
        </w:rPr>
        <w:t>Commun Dis Intell (2018)</w:t>
      </w:r>
      <w:r w:rsidRPr="00A527AD">
        <w:t>. 2022;46. doi: https://doi.org/10.33321/cdi.2022.46.29.</w:t>
      </w:r>
    </w:p>
    <w:p w14:paraId="0C490FA8" w14:textId="77777777" w:rsidR="00A527AD" w:rsidRPr="00A527AD" w:rsidRDefault="00A527AD" w:rsidP="00A527AD">
      <w:pPr>
        <w:pStyle w:val="CDINumberedList1L1"/>
        <w:divId w:val="935526654"/>
      </w:pPr>
      <w:r w:rsidRPr="00A527AD">
        <w:t>Australian Government Department of Health and Aged Care. National Notifiable Diseases Surveillance System (NNDSS). [Webpage.] Canberra: Australian Government Department of Health and Aged Care; 2023. [Accessed in July 2023.] Available from: https://www.health.gov.au/our-work/nndss.</w:t>
      </w:r>
    </w:p>
    <w:p w14:paraId="69EA524E" w14:textId="77777777" w:rsidR="00A527AD" w:rsidRPr="00A527AD" w:rsidRDefault="00A527AD" w:rsidP="00A527AD">
      <w:pPr>
        <w:pStyle w:val="CDINumberedList1L1"/>
        <w:divId w:val="935526654"/>
      </w:pPr>
      <w:r w:rsidRPr="00A527AD">
        <w:t>Australian Government Department of Health and Aged Care. Pertussis (whooping cough) – Surveillance case definition. [Webpage.] Canberra: Australian Government Department of Health and Aged Care; 1 January 2022. [Accessed in October 2023.] Available from: https://www.health.gov.au/resources/publications/pertussis-whooping-cough-surveillance-case-definition.</w:t>
      </w:r>
    </w:p>
    <w:p w14:paraId="5D6475F7" w14:textId="77777777" w:rsidR="00A527AD" w:rsidRPr="00A527AD" w:rsidRDefault="00A527AD" w:rsidP="00A527AD">
      <w:pPr>
        <w:pStyle w:val="CDINumberedList1L1"/>
        <w:divId w:val="935526654"/>
      </w:pPr>
      <w:r w:rsidRPr="00A527AD">
        <w:t>Australian Bureau of Statistics. Impact of lockdowns on household consumption – insights from alternative data sources. [Webpage.] Canberra: Australian Bureau of Statistics; 1 December 2021. [Accessed on 2 June 2022.] Available from: https://www.abs.gov.au/articles/impact-lockdowns-household-consumption-insights-alternative-data-sources.</w:t>
      </w:r>
    </w:p>
    <w:p w14:paraId="720E79B1" w14:textId="77777777" w:rsidR="00A527AD" w:rsidRPr="00A527AD" w:rsidRDefault="00A527AD" w:rsidP="00A527AD">
      <w:pPr>
        <w:pStyle w:val="CDINumberedList1L1"/>
        <w:divId w:val="935526654"/>
      </w:pPr>
      <w:r w:rsidRPr="00A527AD">
        <w:t>Australian Bureau of Statistics. National, state and territory population: states and territories. [Webpage.] Canberra: Australian Bureau of Statistics; 2022. [Accessed in March 2022.] Available from: https://www.abs.gov.au/statistics/people/population/national-state-and-territory-population/latest-release#states-and-territories.</w:t>
      </w:r>
    </w:p>
    <w:p w14:paraId="305F69E5" w14:textId="77777777" w:rsidR="00A527AD" w:rsidRPr="00A527AD" w:rsidRDefault="00A527AD" w:rsidP="00A527AD">
      <w:pPr>
        <w:pStyle w:val="CDINumberedList1L1"/>
        <w:divId w:val="935526654"/>
      </w:pPr>
      <w:r w:rsidRPr="00A527AD">
        <w:t>Boaz J. Melbourne passes Buenos Aires’ world record for time spent in COVID-19 lockdown. [Internet.] Sydney: Australian Broadcasting Corporation, ABC News; 3 October 2020. [Accessed in July 2023.] Available from: https://www.abc.net.au/news/2021-10-03/melbourne-longest-lockdown/100510710.</w:t>
      </w:r>
    </w:p>
    <w:p w14:paraId="576E53ED" w14:textId="69294051" w:rsidR="00A527AD" w:rsidRPr="00A527AD" w:rsidRDefault="00A527AD" w:rsidP="00A527AD">
      <w:pPr>
        <w:pStyle w:val="CDINumberedList1L1"/>
        <w:divId w:val="935526654"/>
      </w:pPr>
      <w:r w:rsidRPr="00A527AD">
        <w:t xml:space="preserve">Tessier E, Campbell H, Ribeiro S, Rai Y, Burton S, Roy P et al. Impact of the COVID-19 pandemic on Bordetella pertussis infections in England. </w:t>
      </w:r>
      <w:r w:rsidRPr="00A527AD">
        <w:rPr>
          <w:i/>
          <w:iCs/>
        </w:rPr>
        <w:t>BMC Public Health</w:t>
      </w:r>
      <w:r w:rsidRPr="00A527AD">
        <w:t>. 2022;22(1):405. doi:</w:t>
      </w:r>
      <w:r w:rsidR="009C7CAD">
        <w:t> </w:t>
      </w:r>
      <w:r w:rsidRPr="00A527AD">
        <w:t>https://doi.org/10.1186/s12889-022-12830-9.</w:t>
      </w:r>
    </w:p>
    <w:p w14:paraId="3E968DDB" w14:textId="77777777" w:rsidR="00A527AD" w:rsidRPr="00A527AD" w:rsidRDefault="00A527AD" w:rsidP="00A527AD">
      <w:pPr>
        <w:pStyle w:val="CDINumberedList1L1"/>
        <w:divId w:val="935526654"/>
      </w:pPr>
      <w:r w:rsidRPr="00A527AD">
        <w:t xml:space="preserve">Matczak S, Levy C, Fortas C, Cohen JF, </w:t>
      </w:r>
      <w:proofErr w:type="spellStart"/>
      <w:r w:rsidRPr="00A527AD">
        <w:t>Béchet</w:t>
      </w:r>
      <w:proofErr w:type="spellEnd"/>
      <w:r w:rsidRPr="00A527AD">
        <w:t xml:space="preserve"> S, El Belghiti FA et al. Association between the COVID-19 pandemic and pertussis in France using multiple nationwide data sources, 2013 to 2020. </w:t>
      </w:r>
      <w:r w:rsidRPr="00A527AD">
        <w:rPr>
          <w:i/>
          <w:iCs/>
        </w:rPr>
        <w:t xml:space="preserve">Euro </w:t>
      </w:r>
      <w:proofErr w:type="spellStart"/>
      <w:r w:rsidRPr="00A527AD">
        <w:rPr>
          <w:i/>
          <w:iCs/>
        </w:rPr>
        <w:t>Surveill</w:t>
      </w:r>
      <w:proofErr w:type="spellEnd"/>
      <w:r w:rsidRPr="00A527AD">
        <w:t>. 2022;27(50):2100933. doi: https://doi.org/10.2807/1560-7917.ES.2022.27.25.2100933.</w:t>
      </w:r>
    </w:p>
    <w:p w14:paraId="30CCCD79" w14:textId="77777777" w:rsidR="00A527AD" w:rsidRPr="00A527AD" w:rsidRDefault="00A527AD" w:rsidP="00A527AD">
      <w:pPr>
        <w:pStyle w:val="CDINumberedList1L1"/>
        <w:divId w:val="935526654"/>
      </w:pPr>
      <w:r w:rsidRPr="00A527AD">
        <w:t xml:space="preserve">Cohen R, Ashman M, Taha MK, Varon E, </w:t>
      </w:r>
      <w:proofErr w:type="spellStart"/>
      <w:r w:rsidRPr="00A527AD">
        <w:t>Angoulvant</w:t>
      </w:r>
      <w:proofErr w:type="spellEnd"/>
      <w:r w:rsidRPr="00A527AD">
        <w:t xml:space="preserve"> F, Levy C, et al. Pediatric Infectious Disease Group (GPIP) position paper on the immune debt of the COVID-19 pandemic in childhood, how can we fill the immunity gap? </w:t>
      </w:r>
      <w:r w:rsidRPr="00A527AD">
        <w:rPr>
          <w:i/>
          <w:iCs/>
        </w:rPr>
        <w:t>Infect Dis Now</w:t>
      </w:r>
      <w:r w:rsidRPr="00A527AD">
        <w:t>. 2021;51(5):418-23. https://doi.org/10.1016/j.idnow.2021.05.004.</w:t>
      </w:r>
    </w:p>
    <w:p w14:paraId="3BF3564D" w14:textId="77777777" w:rsidR="00A527AD" w:rsidRPr="00A527AD" w:rsidRDefault="00A527AD" w:rsidP="00A527AD">
      <w:pPr>
        <w:pStyle w:val="CDINumberedList1L1"/>
        <w:divId w:val="935526654"/>
      </w:pPr>
      <w:r w:rsidRPr="00A527AD">
        <w:lastRenderedPageBreak/>
        <w:t xml:space="preserve">McIntyre PB, Best E, Byrnes CA, Sinclair O, Trenholme A, Grant CC. Pertussis deaths in New Zealand without community transmission—an infant immunity gap? </w:t>
      </w:r>
      <w:r w:rsidRPr="00A527AD">
        <w:rPr>
          <w:i/>
          <w:iCs/>
        </w:rPr>
        <w:t>Lancet Reg Health West Pac</w:t>
      </w:r>
      <w:r w:rsidRPr="00A527AD">
        <w:t xml:space="preserve">. </w:t>
      </w:r>
      <w:proofErr w:type="gramStart"/>
      <w:r w:rsidRPr="00A527AD">
        <w:t>2023;37:100850</w:t>
      </w:r>
      <w:proofErr w:type="gramEnd"/>
      <w:r w:rsidRPr="00A527AD">
        <w:t>. doi: https://doi.org/10.1016/j.lanwpc.2023.100850.</w:t>
      </w:r>
    </w:p>
    <w:p w14:paraId="01429C6C" w14:textId="73C5AD09" w:rsidR="00A527AD" w:rsidRPr="00A527AD" w:rsidRDefault="00A527AD" w:rsidP="00A527AD">
      <w:pPr>
        <w:pStyle w:val="CDINumberedList1L1"/>
        <w:divId w:val="935526654"/>
      </w:pPr>
      <w:r w:rsidRPr="00A527AD">
        <w:t xml:space="preserve">McRae JE, McHugh L, King C, Beard FH, Blyth CC, </w:t>
      </w:r>
      <w:proofErr w:type="spellStart"/>
      <w:r w:rsidRPr="00A527AD">
        <w:t>Danchin</w:t>
      </w:r>
      <w:proofErr w:type="spellEnd"/>
      <w:r w:rsidRPr="00A527AD">
        <w:t xml:space="preserve"> MH et al. Influenza and pertussis vaccine coverage in pregnancy in Australia, 2016–2021. </w:t>
      </w:r>
      <w:r w:rsidRPr="00A527AD">
        <w:rPr>
          <w:i/>
          <w:iCs/>
        </w:rPr>
        <w:t>Med J Aust</w:t>
      </w:r>
      <w:r w:rsidRPr="00A527AD">
        <w:t>. 2023;218(11):528–41. doi:</w:t>
      </w:r>
      <w:r w:rsidR="009C7CAD">
        <w:t> </w:t>
      </w:r>
      <w:r w:rsidRPr="00A527AD">
        <w:t>https://doi.org/10.5694/mja2.51989.</w:t>
      </w:r>
    </w:p>
    <w:p w14:paraId="7377838B" w14:textId="77777777" w:rsidR="00A527AD" w:rsidRPr="00A527AD" w:rsidRDefault="00A527AD" w:rsidP="00A527AD">
      <w:pPr>
        <w:pStyle w:val="CDINumberedList1L1"/>
        <w:divId w:val="935526654"/>
      </w:pPr>
      <w:r w:rsidRPr="00A527AD">
        <w:t xml:space="preserve">Hull B, Hendry A, Dey A, Brotherton J, Macartney K, Beard F. Annual Immunisation Coverage Report 2020. </w:t>
      </w:r>
      <w:r w:rsidRPr="00A527AD">
        <w:rPr>
          <w:i/>
          <w:iCs/>
        </w:rPr>
        <w:t>Commun Dis Intell (2018)</w:t>
      </w:r>
      <w:r w:rsidRPr="00A527AD">
        <w:t>. 2022;46. doi: https://doi.org/10.33321/cdi.2022.46.60.</w:t>
      </w:r>
    </w:p>
    <w:p w14:paraId="4AFE610F" w14:textId="1F770931" w:rsidR="00A527AD" w:rsidRPr="00A527AD" w:rsidRDefault="00A527AD" w:rsidP="00A527AD">
      <w:pPr>
        <w:pStyle w:val="CDINumberedList1L1"/>
        <w:divId w:val="935526654"/>
      </w:pPr>
      <w:r w:rsidRPr="00A527AD">
        <w:t xml:space="preserve">Hull B, Hendry A, Dey A, Brotherton J, Macartney K, Beard F. Annual Immunisation Coverage Report 2021. </w:t>
      </w:r>
      <w:r w:rsidRPr="00A527AD">
        <w:rPr>
          <w:i/>
          <w:iCs/>
        </w:rPr>
        <w:t>Commun Dis Intell (2018)</w:t>
      </w:r>
      <w:r w:rsidRPr="00A527AD">
        <w:t>. 2023;47. doi: https://doi.org/10.33321/cdi.202</w:t>
      </w:r>
      <w:r w:rsidR="00FC1933">
        <w:t>3</w:t>
      </w:r>
      <w:r w:rsidRPr="00A527AD">
        <w:t>.47.47.</w:t>
      </w:r>
    </w:p>
    <w:p w14:paraId="1BDE61AE" w14:textId="77777777" w:rsidR="00A527AD" w:rsidRPr="00A527AD" w:rsidRDefault="00A527AD" w:rsidP="00A527AD">
      <w:pPr>
        <w:pStyle w:val="CDINumberedList1L1"/>
        <w:divId w:val="935526654"/>
      </w:pPr>
      <w:r w:rsidRPr="00A527AD">
        <w:t>Wood N. Respiratory infections like whooping cough and flu have plummeted amid COVID. But ‘bounce back’ is a worry. [Internet.] Melbourne: The Conversation, The Conversation Media Group Ltd; 1 March 2022. [Accessed in 2022.] Available from: https://theconversation.com/respiratory-infections-like-whooping-cough-and-flu-have-plummeted-amid-covid-but-bounce-back-is-a-worry-176692.</w:t>
      </w:r>
    </w:p>
    <w:p w14:paraId="3D5612E6" w14:textId="77777777" w:rsidR="00A527AD" w:rsidRPr="00A527AD" w:rsidRDefault="00A527AD" w:rsidP="00A527AD">
      <w:pPr>
        <w:pStyle w:val="CDINumberedList1L1"/>
        <w:divId w:val="935526654"/>
      </w:pPr>
      <w:r w:rsidRPr="00A527AD">
        <w:t>Australian Government Department of Health and Aged Care. National Notifiable Diseases Surveillance System (NNDSS) fortnightly reports – 21 August 2023 to 3 September 2023. [Internet.] Canberra: Australian Government Department of Health and Aged Care; 21 September 2023. [Accessed in October 2023.] Available from: https://www.health.gov.au/resources/publications/national-notifiable-diseases-surveillance-system-nndss-fortnightly-reports-21-august-2023-to-3-september-2023.</w:t>
      </w:r>
    </w:p>
    <w:p w14:paraId="2A1FCE5C" w14:textId="77777777" w:rsidR="00A527AD" w:rsidRPr="00A527AD" w:rsidRDefault="00A527AD" w:rsidP="00A527AD">
      <w:pPr>
        <w:pStyle w:val="CDINumberedList1L1"/>
        <w:divId w:val="935526654"/>
      </w:pPr>
      <w:r w:rsidRPr="00A527AD">
        <w:t>Australian Government Department of Health and Aged Care. National Communicable Disease Surveillance Dashboard. [Webpage.] Canberra: Australian Government Department of Health and Aged Care; 2023. [Accessed in July 2023.] Available from: https://nindss.health.gov.au/pbi-dashboard/.</w:t>
      </w:r>
    </w:p>
    <w:p w14:paraId="213C59DE" w14:textId="77777777" w:rsidR="00A527AD" w:rsidRPr="00A527AD" w:rsidRDefault="00A527AD" w:rsidP="00A527AD">
      <w:pPr>
        <w:pStyle w:val="CDINumberedList1L1"/>
        <w:divId w:val="935526654"/>
      </w:pPr>
      <w:r w:rsidRPr="00A527AD">
        <w:t xml:space="preserve">Australian Government Department of Health and Aged Care. </w:t>
      </w:r>
      <w:r w:rsidRPr="00A527AD">
        <w:rPr>
          <w:i/>
          <w:iCs/>
        </w:rPr>
        <w:t>AISR – 2020 national influenza season summary</w:t>
      </w:r>
      <w:r w:rsidRPr="00A527AD">
        <w:t>. [Webpage.] Canberra: Australian Government Department of Health and Aged Care; 10 October 2022. [Accessed in July 2023.] Available from: https://www.health.gov.au/resources/publications/aisr-2020-national-influenza-season-summary.</w:t>
      </w:r>
    </w:p>
    <w:p w14:paraId="23506734" w14:textId="7BAF8FBC" w:rsidR="00A527AD" w:rsidRPr="00A527AD" w:rsidRDefault="00A527AD" w:rsidP="00A527AD">
      <w:pPr>
        <w:pStyle w:val="CDINumberedList1L1"/>
        <w:divId w:val="935526654"/>
      </w:pPr>
      <w:r w:rsidRPr="00A527AD">
        <w:t>Australian Government Department of Health and Aged Care. A</w:t>
      </w:r>
      <w:r w:rsidRPr="00A527AD">
        <w:rPr>
          <w:i/>
          <w:iCs/>
        </w:rPr>
        <w:t>ISR – 2021 national influenza season summary</w:t>
      </w:r>
      <w:r w:rsidRPr="00A527AD">
        <w:t>. [Webpage.] Canberra: Australian Government Department of Health and Aged Care; 8</w:t>
      </w:r>
      <w:r w:rsidR="009C7CAD">
        <w:t> </w:t>
      </w:r>
      <w:r w:rsidRPr="00A527AD">
        <w:t>August 2022. [Accessed in July 2023.] Available from: https://www.health.gov.au/resources/publications/aisr-2021-national-influenza-season-summary.</w:t>
      </w:r>
    </w:p>
    <w:p w14:paraId="5E93E94A" w14:textId="77777777" w:rsidR="00A527AD" w:rsidRPr="00A527AD" w:rsidRDefault="00A527AD" w:rsidP="00A527AD">
      <w:pPr>
        <w:pStyle w:val="CDINumberedList1L1"/>
        <w:divId w:val="935526654"/>
      </w:pPr>
      <w:r w:rsidRPr="00A527AD">
        <w:t>Australian Government Department of Health and Aged Care.</w:t>
      </w:r>
      <w:r w:rsidRPr="00A527AD">
        <w:rPr>
          <w:i/>
          <w:iCs/>
        </w:rPr>
        <w:t xml:space="preserve"> AISR – 2022 national influenza season summary</w:t>
      </w:r>
      <w:r w:rsidRPr="00A527AD">
        <w:t>. [Webpage.] Canberra: Australian Government Department of Health and Aged Care; 20 December 2022. [Accessed in July 2023.] Available from: https://www.health.gov.au/resources/publications/aisr-2022-national-influenza-season-summary.</w:t>
      </w:r>
    </w:p>
    <w:p w14:paraId="6B69ACF3" w14:textId="77777777" w:rsidR="00A527AD" w:rsidRPr="00A527AD" w:rsidRDefault="00A527AD" w:rsidP="00A527AD">
      <w:pPr>
        <w:pStyle w:val="CDINumberedList1L1"/>
        <w:divId w:val="935526654"/>
      </w:pPr>
      <w:r w:rsidRPr="00A527AD">
        <w:t>Bowen A, Blyth C. Heard of ‘</w:t>
      </w:r>
      <w:proofErr w:type="spellStart"/>
      <w:r w:rsidRPr="00A527AD">
        <w:t>kindy</w:t>
      </w:r>
      <w:proofErr w:type="spellEnd"/>
      <w:r w:rsidRPr="00A527AD">
        <w:t xml:space="preserve"> flu’? There’s no such thing. But kids are at risk this flu season for one simple reason. [Internet]. Melbourne: The Conversation, The Conversation Media Group Ltd; 26 June 2023. [Accessed in July 2023.] Available from: https://theconversation.com/heard-of-kindy-flu-theres-no-such-thing-but-kids-are-at-risk-this-flu-season-for-one-simple-reason-207825.</w:t>
      </w:r>
    </w:p>
    <w:p w14:paraId="501CC3CA" w14:textId="77777777" w:rsidR="00A527AD" w:rsidRPr="00A527AD" w:rsidRDefault="00A527AD" w:rsidP="00A527AD">
      <w:pPr>
        <w:pStyle w:val="CDINumberedList1L1"/>
        <w:divId w:val="935526654"/>
      </w:pPr>
      <w:r w:rsidRPr="00A527AD">
        <w:lastRenderedPageBreak/>
        <w:t xml:space="preserve">Molnar E, Vette K, Swift C, Rashid H, Winkler N, Jackson J et al. </w:t>
      </w:r>
      <w:r w:rsidRPr="00A527AD">
        <w:rPr>
          <w:i/>
          <w:iCs/>
        </w:rPr>
        <w:t>Evaluation of Indigenous status completeness in vaccine preventable disease notification data in the NNDSS</w:t>
      </w:r>
      <w:r w:rsidRPr="00A527AD">
        <w:t>. Sydney: National Centre for Immunisation Research and Surveillance; 14 June 2023. [Accessed in October 2023.] Available from: https://www.ncirs.org.au/sites/default/files/2023-10/Evaluation%20of%20Indigenous%20status%20completeness%20in%20VPDs%20in%20the%20NNDSS_Final.pdf.</w:t>
      </w:r>
    </w:p>
    <w:p w14:paraId="1F2153B3" w14:textId="112D6610" w:rsidR="00620509" w:rsidRPr="00A527AD" w:rsidRDefault="00A527AD" w:rsidP="00EE62DB">
      <w:pPr>
        <w:pStyle w:val="CDINumberedList1L1"/>
        <w:divId w:val="935526654"/>
      </w:pPr>
      <w:r w:rsidRPr="00A527AD">
        <w:t xml:space="preserve">Hardie RA, Sezgin G, Imai C, Gault E, McGuire P, Sheikh MK et al. Telehealth-based diagnostic testing in general practice during the COVID-19 pandemic: an observational study. </w:t>
      </w:r>
      <w:r w:rsidRPr="00A527AD">
        <w:rPr>
          <w:i/>
          <w:iCs/>
        </w:rPr>
        <w:t>BJGP Open</w:t>
      </w:r>
      <w:r w:rsidRPr="00A527AD">
        <w:t>. 2022;6(1</w:t>
      </w:r>
      <w:proofErr w:type="gramStart"/>
      <w:r w:rsidRPr="00A527AD">
        <w:t>):BJGPO</w:t>
      </w:r>
      <w:proofErr w:type="gramEnd"/>
      <w:r w:rsidRPr="00A527AD">
        <w:t>.2021.0123. doi: https://doi.org/10.3399/BJGPO.2021.0123.</w:t>
      </w:r>
    </w:p>
    <w:p w14:paraId="5C94B631"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501E7088" w14:textId="77777777" w:rsidR="00AC0F5D" w:rsidRDefault="00AC0F5D" w:rsidP="003D5A6B">
      <w:pPr>
        <w:pStyle w:val="Heading1-nospacebefore"/>
      </w:pPr>
      <w:r>
        <w:lastRenderedPageBreak/>
        <w:t>Appendix A</w:t>
      </w:r>
    </w:p>
    <w:p w14:paraId="3ACFFF7A" w14:textId="6BE7904C" w:rsidR="00AC0F5D" w:rsidRDefault="00AC0F5D" w:rsidP="00AC0F5D">
      <w:pPr>
        <w:pStyle w:val="CDIFigure-Table-Title"/>
      </w:pPr>
      <w:r w:rsidRPr="00AC0F5D">
        <w:t xml:space="preserve">Table A.1: </w:t>
      </w:r>
      <w:r w:rsidR="009C7CAD">
        <w:t>P</w:t>
      </w:r>
      <w:r w:rsidR="009C7CAD" w:rsidRPr="009C7CAD">
        <w:t>ertussis notification rates for 2020 and 2021 compared to the 2017 to 2019 mean annual rate, by age group, Australia</w:t>
      </w:r>
    </w:p>
    <w:tbl>
      <w:tblPr>
        <w:tblW w:w="14343" w:type="dxa"/>
        <w:tblInd w:w="-8" w:type="dxa"/>
        <w:tblLayout w:type="fixed"/>
        <w:tblCellMar>
          <w:left w:w="0" w:type="dxa"/>
          <w:right w:w="0" w:type="dxa"/>
        </w:tblCellMar>
        <w:tblLook w:val="0000" w:firstRow="0" w:lastRow="0" w:firstColumn="0" w:lastColumn="0" w:noHBand="0" w:noVBand="0"/>
        <w:tblCaption w:val="Table A.1: Pertussis notification rates for 2020 and 2021 compared to the 2017 to 2019 mean annual rate, by age group, Australia"/>
        <w:tblDescription w:val="Table A.1 shows pertussis notification rates per 100,000 population for 2020 and 2021 compared to the mean notification rate for 2017 to 2019, with incidence rate ratios and 95% confidence intervals, by jurisdiction and age group in Australia."/>
      </w:tblPr>
      <w:tblGrid>
        <w:gridCol w:w="2268"/>
        <w:gridCol w:w="1509"/>
        <w:gridCol w:w="1510"/>
        <w:gridCol w:w="1509"/>
        <w:gridCol w:w="1510"/>
        <w:gridCol w:w="1509"/>
        <w:gridCol w:w="1509"/>
        <w:gridCol w:w="1510"/>
        <w:gridCol w:w="1509"/>
      </w:tblGrid>
      <w:tr w:rsidR="00F1408E" w:rsidRPr="003D5A6B" w14:paraId="07180AFE" w14:textId="77777777" w:rsidTr="00F1408E">
        <w:trPr>
          <w:trHeight w:val="20"/>
          <w:tblHeader/>
        </w:trPr>
        <w:tc>
          <w:tcPr>
            <w:tcW w:w="2268" w:type="dxa"/>
            <w:vMerge w:val="restart"/>
            <w:shd w:val="clear" w:color="auto" w:fill="033636" w:themeFill="text2"/>
            <w:tcMar>
              <w:top w:w="88" w:type="dxa"/>
              <w:left w:w="113" w:type="dxa"/>
              <w:bottom w:w="88" w:type="dxa"/>
              <w:right w:w="113" w:type="dxa"/>
            </w:tcMar>
            <w:vAlign w:val="bottom"/>
          </w:tcPr>
          <w:p w14:paraId="6D2C00A3" w14:textId="77777777" w:rsidR="003D5A6B" w:rsidRPr="00F1408E" w:rsidRDefault="003D5A6B" w:rsidP="00F1408E">
            <w:pPr>
              <w:pStyle w:val="CDIFigure-Table-H1Left"/>
            </w:pPr>
            <w:r w:rsidRPr="00F1408E">
              <w:t>Jurisdiction</w:t>
            </w:r>
          </w:p>
        </w:tc>
        <w:tc>
          <w:tcPr>
            <w:tcW w:w="1509" w:type="dxa"/>
            <w:vMerge w:val="restart"/>
            <w:tcBorders>
              <w:right w:val="single" w:sz="6" w:space="0" w:color="FFFFFF" w:themeColor="background1"/>
            </w:tcBorders>
            <w:shd w:val="clear" w:color="auto" w:fill="033636" w:themeFill="text2"/>
            <w:tcMar>
              <w:top w:w="88" w:type="dxa"/>
              <w:left w:w="113" w:type="dxa"/>
              <w:bottom w:w="88" w:type="dxa"/>
              <w:right w:w="113" w:type="dxa"/>
            </w:tcMar>
            <w:vAlign w:val="bottom"/>
          </w:tcPr>
          <w:p w14:paraId="4C21518B" w14:textId="77777777" w:rsidR="003D5A6B" w:rsidRPr="003D5A6B" w:rsidRDefault="003D5A6B" w:rsidP="003D5A6B">
            <w:pPr>
              <w:pStyle w:val="CDIFigure-Table-H1"/>
            </w:pPr>
            <w:r w:rsidRPr="003D5A6B">
              <w:t>Age group (years)</w:t>
            </w:r>
          </w:p>
        </w:tc>
        <w:tc>
          <w:tcPr>
            <w:tcW w:w="4529" w:type="dxa"/>
            <w:gridSpan w:val="3"/>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354223BA" w14:textId="77777777" w:rsidR="003D5A6B" w:rsidRPr="003D5A6B" w:rsidRDefault="003D5A6B" w:rsidP="003D5A6B">
            <w:pPr>
              <w:pStyle w:val="CDIFigure-Table-H1"/>
            </w:pPr>
            <w:r w:rsidRPr="003D5A6B">
              <w:t>Notification rate per 100,000 population per year</w:t>
            </w:r>
          </w:p>
        </w:tc>
        <w:tc>
          <w:tcPr>
            <w:tcW w:w="301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4561756E" w14:textId="77777777" w:rsidR="003D5A6B" w:rsidRPr="003D5A6B" w:rsidRDefault="003D5A6B" w:rsidP="003D5A6B">
            <w:pPr>
              <w:pStyle w:val="CDIFigure-Table-H1"/>
            </w:pPr>
            <w:r w:rsidRPr="003D5A6B">
              <w:t>2020 vs. 2017–2019</w:t>
            </w:r>
            <w:r w:rsidRPr="003D5A6B">
              <w:rPr>
                <w:vertAlign w:val="superscript"/>
              </w:rPr>
              <w:t>a</w:t>
            </w:r>
          </w:p>
        </w:tc>
        <w:tc>
          <w:tcPr>
            <w:tcW w:w="3019" w:type="dxa"/>
            <w:gridSpan w:val="2"/>
            <w:tcBorders>
              <w:left w:val="single" w:sz="6" w:space="0" w:color="FFFFFF" w:themeColor="background1"/>
              <w:bottom w:val="single" w:sz="6" w:space="0" w:color="FFFFFF" w:themeColor="background1"/>
            </w:tcBorders>
            <w:shd w:val="clear" w:color="auto" w:fill="033636" w:themeFill="text2"/>
            <w:tcMar>
              <w:top w:w="88" w:type="dxa"/>
              <w:left w:w="113" w:type="dxa"/>
              <w:bottom w:w="88" w:type="dxa"/>
              <w:right w:w="113" w:type="dxa"/>
            </w:tcMar>
            <w:vAlign w:val="bottom"/>
          </w:tcPr>
          <w:p w14:paraId="46E2D527" w14:textId="77777777" w:rsidR="003D5A6B" w:rsidRPr="003D5A6B" w:rsidRDefault="003D5A6B" w:rsidP="003D5A6B">
            <w:pPr>
              <w:pStyle w:val="CDIFigure-Table-H1"/>
            </w:pPr>
            <w:r w:rsidRPr="003D5A6B">
              <w:t>2021 vs. 2017–2019</w:t>
            </w:r>
            <w:r w:rsidRPr="003D5A6B">
              <w:rPr>
                <w:vertAlign w:val="superscript"/>
              </w:rPr>
              <w:t>a</w:t>
            </w:r>
          </w:p>
        </w:tc>
      </w:tr>
      <w:tr w:rsidR="00F1408E" w:rsidRPr="003D5A6B" w14:paraId="628E32E3" w14:textId="77777777" w:rsidTr="00F1408E">
        <w:trPr>
          <w:trHeight w:val="20"/>
          <w:tblHeader/>
        </w:trPr>
        <w:tc>
          <w:tcPr>
            <w:tcW w:w="2268" w:type="dxa"/>
            <w:vMerge/>
            <w:shd w:val="clear" w:color="auto" w:fill="033636" w:themeFill="text2"/>
          </w:tcPr>
          <w:p w14:paraId="406A733D" w14:textId="77777777" w:rsidR="003D5A6B" w:rsidRPr="003D5A6B" w:rsidRDefault="003D5A6B" w:rsidP="003D5A6B"/>
        </w:tc>
        <w:tc>
          <w:tcPr>
            <w:tcW w:w="1509" w:type="dxa"/>
            <w:vMerge/>
            <w:tcBorders>
              <w:right w:val="single" w:sz="6" w:space="0" w:color="FFFFFF" w:themeColor="background1"/>
            </w:tcBorders>
            <w:shd w:val="clear" w:color="auto" w:fill="033636" w:themeFill="text2"/>
          </w:tcPr>
          <w:p w14:paraId="4ED3B125" w14:textId="77777777" w:rsidR="003D5A6B" w:rsidRPr="003D5A6B" w:rsidRDefault="003D5A6B" w:rsidP="003D5A6B">
            <w:pPr>
              <w:pStyle w:val="CDIFigure-Table-H1"/>
            </w:pPr>
          </w:p>
        </w:tc>
        <w:tc>
          <w:tcPr>
            <w:tcW w:w="1510" w:type="dxa"/>
            <w:tcBorders>
              <w:top w:val="single" w:sz="6" w:space="0" w:color="FFFFFF" w:themeColor="background1"/>
              <w:left w:val="single" w:sz="6" w:space="0" w:color="FFFFFF" w:themeColor="background1"/>
            </w:tcBorders>
            <w:shd w:val="clear" w:color="auto" w:fill="033636" w:themeFill="text2"/>
            <w:tcMar>
              <w:top w:w="88" w:type="dxa"/>
              <w:left w:w="113" w:type="dxa"/>
              <w:bottom w:w="88" w:type="dxa"/>
              <w:right w:w="113" w:type="dxa"/>
            </w:tcMar>
            <w:vAlign w:val="bottom"/>
          </w:tcPr>
          <w:p w14:paraId="2A3FA4F2" w14:textId="77777777" w:rsidR="003D5A6B" w:rsidRPr="003D5A6B" w:rsidRDefault="003D5A6B" w:rsidP="003D5A6B">
            <w:pPr>
              <w:pStyle w:val="CDIFigure-Table-H1"/>
            </w:pPr>
            <w:r w:rsidRPr="003D5A6B">
              <w:t>2017 to 2019 mean</w:t>
            </w:r>
          </w:p>
        </w:tc>
        <w:tc>
          <w:tcPr>
            <w:tcW w:w="1509" w:type="dxa"/>
            <w:tcBorders>
              <w:top w:val="single" w:sz="6" w:space="0" w:color="FFFFFF" w:themeColor="background1"/>
            </w:tcBorders>
            <w:shd w:val="clear" w:color="auto" w:fill="033636" w:themeFill="text2"/>
            <w:tcMar>
              <w:top w:w="88" w:type="dxa"/>
              <w:left w:w="113" w:type="dxa"/>
              <w:bottom w:w="88" w:type="dxa"/>
              <w:right w:w="113" w:type="dxa"/>
            </w:tcMar>
            <w:vAlign w:val="bottom"/>
          </w:tcPr>
          <w:p w14:paraId="66A79CD9" w14:textId="77777777" w:rsidR="003D5A6B" w:rsidRPr="003D5A6B" w:rsidRDefault="003D5A6B" w:rsidP="003D5A6B">
            <w:pPr>
              <w:pStyle w:val="CDIFigure-Table-H1"/>
            </w:pPr>
            <w:r w:rsidRPr="003D5A6B">
              <w:t>2020</w:t>
            </w:r>
          </w:p>
        </w:tc>
        <w:tc>
          <w:tcPr>
            <w:tcW w:w="1510" w:type="dxa"/>
            <w:tcBorders>
              <w:top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47390EDE" w14:textId="77777777" w:rsidR="003D5A6B" w:rsidRPr="003D5A6B" w:rsidRDefault="003D5A6B" w:rsidP="003D5A6B">
            <w:pPr>
              <w:pStyle w:val="CDIFigure-Table-H1"/>
            </w:pPr>
            <w:r w:rsidRPr="003D5A6B">
              <w:t>2021</w:t>
            </w:r>
          </w:p>
        </w:tc>
        <w:tc>
          <w:tcPr>
            <w:tcW w:w="1509" w:type="dxa"/>
            <w:tcBorders>
              <w:top w:val="single" w:sz="6" w:space="0" w:color="FFFFFF" w:themeColor="background1"/>
              <w:left w:val="single" w:sz="6" w:space="0" w:color="FFFFFF" w:themeColor="background1"/>
            </w:tcBorders>
            <w:shd w:val="clear" w:color="auto" w:fill="033636" w:themeFill="text2"/>
            <w:tcMar>
              <w:top w:w="88" w:type="dxa"/>
              <w:left w:w="113" w:type="dxa"/>
              <w:bottom w:w="88" w:type="dxa"/>
              <w:right w:w="113" w:type="dxa"/>
            </w:tcMar>
            <w:vAlign w:val="bottom"/>
          </w:tcPr>
          <w:p w14:paraId="72FC32E9" w14:textId="77777777" w:rsidR="003D5A6B" w:rsidRPr="003D5A6B" w:rsidRDefault="003D5A6B" w:rsidP="003D5A6B">
            <w:pPr>
              <w:pStyle w:val="CDIFigure-Table-H1"/>
            </w:pPr>
            <w:r w:rsidRPr="003D5A6B">
              <w:t>IRR</w:t>
            </w:r>
          </w:p>
        </w:tc>
        <w:tc>
          <w:tcPr>
            <w:tcW w:w="1509" w:type="dxa"/>
            <w:tcBorders>
              <w:top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503A13CC" w14:textId="77777777" w:rsidR="003D5A6B" w:rsidRPr="003D5A6B" w:rsidRDefault="003D5A6B" w:rsidP="003D5A6B">
            <w:pPr>
              <w:pStyle w:val="CDIFigure-Table-H1"/>
            </w:pPr>
            <w:r w:rsidRPr="003D5A6B">
              <w:t>95% CI</w:t>
            </w:r>
          </w:p>
        </w:tc>
        <w:tc>
          <w:tcPr>
            <w:tcW w:w="1510" w:type="dxa"/>
            <w:tcBorders>
              <w:top w:val="single" w:sz="6" w:space="0" w:color="FFFFFF" w:themeColor="background1"/>
              <w:left w:val="single" w:sz="6" w:space="0" w:color="FFFFFF" w:themeColor="background1"/>
            </w:tcBorders>
            <w:shd w:val="clear" w:color="auto" w:fill="033636" w:themeFill="text2"/>
            <w:tcMar>
              <w:top w:w="88" w:type="dxa"/>
              <w:left w:w="113" w:type="dxa"/>
              <w:bottom w:w="88" w:type="dxa"/>
              <w:right w:w="113" w:type="dxa"/>
            </w:tcMar>
            <w:vAlign w:val="bottom"/>
          </w:tcPr>
          <w:p w14:paraId="5F165C63" w14:textId="77777777" w:rsidR="003D5A6B" w:rsidRPr="003D5A6B" w:rsidRDefault="003D5A6B" w:rsidP="003D5A6B">
            <w:pPr>
              <w:pStyle w:val="CDIFigure-Table-H1"/>
            </w:pPr>
            <w:r w:rsidRPr="003D5A6B">
              <w:t>IRR</w:t>
            </w:r>
          </w:p>
        </w:tc>
        <w:tc>
          <w:tcPr>
            <w:tcW w:w="1509" w:type="dxa"/>
            <w:tcBorders>
              <w:top w:val="single" w:sz="6" w:space="0" w:color="FFFFFF" w:themeColor="background1"/>
            </w:tcBorders>
            <w:shd w:val="clear" w:color="auto" w:fill="033636" w:themeFill="text2"/>
            <w:tcMar>
              <w:top w:w="88" w:type="dxa"/>
              <w:left w:w="113" w:type="dxa"/>
              <w:bottom w:w="88" w:type="dxa"/>
              <w:right w:w="113" w:type="dxa"/>
            </w:tcMar>
            <w:vAlign w:val="bottom"/>
          </w:tcPr>
          <w:p w14:paraId="77E335A7" w14:textId="77777777" w:rsidR="003D5A6B" w:rsidRPr="003D5A6B" w:rsidRDefault="003D5A6B" w:rsidP="003D5A6B">
            <w:pPr>
              <w:pStyle w:val="CDIFigure-Table-H1"/>
            </w:pPr>
            <w:r w:rsidRPr="003D5A6B">
              <w:t>95% CI</w:t>
            </w:r>
          </w:p>
        </w:tc>
      </w:tr>
      <w:tr w:rsidR="003D5A6B" w:rsidRPr="003D5A6B" w14:paraId="36F2BC6D" w14:textId="77777777" w:rsidTr="00F1408E">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04432BF9" w14:textId="77777777" w:rsidR="003D5A6B" w:rsidRPr="003D5A6B" w:rsidRDefault="003D5A6B" w:rsidP="00F1408E">
            <w:pPr>
              <w:pStyle w:val="CDIFigure-Table-BodyTextLeft"/>
            </w:pPr>
            <w:r w:rsidRPr="003D5A6B">
              <w:t>Australian Capital Territory</w:t>
            </w:r>
          </w:p>
        </w:tc>
        <w:tc>
          <w:tcPr>
            <w:tcW w:w="1509" w:type="dxa"/>
            <w:shd w:val="clear" w:color="auto" w:fill="F2F2F2" w:themeFill="background1" w:themeFillShade="F2"/>
            <w:tcMar>
              <w:top w:w="85" w:type="dxa"/>
              <w:left w:w="113" w:type="dxa"/>
              <w:bottom w:w="85" w:type="dxa"/>
              <w:right w:w="113" w:type="dxa"/>
            </w:tcMar>
            <w:vAlign w:val="center"/>
          </w:tcPr>
          <w:p w14:paraId="1FFAAC73" w14:textId="77777777" w:rsidR="003D5A6B" w:rsidRPr="003D5A6B" w:rsidRDefault="003D5A6B" w:rsidP="003D5A6B">
            <w:pPr>
              <w:pStyle w:val="CDIFigure-Table-BodyTextCentre"/>
            </w:pPr>
            <w:r w:rsidRPr="003D5A6B">
              <w:t>0–4</w:t>
            </w:r>
          </w:p>
        </w:tc>
        <w:tc>
          <w:tcPr>
            <w:tcW w:w="1510" w:type="dxa"/>
            <w:shd w:val="clear" w:color="auto" w:fill="F2F2F2" w:themeFill="background1" w:themeFillShade="F2"/>
            <w:tcMar>
              <w:top w:w="85" w:type="dxa"/>
              <w:left w:w="113" w:type="dxa"/>
              <w:bottom w:w="85" w:type="dxa"/>
              <w:right w:w="113" w:type="dxa"/>
            </w:tcMar>
            <w:vAlign w:val="center"/>
          </w:tcPr>
          <w:p w14:paraId="6EB68C12" w14:textId="77777777" w:rsidR="003D5A6B" w:rsidRPr="003D5A6B" w:rsidRDefault="003D5A6B" w:rsidP="003D5A6B">
            <w:pPr>
              <w:pStyle w:val="CDIFigure-Table-BodyTextCentre"/>
            </w:pPr>
            <w:r w:rsidRPr="003D5A6B">
              <w:t>76.6</w:t>
            </w:r>
          </w:p>
        </w:tc>
        <w:tc>
          <w:tcPr>
            <w:tcW w:w="1509" w:type="dxa"/>
            <w:shd w:val="clear" w:color="auto" w:fill="F2F2F2" w:themeFill="background1" w:themeFillShade="F2"/>
            <w:tcMar>
              <w:top w:w="85" w:type="dxa"/>
              <w:left w:w="113" w:type="dxa"/>
              <w:bottom w:w="85" w:type="dxa"/>
              <w:right w:w="113" w:type="dxa"/>
            </w:tcMar>
            <w:vAlign w:val="center"/>
          </w:tcPr>
          <w:p w14:paraId="6C2875A3" w14:textId="77777777" w:rsidR="003D5A6B" w:rsidRPr="003D5A6B" w:rsidRDefault="003D5A6B" w:rsidP="003D5A6B">
            <w:pPr>
              <w:pStyle w:val="CDIFigure-Table-BodyTextCentre"/>
            </w:pPr>
            <w:r w:rsidRPr="003D5A6B">
              <w:t>14.4</w:t>
            </w:r>
          </w:p>
        </w:tc>
        <w:tc>
          <w:tcPr>
            <w:tcW w:w="1510" w:type="dxa"/>
            <w:shd w:val="clear" w:color="auto" w:fill="F2F2F2" w:themeFill="background1" w:themeFillShade="F2"/>
            <w:tcMar>
              <w:top w:w="85" w:type="dxa"/>
              <w:left w:w="113" w:type="dxa"/>
              <w:bottom w:w="85" w:type="dxa"/>
              <w:right w:w="113" w:type="dxa"/>
            </w:tcMar>
            <w:vAlign w:val="center"/>
          </w:tcPr>
          <w:p w14:paraId="6735EC04" w14:textId="77777777" w:rsidR="003D5A6B" w:rsidRPr="003D5A6B" w:rsidRDefault="003D5A6B" w:rsidP="003D5A6B">
            <w:pPr>
              <w:pStyle w:val="CDIFigure-Table-BodyTextCentre"/>
            </w:pPr>
            <w:r w:rsidRPr="003D5A6B">
              <w:t>0.0</w:t>
            </w:r>
          </w:p>
        </w:tc>
        <w:tc>
          <w:tcPr>
            <w:tcW w:w="1509" w:type="dxa"/>
            <w:shd w:val="clear" w:color="auto" w:fill="F2F2F2" w:themeFill="background1" w:themeFillShade="F2"/>
            <w:tcMar>
              <w:top w:w="85" w:type="dxa"/>
              <w:left w:w="113" w:type="dxa"/>
              <w:bottom w:w="85" w:type="dxa"/>
              <w:right w:w="113" w:type="dxa"/>
            </w:tcMar>
            <w:vAlign w:val="center"/>
          </w:tcPr>
          <w:p w14:paraId="1AAC54C2" w14:textId="77777777" w:rsidR="003D5A6B" w:rsidRPr="003D5A6B" w:rsidRDefault="003D5A6B" w:rsidP="003D5A6B">
            <w:pPr>
              <w:pStyle w:val="CDIFigure-Table-BodyTextCentre"/>
            </w:pPr>
            <w:r w:rsidRPr="003D5A6B">
              <w:t>0.18</w:t>
            </w:r>
          </w:p>
        </w:tc>
        <w:tc>
          <w:tcPr>
            <w:tcW w:w="1509" w:type="dxa"/>
            <w:shd w:val="clear" w:color="auto" w:fill="F2F2F2" w:themeFill="background1" w:themeFillShade="F2"/>
            <w:tcMar>
              <w:top w:w="85" w:type="dxa"/>
              <w:left w:w="113" w:type="dxa"/>
              <w:bottom w:w="85" w:type="dxa"/>
              <w:right w:w="113" w:type="dxa"/>
            </w:tcMar>
            <w:vAlign w:val="center"/>
          </w:tcPr>
          <w:p w14:paraId="603C6141" w14:textId="77777777" w:rsidR="003D5A6B" w:rsidRPr="003D5A6B" w:rsidRDefault="003D5A6B" w:rsidP="003D5A6B">
            <w:pPr>
              <w:pStyle w:val="CDIFigure-Table-BodyTextCentre"/>
            </w:pPr>
            <w:r w:rsidRPr="003D5A6B">
              <w:t xml:space="preserve"> 0.05–0.54</w:t>
            </w:r>
          </w:p>
        </w:tc>
        <w:tc>
          <w:tcPr>
            <w:tcW w:w="1510" w:type="dxa"/>
            <w:shd w:val="clear" w:color="auto" w:fill="F2F2F2" w:themeFill="background1" w:themeFillShade="F2"/>
            <w:tcMar>
              <w:top w:w="85" w:type="dxa"/>
              <w:left w:w="113" w:type="dxa"/>
              <w:bottom w:w="85" w:type="dxa"/>
              <w:right w:w="113" w:type="dxa"/>
            </w:tcMar>
            <w:vAlign w:val="center"/>
          </w:tcPr>
          <w:p w14:paraId="076BDF19" w14:textId="77777777" w:rsidR="003D5A6B" w:rsidRPr="003D5A6B" w:rsidRDefault="003D5A6B" w:rsidP="003D5A6B">
            <w:pPr>
              <w:pStyle w:val="CDIFigure-Table-BodyTextCentre"/>
            </w:pPr>
            <w:r w:rsidRPr="003D5A6B">
              <w:t>&lt; 0.001</w:t>
            </w:r>
          </w:p>
        </w:tc>
        <w:tc>
          <w:tcPr>
            <w:tcW w:w="1509" w:type="dxa"/>
            <w:shd w:val="clear" w:color="auto" w:fill="F2F2F2" w:themeFill="background1" w:themeFillShade="F2"/>
            <w:tcMar>
              <w:top w:w="85" w:type="dxa"/>
              <w:left w:w="113" w:type="dxa"/>
              <w:bottom w:w="85" w:type="dxa"/>
              <w:right w:w="113" w:type="dxa"/>
            </w:tcMar>
            <w:vAlign w:val="center"/>
          </w:tcPr>
          <w:p w14:paraId="505A6573" w14:textId="77777777" w:rsidR="003D5A6B" w:rsidRPr="003D5A6B" w:rsidRDefault="003D5A6B" w:rsidP="003D5A6B">
            <w:pPr>
              <w:pStyle w:val="CDIFigure-Table-BodyTextCentre"/>
            </w:pPr>
            <w:r w:rsidRPr="003D5A6B">
              <w:t xml:space="preserve"> 0.00–0.19</w:t>
            </w:r>
          </w:p>
        </w:tc>
      </w:tr>
      <w:tr w:rsidR="003D5A6B" w:rsidRPr="003D5A6B" w14:paraId="1BF6FF7A"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19337EA9" w14:textId="77777777" w:rsidR="003D5A6B" w:rsidRPr="003D5A6B" w:rsidRDefault="003D5A6B" w:rsidP="003D5A6B"/>
        </w:tc>
        <w:tc>
          <w:tcPr>
            <w:tcW w:w="1509" w:type="dxa"/>
            <w:tcMar>
              <w:top w:w="85" w:type="dxa"/>
              <w:left w:w="113" w:type="dxa"/>
              <w:bottom w:w="85" w:type="dxa"/>
              <w:right w:w="113" w:type="dxa"/>
            </w:tcMar>
            <w:vAlign w:val="center"/>
          </w:tcPr>
          <w:p w14:paraId="678EE3CC" w14:textId="77777777" w:rsidR="003D5A6B" w:rsidRPr="003D5A6B" w:rsidRDefault="003D5A6B" w:rsidP="003D5A6B">
            <w:pPr>
              <w:pStyle w:val="CDIFigure-Table-BodyTextCentre"/>
            </w:pPr>
            <w:r w:rsidRPr="003D5A6B">
              <w:t>5–14</w:t>
            </w:r>
          </w:p>
        </w:tc>
        <w:tc>
          <w:tcPr>
            <w:tcW w:w="1510" w:type="dxa"/>
            <w:tcMar>
              <w:top w:w="85" w:type="dxa"/>
              <w:left w:w="113" w:type="dxa"/>
              <w:bottom w:w="85" w:type="dxa"/>
              <w:right w:w="113" w:type="dxa"/>
            </w:tcMar>
            <w:vAlign w:val="center"/>
          </w:tcPr>
          <w:p w14:paraId="6FC5F11B" w14:textId="77777777" w:rsidR="003D5A6B" w:rsidRPr="003D5A6B" w:rsidRDefault="003D5A6B" w:rsidP="003D5A6B">
            <w:pPr>
              <w:pStyle w:val="CDIFigure-Table-BodyTextCentre"/>
            </w:pPr>
            <w:r w:rsidRPr="003D5A6B">
              <w:t>156.2</w:t>
            </w:r>
          </w:p>
        </w:tc>
        <w:tc>
          <w:tcPr>
            <w:tcW w:w="1509" w:type="dxa"/>
            <w:tcMar>
              <w:top w:w="85" w:type="dxa"/>
              <w:left w:w="113" w:type="dxa"/>
              <w:bottom w:w="85" w:type="dxa"/>
              <w:right w:w="113" w:type="dxa"/>
            </w:tcMar>
            <w:vAlign w:val="center"/>
          </w:tcPr>
          <w:p w14:paraId="17BF9D82" w14:textId="77777777" w:rsidR="003D5A6B" w:rsidRPr="003D5A6B" w:rsidRDefault="003D5A6B" w:rsidP="003D5A6B">
            <w:pPr>
              <w:pStyle w:val="CDIFigure-Table-BodyTextCentre"/>
            </w:pPr>
            <w:r w:rsidRPr="003D5A6B">
              <w:t>21.6</w:t>
            </w:r>
          </w:p>
        </w:tc>
        <w:tc>
          <w:tcPr>
            <w:tcW w:w="1510" w:type="dxa"/>
            <w:tcMar>
              <w:top w:w="85" w:type="dxa"/>
              <w:left w:w="113" w:type="dxa"/>
              <w:bottom w:w="85" w:type="dxa"/>
              <w:right w:w="113" w:type="dxa"/>
            </w:tcMar>
            <w:vAlign w:val="center"/>
          </w:tcPr>
          <w:p w14:paraId="2D0A5214" w14:textId="77777777" w:rsidR="003D5A6B" w:rsidRPr="003D5A6B" w:rsidRDefault="003D5A6B" w:rsidP="003D5A6B">
            <w:pPr>
              <w:pStyle w:val="CDIFigure-Table-BodyTextCentre"/>
            </w:pPr>
            <w:r w:rsidRPr="003D5A6B">
              <w:t>1.8</w:t>
            </w:r>
          </w:p>
        </w:tc>
        <w:tc>
          <w:tcPr>
            <w:tcW w:w="1509" w:type="dxa"/>
            <w:tcMar>
              <w:top w:w="85" w:type="dxa"/>
              <w:left w:w="113" w:type="dxa"/>
              <w:bottom w:w="85" w:type="dxa"/>
              <w:right w:w="113" w:type="dxa"/>
            </w:tcMar>
            <w:vAlign w:val="center"/>
          </w:tcPr>
          <w:p w14:paraId="7FFB9889" w14:textId="77777777" w:rsidR="003D5A6B" w:rsidRPr="003D5A6B" w:rsidRDefault="003D5A6B" w:rsidP="003D5A6B">
            <w:pPr>
              <w:pStyle w:val="CDIFigure-Table-BodyTextCentre"/>
            </w:pPr>
            <w:r w:rsidRPr="003D5A6B">
              <w:t>0.14</w:t>
            </w:r>
          </w:p>
        </w:tc>
        <w:tc>
          <w:tcPr>
            <w:tcW w:w="1509" w:type="dxa"/>
            <w:tcMar>
              <w:top w:w="85" w:type="dxa"/>
              <w:left w:w="113" w:type="dxa"/>
              <w:bottom w:w="85" w:type="dxa"/>
              <w:right w:w="113" w:type="dxa"/>
            </w:tcMar>
            <w:vAlign w:val="center"/>
          </w:tcPr>
          <w:p w14:paraId="7217C6B6" w14:textId="77777777" w:rsidR="003D5A6B" w:rsidRPr="003D5A6B" w:rsidRDefault="003D5A6B" w:rsidP="003D5A6B">
            <w:pPr>
              <w:pStyle w:val="CDIFigure-Table-BodyTextCentre"/>
            </w:pPr>
            <w:r w:rsidRPr="003D5A6B">
              <w:t xml:space="preserve"> 0.07–0.25</w:t>
            </w:r>
          </w:p>
        </w:tc>
        <w:tc>
          <w:tcPr>
            <w:tcW w:w="1510" w:type="dxa"/>
            <w:tcMar>
              <w:top w:w="85" w:type="dxa"/>
              <w:left w:w="113" w:type="dxa"/>
              <w:bottom w:w="85" w:type="dxa"/>
              <w:right w:w="113" w:type="dxa"/>
            </w:tcMar>
            <w:vAlign w:val="center"/>
          </w:tcPr>
          <w:p w14:paraId="152F3991" w14:textId="77777777" w:rsidR="003D5A6B" w:rsidRPr="003D5A6B" w:rsidRDefault="003D5A6B" w:rsidP="003D5A6B">
            <w:pPr>
              <w:pStyle w:val="CDIFigure-Table-BodyTextCentre"/>
            </w:pPr>
            <w:r w:rsidRPr="003D5A6B">
              <w:t>0.01</w:t>
            </w:r>
          </w:p>
        </w:tc>
        <w:tc>
          <w:tcPr>
            <w:tcW w:w="1509" w:type="dxa"/>
            <w:tcMar>
              <w:top w:w="85" w:type="dxa"/>
              <w:left w:w="113" w:type="dxa"/>
              <w:bottom w:w="85" w:type="dxa"/>
              <w:right w:w="113" w:type="dxa"/>
            </w:tcMar>
            <w:vAlign w:val="center"/>
          </w:tcPr>
          <w:p w14:paraId="4FC0367B" w14:textId="77777777" w:rsidR="003D5A6B" w:rsidRPr="003D5A6B" w:rsidRDefault="003D5A6B" w:rsidP="003D5A6B">
            <w:pPr>
              <w:pStyle w:val="CDIFigure-Table-BodyTextCentre"/>
            </w:pPr>
            <w:r w:rsidRPr="003D5A6B">
              <w:t xml:space="preserve"> 0.00–0.06</w:t>
            </w:r>
          </w:p>
        </w:tc>
      </w:tr>
      <w:tr w:rsidR="003D5A6B" w:rsidRPr="003D5A6B" w14:paraId="6F332AC3"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6DB3A949" w14:textId="77777777" w:rsidR="003D5A6B" w:rsidRPr="003D5A6B" w:rsidRDefault="003D5A6B" w:rsidP="003D5A6B"/>
        </w:tc>
        <w:tc>
          <w:tcPr>
            <w:tcW w:w="1509" w:type="dxa"/>
            <w:shd w:val="clear" w:color="auto" w:fill="F2F2F2" w:themeFill="background1" w:themeFillShade="F2"/>
            <w:tcMar>
              <w:top w:w="85" w:type="dxa"/>
              <w:left w:w="113" w:type="dxa"/>
              <w:bottom w:w="85" w:type="dxa"/>
              <w:right w:w="113" w:type="dxa"/>
            </w:tcMar>
            <w:vAlign w:val="center"/>
          </w:tcPr>
          <w:p w14:paraId="207237AE" w14:textId="77777777" w:rsidR="003D5A6B" w:rsidRPr="003D5A6B" w:rsidRDefault="003D5A6B" w:rsidP="003D5A6B">
            <w:pPr>
              <w:pStyle w:val="CDIFigure-Table-BodyTextCentre"/>
            </w:pPr>
            <w:r w:rsidRPr="003D5A6B">
              <w:t>15–24</w:t>
            </w:r>
          </w:p>
        </w:tc>
        <w:tc>
          <w:tcPr>
            <w:tcW w:w="1510" w:type="dxa"/>
            <w:shd w:val="clear" w:color="auto" w:fill="F2F2F2" w:themeFill="background1" w:themeFillShade="F2"/>
            <w:tcMar>
              <w:top w:w="85" w:type="dxa"/>
              <w:left w:w="113" w:type="dxa"/>
              <w:bottom w:w="85" w:type="dxa"/>
              <w:right w:w="113" w:type="dxa"/>
            </w:tcMar>
            <w:vAlign w:val="center"/>
          </w:tcPr>
          <w:p w14:paraId="58CEBFE3" w14:textId="77777777" w:rsidR="003D5A6B" w:rsidRPr="003D5A6B" w:rsidRDefault="003D5A6B" w:rsidP="003D5A6B">
            <w:pPr>
              <w:pStyle w:val="CDIFigure-Table-BodyTextCentre"/>
            </w:pPr>
            <w:r w:rsidRPr="003D5A6B">
              <w:t>58.3</w:t>
            </w:r>
          </w:p>
        </w:tc>
        <w:tc>
          <w:tcPr>
            <w:tcW w:w="1509" w:type="dxa"/>
            <w:shd w:val="clear" w:color="auto" w:fill="F2F2F2" w:themeFill="background1" w:themeFillShade="F2"/>
            <w:tcMar>
              <w:top w:w="85" w:type="dxa"/>
              <w:left w:w="113" w:type="dxa"/>
              <w:bottom w:w="85" w:type="dxa"/>
              <w:right w:w="113" w:type="dxa"/>
            </w:tcMar>
            <w:vAlign w:val="center"/>
          </w:tcPr>
          <w:p w14:paraId="0EA451B7" w14:textId="77777777" w:rsidR="003D5A6B" w:rsidRPr="003D5A6B" w:rsidRDefault="003D5A6B" w:rsidP="003D5A6B">
            <w:pPr>
              <w:pStyle w:val="CDIFigure-Table-BodyTextCentre"/>
            </w:pPr>
            <w:r w:rsidRPr="003D5A6B">
              <w:t>19.0</w:t>
            </w:r>
          </w:p>
        </w:tc>
        <w:tc>
          <w:tcPr>
            <w:tcW w:w="1510" w:type="dxa"/>
            <w:shd w:val="clear" w:color="auto" w:fill="F2F2F2" w:themeFill="background1" w:themeFillShade="F2"/>
            <w:tcMar>
              <w:top w:w="85" w:type="dxa"/>
              <w:left w:w="113" w:type="dxa"/>
              <w:bottom w:w="85" w:type="dxa"/>
              <w:right w:w="113" w:type="dxa"/>
            </w:tcMar>
            <w:vAlign w:val="center"/>
          </w:tcPr>
          <w:p w14:paraId="50DFA2AF" w14:textId="77777777" w:rsidR="003D5A6B" w:rsidRPr="003D5A6B" w:rsidRDefault="003D5A6B" w:rsidP="003D5A6B">
            <w:pPr>
              <w:pStyle w:val="CDIFigure-Table-BodyTextCentre"/>
            </w:pPr>
            <w:r w:rsidRPr="003D5A6B">
              <w:t>0.0</w:t>
            </w:r>
          </w:p>
        </w:tc>
        <w:tc>
          <w:tcPr>
            <w:tcW w:w="1509" w:type="dxa"/>
            <w:shd w:val="clear" w:color="auto" w:fill="F2F2F2" w:themeFill="background1" w:themeFillShade="F2"/>
            <w:tcMar>
              <w:top w:w="85" w:type="dxa"/>
              <w:left w:w="113" w:type="dxa"/>
              <w:bottom w:w="85" w:type="dxa"/>
              <w:right w:w="113" w:type="dxa"/>
            </w:tcMar>
            <w:vAlign w:val="center"/>
          </w:tcPr>
          <w:p w14:paraId="2E70FF2C" w14:textId="77777777" w:rsidR="003D5A6B" w:rsidRPr="003D5A6B" w:rsidRDefault="003D5A6B" w:rsidP="003D5A6B">
            <w:pPr>
              <w:pStyle w:val="CDIFigure-Table-BodyTextCentre"/>
            </w:pPr>
            <w:r w:rsidRPr="003D5A6B">
              <w:t>0.32</w:t>
            </w:r>
          </w:p>
        </w:tc>
        <w:tc>
          <w:tcPr>
            <w:tcW w:w="1509" w:type="dxa"/>
            <w:shd w:val="clear" w:color="auto" w:fill="F2F2F2" w:themeFill="background1" w:themeFillShade="F2"/>
            <w:tcMar>
              <w:top w:w="85" w:type="dxa"/>
              <w:left w:w="113" w:type="dxa"/>
              <w:bottom w:w="85" w:type="dxa"/>
              <w:right w:w="113" w:type="dxa"/>
            </w:tcMar>
            <w:vAlign w:val="center"/>
          </w:tcPr>
          <w:p w14:paraId="3FFA0E88" w14:textId="77777777" w:rsidR="003D5A6B" w:rsidRPr="003D5A6B" w:rsidRDefault="003D5A6B" w:rsidP="003D5A6B">
            <w:pPr>
              <w:pStyle w:val="CDIFigure-Table-BodyTextCentre"/>
            </w:pPr>
            <w:r w:rsidRPr="003D5A6B">
              <w:t xml:space="preserve"> 0.15–0.63</w:t>
            </w:r>
          </w:p>
        </w:tc>
        <w:tc>
          <w:tcPr>
            <w:tcW w:w="1510" w:type="dxa"/>
            <w:shd w:val="clear" w:color="auto" w:fill="F2F2F2" w:themeFill="background1" w:themeFillShade="F2"/>
            <w:tcMar>
              <w:top w:w="85" w:type="dxa"/>
              <w:left w:w="113" w:type="dxa"/>
              <w:bottom w:w="85" w:type="dxa"/>
              <w:right w:w="113" w:type="dxa"/>
            </w:tcMar>
            <w:vAlign w:val="center"/>
          </w:tcPr>
          <w:p w14:paraId="770C3F2F" w14:textId="77777777" w:rsidR="003D5A6B" w:rsidRPr="003D5A6B" w:rsidRDefault="003D5A6B" w:rsidP="003D5A6B">
            <w:pPr>
              <w:pStyle w:val="CDIFigure-Table-BodyTextCentre"/>
            </w:pPr>
            <w:r w:rsidRPr="003D5A6B">
              <w:t>&lt; 0.001</w:t>
            </w:r>
          </w:p>
        </w:tc>
        <w:tc>
          <w:tcPr>
            <w:tcW w:w="1509" w:type="dxa"/>
            <w:shd w:val="clear" w:color="auto" w:fill="F2F2F2" w:themeFill="background1" w:themeFillShade="F2"/>
            <w:tcMar>
              <w:top w:w="85" w:type="dxa"/>
              <w:left w:w="113" w:type="dxa"/>
              <w:bottom w:w="85" w:type="dxa"/>
              <w:right w:w="113" w:type="dxa"/>
            </w:tcMar>
            <w:vAlign w:val="center"/>
          </w:tcPr>
          <w:p w14:paraId="2BE0EEBA" w14:textId="77777777" w:rsidR="003D5A6B" w:rsidRPr="003D5A6B" w:rsidRDefault="003D5A6B" w:rsidP="003D5A6B">
            <w:pPr>
              <w:pStyle w:val="CDIFigure-Table-BodyTextCentre"/>
            </w:pPr>
            <w:r w:rsidRPr="003D5A6B">
              <w:t xml:space="preserve"> 0.00–0.11</w:t>
            </w:r>
          </w:p>
        </w:tc>
      </w:tr>
      <w:tr w:rsidR="003D5A6B" w:rsidRPr="003D5A6B" w14:paraId="458AD986"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18FC68D6" w14:textId="77777777" w:rsidR="003D5A6B" w:rsidRPr="003D5A6B" w:rsidRDefault="003D5A6B" w:rsidP="003D5A6B"/>
        </w:tc>
        <w:tc>
          <w:tcPr>
            <w:tcW w:w="1509" w:type="dxa"/>
            <w:tcMar>
              <w:top w:w="85" w:type="dxa"/>
              <w:left w:w="113" w:type="dxa"/>
              <w:bottom w:w="85" w:type="dxa"/>
              <w:right w:w="113" w:type="dxa"/>
            </w:tcMar>
            <w:vAlign w:val="center"/>
          </w:tcPr>
          <w:p w14:paraId="264EA619" w14:textId="77777777" w:rsidR="003D5A6B" w:rsidRPr="003D5A6B" w:rsidRDefault="003D5A6B" w:rsidP="003D5A6B">
            <w:pPr>
              <w:pStyle w:val="CDIFigure-Table-BodyTextCentre"/>
            </w:pPr>
            <w:r w:rsidRPr="003D5A6B">
              <w:t>25–69</w:t>
            </w:r>
          </w:p>
        </w:tc>
        <w:tc>
          <w:tcPr>
            <w:tcW w:w="1510" w:type="dxa"/>
            <w:tcMar>
              <w:top w:w="85" w:type="dxa"/>
              <w:left w:w="113" w:type="dxa"/>
              <w:bottom w:w="85" w:type="dxa"/>
              <w:right w:w="113" w:type="dxa"/>
            </w:tcMar>
            <w:vAlign w:val="center"/>
          </w:tcPr>
          <w:p w14:paraId="3246C415" w14:textId="77777777" w:rsidR="003D5A6B" w:rsidRPr="003D5A6B" w:rsidRDefault="003D5A6B" w:rsidP="003D5A6B">
            <w:pPr>
              <w:pStyle w:val="CDIFigure-Table-BodyTextCentre"/>
            </w:pPr>
            <w:r w:rsidRPr="003D5A6B">
              <w:t>44.2</w:t>
            </w:r>
          </w:p>
        </w:tc>
        <w:tc>
          <w:tcPr>
            <w:tcW w:w="1509" w:type="dxa"/>
            <w:tcMar>
              <w:top w:w="85" w:type="dxa"/>
              <w:left w:w="113" w:type="dxa"/>
              <w:bottom w:w="85" w:type="dxa"/>
              <w:right w:w="113" w:type="dxa"/>
            </w:tcMar>
            <w:vAlign w:val="center"/>
          </w:tcPr>
          <w:p w14:paraId="5FDD198B" w14:textId="77777777" w:rsidR="003D5A6B" w:rsidRPr="003D5A6B" w:rsidRDefault="003D5A6B" w:rsidP="003D5A6B">
            <w:pPr>
              <w:pStyle w:val="CDIFigure-Table-BodyTextCentre"/>
            </w:pPr>
            <w:r w:rsidRPr="003D5A6B">
              <w:t>8.3</w:t>
            </w:r>
          </w:p>
        </w:tc>
        <w:tc>
          <w:tcPr>
            <w:tcW w:w="1510" w:type="dxa"/>
            <w:tcMar>
              <w:top w:w="85" w:type="dxa"/>
              <w:left w:w="113" w:type="dxa"/>
              <w:bottom w:w="85" w:type="dxa"/>
              <w:right w:w="113" w:type="dxa"/>
            </w:tcMar>
            <w:vAlign w:val="center"/>
          </w:tcPr>
          <w:p w14:paraId="4029C103" w14:textId="77777777" w:rsidR="003D5A6B" w:rsidRPr="003D5A6B" w:rsidRDefault="003D5A6B" w:rsidP="003D5A6B">
            <w:pPr>
              <w:pStyle w:val="CDIFigure-Table-BodyTextCentre"/>
            </w:pPr>
            <w:r w:rsidRPr="003D5A6B">
              <w:t>2.6</w:t>
            </w:r>
          </w:p>
        </w:tc>
        <w:tc>
          <w:tcPr>
            <w:tcW w:w="1509" w:type="dxa"/>
            <w:tcMar>
              <w:top w:w="85" w:type="dxa"/>
              <w:left w:w="113" w:type="dxa"/>
              <w:bottom w:w="85" w:type="dxa"/>
              <w:right w:w="113" w:type="dxa"/>
            </w:tcMar>
            <w:vAlign w:val="center"/>
          </w:tcPr>
          <w:p w14:paraId="1CDE6FED" w14:textId="77777777" w:rsidR="003D5A6B" w:rsidRPr="003D5A6B" w:rsidRDefault="003D5A6B" w:rsidP="003D5A6B">
            <w:pPr>
              <w:pStyle w:val="CDIFigure-Table-BodyTextCentre"/>
            </w:pPr>
            <w:r w:rsidRPr="003D5A6B">
              <w:t>0.19</w:t>
            </w:r>
          </w:p>
        </w:tc>
        <w:tc>
          <w:tcPr>
            <w:tcW w:w="1509" w:type="dxa"/>
            <w:tcMar>
              <w:top w:w="85" w:type="dxa"/>
              <w:left w:w="113" w:type="dxa"/>
              <w:bottom w:w="85" w:type="dxa"/>
              <w:right w:w="113" w:type="dxa"/>
            </w:tcMar>
            <w:vAlign w:val="center"/>
          </w:tcPr>
          <w:p w14:paraId="1C7896CA" w14:textId="77777777" w:rsidR="003D5A6B" w:rsidRPr="003D5A6B" w:rsidRDefault="003D5A6B" w:rsidP="003D5A6B">
            <w:pPr>
              <w:pStyle w:val="CDIFigure-Table-BodyTextCentre"/>
            </w:pPr>
            <w:r w:rsidRPr="003D5A6B">
              <w:t xml:space="preserve"> 0.11–0.30</w:t>
            </w:r>
          </w:p>
        </w:tc>
        <w:tc>
          <w:tcPr>
            <w:tcW w:w="1510" w:type="dxa"/>
            <w:tcMar>
              <w:top w:w="85" w:type="dxa"/>
              <w:left w:w="113" w:type="dxa"/>
              <w:bottom w:w="85" w:type="dxa"/>
              <w:right w:w="113" w:type="dxa"/>
            </w:tcMar>
            <w:vAlign w:val="center"/>
          </w:tcPr>
          <w:p w14:paraId="593D85FE" w14:textId="77777777" w:rsidR="003D5A6B" w:rsidRPr="003D5A6B" w:rsidRDefault="003D5A6B" w:rsidP="003D5A6B">
            <w:pPr>
              <w:pStyle w:val="CDIFigure-Table-BodyTextCentre"/>
            </w:pPr>
            <w:r w:rsidRPr="003D5A6B">
              <w:t>0.06</w:t>
            </w:r>
          </w:p>
        </w:tc>
        <w:tc>
          <w:tcPr>
            <w:tcW w:w="1509" w:type="dxa"/>
            <w:tcMar>
              <w:top w:w="85" w:type="dxa"/>
              <w:left w:w="113" w:type="dxa"/>
              <w:bottom w:w="85" w:type="dxa"/>
              <w:right w:w="113" w:type="dxa"/>
            </w:tcMar>
            <w:vAlign w:val="center"/>
          </w:tcPr>
          <w:p w14:paraId="284A4D79" w14:textId="77777777" w:rsidR="003D5A6B" w:rsidRPr="003D5A6B" w:rsidRDefault="003D5A6B" w:rsidP="003D5A6B">
            <w:pPr>
              <w:pStyle w:val="CDIFigure-Table-BodyTextCentre"/>
            </w:pPr>
            <w:r w:rsidRPr="003D5A6B">
              <w:t xml:space="preserve"> 0.02–0.13</w:t>
            </w:r>
          </w:p>
        </w:tc>
      </w:tr>
      <w:tr w:rsidR="006A4AE7" w:rsidRPr="003D5A6B" w14:paraId="7BFCF3A5"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7AC7B6DA" w14:textId="77777777" w:rsidR="003D5A6B" w:rsidRPr="003D5A6B" w:rsidRDefault="003D5A6B" w:rsidP="003D5A6B"/>
        </w:tc>
        <w:tc>
          <w:tcPr>
            <w:tcW w:w="1509" w:type="dxa"/>
            <w:shd w:val="clear" w:color="auto" w:fill="F2F2F2" w:themeFill="background1" w:themeFillShade="F2"/>
            <w:tcMar>
              <w:top w:w="85" w:type="dxa"/>
              <w:left w:w="113" w:type="dxa"/>
              <w:bottom w:w="85" w:type="dxa"/>
              <w:right w:w="113" w:type="dxa"/>
            </w:tcMar>
            <w:vAlign w:val="center"/>
          </w:tcPr>
          <w:p w14:paraId="5ABECCD8" w14:textId="77777777" w:rsidR="003D5A6B" w:rsidRPr="003D5A6B" w:rsidRDefault="003D5A6B" w:rsidP="003D5A6B">
            <w:pPr>
              <w:pStyle w:val="CDIFigure-Table-BodyTextCentre"/>
            </w:pPr>
            <w:r w:rsidRPr="003D5A6B">
              <w:t>≥ 70</w:t>
            </w:r>
          </w:p>
        </w:tc>
        <w:tc>
          <w:tcPr>
            <w:tcW w:w="1510" w:type="dxa"/>
            <w:shd w:val="clear" w:color="auto" w:fill="F2F2F2" w:themeFill="background1" w:themeFillShade="F2"/>
            <w:tcMar>
              <w:top w:w="85" w:type="dxa"/>
              <w:left w:w="113" w:type="dxa"/>
              <w:bottom w:w="85" w:type="dxa"/>
              <w:right w:w="113" w:type="dxa"/>
            </w:tcMar>
            <w:vAlign w:val="center"/>
          </w:tcPr>
          <w:p w14:paraId="64C559DA" w14:textId="77777777" w:rsidR="003D5A6B" w:rsidRPr="003D5A6B" w:rsidRDefault="003D5A6B" w:rsidP="003D5A6B">
            <w:pPr>
              <w:pStyle w:val="CDIFigure-Table-BodyTextCentre"/>
            </w:pPr>
            <w:r w:rsidRPr="003D5A6B">
              <w:t>43.9</w:t>
            </w:r>
          </w:p>
        </w:tc>
        <w:tc>
          <w:tcPr>
            <w:tcW w:w="1509" w:type="dxa"/>
            <w:shd w:val="clear" w:color="auto" w:fill="F2F2F2" w:themeFill="background1" w:themeFillShade="F2"/>
            <w:tcMar>
              <w:top w:w="85" w:type="dxa"/>
              <w:left w:w="113" w:type="dxa"/>
              <w:bottom w:w="85" w:type="dxa"/>
              <w:right w:w="113" w:type="dxa"/>
            </w:tcMar>
            <w:vAlign w:val="center"/>
          </w:tcPr>
          <w:p w14:paraId="0214E2CE" w14:textId="77777777" w:rsidR="003D5A6B" w:rsidRPr="003D5A6B" w:rsidRDefault="003D5A6B" w:rsidP="003D5A6B">
            <w:pPr>
              <w:pStyle w:val="CDIFigure-Table-BodyTextCentre"/>
            </w:pPr>
            <w:r w:rsidRPr="003D5A6B">
              <w:t>2.5</w:t>
            </w:r>
          </w:p>
        </w:tc>
        <w:tc>
          <w:tcPr>
            <w:tcW w:w="1510" w:type="dxa"/>
            <w:shd w:val="clear" w:color="auto" w:fill="F2F2F2" w:themeFill="background1" w:themeFillShade="F2"/>
            <w:tcMar>
              <w:top w:w="85" w:type="dxa"/>
              <w:left w:w="113" w:type="dxa"/>
              <w:bottom w:w="85" w:type="dxa"/>
              <w:right w:w="113" w:type="dxa"/>
            </w:tcMar>
            <w:vAlign w:val="center"/>
          </w:tcPr>
          <w:p w14:paraId="764DADCF" w14:textId="77777777" w:rsidR="003D5A6B" w:rsidRPr="003D5A6B" w:rsidRDefault="003D5A6B" w:rsidP="003D5A6B">
            <w:pPr>
              <w:pStyle w:val="CDIFigure-Table-BodyTextCentre"/>
            </w:pPr>
            <w:r w:rsidRPr="003D5A6B">
              <w:t>7.1</w:t>
            </w:r>
          </w:p>
        </w:tc>
        <w:tc>
          <w:tcPr>
            <w:tcW w:w="1509" w:type="dxa"/>
            <w:shd w:val="clear" w:color="auto" w:fill="F2F2F2" w:themeFill="background1" w:themeFillShade="F2"/>
            <w:tcMar>
              <w:top w:w="85" w:type="dxa"/>
              <w:left w:w="113" w:type="dxa"/>
              <w:bottom w:w="85" w:type="dxa"/>
              <w:right w:w="113" w:type="dxa"/>
            </w:tcMar>
            <w:vAlign w:val="center"/>
          </w:tcPr>
          <w:p w14:paraId="1D11C827" w14:textId="77777777" w:rsidR="003D5A6B" w:rsidRPr="003D5A6B" w:rsidRDefault="003D5A6B" w:rsidP="003D5A6B">
            <w:pPr>
              <w:pStyle w:val="CDIFigure-Table-BodyTextCentre"/>
            </w:pPr>
            <w:r w:rsidRPr="003D5A6B">
              <w:t>0.06</w:t>
            </w:r>
          </w:p>
        </w:tc>
        <w:tc>
          <w:tcPr>
            <w:tcW w:w="1509" w:type="dxa"/>
            <w:shd w:val="clear" w:color="auto" w:fill="F2F2F2" w:themeFill="background1" w:themeFillShade="F2"/>
            <w:tcMar>
              <w:top w:w="85" w:type="dxa"/>
              <w:left w:w="113" w:type="dxa"/>
              <w:bottom w:w="85" w:type="dxa"/>
              <w:right w:w="113" w:type="dxa"/>
            </w:tcMar>
            <w:vAlign w:val="center"/>
          </w:tcPr>
          <w:p w14:paraId="4E384494" w14:textId="77777777" w:rsidR="003D5A6B" w:rsidRPr="003D5A6B" w:rsidRDefault="003D5A6B" w:rsidP="003D5A6B">
            <w:pPr>
              <w:pStyle w:val="CDIFigure-Table-BodyTextCentre"/>
            </w:pPr>
            <w:r w:rsidRPr="003D5A6B">
              <w:t xml:space="preserve"> 0.00–0.36</w:t>
            </w:r>
          </w:p>
        </w:tc>
        <w:tc>
          <w:tcPr>
            <w:tcW w:w="1510" w:type="dxa"/>
            <w:shd w:val="clear" w:color="auto" w:fill="F2F2F2" w:themeFill="background1" w:themeFillShade="F2"/>
            <w:tcMar>
              <w:top w:w="85" w:type="dxa"/>
              <w:left w:w="113" w:type="dxa"/>
              <w:bottom w:w="85" w:type="dxa"/>
              <w:right w:w="113" w:type="dxa"/>
            </w:tcMar>
            <w:vAlign w:val="center"/>
          </w:tcPr>
          <w:p w14:paraId="5FABB562" w14:textId="77777777" w:rsidR="003D5A6B" w:rsidRPr="003D5A6B" w:rsidRDefault="003D5A6B" w:rsidP="003D5A6B">
            <w:pPr>
              <w:pStyle w:val="CDIFigure-Table-BodyTextCentre"/>
            </w:pPr>
            <w:r w:rsidRPr="003D5A6B">
              <w:t>0.16</w:t>
            </w:r>
          </w:p>
        </w:tc>
        <w:tc>
          <w:tcPr>
            <w:tcW w:w="1509" w:type="dxa"/>
            <w:shd w:val="clear" w:color="auto" w:fill="F2F2F2" w:themeFill="background1" w:themeFillShade="F2"/>
            <w:tcMar>
              <w:top w:w="85" w:type="dxa"/>
              <w:left w:w="113" w:type="dxa"/>
              <w:bottom w:w="85" w:type="dxa"/>
              <w:right w:w="113" w:type="dxa"/>
            </w:tcMar>
            <w:vAlign w:val="center"/>
          </w:tcPr>
          <w:p w14:paraId="595A65B7" w14:textId="77777777" w:rsidR="003D5A6B" w:rsidRPr="003D5A6B" w:rsidRDefault="003D5A6B" w:rsidP="003D5A6B">
            <w:pPr>
              <w:pStyle w:val="CDIFigure-Table-BodyTextCentre"/>
            </w:pPr>
            <w:r w:rsidRPr="003D5A6B">
              <w:t xml:space="preserve"> 0.03–0.56</w:t>
            </w:r>
          </w:p>
        </w:tc>
      </w:tr>
      <w:tr w:rsidR="003D5A6B" w:rsidRPr="003D5A6B" w14:paraId="335F5148"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321BFCCD" w14:textId="77777777" w:rsidR="003D5A6B" w:rsidRPr="003D5A6B" w:rsidRDefault="003D5A6B" w:rsidP="003D5A6B"/>
        </w:tc>
        <w:tc>
          <w:tcPr>
            <w:tcW w:w="1509" w:type="dxa"/>
            <w:tcBorders>
              <w:bottom w:val="single" w:sz="6" w:space="0" w:color="033636" w:themeColor="text2"/>
            </w:tcBorders>
            <w:tcMar>
              <w:top w:w="85" w:type="dxa"/>
              <w:left w:w="113" w:type="dxa"/>
              <w:bottom w:w="85" w:type="dxa"/>
              <w:right w:w="113" w:type="dxa"/>
            </w:tcMar>
            <w:vAlign w:val="center"/>
          </w:tcPr>
          <w:p w14:paraId="76BE01B0" w14:textId="77777777" w:rsidR="003D5A6B" w:rsidRPr="00F1408E" w:rsidRDefault="003D5A6B" w:rsidP="003D5A6B">
            <w:pPr>
              <w:pStyle w:val="CDIFigure-Table-BodyTextCentre"/>
              <w:rPr>
                <w:b/>
                <w:bCs/>
              </w:rPr>
            </w:pPr>
            <w:r w:rsidRPr="00F1408E">
              <w:rPr>
                <w:b/>
                <w:bCs/>
              </w:rPr>
              <w:t>Overall</w:t>
            </w:r>
          </w:p>
        </w:tc>
        <w:tc>
          <w:tcPr>
            <w:tcW w:w="1510" w:type="dxa"/>
            <w:tcBorders>
              <w:bottom w:val="single" w:sz="6" w:space="0" w:color="033636" w:themeColor="text2"/>
            </w:tcBorders>
            <w:tcMar>
              <w:top w:w="85" w:type="dxa"/>
              <w:left w:w="113" w:type="dxa"/>
              <w:bottom w:w="85" w:type="dxa"/>
              <w:right w:w="113" w:type="dxa"/>
            </w:tcMar>
            <w:vAlign w:val="center"/>
          </w:tcPr>
          <w:p w14:paraId="7253A622" w14:textId="77777777" w:rsidR="003D5A6B" w:rsidRPr="00F1408E" w:rsidRDefault="003D5A6B" w:rsidP="003D5A6B">
            <w:pPr>
              <w:pStyle w:val="CDIFigure-Table-BodyTextCentre"/>
              <w:rPr>
                <w:b/>
                <w:bCs/>
              </w:rPr>
            </w:pPr>
            <w:r w:rsidRPr="00F1408E">
              <w:rPr>
                <w:b/>
                <w:bCs/>
              </w:rPr>
              <w:t>63.5</w:t>
            </w:r>
          </w:p>
        </w:tc>
        <w:tc>
          <w:tcPr>
            <w:tcW w:w="1509" w:type="dxa"/>
            <w:tcBorders>
              <w:bottom w:val="single" w:sz="6" w:space="0" w:color="033636" w:themeColor="text2"/>
            </w:tcBorders>
            <w:tcMar>
              <w:top w:w="85" w:type="dxa"/>
              <w:left w:w="113" w:type="dxa"/>
              <w:bottom w:w="85" w:type="dxa"/>
              <w:right w:w="113" w:type="dxa"/>
            </w:tcMar>
            <w:vAlign w:val="center"/>
          </w:tcPr>
          <w:p w14:paraId="0E196775" w14:textId="77777777" w:rsidR="003D5A6B" w:rsidRPr="00F1408E" w:rsidRDefault="003D5A6B" w:rsidP="003D5A6B">
            <w:pPr>
              <w:pStyle w:val="CDIFigure-Table-BodyTextCentre"/>
              <w:rPr>
                <w:b/>
                <w:bCs/>
              </w:rPr>
            </w:pPr>
            <w:r w:rsidRPr="00F1408E">
              <w:rPr>
                <w:b/>
                <w:bCs/>
              </w:rPr>
              <w:t>11.8</w:t>
            </w:r>
          </w:p>
        </w:tc>
        <w:tc>
          <w:tcPr>
            <w:tcW w:w="1510" w:type="dxa"/>
            <w:tcBorders>
              <w:bottom w:val="single" w:sz="6" w:space="0" w:color="033636" w:themeColor="text2"/>
            </w:tcBorders>
            <w:tcMar>
              <w:top w:w="85" w:type="dxa"/>
              <w:left w:w="113" w:type="dxa"/>
              <w:bottom w:w="85" w:type="dxa"/>
              <w:right w:w="113" w:type="dxa"/>
            </w:tcMar>
            <w:vAlign w:val="center"/>
          </w:tcPr>
          <w:p w14:paraId="7FA2A5C7" w14:textId="77777777" w:rsidR="003D5A6B" w:rsidRPr="00F1408E" w:rsidRDefault="003D5A6B" w:rsidP="003D5A6B">
            <w:pPr>
              <w:pStyle w:val="CDIFigure-Table-BodyTextCentre"/>
              <w:rPr>
                <w:b/>
                <w:bCs/>
              </w:rPr>
            </w:pPr>
            <w:r w:rsidRPr="00F1408E">
              <w:rPr>
                <w:b/>
                <w:bCs/>
              </w:rPr>
              <w:t>2.5</w:t>
            </w:r>
          </w:p>
        </w:tc>
        <w:tc>
          <w:tcPr>
            <w:tcW w:w="1509" w:type="dxa"/>
            <w:tcBorders>
              <w:bottom w:val="single" w:sz="6" w:space="0" w:color="033636" w:themeColor="text2"/>
            </w:tcBorders>
            <w:tcMar>
              <w:top w:w="85" w:type="dxa"/>
              <w:left w:w="113" w:type="dxa"/>
              <w:bottom w:w="85" w:type="dxa"/>
              <w:right w:w="113" w:type="dxa"/>
            </w:tcMar>
            <w:vAlign w:val="center"/>
          </w:tcPr>
          <w:p w14:paraId="1DBEBEED" w14:textId="77777777" w:rsidR="003D5A6B" w:rsidRPr="00F1408E" w:rsidRDefault="003D5A6B" w:rsidP="003D5A6B">
            <w:pPr>
              <w:pStyle w:val="CDIFigure-Table-BodyTextCentre"/>
              <w:rPr>
                <w:b/>
                <w:bCs/>
              </w:rPr>
            </w:pPr>
            <w:r w:rsidRPr="00F1408E">
              <w:rPr>
                <w:b/>
                <w:bCs/>
              </w:rPr>
              <w:t>0.19</w:t>
            </w:r>
          </w:p>
        </w:tc>
        <w:tc>
          <w:tcPr>
            <w:tcW w:w="1509" w:type="dxa"/>
            <w:tcBorders>
              <w:bottom w:val="single" w:sz="6" w:space="0" w:color="033636" w:themeColor="text2"/>
            </w:tcBorders>
            <w:tcMar>
              <w:top w:w="85" w:type="dxa"/>
              <w:left w:w="113" w:type="dxa"/>
              <w:bottom w:w="85" w:type="dxa"/>
              <w:right w:w="113" w:type="dxa"/>
            </w:tcMar>
            <w:vAlign w:val="center"/>
          </w:tcPr>
          <w:p w14:paraId="39AF58D9" w14:textId="77777777" w:rsidR="003D5A6B" w:rsidRPr="00F1408E" w:rsidRDefault="003D5A6B" w:rsidP="003D5A6B">
            <w:pPr>
              <w:pStyle w:val="CDIFigure-Table-BodyTextCentre"/>
              <w:rPr>
                <w:b/>
                <w:bCs/>
              </w:rPr>
            </w:pPr>
            <w:r w:rsidRPr="00F1408E">
              <w:rPr>
                <w:b/>
                <w:bCs/>
              </w:rPr>
              <w:t xml:space="preserve"> 0.14–0.26</w:t>
            </w:r>
          </w:p>
        </w:tc>
        <w:tc>
          <w:tcPr>
            <w:tcW w:w="1510" w:type="dxa"/>
            <w:tcBorders>
              <w:bottom w:val="single" w:sz="6" w:space="0" w:color="033636" w:themeColor="text2"/>
            </w:tcBorders>
            <w:tcMar>
              <w:top w:w="85" w:type="dxa"/>
              <w:left w:w="113" w:type="dxa"/>
              <w:bottom w:w="85" w:type="dxa"/>
              <w:right w:w="113" w:type="dxa"/>
            </w:tcMar>
            <w:vAlign w:val="center"/>
          </w:tcPr>
          <w:p w14:paraId="16F05301" w14:textId="77777777" w:rsidR="003D5A6B" w:rsidRPr="00F1408E" w:rsidRDefault="003D5A6B" w:rsidP="003D5A6B">
            <w:pPr>
              <w:pStyle w:val="CDIFigure-Table-BodyTextCentre"/>
              <w:rPr>
                <w:b/>
                <w:bCs/>
              </w:rPr>
            </w:pPr>
            <w:r w:rsidRPr="00F1408E">
              <w:rPr>
                <w:b/>
                <w:bCs/>
              </w:rPr>
              <w:t>0.04</w:t>
            </w:r>
          </w:p>
        </w:tc>
        <w:tc>
          <w:tcPr>
            <w:tcW w:w="1509" w:type="dxa"/>
            <w:tcBorders>
              <w:bottom w:val="single" w:sz="6" w:space="0" w:color="033636" w:themeColor="text2"/>
            </w:tcBorders>
            <w:tcMar>
              <w:top w:w="85" w:type="dxa"/>
              <w:left w:w="113" w:type="dxa"/>
              <w:bottom w:w="85" w:type="dxa"/>
              <w:right w:w="113" w:type="dxa"/>
            </w:tcMar>
            <w:vAlign w:val="center"/>
          </w:tcPr>
          <w:p w14:paraId="1CACFC7F" w14:textId="77777777" w:rsidR="003D5A6B" w:rsidRPr="00F1408E" w:rsidRDefault="003D5A6B" w:rsidP="003D5A6B">
            <w:pPr>
              <w:pStyle w:val="CDIFigure-Table-BodyTextCentre"/>
              <w:rPr>
                <w:b/>
                <w:bCs/>
              </w:rPr>
            </w:pPr>
            <w:r w:rsidRPr="00F1408E">
              <w:rPr>
                <w:b/>
                <w:bCs/>
              </w:rPr>
              <w:t xml:space="preserve"> 0.02–0.07</w:t>
            </w:r>
          </w:p>
        </w:tc>
      </w:tr>
      <w:tr w:rsidR="006A4AE7" w:rsidRPr="003D5A6B" w14:paraId="4F0FF4EA" w14:textId="77777777" w:rsidTr="00F1408E">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6ABDF306" w14:textId="77777777" w:rsidR="003D5A6B" w:rsidRPr="003D5A6B" w:rsidRDefault="003D5A6B" w:rsidP="00F1408E">
            <w:pPr>
              <w:pStyle w:val="CDIFigure-Table-BodyTextLeft"/>
            </w:pPr>
            <w:r w:rsidRPr="003D5A6B">
              <w:t>New South Wales</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14210C0B" w14:textId="77777777" w:rsidR="003D5A6B" w:rsidRPr="003D5A6B" w:rsidRDefault="003D5A6B" w:rsidP="003D5A6B">
            <w:pPr>
              <w:pStyle w:val="CDIFigure-Table-BodyTextCentre"/>
            </w:pPr>
            <w:r w:rsidRPr="003D5A6B">
              <w:t>0–4</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52D7B3D3" w14:textId="77777777" w:rsidR="003D5A6B" w:rsidRPr="003D5A6B" w:rsidRDefault="003D5A6B" w:rsidP="003D5A6B">
            <w:pPr>
              <w:pStyle w:val="CDIFigure-Table-BodyTextCentre"/>
            </w:pPr>
            <w:r w:rsidRPr="003D5A6B">
              <w:t>179.0</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381A777A" w14:textId="77777777" w:rsidR="003D5A6B" w:rsidRPr="003D5A6B" w:rsidRDefault="003D5A6B" w:rsidP="003D5A6B">
            <w:pPr>
              <w:pStyle w:val="CDIFigure-Table-BodyTextCentre"/>
            </w:pPr>
            <w:r w:rsidRPr="003D5A6B">
              <w:t>43.4</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6A664448" w14:textId="77777777" w:rsidR="003D5A6B" w:rsidRPr="003D5A6B" w:rsidRDefault="003D5A6B" w:rsidP="003D5A6B">
            <w:pPr>
              <w:pStyle w:val="CDIFigure-Table-BodyTextCentre"/>
            </w:pPr>
            <w:r w:rsidRPr="003D5A6B">
              <w:t>1.7</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70566A80" w14:textId="77777777" w:rsidR="003D5A6B" w:rsidRPr="003D5A6B" w:rsidRDefault="003D5A6B" w:rsidP="003D5A6B">
            <w:pPr>
              <w:pStyle w:val="CDIFigure-Table-BodyTextCentre"/>
            </w:pPr>
            <w:r w:rsidRPr="003D5A6B">
              <w:t>0.24</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3E40A35E" w14:textId="77777777" w:rsidR="003D5A6B" w:rsidRPr="003D5A6B" w:rsidRDefault="003D5A6B" w:rsidP="003D5A6B">
            <w:pPr>
              <w:pStyle w:val="CDIFigure-Table-BodyTextCentre"/>
            </w:pPr>
            <w:r w:rsidRPr="003D5A6B">
              <w:t xml:space="preserve"> 0.21–0.28</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50C81228" w14:textId="77777777" w:rsidR="003D5A6B" w:rsidRPr="003D5A6B" w:rsidRDefault="003D5A6B" w:rsidP="003D5A6B">
            <w:pPr>
              <w:pStyle w:val="CDIFigure-Table-BodyTextCentre"/>
            </w:pPr>
            <w:r w:rsidRPr="003D5A6B">
              <w:t>0.01</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266D6D89" w14:textId="77777777" w:rsidR="003D5A6B" w:rsidRPr="003D5A6B" w:rsidRDefault="003D5A6B" w:rsidP="003D5A6B">
            <w:pPr>
              <w:pStyle w:val="CDIFigure-Table-BodyTextCentre"/>
            </w:pPr>
            <w:r w:rsidRPr="003D5A6B">
              <w:t xml:space="preserve"> 0.00–0.02</w:t>
            </w:r>
          </w:p>
        </w:tc>
      </w:tr>
      <w:tr w:rsidR="003D5A6B" w:rsidRPr="003D5A6B" w14:paraId="2274BC82"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32338E2C" w14:textId="77777777" w:rsidR="003D5A6B" w:rsidRPr="003D5A6B" w:rsidRDefault="003D5A6B" w:rsidP="00F1408E">
            <w:pPr>
              <w:pStyle w:val="CDIFigure-Table-BodyTextLeft"/>
            </w:pPr>
          </w:p>
        </w:tc>
        <w:tc>
          <w:tcPr>
            <w:tcW w:w="1509" w:type="dxa"/>
            <w:tcMar>
              <w:top w:w="85" w:type="dxa"/>
              <w:left w:w="113" w:type="dxa"/>
              <w:bottom w:w="85" w:type="dxa"/>
              <w:right w:w="113" w:type="dxa"/>
            </w:tcMar>
            <w:vAlign w:val="center"/>
          </w:tcPr>
          <w:p w14:paraId="7EE20DAA" w14:textId="77777777" w:rsidR="003D5A6B" w:rsidRPr="003D5A6B" w:rsidRDefault="003D5A6B" w:rsidP="003D5A6B">
            <w:pPr>
              <w:pStyle w:val="CDIFigure-Table-BodyTextCentre"/>
            </w:pPr>
            <w:r w:rsidRPr="003D5A6B">
              <w:t>5–14</w:t>
            </w:r>
          </w:p>
        </w:tc>
        <w:tc>
          <w:tcPr>
            <w:tcW w:w="1510" w:type="dxa"/>
            <w:tcMar>
              <w:top w:w="85" w:type="dxa"/>
              <w:left w:w="113" w:type="dxa"/>
              <w:bottom w:w="85" w:type="dxa"/>
              <w:right w:w="113" w:type="dxa"/>
            </w:tcMar>
            <w:vAlign w:val="center"/>
          </w:tcPr>
          <w:p w14:paraId="4133313D" w14:textId="77777777" w:rsidR="003D5A6B" w:rsidRPr="003D5A6B" w:rsidRDefault="003D5A6B" w:rsidP="003D5A6B">
            <w:pPr>
              <w:pStyle w:val="CDIFigure-Table-BodyTextCentre"/>
            </w:pPr>
            <w:r w:rsidRPr="003D5A6B">
              <w:t>265.3</w:t>
            </w:r>
          </w:p>
        </w:tc>
        <w:tc>
          <w:tcPr>
            <w:tcW w:w="1509" w:type="dxa"/>
            <w:tcMar>
              <w:top w:w="85" w:type="dxa"/>
              <w:left w:w="113" w:type="dxa"/>
              <w:bottom w:w="85" w:type="dxa"/>
              <w:right w:w="113" w:type="dxa"/>
            </w:tcMar>
            <w:vAlign w:val="center"/>
          </w:tcPr>
          <w:p w14:paraId="63F4BC03" w14:textId="77777777" w:rsidR="003D5A6B" w:rsidRPr="003D5A6B" w:rsidRDefault="003D5A6B" w:rsidP="003D5A6B">
            <w:pPr>
              <w:pStyle w:val="CDIFigure-Table-BodyTextCentre"/>
            </w:pPr>
            <w:r w:rsidRPr="003D5A6B">
              <w:t>47.0</w:t>
            </w:r>
          </w:p>
        </w:tc>
        <w:tc>
          <w:tcPr>
            <w:tcW w:w="1510" w:type="dxa"/>
            <w:tcMar>
              <w:top w:w="85" w:type="dxa"/>
              <w:left w:w="113" w:type="dxa"/>
              <w:bottom w:w="85" w:type="dxa"/>
              <w:right w:w="113" w:type="dxa"/>
            </w:tcMar>
            <w:vAlign w:val="center"/>
          </w:tcPr>
          <w:p w14:paraId="3EDDAA8A" w14:textId="77777777" w:rsidR="003D5A6B" w:rsidRPr="003D5A6B" w:rsidRDefault="003D5A6B" w:rsidP="003D5A6B">
            <w:pPr>
              <w:pStyle w:val="CDIFigure-Table-BodyTextCentre"/>
            </w:pPr>
            <w:r w:rsidRPr="003D5A6B">
              <w:t>0.5</w:t>
            </w:r>
          </w:p>
        </w:tc>
        <w:tc>
          <w:tcPr>
            <w:tcW w:w="1509" w:type="dxa"/>
            <w:tcMar>
              <w:top w:w="85" w:type="dxa"/>
              <w:left w:w="113" w:type="dxa"/>
              <w:bottom w:w="85" w:type="dxa"/>
              <w:right w:w="113" w:type="dxa"/>
            </w:tcMar>
            <w:vAlign w:val="center"/>
          </w:tcPr>
          <w:p w14:paraId="58E435BD" w14:textId="77777777" w:rsidR="003D5A6B" w:rsidRPr="003D5A6B" w:rsidRDefault="003D5A6B" w:rsidP="003D5A6B">
            <w:pPr>
              <w:pStyle w:val="CDIFigure-Table-BodyTextCentre"/>
            </w:pPr>
            <w:r w:rsidRPr="003D5A6B">
              <w:t>0.18</w:t>
            </w:r>
          </w:p>
        </w:tc>
        <w:tc>
          <w:tcPr>
            <w:tcW w:w="1509" w:type="dxa"/>
            <w:tcMar>
              <w:top w:w="85" w:type="dxa"/>
              <w:left w:w="113" w:type="dxa"/>
              <w:bottom w:w="85" w:type="dxa"/>
              <w:right w:w="113" w:type="dxa"/>
            </w:tcMar>
            <w:vAlign w:val="center"/>
          </w:tcPr>
          <w:p w14:paraId="45EE8A0C" w14:textId="77777777" w:rsidR="003D5A6B" w:rsidRPr="003D5A6B" w:rsidRDefault="003D5A6B" w:rsidP="003D5A6B">
            <w:pPr>
              <w:pStyle w:val="CDIFigure-Table-BodyTextCentre"/>
            </w:pPr>
            <w:r w:rsidRPr="003D5A6B">
              <w:t xml:space="preserve"> 0.16–0.20</w:t>
            </w:r>
          </w:p>
        </w:tc>
        <w:tc>
          <w:tcPr>
            <w:tcW w:w="1510" w:type="dxa"/>
            <w:tcMar>
              <w:top w:w="85" w:type="dxa"/>
              <w:left w:w="113" w:type="dxa"/>
              <w:bottom w:w="85" w:type="dxa"/>
              <w:right w:w="113" w:type="dxa"/>
            </w:tcMar>
            <w:vAlign w:val="center"/>
          </w:tcPr>
          <w:p w14:paraId="6B32C7E5" w14:textId="77777777" w:rsidR="003D5A6B" w:rsidRPr="003D5A6B" w:rsidRDefault="003D5A6B" w:rsidP="003D5A6B">
            <w:pPr>
              <w:pStyle w:val="CDIFigure-Table-BodyTextCentre"/>
            </w:pPr>
            <w:r w:rsidRPr="003D5A6B">
              <w:t>&lt; 0.001</w:t>
            </w:r>
          </w:p>
        </w:tc>
        <w:tc>
          <w:tcPr>
            <w:tcW w:w="1509" w:type="dxa"/>
            <w:tcMar>
              <w:top w:w="85" w:type="dxa"/>
              <w:left w:w="113" w:type="dxa"/>
              <w:bottom w:w="85" w:type="dxa"/>
              <w:right w:w="113" w:type="dxa"/>
            </w:tcMar>
            <w:vAlign w:val="center"/>
          </w:tcPr>
          <w:p w14:paraId="162B9EB8" w14:textId="77777777" w:rsidR="003D5A6B" w:rsidRPr="003D5A6B" w:rsidRDefault="003D5A6B" w:rsidP="003D5A6B">
            <w:pPr>
              <w:pStyle w:val="CDIFigure-Table-BodyTextCentre"/>
            </w:pPr>
            <w:r w:rsidRPr="003D5A6B">
              <w:t xml:space="preserve"> 0.00–0.00</w:t>
            </w:r>
          </w:p>
        </w:tc>
      </w:tr>
      <w:tr w:rsidR="003D5A6B" w:rsidRPr="003D5A6B" w14:paraId="0B2294B9"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73707B86" w14:textId="77777777" w:rsidR="003D5A6B" w:rsidRPr="003D5A6B" w:rsidRDefault="003D5A6B" w:rsidP="00F1408E">
            <w:pPr>
              <w:pStyle w:val="CDIFigure-Table-BodyTextLeft"/>
            </w:pPr>
          </w:p>
        </w:tc>
        <w:tc>
          <w:tcPr>
            <w:tcW w:w="1509" w:type="dxa"/>
            <w:shd w:val="clear" w:color="auto" w:fill="F2F2F2" w:themeFill="background1" w:themeFillShade="F2"/>
            <w:tcMar>
              <w:top w:w="85" w:type="dxa"/>
              <w:left w:w="113" w:type="dxa"/>
              <w:bottom w:w="85" w:type="dxa"/>
              <w:right w:w="113" w:type="dxa"/>
            </w:tcMar>
            <w:vAlign w:val="center"/>
          </w:tcPr>
          <w:p w14:paraId="3D3FBBA4" w14:textId="77777777" w:rsidR="003D5A6B" w:rsidRPr="003D5A6B" w:rsidRDefault="003D5A6B" w:rsidP="003D5A6B">
            <w:pPr>
              <w:pStyle w:val="CDIFigure-Table-BodyTextCentre"/>
            </w:pPr>
            <w:r w:rsidRPr="003D5A6B">
              <w:t>15–24</w:t>
            </w:r>
          </w:p>
        </w:tc>
        <w:tc>
          <w:tcPr>
            <w:tcW w:w="1510" w:type="dxa"/>
            <w:shd w:val="clear" w:color="auto" w:fill="F2F2F2" w:themeFill="background1" w:themeFillShade="F2"/>
            <w:tcMar>
              <w:top w:w="85" w:type="dxa"/>
              <w:left w:w="113" w:type="dxa"/>
              <w:bottom w:w="85" w:type="dxa"/>
              <w:right w:w="113" w:type="dxa"/>
            </w:tcMar>
            <w:vAlign w:val="center"/>
          </w:tcPr>
          <w:p w14:paraId="510E5513" w14:textId="77777777" w:rsidR="003D5A6B" w:rsidRPr="003D5A6B" w:rsidRDefault="003D5A6B" w:rsidP="003D5A6B">
            <w:pPr>
              <w:pStyle w:val="CDIFigure-Table-BodyTextCentre"/>
            </w:pPr>
            <w:r w:rsidRPr="003D5A6B">
              <w:t>53.5</w:t>
            </w:r>
          </w:p>
        </w:tc>
        <w:tc>
          <w:tcPr>
            <w:tcW w:w="1509" w:type="dxa"/>
            <w:shd w:val="clear" w:color="auto" w:fill="F2F2F2" w:themeFill="background1" w:themeFillShade="F2"/>
            <w:tcMar>
              <w:top w:w="85" w:type="dxa"/>
              <w:left w:w="113" w:type="dxa"/>
              <w:bottom w:w="85" w:type="dxa"/>
              <w:right w:w="113" w:type="dxa"/>
            </w:tcMar>
            <w:vAlign w:val="center"/>
          </w:tcPr>
          <w:p w14:paraId="2DE29338" w14:textId="77777777" w:rsidR="003D5A6B" w:rsidRPr="003D5A6B" w:rsidRDefault="003D5A6B" w:rsidP="003D5A6B">
            <w:pPr>
              <w:pStyle w:val="CDIFigure-Table-BodyTextCentre"/>
            </w:pPr>
            <w:r w:rsidRPr="003D5A6B">
              <w:t>13.9</w:t>
            </w:r>
          </w:p>
        </w:tc>
        <w:tc>
          <w:tcPr>
            <w:tcW w:w="1510" w:type="dxa"/>
            <w:shd w:val="clear" w:color="auto" w:fill="F2F2F2" w:themeFill="background1" w:themeFillShade="F2"/>
            <w:tcMar>
              <w:top w:w="85" w:type="dxa"/>
              <w:left w:w="113" w:type="dxa"/>
              <w:bottom w:w="85" w:type="dxa"/>
              <w:right w:w="113" w:type="dxa"/>
            </w:tcMar>
            <w:vAlign w:val="center"/>
          </w:tcPr>
          <w:p w14:paraId="68369299" w14:textId="77777777" w:rsidR="003D5A6B" w:rsidRPr="003D5A6B" w:rsidRDefault="003D5A6B" w:rsidP="003D5A6B">
            <w:pPr>
              <w:pStyle w:val="CDIFigure-Table-BodyTextCentre"/>
            </w:pPr>
            <w:r w:rsidRPr="003D5A6B">
              <w:t>0.4</w:t>
            </w:r>
          </w:p>
        </w:tc>
        <w:tc>
          <w:tcPr>
            <w:tcW w:w="1509" w:type="dxa"/>
            <w:shd w:val="clear" w:color="auto" w:fill="F2F2F2" w:themeFill="background1" w:themeFillShade="F2"/>
            <w:tcMar>
              <w:top w:w="85" w:type="dxa"/>
              <w:left w:w="113" w:type="dxa"/>
              <w:bottom w:w="85" w:type="dxa"/>
              <w:right w:w="113" w:type="dxa"/>
            </w:tcMar>
            <w:vAlign w:val="center"/>
          </w:tcPr>
          <w:p w14:paraId="10A2EDD2" w14:textId="77777777" w:rsidR="003D5A6B" w:rsidRPr="003D5A6B" w:rsidRDefault="003D5A6B" w:rsidP="003D5A6B">
            <w:pPr>
              <w:pStyle w:val="CDIFigure-Table-BodyTextCentre"/>
            </w:pPr>
            <w:r w:rsidRPr="003D5A6B">
              <w:t>0.26</w:t>
            </w:r>
          </w:p>
        </w:tc>
        <w:tc>
          <w:tcPr>
            <w:tcW w:w="1509" w:type="dxa"/>
            <w:shd w:val="clear" w:color="auto" w:fill="F2F2F2" w:themeFill="background1" w:themeFillShade="F2"/>
            <w:tcMar>
              <w:top w:w="85" w:type="dxa"/>
              <w:left w:w="113" w:type="dxa"/>
              <w:bottom w:w="85" w:type="dxa"/>
              <w:right w:w="113" w:type="dxa"/>
            </w:tcMar>
            <w:vAlign w:val="center"/>
          </w:tcPr>
          <w:p w14:paraId="558A5CE4" w14:textId="77777777" w:rsidR="003D5A6B" w:rsidRPr="003D5A6B" w:rsidRDefault="003D5A6B" w:rsidP="003D5A6B">
            <w:pPr>
              <w:pStyle w:val="CDIFigure-Table-BodyTextCentre"/>
            </w:pPr>
            <w:r w:rsidRPr="003D5A6B">
              <w:t xml:space="preserve"> 0.21–0.31</w:t>
            </w:r>
          </w:p>
        </w:tc>
        <w:tc>
          <w:tcPr>
            <w:tcW w:w="1510" w:type="dxa"/>
            <w:shd w:val="clear" w:color="auto" w:fill="F2F2F2" w:themeFill="background1" w:themeFillShade="F2"/>
            <w:tcMar>
              <w:top w:w="85" w:type="dxa"/>
              <w:left w:w="113" w:type="dxa"/>
              <w:bottom w:w="85" w:type="dxa"/>
              <w:right w:w="113" w:type="dxa"/>
            </w:tcMar>
            <w:vAlign w:val="center"/>
          </w:tcPr>
          <w:p w14:paraId="381A7B3C" w14:textId="77777777" w:rsidR="003D5A6B" w:rsidRPr="003D5A6B" w:rsidRDefault="003D5A6B" w:rsidP="003D5A6B">
            <w:pPr>
              <w:pStyle w:val="CDIFigure-Table-BodyTextCentre"/>
            </w:pPr>
            <w:r w:rsidRPr="003D5A6B">
              <w:t>0.01</w:t>
            </w:r>
          </w:p>
        </w:tc>
        <w:tc>
          <w:tcPr>
            <w:tcW w:w="1509" w:type="dxa"/>
            <w:shd w:val="clear" w:color="auto" w:fill="F2F2F2" w:themeFill="background1" w:themeFillShade="F2"/>
            <w:tcMar>
              <w:top w:w="85" w:type="dxa"/>
              <w:left w:w="113" w:type="dxa"/>
              <w:bottom w:w="85" w:type="dxa"/>
              <w:right w:w="113" w:type="dxa"/>
            </w:tcMar>
            <w:vAlign w:val="center"/>
          </w:tcPr>
          <w:p w14:paraId="6AF66F8E" w14:textId="77777777" w:rsidR="003D5A6B" w:rsidRPr="003D5A6B" w:rsidRDefault="003D5A6B" w:rsidP="003D5A6B">
            <w:pPr>
              <w:pStyle w:val="CDIFigure-Table-BodyTextCentre"/>
            </w:pPr>
            <w:r w:rsidRPr="003D5A6B">
              <w:t xml:space="preserve"> 0.00–0.02</w:t>
            </w:r>
          </w:p>
        </w:tc>
      </w:tr>
      <w:tr w:rsidR="003D5A6B" w:rsidRPr="003D5A6B" w14:paraId="752AF523"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48B033AE" w14:textId="77777777" w:rsidR="003D5A6B" w:rsidRPr="003D5A6B" w:rsidRDefault="003D5A6B" w:rsidP="00F1408E">
            <w:pPr>
              <w:pStyle w:val="CDIFigure-Table-BodyTextLeft"/>
            </w:pPr>
          </w:p>
        </w:tc>
        <w:tc>
          <w:tcPr>
            <w:tcW w:w="1509" w:type="dxa"/>
            <w:tcMar>
              <w:top w:w="85" w:type="dxa"/>
              <w:left w:w="113" w:type="dxa"/>
              <w:bottom w:w="85" w:type="dxa"/>
              <w:right w:w="113" w:type="dxa"/>
            </w:tcMar>
            <w:vAlign w:val="center"/>
          </w:tcPr>
          <w:p w14:paraId="2ABB7613" w14:textId="77777777" w:rsidR="003D5A6B" w:rsidRPr="003D5A6B" w:rsidRDefault="003D5A6B" w:rsidP="00F1408E">
            <w:pPr>
              <w:pStyle w:val="CDIFigure-Table-BodyTextCentre"/>
            </w:pPr>
            <w:r w:rsidRPr="003D5A6B">
              <w:t>25–69</w:t>
            </w:r>
          </w:p>
        </w:tc>
        <w:tc>
          <w:tcPr>
            <w:tcW w:w="1510" w:type="dxa"/>
            <w:tcMar>
              <w:top w:w="85" w:type="dxa"/>
              <w:left w:w="113" w:type="dxa"/>
              <w:bottom w:w="85" w:type="dxa"/>
              <w:right w:w="113" w:type="dxa"/>
            </w:tcMar>
            <w:vAlign w:val="center"/>
          </w:tcPr>
          <w:p w14:paraId="74AD84E6" w14:textId="77777777" w:rsidR="003D5A6B" w:rsidRPr="003D5A6B" w:rsidRDefault="003D5A6B" w:rsidP="00F1408E">
            <w:pPr>
              <w:pStyle w:val="CDIFigure-Table-BodyTextCentre"/>
            </w:pPr>
            <w:r w:rsidRPr="003D5A6B">
              <w:t>37.5</w:t>
            </w:r>
          </w:p>
        </w:tc>
        <w:tc>
          <w:tcPr>
            <w:tcW w:w="1509" w:type="dxa"/>
            <w:tcMar>
              <w:top w:w="85" w:type="dxa"/>
              <w:left w:w="113" w:type="dxa"/>
              <w:bottom w:w="85" w:type="dxa"/>
              <w:right w:w="113" w:type="dxa"/>
            </w:tcMar>
            <w:vAlign w:val="center"/>
          </w:tcPr>
          <w:p w14:paraId="3FD06F21" w14:textId="77777777" w:rsidR="003D5A6B" w:rsidRPr="003D5A6B" w:rsidRDefault="003D5A6B" w:rsidP="00F1408E">
            <w:pPr>
              <w:pStyle w:val="CDIFigure-Table-BodyTextCentre"/>
            </w:pPr>
            <w:r w:rsidRPr="003D5A6B">
              <w:t>9.6</w:t>
            </w:r>
          </w:p>
        </w:tc>
        <w:tc>
          <w:tcPr>
            <w:tcW w:w="1510" w:type="dxa"/>
            <w:tcMar>
              <w:top w:w="85" w:type="dxa"/>
              <w:left w:w="113" w:type="dxa"/>
              <w:bottom w:w="85" w:type="dxa"/>
              <w:right w:w="113" w:type="dxa"/>
            </w:tcMar>
            <w:vAlign w:val="center"/>
          </w:tcPr>
          <w:p w14:paraId="3A441D54" w14:textId="77777777" w:rsidR="003D5A6B" w:rsidRPr="003D5A6B" w:rsidRDefault="003D5A6B" w:rsidP="00F1408E">
            <w:pPr>
              <w:pStyle w:val="CDIFigure-Table-BodyTextCentre"/>
            </w:pPr>
            <w:r w:rsidRPr="003D5A6B">
              <w:t>0.4</w:t>
            </w:r>
          </w:p>
        </w:tc>
        <w:tc>
          <w:tcPr>
            <w:tcW w:w="1509" w:type="dxa"/>
            <w:tcMar>
              <w:top w:w="85" w:type="dxa"/>
              <w:left w:w="113" w:type="dxa"/>
              <w:bottom w:w="85" w:type="dxa"/>
              <w:right w:w="113" w:type="dxa"/>
            </w:tcMar>
            <w:vAlign w:val="center"/>
          </w:tcPr>
          <w:p w14:paraId="6225FF46" w14:textId="77777777" w:rsidR="003D5A6B" w:rsidRPr="003D5A6B" w:rsidRDefault="003D5A6B" w:rsidP="00F1408E">
            <w:pPr>
              <w:pStyle w:val="CDIFigure-Table-BodyTextCentre"/>
            </w:pPr>
            <w:r w:rsidRPr="003D5A6B">
              <w:t>0.26</w:t>
            </w:r>
          </w:p>
        </w:tc>
        <w:tc>
          <w:tcPr>
            <w:tcW w:w="1509" w:type="dxa"/>
            <w:tcMar>
              <w:top w:w="85" w:type="dxa"/>
              <w:left w:w="113" w:type="dxa"/>
              <w:bottom w:w="85" w:type="dxa"/>
              <w:right w:w="113" w:type="dxa"/>
            </w:tcMar>
            <w:vAlign w:val="center"/>
          </w:tcPr>
          <w:p w14:paraId="66BEFF83" w14:textId="77777777" w:rsidR="003D5A6B" w:rsidRPr="003D5A6B" w:rsidRDefault="003D5A6B" w:rsidP="00F1408E">
            <w:pPr>
              <w:pStyle w:val="CDIFigure-Table-BodyTextCentre"/>
            </w:pPr>
            <w:r w:rsidRPr="003D5A6B">
              <w:t xml:space="preserve"> 0.23–0.28</w:t>
            </w:r>
          </w:p>
        </w:tc>
        <w:tc>
          <w:tcPr>
            <w:tcW w:w="1510" w:type="dxa"/>
            <w:tcMar>
              <w:top w:w="85" w:type="dxa"/>
              <w:left w:w="113" w:type="dxa"/>
              <w:bottom w:w="85" w:type="dxa"/>
              <w:right w:w="113" w:type="dxa"/>
            </w:tcMar>
            <w:vAlign w:val="center"/>
          </w:tcPr>
          <w:p w14:paraId="485D31AF" w14:textId="77777777" w:rsidR="003D5A6B" w:rsidRPr="003D5A6B" w:rsidRDefault="003D5A6B" w:rsidP="00F1408E">
            <w:pPr>
              <w:pStyle w:val="CDIFigure-Table-BodyTextCentre"/>
            </w:pPr>
            <w:r w:rsidRPr="003D5A6B">
              <w:t>0.01</w:t>
            </w:r>
          </w:p>
        </w:tc>
        <w:tc>
          <w:tcPr>
            <w:tcW w:w="1509" w:type="dxa"/>
            <w:tcMar>
              <w:top w:w="85" w:type="dxa"/>
              <w:left w:w="113" w:type="dxa"/>
              <w:bottom w:w="85" w:type="dxa"/>
              <w:right w:w="113" w:type="dxa"/>
            </w:tcMar>
            <w:vAlign w:val="center"/>
          </w:tcPr>
          <w:p w14:paraId="3A47F266" w14:textId="77777777" w:rsidR="003D5A6B" w:rsidRPr="003D5A6B" w:rsidRDefault="003D5A6B" w:rsidP="00F1408E">
            <w:pPr>
              <w:pStyle w:val="CDIFigure-Table-BodyTextCentre"/>
            </w:pPr>
            <w:r w:rsidRPr="003D5A6B">
              <w:t xml:space="preserve"> 0.01–0.02</w:t>
            </w:r>
          </w:p>
        </w:tc>
      </w:tr>
      <w:tr w:rsidR="006A4AE7" w:rsidRPr="003D5A6B" w14:paraId="3148A2C4"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0C0B47DD" w14:textId="77777777" w:rsidR="003D5A6B" w:rsidRPr="003D5A6B" w:rsidRDefault="003D5A6B" w:rsidP="00F1408E">
            <w:pPr>
              <w:pStyle w:val="CDIFigure-Table-BodyTextLeft"/>
            </w:pPr>
          </w:p>
        </w:tc>
        <w:tc>
          <w:tcPr>
            <w:tcW w:w="1509" w:type="dxa"/>
            <w:shd w:val="clear" w:color="auto" w:fill="F2F2F2" w:themeFill="background1" w:themeFillShade="F2"/>
            <w:tcMar>
              <w:top w:w="85" w:type="dxa"/>
              <w:left w:w="113" w:type="dxa"/>
              <w:bottom w:w="85" w:type="dxa"/>
              <w:right w:w="113" w:type="dxa"/>
            </w:tcMar>
            <w:vAlign w:val="center"/>
          </w:tcPr>
          <w:p w14:paraId="27D09E69" w14:textId="77777777" w:rsidR="003D5A6B" w:rsidRPr="003D5A6B" w:rsidRDefault="003D5A6B" w:rsidP="00F1408E">
            <w:pPr>
              <w:pStyle w:val="CDIFigure-Table-BodyTextCentre"/>
            </w:pPr>
            <w:r w:rsidRPr="003D5A6B">
              <w:t>≥ 70</w:t>
            </w:r>
          </w:p>
        </w:tc>
        <w:tc>
          <w:tcPr>
            <w:tcW w:w="1510" w:type="dxa"/>
            <w:shd w:val="clear" w:color="auto" w:fill="F2F2F2" w:themeFill="background1" w:themeFillShade="F2"/>
            <w:tcMar>
              <w:top w:w="85" w:type="dxa"/>
              <w:left w:w="113" w:type="dxa"/>
              <w:bottom w:w="85" w:type="dxa"/>
              <w:right w:w="113" w:type="dxa"/>
            </w:tcMar>
            <w:vAlign w:val="center"/>
          </w:tcPr>
          <w:p w14:paraId="0959F3AC" w14:textId="77777777" w:rsidR="003D5A6B" w:rsidRPr="003D5A6B" w:rsidRDefault="003D5A6B" w:rsidP="00F1408E">
            <w:pPr>
              <w:pStyle w:val="CDIFigure-Table-BodyTextCentre"/>
            </w:pPr>
            <w:r w:rsidRPr="003D5A6B">
              <w:t>25.5</w:t>
            </w:r>
          </w:p>
        </w:tc>
        <w:tc>
          <w:tcPr>
            <w:tcW w:w="1509" w:type="dxa"/>
            <w:shd w:val="clear" w:color="auto" w:fill="F2F2F2" w:themeFill="background1" w:themeFillShade="F2"/>
            <w:tcMar>
              <w:top w:w="85" w:type="dxa"/>
              <w:left w:w="113" w:type="dxa"/>
              <w:bottom w:w="85" w:type="dxa"/>
              <w:right w:w="113" w:type="dxa"/>
            </w:tcMar>
            <w:vAlign w:val="center"/>
          </w:tcPr>
          <w:p w14:paraId="5AE5B293" w14:textId="77777777" w:rsidR="003D5A6B" w:rsidRPr="003D5A6B" w:rsidRDefault="003D5A6B" w:rsidP="00F1408E">
            <w:pPr>
              <w:pStyle w:val="CDIFigure-Table-BodyTextCentre"/>
            </w:pPr>
            <w:r w:rsidRPr="003D5A6B">
              <w:t>5.6</w:t>
            </w:r>
          </w:p>
        </w:tc>
        <w:tc>
          <w:tcPr>
            <w:tcW w:w="1510" w:type="dxa"/>
            <w:shd w:val="clear" w:color="auto" w:fill="F2F2F2" w:themeFill="background1" w:themeFillShade="F2"/>
            <w:tcMar>
              <w:top w:w="85" w:type="dxa"/>
              <w:left w:w="113" w:type="dxa"/>
              <w:bottom w:w="85" w:type="dxa"/>
              <w:right w:w="113" w:type="dxa"/>
            </w:tcMar>
            <w:vAlign w:val="center"/>
          </w:tcPr>
          <w:p w14:paraId="390087DF" w14:textId="77777777" w:rsidR="003D5A6B" w:rsidRPr="003D5A6B" w:rsidRDefault="003D5A6B" w:rsidP="00F1408E">
            <w:pPr>
              <w:pStyle w:val="CDIFigure-Table-BodyTextCentre"/>
            </w:pPr>
            <w:r w:rsidRPr="003D5A6B">
              <w:t>0.4</w:t>
            </w:r>
          </w:p>
        </w:tc>
        <w:tc>
          <w:tcPr>
            <w:tcW w:w="1509" w:type="dxa"/>
            <w:shd w:val="clear" w:color="auto" w:fill="F2F2F2" w:themeFill="background1" w:themeFillShade="F2"/>
            <w:tcMar>
              <w:top w:w="85" w:type="dxa"/>
              <w:left w:w="113" w:type="dxa"/>
              <w:bottom w:w="85" w:type="dxa"/>
              <w:right w:w="113" w:type="dxa"/>
            </w:tcMar>
            <w:vAlign w:val="center"/>
          </w:tcPr>
          <w:p w14:paraId="64694103" w14:textId="77777777" w:rsidR="003D5A6B" w:rsidRPr="003D5A6B" w:rsidRDefault="003D5A6B" w:rsidP="00F1408E">
            <w:pPr>
              <w:pStyle w:val="CDIFigure-Table-BodyTextCentre"/>
            </w:pPr>
            <w:r w:rsidRPr="003D5A6B">
              <w:t>0.22</w:t>
            </w:r>
          </w:p>
        </w:tc>
        <w:tc>
          <w:tcPr>
            <w:tcW w:w="1509" w:type="dxa"/>
            <w:shd w:val="clear" w:color="auto" w:fill="F2F2F2" w:themeFill="background1" w:themeFillShade="F2"/>
            <w:tcMar>
              <w:top w:w="85" w:type="dxa"/>
              <w:left w:w="113" w:type="dxa"/>
              <w:bottom w:w="85" w:type="dxa"/>
              <w:right w:w="113" w:type="dxa"/>
            </w:tcMar>
            <w:vAlign w:val="center"/>
          </w:tcPr>
          <w:p w14:paraId="34F0097A" w14:textId="77777777" w:rsidR="003D5A6B" w:rsidRPr="003D5A6B" w:rsidRDefault="003D5A6B" w:rsidP="00F1408E">
            <w:pPr>
              <w:pStyle w:val="CDIFigure-Table-BodyTextCentre"/>
            </w:pPr>
            <w:r w:rsidRPr="003D5A6B">
              <w:t xml:space="preserve"> 0.16–0.29</w:t>
            </w:r>
          </w:p>
        </w:tc>
        <w:tc>
          <w:tcPr>
            <w:tcW w:w="1510" w:type="dxa"/>
            <w:shd w:val="clear" w:color="auto" w:fill="F2F2F2" w:themeFill="background1" w:themeFillShade="F2"/>
            <w:tcMar>
              <w:top w:w="85" w:type="dxa"/>
              <w:left w:w="113" w:type="dxa"/>
              <w:bottom w:w="85" w:type="dxa"/>
              <w:right w:w="113" w:type="dxa"/>
            </w:tcMar>
            <w:vAlign w:val="center"/>
          </w:tcPr>
          <w:p w14:paraId="77A84AAF" w14:textId="77777777" w:rsidR="003D5A6B" w:rsidRPr="003D5A6B" w:rsidRDefault="003D5A6B" w:rsidP="00F1408E">
            <w:pPr>
              <w:pStyle w:val="CDIFigure-Table-BodyTextCentre"/>
            </w:pPr>
            <w:r w:rsidRPr="003D5A6B">
              <w:t>0.02</w:t>
            </w:r>
          </w:p>
        </w:tc>
        <w:tc>
          <w:tcPr>
            <w:tcW w:w="1509" w:type="dxa"/>
            <w:shd w:val="clear" w:color="auto" w:fill="F2F2F2" w:themeFill="background1" w:themeFillShade="F2"/>
            <w:tcMar>
              <w:top w:w="85" w:type="dxa"/>
              <w:left w:w="113" w:type="dxa"/>
              <w:bottom w:w="85" w:type="dxa"/>
              <w:right w:w="113" w:type="dxa"/>
            </w:tcMar>
            <w:vAlign w:val="center"/>
          </w:tcPr>
          <w:p w14:paraId="0E4612B7" w14:textId="77777777" w:rsidR="003D5A6B" w:rsidRPr="003D5A6B" w:rsidRDefault="003D5A6B" w:rsidP="00F1408E">
            <w:pPr>
              <w:pStyle w:val="CDIFigure-Table-BodyTextCentre"/>
            </w:pPr>
            <w:r w:rsidRPr="003D5A6B">
              <w:t xml:space="preserve"> 0.00–0.04</w:t>
            </w:r>
          </w:p>
        </w:tc>
      </w:tr>
      <w:tr w:rsidR="003D5A6B" w:rsidRPr="003D5A6B" w14:paraId="69477EF0"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4A98FA17" w14:textId="77777777" w:rsidR="003D5A6B" w:rsidRPr="003D5A6B" w:rsidRDefault="003D5A6B" w:rsidP="00F1408E">
            <w:pPr>
              <w:pStyle w:val="CDIFigure-Table-BodyTextLeft"/>
            </w:pPr>
          </w:p>
        </w:tc>
        <w:tc>
          <w:tcPr>
            <w:tcW w:w="1509" w:type="dxa"/>
            <w:tcBorders>
              <w:bottom w:val="single" w:sz="6" w:space="0" w:color="033636" w:themeColor="text2"/>
            </w:tcBorders>
            <w:tcMar>
              <w:top w:w="85" w:type="dxa"/>
              <w:left w:w="113" w:type="dxa"/>
              <w:bottom w:w="85" w:type="dxa"/>
              <w:right w:w="113" w:type="dxa"/>
            </w:tcMar>
            <w:vAlign w:val="center"/>
          </w:tcPr>
          <w:p w14:paraId="69BF29BB" w14:textId="77777777" w:rsidR="003D5A6B" w:rsidRPr="00F1408E" w:rsidRDefault="003D5A6B" w:rsidP="00F1408E">
            <w:pPr>
              <w:pStyle w:val="CDIFigure-Table-BodyTextCentre"/>
              <w:rPr>
                <w:b/>
                <w:bCs/>
              </w:rPr>
            </w:pPr>
            <w:r w:rsidRPr="00F1408E">
              <w:rPr>
                <w:b/>
                <w:bCs/>
              </w:rPr>
              <w:t>Overall</w:t>
            </w:r>
          </w:p>
        </w:tc>
        <w:tc>
          <w:tcPr>
            <w:tcW w:w="1510" w:type="dxa"/>
            <w:tcBorders>
              <w:bottom w:val="single" w:sz="6" w:space="0" w:color="033636" w:themeColor="text2"/>
            </w:tcBorders>
            <w:tcMar>
              <w:top w:w="85" w:type="dxa"/>
              <w:left w:w="113" w:type="dxa"/>
              <w:bottom w:w="85" w:type="dxa"/>
              <w:right w:w="113" w:type="dxa"/>
            </w:tcMar>
            <w:vAlign w:val="center"/>
          </w:tcPr>
          <w:p w14:paraId="65B0E1EB" w14:textId="77777777" w:rsidR="003D5A6B" w:rsidRPr="00F1408E" w:rsidRDefault="003D5A6B" w:rsidP="00F1408E">
            <w:pPr>
              <w:pStyle w:val="CDIFigure-Table-BodyTextCentre"/>
              <w:rPr>
                <w:b/>
                <w:bCs/>
              </w:rPr>
            </w:pPr>
            <w:r w:rsidRPr="00F1408E">
              <w:rPr>
                <w:b/>
                <w:bCs/>
              </w:rPr>
              <w:t>74.9</w:t>
            </w:r>
          </w:p>
        </w:tc>
        <w:tc>
          <w:tcPr>
            <w:tcW w:w="1509" w:type="dxa"/>
            <w:tcBorders>
              <w:bottom w:val="single" w:sz="6" w:space="0" w:color="033636" w:themeColor="text2"/>
            </w:tcBorders>
            <w:tcMar>
              <w:top w:w="85" w:type="dxa"/>
              <w:left w:w="113" w:type="dxa"/>
              <w:bottom w:w="85" w:type="dxa"/>
              <w:right w:w="113" w:type="dxa"/>
            </w:tcMar>
            <w:vAlign w:val="center"/>
          </w:tcPr>
          <w:p w14:paraId="4DD7DF4B" w14:textId="77777777" w:rsidR="003D5A6B" w:rsidRPr="00F1408E" w:rsidRDefault="003D5A6B" w:rsidP="00F1408E">
            <w:pPr>
              <w:pStyle w:val="CDIFigure-Table-BodyTextCentre"/>
              <w:rPr>
                <w:b/>
                <w:bCs/>
              </w:rPr>
            </w:pPr>
            <w:r w:rsidRPr="00F1408E">
              <w:rPr>
                <w:b/>
                <w:bCs/>
              </w:rPr>
              <w:t>16.2</w:t>
            </w:r>
          </w:p>
        </w:tc>
        <w:tc>
          <w:tcPr>
            <w:tcW w:w="1510" w:type="dxa"/>
            <w:tcBorders>
              <w:bottom w:val="single" w:sz="6" w:space="0" w:color="033636" w:themeColor="text2"/>
            </w:tcBorders>
            <w:tcMar>
              <w:top w:w="85" w:type="dxa"/>
              <w:left w:w="113" w:type="dxa"/>
              <w:bottom w:w="85" w:type="dxa"/>
              <w:right w:w="113" w:type="dxa"/>
            </w:tcMar>
            <w:vAlign w:val="center"/>
          </w:tcPr>
          <w:p w14:paraId="6D9E21CD" w14:textId="77777777" w:rsidR="003D5A6B" w:rsidRPr="00F1408E" w:rsidRDefault="003D5A6B" w:rsidP="00F1408E">
            <w:pPr>
              <w:pStyle w:val="CDIFigure-Table-BodyTextCentre"/>
              <w:rPr>
                <w:b/>
                <w:bCs/>
              </w:rPr>
            </w:pPr>
            <w:r w:rsidRPr="00F1408E">
              <w:rPr>
                <w:b/>
                <w:bCs/>
              </w:rPr>
              <w:t>0.5</w:t>
            </w:r>
          </w:p>
        </w:tc>
        <w:tc>
          <w:tcPr>
            <w:tcW w:w="1509" w:type="dxa"/>
            <w:tcBorders>
              <w:bottom w:val="single" w:sz="6" w:space="0" w:color="033636" w:themeColor="text2"/>
            </w:tcBorders>
            <w:tcMar>
              <w:top w:w="85" w:type="dxa"/>
              <w:left w:w="113" w:type="dxa"/>
              <w:bottom w:w="85" w:type="dxa"/>
              <w:right w:w="113" w:type="dxa"/>
            </w:tcMar>
            <w:vAlign w:val="center"/>
          </w:tcPr>
          <w:p w14:paraId="6683A257" w14:textId="77777777" w:rsidR="003D5A6B" w:rsidRPr="00F1408E" w:rsidRDefault="003D5A6B" w:rsidP="00F1408E">
            <w:pPr>
              <w:pStyle w:val="CDIFigure-Table-BodyTextCentre"/>
              <w:rPr>
                <w:b/>
                <w:bCs/>
              </w:rPr>
            </w:pPr>
            <w:r w:rsidRPr="00F1408E">
              <w:rPr>
                <w:b/>
                <w:bCs/>
              </w:rPr>
              <w:t>0.22</w:t>
            </w:r>
          </w:p>
        </w:tc>
        <w:tc>
          <w:tcPr>
            <w:tcW w:w="1509" w:type="dxa"/>
            <w:tcBorders>
              <w:bottom w:val="single" w:sz="6" w:space="0" w:color="033636" w:themeColor="text2"/>
            </w:tcBorders>
            <w:tcMar>
              <w:top w:w="85" w:type="dxa"/>
              <w:left w:w="113" w:type="dxa"/>
              <w:bottom w:w="85" w:type="dxa"/>
              <w:right w:w="113" w:type="dxa"/>
            </w:tcMar>
            <w:vAlign w:val="center"/>
          </w:tcPr>
          <w:p w14:paraId="62F7E0F5" w14:textId="77777777" w:rsidR="003D5A6B" w:rsidRPr="00F1408E" w:rsidRDefault="003D5A6B" w:rsidP="00F1408E">
            <w:pPr>
              <w:pStyle w:val="CDIFigure-Table-BodyTextCentre"/>
              <w:rPr>
                <w:b/>
                <w:bCs/>
              </w:rPr>
            </w:pPr>
            <w:r w:rsidRPr="00F1408E">
              <w:rPr>
                <w:b/>
                <w:bCs/>
              </w:rPr>
              <w:t xml:space="preserve"> 0.20–0.23</w:t>
            </w:r>
          </w:p>
        </w:tc>
        <w:tc>
          <w:tcPr>
            <w:tcW w:w="1510" w:type="dxa"/>
            <w:tcBorders>
              <w:bottom w:val="single" w:sz="6" w:space="0" w:color="033636" w:themeColor="text2"/>
            </w:tcBorders>
            <w:tcMar>
              <w:top w:w="85" w:type="dxa"/>
              <w:left w:w="113" w:type="dxa"/>
              <w:bottom w:w="85" w:type="dxa"/>
              <w:right w:w="113" w:type="dxa"/>
            </w:tcMar>
            <w:vAlign w:val="center"/>
          </w:tcPr>
          <w:p w14:paraId="5A7E12C9" w14:textId="77777777" w:rsidR="003D5A6B" w:rsidRPr="00F1408E" w:rsidRDefault="003D5A6B" w:rsidP="00F1408E">
            <w:pPr>
              <w:pStyle w:val="CDIFigure-Table-BodyTextCentre"/>
              <w:rPr>
                <w:b/>
                <w:bCs/>
              </w:rPr>
            </w:pPr>
            <w:r w:rsidRPr="00F1408E">
              <w:rPr>
                <w:b/>
                <w:bCs/>
              </w:rPr>
              <w:t>0.01</w:t>
            </w:r>
          </w:p>
        </w:tc>
        <w:tc>
          <w:tcPr>
            <w:tcW w:w="1509" w:type="dxa"/>
            <w:tcBorders>
              <w:bottom w:val="single" w:sz="6" w:space="0" w:color="033636" w:themeColor="text2"/>
            </w:tcBorders>
            <w:tcMar>
              <w:top w:w="85" w:type="dxa"/>
              <w:left w:w="113" w:type="dxa"/>
              <w:bottom w:w="85" w:type="dxa"/>
              <w:right w:w="113" w:type="dxa"/>
            </w:tcMar>
            <w:vAlign w:val="center"/>
          </w:tcPr>
          <w:p w14:paraId="31A3858F" w14:textId="77777777" w:rsidR="003D5A6B" w:rsidRPr="00F1408E" w:rsidRDefault="003D5A6B" w:rsidP="00F1408E">
            <w:pPr>
              <w:pStyle w:val="CDIFigure-Table-BodyTextCentre"/>
              <w:rPr>
                <w:b/>
                <w:bCs/>
              </w:rPr>
            </w:pPr>
            <w:r w:rsidRPr="00F1408E">
              <w:rPr>
                <w:b/>
                <w:bCs/>
              </w:rPr>
              <w:t xml:space="preserve"> 0.00–0.01</w:t>
            </w:r>
          </w:p>
        </w:tc>
      </w:tr>
      <w:tr w:rsidR="006A4AE7" w:rsidRPr="003D5A6B" w14:paraId="4AC5C092" w14:textId="77777777" w:rsidTr="00F1408E">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76DD9BAB" w14:textId="77777777" w:rsidR="003D5A6B" w:rsidRPr="003D5A6B" w:rsidRDefault="003D5A6B" w:rsidP="00F1408E">
            <w:pPr>
              <w:pStyle w:val="CDIFigure-Table-BodyTextLeft"/>
            </w:pPr>
            <w:r w:rsidRPr="003D5A6B">
              <w:t>Northern Territory</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2EA9F133" w14:textId="77777777" w:rsidR="003D5A6B" w:rsidRPr="003D5A6B" w:rsidRDefault="003D5A6B" w:rsidP="00F1408E">
            <w:pPr>
              <w:pStyle w:val="CDIFigure-Table-BodyTextCentre"/>
            </w:pPr>
            <w:r w:rsidRPr="003D5A6B">
              <w:t>0–4</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4896F197" w14:textId="77777777" w:rsidR="003D5A6B" w:rsidRPr="003D5A6B" w:rsidRDefault="003D5A6B" w:rsidP="00F1408E">
            <w:pPr>
              <w:pStyle w:val="CDIFigure-Table-BodyTextCentre"/>
            </w:pPr>
            <w:r w:rsidRPr="003D5A6B">
              <w:t>75.7</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61BF134F" w14:textId="77777777" w:rsidR="003D5A6B" w:rsidRPr="003D5A6B" w:rsidRDefault="003D5A6B" w:rsidP="00F1408E">
            <w:pPr>
              <w:pStyle w:val="CDIFigure-Table-BodyTextCentre"/>
            </w:pPr>
            <w:r w:rsidRPr="003D5A6B">
              <w:t>5.6</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7A54954A" w14:textId="77777777" w:rsidR="003D5A6B" w:rsidRPr="003D5A6B" w:rsidRDefault="003D5A6B" w:rsidP="00F1408E">
            <w:pPr>
              <w:pStyle w:val="CDIFigure-Table-BodyTextCentre"/>
            </w:pPr>
            <w:r w:rsidRPr="003D5A6B">
              <w:t>5.7</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19F01EB0" w14:textId="77777777" w:rsidR="003D5A6B" w:rsidRPr="003D5A6B" w:rsidRDefault="003D5A6B" w:rsidP="00F1408E">
            <w:pPr>
              <w:pStyle w:val="CDIFigure-Table-BodyTextCentre"/>
            </w:pPr>
            <w:r w:rsidRPr="003D5A6B">
              <w:t>0.07</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2BD60182" w14:textId="77777777" w:rsidR="003D5A6B" w:rsidRPr="003D5A6B" w:rsidRDefault="003D5A6B" w:rsidP="00F1408E">
            <w:pPr>
              <w:pStyle w:val="CDIFigure-Table-BodyTextCentre"/>
            </w:pPr>
            <w:r w:rsidRPr="003D5A6B">
              <w:t xml:space="preserve"> 0.00–0.49</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4C049B36" w14:textId="77777777" w:rsidR="003D5A6B" w:rsidRPr="003D5A6B" w:rsidRDefault="003D5A6B" w:rsidP="00F1408E">
            <w:pPr>
              <w:pStyle w:val="CDIFigure-Table-BodyTextCentre"/>
            </w:pPr>
            <w:r w:rsidRPr="003D5A6B">
              <w:t>0.08</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67C34F4A" w14:textId="77777777" w:rsidR="003D5A6B" w:rsidRPr="003D5A6B" w:rsidRDefault="003D5A6B" w:rsidP="00F1408E">
            <w:pPr>
              <w:pStyle w:val="CDIFigure-Table-BodyTextCentre"/>
            </w:pPr>
            <w:r w:rsidRPr="003D5A6B">
              <w:t xml:space="preserve"> 0.00–0.50</w:t>
            </w:r>
          </w:p>
        </w:tc>
      </w:tr>
      <w:tr w:rsidR="003D5A6B" w:rsidRPr="003D5A6B" w14:paraId="0B2CE815"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1F797017" w14:textId="77777777" w:rsidR="003D5A6B" w:rsidRPr="003D5A6B" w:rsidRDefault="003D5A6B" w:rsidP="003D5A6B"/>
        </w:tc>
        <w:tc>
          <w:tcPr>
            <w:tcW w:w="1509" w:type="dxa"/>
            <w:tcMar>
              <w:top w:w="85" w:type="dxa"/>
              <w:left w:w="113" w:type="dxa"/>
              <w:bottom w:w="85" w:type="dxa"/>
              <w:right w:w="113" w:type="dxa"/>
            </w:tcMar>
            <w:vAlign w:val="center"/>
          </w:tcPr>
          <w:p w14:paraId="10CDEE09" w14:textId="77777777" w:rsidR="003D5A6B" w:rsidRPr="003D5A6B" w:rsidRDefault="003D5A6B" w:rsidP="00F1408E">
            <w:pPr>
              <w:pStyle w:val="CDIFigure-Table-BodyTextCentre"/>
            </w:pPr>
            <w:r w:rsidRPr="003D5A6B">
              <w:t>5–14</w:t>
            </w:r>
          </w:p>
        </w:tc>
        <w:tc>
          <w:tcPr>
            <w:tcW w:w="1510" w:type="dxa"/>
            <w:tcMar>
              <w:top w:w="85" w:type="dxa"/>
              <w:left w:w="113" w:type="dxa"/>
              <w:bottom w:w="85" w:type="dxa"/>
              <w:right w:w="113" w:type="dxa"/>
            </w:tcMar>
            <w:vAlign w:val="center"/>
          </w:tcPr>
          <w:p w14:paraId="47319447" w14:textId="77777777" w:rsidR="003D5A6B" w:rsidRPr="003D5A6B" w:rsidRDefault="003D5A6B" w:rsidP="00F1408E">
            <w:pPr>
              <w:pStyle w:val="CDIFigure-Table-BodyTextCentre"/>
            </w:pPr>
            <w:r w:rsidRPr="003D5A6B">
              <w:t>47.9</w:t>
            </w:r>
          </w:p>
        </w:tc>
        <w:tc>
          <w:tcPr>
            <w:tcW w:w="1509" w:type="dxa"/>
            <w:tcMar>
              <w:top w:w="85" w:type="dxa"/>
              <w:left w:w="113" w:type="dxa"/>
              <w:bottom w:w="85" w:type="dxa"/>
              <w:right w:w="113" w:type="dxa"/>
            </w:tcMar>
            <w:vAlign w:val="center"/>
          </w:tcPr>
          <w:p w14:paraId="54124CCC" w14:textId="77777777" w:rsidR="003D5A6B" w:rsidRPr="003D5A6B" w:rsidRDefault="003D5A6B" w:rsidP="00F1408E">
            <w:pPr>
              <w:pStyle w:val="CDIFigure-Table-BodyTextCentre"/>
            </w:pPr>
            <w:r w:rsidRPr="003D5A6B">
              <w:t>22.9</w:t>
            </w:r>
          </w:p>
        </w:tc>
        <w:tc>
          <w:tcPr>
            <w:tcW w:w="1510" w:type="dxa"/>
            <w:tcMar>
              <w:top w:w="85" w:type="dxa"/>
              <w:left w:w="113" w:type="dxa"/>
              <w:bottom w:w="85" w:type="dxa"/>
              <w:right w:w="113" w:type="dxa"/>
            </w:tcMar>
            <w:vAlign w:val="center"/>
          </w:tcPr>
          <w:p w14:paraId="5D190241" w14:textId="77777777" w:rsidR="003D5A6B" w:rsidRPr="003D5A6B" w:rsidRDefault="003D5A6B" w:rsidP="00F1408E">
            <w:pPr>
              <w:pStyle w:val="CDIFigure-Table-BodyTextCentre"/>
            </w:pPr>
            <w:r w:rsidRPr="003D5A6B">
              <w:t>0.0</w:t>
            </w:r>
          </w:p>
        </w:tc>
        <w:tc>
          <w:tcPr>
            <w:tcW w:w="1509" w:type="dxa"/>
            <w:tcMar>
              <w:top w:w="85" w:type="dxa"/>
              <w:left w:w="113" w:type="dxa"/>
              <w:bottom w:w="85" w:type="dxa"/>
              <w:right w:w="113" w:type="dxa"/>
            </w:tcMar>
            <w:vAlign w:val="center"/>
          </w:tcPr>
          <w:p w14:paraId="237850C8" w14:textId="77777777" w:rsidR="003D5A6B" w:rsidRPr="003D5A6B" w:rsidRDefault="003D5A6B" w:rsidP="00F1408E">
            <w:pPr>
              <w:pStyle w:val="CDIFigure-Table-BodyTextCentre"/>
            </w:pPr>
            <w:r w:rsidRPr="003D5A6B">
              <w:t>0.47</w:t>
            </w:r>
          </w:p>
        </w:tc>
        <w:tc>
          <w:tcPr>
            <w:tcW w:w="1509" w:type="dxa"/>
            <w:tcMar>
              <w:top w:w="85" w:type="dxa"/>
              <w:left w:w="113" w:type="dxa"/>
              <w:bottom w:w="85" w:type="dxa"/>
              <w:right w:w="113" w:type="dxa"/>
            </w:tcMar>
            <w:vAlign w:val="center"/>
          </w:tcPr>
          <w:p w14:paraId="59BFC1FA" w14:textId="77777777" w:rsidR="003D5A6B" w:rsidRPr="003D5A6B" w:rsidRDefault="003D5A6B" w:rsidP="00F1408E">
            <w:pPr>
              <w:pStyle w:val="CDIFigure-Table-BodyTextCentre"/>
            </w:pPr>
            <w:r w:rsidRPr="003D5A6B">
              <w:t xml:space="preserve"> 0.17–1.14</w:t>
            </w:r>
          </w:p>
        </w:tc>
        <w:tc>
          <w:tcPr>
            <w:tcW w:w="1510" w:type="dxa"/>
            <w:tcMar>
              <w:top w:w="85" w:type="dxa"/>
              <w:left w:w="113" w:type="dxa"/>
              <w:bottom w:w="85" w:type="dxa"/>
              <w:right w:w="113" w:type="dxa"/>
            </w:tcMar>
            <w:vAlign w:val="center"/>
          </w:tcPr>
          <w:p w14:paraId="2C816BF0" w14:textId="77777777" w:rsidR="003D5A6B" w:rsidRPr="003D5A6B" w:rsidRDefault="003D5A6B" w:rsidP="00F1408E">
            <w:pPr>
              <w:pStyle w:val="CDIFigure-Table-BodyTextCentre"/>
            </w:pPr>
            <w:r w:rsidRPr="003D5A6B">
              <w:t>&lt;0.001</w:t>
            </w:r>
          </w:p>
        </w:tc>
        <w:tc>
          <w:tcPr>
            <w:tcW w:w="1509" w:type="dxa"/>
            <w:tcMar>
              <w:top w:w="85" w:type="dxa"/>
              <w:left w:w="113" w:type="dxa"/>
              <w:bottom w:w="85" w:type="dxa"/>
              <w:right w:w="113" w:type="dxa"/>
            </w:tcMar>
            <w:vAlign w:val="center"/>
          </w:tcPr>
          <w:p w14:paraId="7C16A10A" w14:textId="77777777" w:rsidR="003D5A6B" w:rsidRPr="003D5A6B" w:rsidRDefault="003D5A6B" w:rsidP="00F1408E">
            <w:pPr>
              <w:pStyle w:val="CDIFigure-Table-BodyTextCentre"/>
            </w:pPr>
            <w:r w:rsidRPr="003D5A6B">
              <w:t xml:space="preserve"> 0.00 –0.24</w:t>
            </w:r>
          </w:p>
        </w:tc>
      </w:tr>
      <w:tr w:rsidR="003D5A6B" w:rsidRPr="003D5A6B" w14:paraId="1C4E6AF0"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54D03363" w14:textId="77777777" w:rsidR="003D5A6B" w:rsidRPr="003D5A6B" w:rsidRDefault="003D5A6B" w:rsidP="003D5A6B"/>
        </w:tc>
        <w:tc>
          <w:tcPr>
            <w:tcW w:w="1509" w:type="dxa"/>
            <w:shd w:val="clear" w:color="auto" w:fill="F2F2F2" w:themeFill="background1" w:themeFillShade="F2"/>
            <w:tcMar>
              <w:top w:w="85" w:type="dxa"/>
              <w:left w:w="113" w:type="dxa"/>
              <w:bottom w:w="85" w:type="dxa"/>
              <w:right w:w="113" w:type="dxa"/>
            </w:tcMar>
            <w:vAlign w:val="center"/>
          </w:tcPr>
          <w:p w14:paraId="52503AED" w14:textId="77777777" w:rsidR="003D5A6B" w:rsidRPr="003D5A6B" w:rsidRDefault="003D5A6B" w:rsidP="00F1408E">
            <w:pPr>
              <w:pStyle w:val="CDIFigure-Table-BodyTextCentre"/>
            </w:pPr>
            <w:r w:rsidRPr="003D5A6B">
              <w:t>15–24</w:t>
            </w:r>
          </w:p>
        </w:tc>
        <w:tc>
          <w:tcPr>
            <w:tcW w:w="1510" w:type="dxa"/>
            <w:shd w:val="clear" w:color="auto" w:fill="F2F2F2" w:themeFill="background1" w:themeFillShade="F2"/>
            <w:tcMar>
              <w:top w:w="85" w:type="dxa"/>
              <w:left w:w="113" w:type="dxa"/>
              <w:bottom w:w="85" w:type="dxa"/>
              <w:right w:w="113" w:type="dxa"/>
            </w:tcMar>
            <w:vAlign w:val="center"/>
          </w:tcPr>
          <w:p w14:paraId="6AF16764" w14:textId="77777777" w:rsidR="003D5A6B" w:rsidRPr="003D5A6B" w:rsidRDefault="003D5A6B" w:rsidP="00F1408E">
            <w:pPr>
              <w:pStyle w:val="CDIFigure-Table-BodyTextCentre"/>
            </w:pPr>
            <w:r w:rsidRPr="003D5A6B">
              <w:t>20.9</w:t>
            </w:r>
          </w:p>
        </w:tc>
        <w:tc>
          <w:tcPr>
            <w:tcW w:w="1509" w:type="dxa"/>
            <w:shd w:val="clear" w:color="auto" w:fill="F2F2F2" w:themeFill="background1" w:themeFillShade="F2"/>
            <w:tcMar>
              <w:top w:w="85" w:type="dxa"/>
              <w:left w:w="113" w:type="dxa"/>
              <w:bottom w:w="85" w:type="dxa"/>
              <w:right w:w="113" w:type="dxa"/>
            </w:tcMar>
            <w:vAlign w:val="center"/>
          </w:tcPr>
          <w:p w14:paraId="4A186A9A" w14:textId="77777777" w:rsidR="003D5A6B" w:rsidRPr="003D5A6B" w:rsidRDefault="003D5A6B" w:rsidP="00F1408E">
            <w:pPr>
              <w:pStyle w:val="CDIFigure-Table-BodyTextCentre"/>
            </w:pPr>
            <w:r w:rsidRPr="003D5A6B">
              <w:t>6.1</w:t>
            </w:r>
          </w:p>
        </w:tc>
        <w:tc>
          <w:tcPr>
            <w:tcW w:w="1510" w:type="dxa"/>
            <w:shd w:val="clear" w:color="auto" w:fill="F2F2F2" w:themeFill="background1" w:themeFillShade="F2"/>
            <w:tcMar>
              <w:top w:w="85" w:type="dxa"/>
              <w:left w:w="113" w:type="dxa"/>
              <w:bottom w:w="85" w:type="dxa"/>
              <w:right w:w="113" w:type="dxa"/>
            </w:tcMar>
            <w:vAlign w:val="center"/>
          </w:tcPr>
          <w:p w14:paraId="25BE78C7" w14:textId="77777777" w:rsidR="003D5A6B" w:rsidRPr="003D5A6B" w:rsidRDefault="003D5A6B" w:rsidP="00F1408E">
            <w:pPr>
              <w:pStyle w:val="CDIFigure-Table-BodyTextCentre"/>
            </w:pPr>
            <w:r w:rsidRPr="003D5A6B">
              <w:t>0.0</w:t>
            </w:r>
          </w:p>
        </w:tc>
        <w:tc>
          <w:tcPr>
            <w:tcW w:w="1509" w:type="dxa"/>
            <w:shd w:val="clear" w:color="auto" w:fill="F2F2F2" w:themeFill="background1" w:themeFillShade="F2"/>
            <w:tcMar>
              <w:top w:w="85" w:type="dxa"/>
              <w:left w:w="113" w:type="dxa"/>
              <w:bottom w:w="85" w:type="dxa"/>
              <w:right w:w="113" w:type="dxa"/>
            </w:tcMar>
            <w:vAlign w:val="center"/>
          </w:tcPr>
          <w:p w14:paraId="172C342D" w14:textId="77777777" w:rsidR="003D5A6B" w:rsidRPr="003D5A6B" w:rsidRDefault="003D5A6B" w:rsidP="00F1408E">
            <w:pPr>
              <w:pStyle w:val="CDIFigure-Table-BodyTextCentre"/>
            </w:pPr>
            <w:r w:rsidRPr="003D5A6B">
              <w:t>0.29</w:t>
            </w:r>
          </w:p>
        </w:tc>
        <w:tc>
          <w:tcPr>
            <w:tcW w:w="1509" w:type="dxa"/>
            <w:shd w:val="clear" w:color="auto" w:fill="F2F2F2" w:themeFill="background1" w:themeFillShade="F2"/>
            <w:tcMar>
              <w:top w:w="85" w:type="dxa"/>
              <w:left w:w="113" w:type="dxa"/>
              <w:bottom w:w="85" w:type="dxa"/>
              <w:right w:w="113" w:type="dxa"/>
            </w:tcMar>
            <w:vAlign w:val="center"/>
          </w:tcPr>
          <w:p w14:paraId="15DA5993" w14:textId="77777777" w:rsidR="003D5A6B" w:rsidRPr="003D5A6B" w:rsidRDefault="003D5A6B" w:rsidP="00F1408E">
            <w:pPr>
              <w:pStyle w:val="CDIFigure-Table-BodyTextCentre"/>
            </w:pPr>
            <w:r w:rsidRPr="003D5A6B">
              <w:t xml:space="preserve"> 0.03–1.53</w:t>
            </w:r>
          </w:p>
        </w:tc>
        <w:tc>
          <w:tcPr>
            <w:tcW w:w="1510" w:type="dxa"/>
            <w:shd w:val="clear" w:color="auto" w:fill="F2F2F2" w:themeFill="background1" w:themeFillShade="F2"/>
            <w:tcMar>
              <w:top w:w="85" w:type="dxa"/>
              <w:left w:w="113" w:type="dxa"/>
              <w:bottom w:w="85" w:type="dxa"/>
              <w:right w:w="113" w:type="dxa"/>
            </w:tcMar>
            <w:vAlign w:val="center"/>
          </w:tcPr>
          <w:p w14:paraId="74AB0ADB" w14:textId="77777777" w:rsidR="003D5A6B" w:rsidRPr="003D5A6B" w:rsidRDefault="003D5A6B" w:rsidP="00F1408E">
            <w:pPr>
              <w:pStyle w:val="CDIFigure-Table-BodyTextCentre"/>
            </w:pPr>
            <w:r w:rsidRPr="003D5A6B">
              <w:t>&lt;0.001</w:t>
            </w:r>
          </w:p>
        </w:tc>
        <w:tc>
          <w:tcPr>
            <w:tcW w:w="1509" w:type="dxa"/>
            <w:shd w:val="clear" w:color="auto" w:fill="F2F2F2" w:themeFill="background1" w:themeFillShade="F2"/>
            <w:tcMar>
              <w:top w:w="85" w:type="dxa"/>
              <w:left w:w="113" w:type="dxa"/>
              <w:bottom w:w="85" w:type="dxa"/>
              <w:right w:w="113" w:type="dxa"/>
            </w:tcMar>
            <w:vAlign w:val="center"/>
          </w:tcPr>
          <w:p w14:paraId="60CC6513" w14:textId="77777777" w:rsidR="003D5A6B" w:rsidRPr="003D5A6B" w:rsidRDefault="003D5A6B" w:rsidP="00F1408E">
            <w:pPr>
              <w:pStyle w:val="CDIFigure-Table-BodyTextCentre"/>
            </w:pPr>
            <w:r w:rsidRPr="003D5A6B">
              <w:t xml:space="preserve"> 0.00–0.72</w:t>
            </w:r>
          </w:p>
        </w:tc>
      </w:tr>
      <w:tr w:rsidR="003D5A6B" w:rsidRPr="003D5A6B" w14:paraId="6B61A98F"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07693549" w14:textId="77777777" w:rsidR="003D5A6B" w:rsidRPr="003D5A6B" w:rsidRDefault="003D5A6B" w:rsidP="003D5A6B"/>
        </w:tc>
        <w:tc>
          <w:tcPr>
            <w:tcW w:w="1509" w:type="dxa"/>
            <w:tcMar>
              <w:top w:w="85" w:type="dxa"/>
              <w:left w:w="113" w:type="dxa"/>
              <w:bottom w:w="85" w:type="dxa"/>
              <w:right w:w="113" w:type="dxa"/>
            </w:tcMar>
            <w:vAlign w:val="center"/>
          </w:tcPr>
          <w:p w14:paraId="6A2DD88E" w14:textId="77777777" w:rsidR="003D5A6B" w:rsidRPr="003D5A6B" w:rsidRDefault="003D5A6B" w:rsidP="00F1408E">
            <w:pPr>
              <w:pStyle w:val="CDIFigure-Table-BodyTextCentre"/>
            </w:pPr>
            <w:r w:rsidRPr="003D5A6B">
              <w:t>25–69</w:t>
            </w:r>
          </w:p>
        </w:tc>
        <w:tc>
          <w:tcPr>
            <w:tcW w:w="1510" w:type="dxa"/>
            <w:tcMar>
              <w:top w:w="85" w:type="dxa"/>
              <w:left w:w="113" w:type="dxa"/>
              <w:bottom w:w="85" w:type="dxa"/>
              <w:right w:w="113" w:type="dxa"/>
            </w:tcMar>
            <w:vAlign w:val="center"/>
          </w:tcPr>
          <w:p w14:paraId="7BD9B1C6" w14:textId="77777777" w:rsidR="003D5A6B" w:rsidRPr="003D5A6B" w:rsidRDefault="003D5A6B" w:rsidP="00F1408E">
            <w:pPr>
              <w:pStyle w:val="CDIFigure-Table-BodyTextCentre"/>
            </w:pPr>
            <w:r w:rsidRPr="003D5A6B">
              <w:t>21.0</w:t>
            </w:r>
          </w:p>
        </w:tc>
        <w:tc>
          <w:tcPr>
            <w:tcW w:w="1509" w:type="dxa"/>
            <w:tcMar>
              <w:top w:w="85" w:type="dxa"/>
              <w:left w:w="113" w:type="dxa"/>
              <w:bottom w:w="85" w:type="dxa"/>
              <w:right w:w="113" w:type="dxa"/>
            </w:tcMar>
            <w:vAlign w:val="center"/>
          </w:tcPr>
          <w:p w14:paraId="6985F23D" w14:textId="77777777" w:rsidR="003D5A6B" w:rsidRPr="003D5A6B" w:rsidRDefault="003D5A6B" w:rsidP="00F1408E">
            <w:pPr>
              <w:pStyle w:val="CDIFigure-Table-BodyTextCentre"/>
            </w:pPr>
            <w:r w:rsidRPr="003D5A6B">
              <w:t>2.6</w:t>
            </w:r>
          </w:p>
        </w:tc>
        <w:tc>
          <w:tcPr>
            <w:tcW w:w="1510" w:type="dxa"/>
            <w:tcMar>
              <w:top w:w="85" w:type="dxa"/>
              <w:left w:w="113" w:type="dxa"/>
              <w:bottom w:w="85" w:type="dxa"/>
              <w:right w:w="113" w:type="dxa"/>
            </w:tcMar>
            <w:vAlign w:val="center"/>
          </w:tcPr>
          <w:p w14:paraId="52AAEAFF" w14:textId="77777777" w:rsidR="003D5A6B" w:rsidRPr="003D5A6B" w:rsidRDefault="003D5A6B" w:rsidP="00F1408E">
            <w:pPr>
              <w:pStyle w:val="CDIFigure-Table-BodyTextCentre"/>
            </w:pPr>
            <w:r w:rsidRPr="003D5A6B">
              <w:t>2.0</w:t>
            </w:r>
          </w:p>
        </w:tc>
        <w:tc>
          <w:tcPr>
            <w:tcW w:w="1509" w:type="dxa"/>
            <w:tcMar>
              <w:top w:w="85" w:type="dxa"/>
              <w:left w:w="113" w:type="dxa"/>
              <w:bottom w:w="85" w:type="dxa"/>
              <w:right w:w="113" w:type="dxa"/>
            </w:tcMar>
            <w:vAlign w:val="center"/>
          </w:tcPr>
          <w:p w14:paraId="02061481" w14:textId="77777777" w:rsidR="003D5A6B" w:rsidRPr="003D5A6B" w:rsidRDefault="003D5A6B" w:rsidP="00F1408E">
            <w:pPr>
              <w:pStyle w:val="CDIFigure-Table-BodyTextCentre"/>
            </w:pPr>
            <w:r w:rsidRPr="003D5A6B">
              <w:t>0.13</w:t>
            </w:r>
          </w:p>
        </w:tc>
        <w:tc>
          <w:tcPr>
            <w:tcW w:w="1509" w:type="dxa"/>
            <w:tcMar>
              <w:top w:w="85" w:type="dxa"/>
              <w:left w:w="113" w:type="dxa"/>
              <w:bottom w:w="85" w:type="dxa"/>
              <w:right w:w="113" w:type="dxa"/>
            </w:tcMar>
            <w:vAlign w:val="center"/>
          </w:tcPr>
          <w:p w14:paraId="3E4D4080" w14:textId="77777777" w:rsidR="003D5A6B" w:rsidRPr="003D5A6B" w:rsidRDefault="003D5A6B" w:rsidP="00F1408E">
            <w:pPr>
              <w:pStyle w:val="CDIFigure-Table-BodyTextCentre"/>
            </w:pPr>
            <w:r w:rsidRPr="003D5A6B">
              <w:t xml:space="preserve"> 0.03–0.35</w:t>
            </w:r>
          </w:p>
        </w:tc>
        <w:tc>
          <w:tcPr>
            <w:tcW w:w="1510" w:type="dxa"/>
            <w:tcMar>
              <w:top w:w="85" w:type="dxa"/>
              <w:left w:w="113" w:type="dxa"/>
              <w:bottom w:w="85" w:type="dxa"/>
              <w:right w:w="113" w:type="dxa"/>
            </w:tcMar>
            <w:vAlign w:val="center"/>
          </w:tcPr>
          <w:p w14:paraId="34B04BB7" w14:textId="77777777" w:rsidR="003D5A6B" w:rsidRPr="003D5A6B" w:rsidRDefault="003D5A6B" w:rsidP="00F1408E">
            <w:pPr>
              <w:pStyle w:val="CDIFigure-Table-BodyTextCentre"/>
            </w:pPr>
            <w:r w:rsidRPr="003D5A6B">
              <w:t>0.09</w:t>
            </w:r>
          </w:p>
        </w:tc>
        <w:tc>
          <w:tcPr>
            <w:tcW w:w="1509" w:type="dxa"/>
            <w:tcMar>
              <w:top w:w="85" w:type="dxa"/>
              <w:left w:w="113" w:type="dxa"/>
              <w:bottom w:w="85" w:type="dxa"/>
              <w:right w:w="113" w:type="dxa"/>
            </w:tcMar>
            <w:vAlign w:val="center"/>
          </w:tcPr>
          <w:p w14:paraId="6A557475" w14:textId="77777777" w:rsidR="003D5A6B" w:rsidRPr="003D5A6B" w:rsidRDefault="003D5A6B" w:rsidP="00F1408E">
            <w:pPr>
              <w:pStyle w:val="CDIFigure-Table-BodyTextCentre"/>
            </w:pPr>
            <w:r w:rsidRPr="003D5A6B">
              <w:t xml:space="preserve"> 0.02–0.30</w:t>
            </w:r>
          </w:p>
        </w:tc>
      </w:tr>
      <w:tr w:rsidR="006A4AE7" w:rsidRPr="003D5A6B" w14:paraId="21FAA606"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1CB2B2DC" w14:textId="77777777" w:rsidR="003D5A6B" w:rsidRPr="003D5A6B" w:rsidRDefault="003D5A6B" w:rsidP="003D5A6B"/>
        </w:tc>
        <w:tc>
          <w:tcPr>
            <w:tcW w:w="1509" w:type="dxa"/>
            <w:shd w:val="clear" w:color="auto" w:fill="F2F2F2" w:themeFill="background1" w:themeFillShade="F2"/>
            <w:tcMar>
              <w:top w:w="85" w:type="dxa"/>
              <w:left w:w="113" w:type="dxa"/>
              <w:bottom w:w="85" w:type="dxa"/>
              <w:right w:w="113" w:type="dxa"/>
            </w:tcMar>
            <w:vAlign w:val="center"/>
          </w:tcPr>
          <w:p w14:paraId="0E846895" w14:textId="77777777" w:rsidR="003D5A6B" w:rsidRPr="003D5A6B" w:rsidRDefault="003D5A6B" w:rsidP="00F1408E">
            <w:pPr>
              <w:pStyle w:val="CDIFigure-Table-BodyTextCentre"/>
            </w:pPr>
            <w:r w:rsidRPr="003D5A6B">
              <w:t>≥ 70</w:t>
            </w:r>
          </w:p>
        </w:tc>
        <w:tc>
          <w:tcPr>
            <w:tcW w:w="1510" w:type="dxa"/>
            <w:shd w:val="clear" w:color="auto" w:fill="F2F2F2" w:themeFill="background1" w:themeFillShade="F2"/>
            <w:tcMar>
              <w:top w:w="85" w:type="dxa"/>
              <w:left w:w="113" w:type="dxa"/>
              <w:bottom w:w="85" w:type="dxa"/>
              <w:right w:w="113" w:type="dxa"/>
            </w:tcMar>
            <w:vAlign w:val="center"/>
          </w:tcPr>
          <w:p w14:paraId="08ACDA9F" w14:textId="77777777" w:rsidR="003D5A6B" w:rsidRPr="003D5A6B" w:rsidRDefault="003D5A6B" w:rsidP="00F1408E">
            <w:pPr>
              <w:pStyle w:val="CDIFigure-Table-BodyTextCentre"/>
            </w:pPr>
            <w:r w:rsidRPr="003D5A6B">
              <w:t>15.9</w:t>
            </w:r>
          </w:p>
        </w:tc>
        <w:tc>
          <w:tcPr>
            <w:tcW w:w="1509" w:type="dxa"/>
            <w:shd w:val="clear" w:color="auto" w:fill="F2F2F2" w:themeFill="background1" w:themeFillShade="F2"/>
            <w:tcMar>
              <w:top w:w="85" w:type="dxa"/>
              <w:left w:w="113" w:type="dxa"/>
              <w:bottom w:w="85" w:type="dxa"/>
              <w:right w:w="113" w:type="dxa"/>
            </w:tcMar>
            <w:vAlign w:val="center"/>
          </w:tcPr>
          <w:p w14:paraId="6A4BCBF8" w14:textId="77777777" w:rsidR="003D5A6B" w:rsidRPr="003D5A6B" w:rsidRDefault="003D5A6B" w:rsidP="00F1408E">
            <w:pPr>
              <w:pStyle w:val="CDIFigure-Table-BodyTextCentre"/>
            </w:pPr>
            <w:r w:rsidRPr="003D5A6B">
              <w:t>0.0</w:t>
            </w:r>
          </w:p>
        </w:tc>
        <w:tc>
          <w:tcPr>
            <w:tcW w:w="1510" w:type="dxa"/>
            <w:shd w:val="clear" w:color="auto" w:fill="F2F2F2" w:themeFill="background1" w:themeFillShade="F2"/>
            <w:tcMar>
              <w:top w:w="85" w:type="dxa"/>
              <w:left w:w="113" w:type="dxa"/>
              <w:bottom w:w="85" w:type="dxa"/>
              <w:right w:w="113" w:type="dxa"/>
            </w:tcMar>
            <w:vAlign w:val="center"/>
          </w:tcPr>
          <w:p w14:paraId="78DCCA7F" w14:textId="77777777" w:rsidR="003D5A6B" w:rsidRPr="003D5A6B" w:rsidRDefault="003D5A6B" w:rsidP="00F1408E">
            <w:pPr>
              <w:pStyle w:val="CDIFigure-Table-BodyTextCentre"/>
            </w:pPr>
            <w:r w:rsidRPr="003D5A6B">
              <w:t>0.0</w:t>
            </w:r>
          </w:p>
        </w:tc>
        <w:tc>
          <w:tcPr>
            <w:tcW w:w="1509" w:type="dxa"/>
            <w:shd w:val="clear" w:color="auto" w:fill="F2F2F2" w:themeFill="background1" w:themeFillShade="F2"/>
            <w:tcMar>
              <w:top w:w="85" w:type="dxa"/>
              <w:left w:w="113" w:type="dxa"/>
              <w:bottom w:w="85" w:type="dxa"/>
              <w:right w:w="113" w:type="dxa"/>
            </w:tcMar>
            <w:vAlign w:val="center"/>
          </w:tcPr>
          <w:p w14:paraId="49516F6F" w14:textId="77777777" w:rsidR="003D5A6B" w:rsidRPr="003D5A6B" w:rsidRDefault="003D5A6B" w:rsidP="00F1408E">
            <w:pPr>
              <w:pStyle w:val="CDIFigure-Table-BodyTextCentre"/>
            </w:pPr>
            <w:r w:rsidRPr="003D5A6B">
              <w:t>&lt;0.001</w:t>
            </w:r>
          </w:p>
        </w:tc>
        <w:tc>
          <w:tcPr>
            <w:tcW w:w="1509" w:type="dxa"/>
            <w:shd w:val="clear" w:color="auto" w:fill="F2F2F2" w:themeFill="background1" w:themeFillShade="F2"/>
            <w:tcMar>
              <w:top w:w="85" w:type="dxa"/>
              <w:left w:w="113" w:type="dxa"/>
              <w:bottom w:w="85" w:type="dxa"/>
              <w:right w:w="113" w:type="dxa"/>
            </w:tcMar>
            <w:vAlign w:val="center"/>
          </w:tcPr>
          <w:p w14:paraId="542CD48F" w14:textId="77777777" w:rsidR="003D5A6B" w:rsidRPr="003D5A6B" w:rsidRDefault="003D5A6B" w:rsidP="00F1408E">
            <w:pPr>
              <w:pStyle w:val="CDIFigure-Table-BodyTextCentre"/>
            </w:pPr>
            <w:r w:rsidRPr="003D5A6B">
              <w:t xml:space="preserve"> 0.00–4.65</w:t>
            </w:r>
          </w:p>
        </w:tc>
        <w:tc>
          <w:tcPr>
            <w:tcW w:w="1510" w:type="dxa"/>
            <w:shd w:val="clear" w:color="auto" w:fill="F2F2F2" w:themeFill="background1" w:themeFillShade="F2"/>
            <w:tcMar>
              <w:top w:w="85" w:type="dxa"/>
              <w:left w:w="113" w:type="dxa"/>
              <w:bottom w:w="85" w:type="dxa"/>
              <w:right w:w="113" w:type="dxa"/>
            </w:tcMar>
            <w:vAlign w:val="center"/>
          </w:tcPr>
          <w:p w14:paraId="56E3469E" w14:textId="77777777" w:rsidR="003D5A6B" w:rsidRPr="003D5A6B" w:rsidRDefault="003D5A6B" w:rsidP="00F1408E">
            <w:pPr>
              <w:pStyle w:val="CDIFigure-Table-BodyTextCentre"/>
            </w:pPr>
            <w:r w:rsidRPr="003D5A6B">
              <w:t>&lt;0.001</w:t>
            </w:r>
          </w:p>
        </w:tc>
        <w:tc>
          <w:tcPr>
            <w:tcW w:w="1509" w:type="dxa"/>
            <w:shd w:val="clear" w:color="auto" w:fill="F2F2F2" w:themeFill="background1" w:themeFillShade="F2"/>
            <w:tcMar>
              <w:top w:w="85" w:type="dxa"/>
              <w:left w:w="113" w:type="dxa"/>
              <w:bottom w:w="85" w:type="dxa"/>
              <w:right w:w="113" w:type="dxa"/>
            </w:tcMar>
            <w:vAlign w:val="center"/>
          </w:tcPr>
          <w:p w14:paraId="6818FEFA" w14:textId="77777777" w:rsidR="003D5A6B" w:rsidRPr="003D5A6B" w:rsidRDefault="003D5A6B" w:rsidP="00F1408E">
            <w:pPr>
              <w:pStyle w:val="CDIFigure-Table-BodyTextCentre"/>
            </w:pPr>
            <w:r w:rsidRPr="003D5A6B">
              <w:t xml:space="preserve"> 0.00–4.36</w:t>
            </w:r>
          </w:p>
        </w:tc>
      </w:tr>
      <w:tr w:rsidR="003D5A6B" w:rsidRPr="003D5A6B" w14:paraId="207D0A02"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27BFE88E" w14:textId="77777777" w:rsidR="003D5A6B" w:rsidRPr="003D5A6B" w:rsidRDefault="003D5A6B" w:rsidP="003D5A6B"/>
        </w:tc>
        <w:tc>
          <w:tcPr>
            <w:tcW w:w="1509" w:type="dxa"/>
            <w:tcBorders>
              <w:bottom w:val="single" w:sz="6" w:space="0" w:color="033636" w:themeColor="text2"/>
            </w:tcBorders>
            <w:tcMar>
              <w:top w:w="85" w:type="dxa"/>
              <w:left w:w="113" w:type="dxa"/>
              <w:bottom w:w="85" w:type="dxa"/>
              <w:right w:w="113" w:type="dxa"/>
            </w:tcMar>
            <w:vAlign w:val="center"/>
          </w:tcPr>
          <w:p w14:paraId="08496828" w14:textId="77777777" w:rsidR="003D5A6B" w:rsidRPr="00F1408E" w:rsidRDefault="003D5A6B" w:rsidP="00F1408E">
            <w:pPr>
              <w:pStyle w:val="CDIFigure-Table-BodyTextCentre"/>
              <w:rPr>
                <w:b/>
                <w:bCs/>
              </w:rPr>
            </w:pPr>
            <w:r w:rsidRPr="00F1408E">
              <w:rPr>
                <w:b/>
                <w:bCs/>
              </w:rPr>
              <w:t>Overall</w:t>
            </w:r>
          </w:p>
        </w:tc>
        <w:tc>
          <w:tcPr>
            <w:tcW w:w="1510" w:type="dxa"/>
            <w:tcBorders>
              <w:bottom w:val="single" w:sz="6" w:space="0" w:color="033636" w:themeColor="text2"/>
            </w:tcBorders>
            <w:tcMar>
              <w:top w:w="85" w:type="dxa"/>
              <w:left w:w="113" w:type="dxa"/>
              <w:bottom w:w="85" w:type="dxa"/>
              <w:right w:w="113" w:type="dxa"/>
            </w:tcMar>
            <w:vAlign w:val="center"/>
          </w:tcPr>
          <w:p w14:paraId="032D6E79" w14:textId="77777777" w:rsidR="003D5A6B" w:rsidRPr="00F1408E" w:rsidRDefault="003D5A6B" w:rsidP="00F1408E">
            <w:pPr>
              <w:pStyle w:val="CDIFigure-Table-BodyTextCentre"/>
              <w:rPr>
                <w:b/>
                <w:bCs/>
              </w:rPr>
            </w:pPr>
            <w:r w:rsidRPr="00F1408E">
              <w:rPr>
                <w:b/>
                <w:bCs/>
              </w:rPr>
              <w:t>28.9</w:t>
            </w:r>
          </w:p>
        </w:tc>
        <w:tc>
          <w:tcPr>
            <w:tcW w:w="1509" w:type="dxa"/>
            <w:tcBorders>
              <w:bottom w:val="single" w:sz="6" w:space="0" w:color="033636" w:themeColor="text2"/>
            </w:tcBorders>
            <w:tcMar>
              <w:top w:w="85" w:type="dxa"/>
              <w:left w:w="113" w:type="dxa"/>
              <w:bottom w:w="85" w:type="dxa"/>
              <w:right w:w="113" w:type="dxa"/>
            </w:tcMar>
            <w:vAlign w:val="center"/>
          </w:tcPr>
          <w:p w14:paraId="00F3C452" w14:textId="77777777" w:rsidR="003D5A6B" w:rsidRPr="00F1408E" w:rsidRDefault="003D5A6B" w:rsidP="00F1408E">
            <w:pPr>
              <w:pStyle w:val="CDIFigure-Table-BodyTextCentre"/>
              <w:rPr>
                <w:b/>
                <w:bCs/>
              </w:rPr>
            </w:pPr>
            <w:r w:rsidRPr="00F1408E">
              <w:rPr>
                <w:b/>
                <w:bCs/>
              </w:rPr>
              <w:t>6.1</w:t>
            </w:r>
          </w:p>
        </w:tc>
        <w:tc>
          <w:tcPr>
            <w:tcW w:w="1510" w:type="dxa"/>
            <w:tcBorders>
              <w:bottom w:val="single" w:sz="6" w:space="0" w:color="033636" w:themeColor="text2"/>
            </w:tcBorders>
            <w:tcMar>
              <w:top w:w="85" w:type="dxa"/>
              <w:left w:w="113" w:type="dxa"/>
              <w:bottom w:w="85" w:type="dxa"/>
              <w:right w:w="113" w:type="dxa"/>
            </w:tcMar>
            <w:vAlign w:val="center"/>
          </w:tcPr>
          <w:p w14:paraId="22BF1F49" w14:textId="77777777" w:rsidR="003D5A6B" w:rsidRPr="00F1408E" w:rsidRDefault="003D5A6B" w:rsidP="00F1408E">
            <w:pPr>
              <w:pStyle w:val="CDIFigure-Table-BodyTextCentre"/>
              <w:rPr>
                <w:b/>
                <w:bCs/>
              </w:rPr>
            </w:pPr>
            <w:r w:rsidRPr="00F1408E">
              <w:rPr>
                <w:b/>
                <w:bCs/>
              </w:rPr>
              <w:t>1.6</w:t>
            </w:r>
          </w:p>
        </w:tc>
        <w:tc>
          <w:tcPr>
            <w:tcW w:w="1509" w:type="dxa"/>
            <w:tcBorders>
              <w:bottom w:val="single" w:sz="6" w:space="0" w:color="033636" w:themeColor="text2"/>
            </w:tcBorders>
            <w:tcMar>
              <w:top w:w="85" w:type="dxa"/>
              <w:left w:w="113" w:type="dxa"/>
              <w:bottom w:w="85" w:type="dxa"/>
              <w:right w:w="113" w:type="dxa"/>
            </w:tcMar>
            <w:vAlign w:val="center"/>
          </w:tcPr>
          <w:p w14:paraId="1920056A" w14:textId="77777777" w:rsidR="003D5A6B" w:rsidRPr="00F1408E" w:rsidRDefault="003D5A6B" w:rsidP="00F1408E">
            <w:pPr>
              <w:pStyle w:val="CDIFigure-Table-BodyTextCentre"/>
              <w:rPr>
                <w:b/>
                <w:bCs/>
              </w:rPr>
            </w:pPr>
            <w:r w:rsidRPr="00F1408E">
              <w:rPr>
                <w:b/>
                <w:bCs/>
              </w:rPr>
              <w:t>0.21</w:t>
            </w:r>
          </w:p>
        </w:tc>
        <w:tc>
          <w:tcPr>
            <w:tcW w:w="1509" w:type="dxa"/>
            <w:tcBorders>
              <w:bottom w:val="single" w:sz="6" w:space="0" w:color="033636" w:themeColor="text2"/>
            </w:tcBorders>
            <w:tcMar>
              <w:top w:w="85" w:type="dxa"/>
              <w:left w:w="113" w:type="dxa"/>
              <w:bottom w:w="85" w:type="dxa"/>
              <w:right w:w="113" w:type="dxa"/>
            </w:tcMar>
            <w:vAlign w:val="center"/>
          </w:tcPr>
          <w:p w14:paraId="7C7C684B" w14:textId="77777777" w:rsidR="003D5A6B" w:rsidRPr="00F1408E" w:rsidRDefault="003D5A6B" w:rsidP="00F1408E">
            <w:pPr>
              <w:pStyle w:val="CDIFigure-Table-BodyTextCentre"/>
              <w:rPr>
                <w:b/>
                <w:bCs/>
              </w:rPr>
            </w:pPr>
            <w:r w:rsidRPr="00F1408E">
              <w:rPr>
                <w:b/>
                <w:bCs/>
              </w:rPr>
              <w:t xml:space="preserve"> 0.11–0.37</w:t>
            </w:r>
          </w:p>
        </w:tc>
        <w:tc>
          <w:tcPr>
            <w:tcW w:w="1510" w:type="dxa"/>
            <w:tcBorders>
              <w:bottom w:val="single" w:sz="6" w:space="0" w:color="033636" w:themeColor="text2"/>
            </w:tcBorders>
            <w:tcMar>
              <w:top w:w="85" w:type="dxa"/>
              <w:left w:w="113" w:type="dxa"/>
              <w:bottom w:w="85" w:type="dxa"/>
              <w:right w:w="113" w:type="dxa"/>
            </w:tcMar>
            <w:vAlign w:val="center"/>
          </w:tcPr>
          <w:p w14:paraId="4BB9F0F5" w14:textId="77777777" w:rsidR="003D5A6B" w:rsidRPr="00F1408E" w:rsidRDefault="003D5A6B" w:rsidP="00F1408E">
            <w:pPr>
              <w:pStyle w:val="CDIFigure-Table-BodyTextCentre"/>
              <w:rPr>
                <w:b/>
                <w:bCs/>
              </w:rPr>
            </w:pPr>
            <w:r w:rsidRPr="00F1408E">
              <w:rPr>
                <w:b/>
                <w:bCs/>
              </w:rPr>
              <w:t>0.06</w:t>
            </w:r>
          </w:p>
        </w:tc>
        <w:tc>
          <w:tcPr>
            <w:tcW w:w="1509" w:type="dxa"/>
            <w:tcBorders>
              <w:bottom w:val="single" w:sz="6" w:space="0" w:color="033636" w:themeColor="text2"/>
            </w:tcBorders>
            <w:tcMar>
              <w:top w:w="85" w:type="dxa"/>
              <w:left w:w="113" w:type="dxa"/>
              <w:bottom w:w="85" w:type="dxa"/>
              <w:right w:w="113" w:type="dxa"/>
            </w:tcMar>
            <w:vAlign w:val="center"/>
          </w:tcPr>
          <w:p w14:paraId="375DB1DC" w14:textId="77777777" w:rsidR="003D5A6B" w:rsidRPr="00F1408E" w:rsidRDefault="003D5A6B" w:rsidP="00F1408E">
            <w:pPr>
              <w:pStyle w:val="CDIFigure-Table-BodyTextCentre"/>
              <w:rPr>
                <w:b/>
                <w:bCs/>
              </w:rPr>
            </w:pPr>
            <w:r w:rsidRPr="00F1408E">
              <w:rPr>
                <w:b/>
                <w:bCs/>
              </w:rPr>
              <w:t xml:space="preserve"> 0.02–0.15</w:t>
            </w:r>
          </w:p>
        </w:tc>
      </w:tr>
      <w:tr w:rsidR="00824584" w:rsidRPr="003D5A6B" w14:paraId="3260B31E" w14:textId="77777777" w:rsidTr="00824584">
        <w:trPr>
          <w:trHeight w:val="20"/>
        </w:trPr>
        <w:tc>
          <w:tcPr>
            <w:tcW w:w="2268" w:type="dxa"/>
            <w:vMerge w:val="restart"/>
            <w:tcBorders>
              <w:top w:val="single" w:sz="6" w:space="0" w:color="033636" w:themeColor="text2"/>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77F5B455" w14:textId="77777777" w:rsidR="003D5A6B" w:rsidRPr="003D5A6B" w:rsidRDefault="003D5A6B" w:rsidP="00824584">
            <w:pPr>
              <w:pStyle w:val="CDIFigure-Table-BodyTextLeft"/>
              <w:keepNext/>
            </w:pPr>
            <w:r w:rsidRPr="003D5A6B">
              <w:lastRenderedPageBreak/>
              <w:t>Queensland</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28141744" w14:textId="77777777" w:rsidR="003D5A6B" w:rsidRPr="003D5A6B" w:rsidRDefault="003D5A6B" w:rsidP="00824584">
            <w:pPr>
              <w:pStyle w:val="CDIFigure-Table-BodyTextCentre"/>
              <w:keepNext/>
            </w:pPr>
            <w:r w:rsidRPr="003D5A6B">
              <w:t>0–4</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25CD653F" w14:textId="77777777" w:rsidR="003D5A6B" w:rsidRPr="003D5A6B" w:rsidRDefault="003D5A6B" w:rsidP="00F1408E">
            <w:pPr>
              <w:pStyle w:val="CDIFigure-Table-BodyTextCentre"/>
            </w:pPr>
            <w:r w:rsidRPr="003D5A6B">
              <w:t>59.2</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53B1D7AF" w14:textId="77777777" w:rsidR="003D5A6B" w:rsidRPr="003D5A6B" w:rsidRDefault="003D5A6B" w:rsidP="00F1408E">
            <w:pPr>
              <w:pStyle w:val="CDIFigure-Table-BodyTextCentre"/>
            </w:pPr>
            <w:r w:rsidRPr="003D5A6B">
              <w:t>6.2</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68AC3E72" w14:textId="77777777" w:rsidR="003D5A6B" w:rsidRPr="003D5A6B" w:rsidRDefault="003D5A6B" w:rsidP="00F1408E">
            <w:pPr>
              <w:pStyle w:val="CDIFigure-Table-BodyTextCentre"/>
            </w:pPr>
            <w:r w:rsidRPr="003D5A6B">
              <w:t>5.3</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32E48E81" w14:textId="77777777" w:rsidR="003D5A6B" w:rsidRPr="003D5A6B" w:rsidRDefault="003D5A6B" w:rsidP="00F1408E">
            <w:pPr>
              <w:pStyle w:val="CDIFigure-Table-BodyTextCentre"/>
            </w:pPr>
            <w:r w:rsidRPr="003D5A6B">
              <w:t>0.10</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053BC4B5" w14:textId="77777777" w:rsidR="003D5A6B" w:rsidRPr="003D5A6B" w:rsidRDefault="003D5A6B" w:rsidP="00F1408E">
            <w:pPr>
              <w:pStyle w:val="CDIFigure-Table-BodyTextCentre"/>
            </w:pPr>
            <w:r w:rsidRPr="003D5A6B">
              <w:t xml:space="preserve"> 0.06–0.17</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60F5FF10" w14:textId="77777777" w:rsidR="003D5A6B" w:rsidRPr="003D5A6B" w:rsidRDefault="003D5A6B" w:rsidP="00F1408E">
            <w:pPr>
              <w:pStyle w:val="CDIFigure-Table-BodyTextCentre"/>
            </w:pPr>
            <w:r w:rsidRPr="003D5A6B">
              <w:t>0.09</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5846E233" w14:textId="77777777" w:rsidR="003D5A6B" w:rsidRPr="003D5A6B" w:rsidRDefault="003D5A6B" w:rsidP="00F1408E">
            <w:pPr>
              <w:pStyle w:val="CDIFigure-Table-BodyTextCentre"/>
            </w:pPr>
            <w:r w:rsidRPr="003D5A6B">
              <w:t xml:space="preserve"> 0.05–0.15</w:t>
            </w:r>
          </w:p>
        </w:tc>
      </w:tr>
      <w:tr w:rsidR="003D5A6B" w:rsidRPr="003D5A6B" w14:paraId="506C1F45"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42C451A7" w14:textId="77777777" w:rsidR="003D5A6B" w:rsidRPr="003D5A6B" w:rsidRDefault="003D5A6B" w:rsidP="00F1408E">
            <w:pPr>
              <w:pStyle w:val="CDIFigure-Table-BodyTextLeft"/>
            </w:pPr>
          </w:p>
        </w:tc>
        <w:tc>
          <w:tcPr>
            <w:tcW w:w="1509" w:type="dxa"/>
            <w:tcMar>
              <w:top w:w="85" w:type="dxa"/>
              <w:left w:w="113" w:type="dxa"/>
              <w:bottom w:w="85" w:type="dxa"/>
              <w:right w:w="113" w:type="dxa"/>
            </w:tcMar>
            <w:vAlign w:val="center"/>
          </w:tcPr>
          <w:p w14:paraId="007D3FA6" w14:textId="77777777" w:rsidR="003D5A6B" w:rsidRPr="003D5A6B" w:rsidRDefault="003D5A6B" w:rsidP="00F1408E">
            <w:pPr>
              <w:pStyle w:val="CDIFigure-Table-BodyTextCentre"/>
            </w:pPr>
            <w:r w:rsidRPr="003D5A6B">
              <w:t>5–14</w:t>
            </w:r>
          </w:p>
        </w:tc>
        <w:tc>
          <w:tcPr>
            <w:tcW w:w="1510" w:type="dxa"/>
            <w:tcMar>
              <w:top w:w="85" w:type="dxa"/>
              <w:left w:w="113" w:type="dxa"/>
              <w:bottom w:w="85" w:type="dxa"/>
              <w:right w:w="113" w:type="dxa"/>
            </w:tcMar>
            <w:vAlign w:val="center"/>
          </w:tcPr>
          <w:p w14:paraId="5FFF7DD2" w14:textId="77777777" w:rsidR="003D5A6B" w:rsidRPr="003D5A6B" w:rsidRDefault="003D5A6B" w:rsidP="00F1408E">
            <w:pPr>
              <w:pStyle w:val="CDIFigure-Table-BodyTextCentre"/>
            </w:pPr>
            <w:r w:rsidRPr="003D5A6B">
              <w:t>114.1</w:t>
            </w:r>
          </w:p>
        </w:tc>
        <w:tc>
          <w:tcPr>
            <w:tcW w:w="1509" w:type="dxa"/>
            <w:tcMar>
              <w:top w:w="85" w:type="dxa"/>
              <w:left w:w="113" w:type="dxa"/>
              <w:bottom w:w="85" w:type="dxa"/>
              <w:right w:w="113" w:type="dxa"/>
            </w:tcMar>
            <w:vAlign w:val="center"/>
          </w:tcPr>
          <w:p w14:paraId="678ADC2C" w14:textId="77777777" w:rsidR="003D5A6B" w:rsidRPr="003D5A6B" w:rsidRDefault="003D5A6B" w:rsidP="00F1408E">
            <w:pPr>
              <w:pStyle w:val="CDIFigure-Table-BodyTextCentre"/>
            </w:pPr>
            <w:r w:rsidRPr="003D5A6B">
              <w:t>25.7</w:t>
            </w:r>
          </w:p>
        </w:tc>
        <w:tc>
          <w:tcPr>
            <w:tcW w:w="1510" w:type="dxa"/>
            <w:tcMar>
              <w:top w:w="85" w:type="dxa"/>
              <w:left w:w="113" w:type="dxa"/>
              <w:bottom w:w="85" w:type="dxa"/>
              <w:right w:w="113" w:type="dxa"/>
            </w:tcMar>
            <w:vAlign w:val="center"/>
          </w:tcPr>
          <w:p w14:paraId="552D6517" w14:textId="77777777" w:rsidR="003D5A6B" w:rsidRPr="003D5A6B" w:rsidRDefault="003D5A6B" w:rsidP="00F1408E">
            <w:pPr>
              <w:pStyle w:val="CDIFigure-Table-BodyTextCentre"/>
            </w:pPr>
            <w:r w:rsidRPr="003D5A6B">
              <w:t>4.9</w:t>
            </w:r>
          </w:p>
        </w:tc>
        <w:tc>
          <w:tcPr>
            <w:tcW w:w="1509" w:type="dxa"/>
            <w:tcMar>
              <w:top w:w="85" w:type="dxa"/>
              <w:left w:w="113" w:type="dxa"/>
              <w:bottom w:w="85" w:type="dxa"/>
              <w:right w:w="113" w:type="dxa"/>
            </w:tcMar>
            <w:vAlign w:val="center"/>
          </w:tcPr>
          <w:p w14:paraId="498C0CC8" w14:textId="77777777" w:rsidR="003D5A6B" w:rsidRPr="003D5A6B" w:rsidRDefault="003D5A6B" w:rsidP="00F1408E">
            <w:pPr>
              <w:pStyle w:val="CDIFigure-Table-BodyTextCentre"/>
            </w:pPr>
            <w:r w:rsidRPr="003D5A6B">
              <w:t>0.23</w:t>
            </w:r>
          </w:p>
        </w:tc>
        <w:tc>
          <w:tcPr>
            <w:tcW w:w="1509" w:type="dxa"/>
            <w:tcMar>
              <w:top w:w="85" w:type="dxa"/>
              <w:left w:w="113" w:type="dxa"/>
              <w:bottom w:w="85" w:type="dxa"/>
              <w:right w:w="113" w:type="dxa"/>
            </w:tcMar>
            <w:vAlign w:val="center"/>
          </w:tcPr>
          <w:p w14:paraId="1CD31DF0" w14:textId="77777777" w:rsidR="003D5A6B" w:rsidRPr="003D5A6B" w:rsidRDefault="003D5A6B" w:rsidP="00F1408E">
            <w:pPr>
              <w:pStyle w:val="CDIFigure-Table-BodyTextCentre"/>
            </w:pPr>
            <w:r w:rsidRPr="003D5A6B">
              <w:t xml:space="preserve"> 0.19–0.27</w:t>
            </w:r>
          </w:p>
        </w:tc>
        <w:tc>
          <w:tcPr>
            <w:tcW w:w="1510" w:type="dxa"/>
            <w:tcMar>
              <w:top w:w="85" w:type="dxa"/>
              <w:left w:w="113" w:type="dxa"/>
              <w:bottom w:w="85" w:type="dxa"/>
              <w:right w:w="113" w:type="dxa"/>
            </w:tcMar>
            <w:vAlign w:val="center"/>
          </w:tcPr>
          <w:p w14:paraId="6A304C63" w14:textId="77777777" w:rsidR="003D5A6B" w:rsidRPr="003D5A6B" w:rsidRDefault="003D5A6B" w:rsidP="00F1408E">
            <w:pPr>
              <w:pStyle w:val="CDIFigure-Table-BodyTextCentre"/>
            </w:pPr>
            <w:r w:rsidRPr="003D5A6B">
              <w:t>0.04</w:t>
            </w:r>
          </w:p>
        </w:tc>
        <w:tc>
          <w:tcPr>
            <w:tcW w:w="1509" w:type="dxa"/>
            <w:tcMar>
              <w:top w:w="85" w:type="dxa"/>
              <w:left w:w="113" w:type="dxa"/>
              <w:bottom w:w="85" w:type="dxa"/>
              <w:right w:w="113" w:type="dxa"/>
            </w:tcMar>
            <w:vAlign w:val="center"/>
          </w:tcPr>
          <w:p w14:paraId="59EF67C0" w14:textId="77777777" w:rsidR="003D5A6B" w:rsidRPr="003D5A6B" w:rsidRDefault="003D5A6B" w:rsidP="00F1408E">
            <w:pPr>
              <w:pStyle w:val="CDIFigure-Table-BodyTextCentre"/>
            </w:pPr>
            <w:r w:rsidRPr="003D5A6B">
              <w:t xml:space="preserve"> 0.03–0.06</w:t>
            </w:r>
          </w:p>
        </w:tc>
      </w:tr>
      <w:tr w:rsidR="003D5A6B" w:rsidRPr="003D5A6B" w14:paraId="6504ED77"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5EF870D5" w14:textId="77777777" w:rsidR="003D5A6B" w:rsidRPr="003D5A6B" w:rsidRDefault="003D5A6B" w:rsidP="00F1408E">
            <w:pPr>
              <w:pStyle w:val="CDIFigure-Table-BodyTextLeft"/>
            </w:pPr>
          </w:p>
        </w:tc>
        <w:tc>
          <w:tcPr>
            <w:tcW w:w="1509" w:type="dxa"/>
            <w:shd w:val="clear" w:color="auto" w:fill="F2F2F2" w:themeFill="background1" w:themeFillShade="F2"/>
            <w:tcMar>
              <w:top w:w="85" w:type="dxa"/>
              <w:left w:w="113" w:type="dxa"/>
              <w:bottom w:w="85" w:type="dxa"/>
              <w:right w:w="113" w:type="dxa"/>
            </w:tcMar>
            <w:vAlign w:val="center"/>
          </w:tcPr>
          <w:p w14:paraId="7C0D8241" w14:textId="77777777" w:rsidR="003D5A6B" w:rsidRPr="003D5A6B" w:rsidRDefault="003D5A6B" w:rsidP="00F1408E">
            <w:pPr>
              <w:pStyle w:val="CDIFigure-Table-BodyTextCentre"/>
            </w:pPr>
            <w:r w:rsidRPr="003D5A6B">
              <w:t>15–24</w:t>
            </w:r>
          </w:p>
        </w:tc>
        <w:tc>
          <w:tcPr>
            <w:tcW w:w="1510" w:type="dxa"/>
            <w:shd w:val="clear" w:color="auto" w:fill="F2F2F2" w:themeFill="background1" w:themeFillShade="F2"/>
            <w:tcMar>
              <w:top w:w="85" w:type="dxa"/>
              <w:left w:w="113" w:type="dxa"/>
              <w:bottom w:w="85" w:type="dxa"/>
              <w:right w:w="113" w:type="dxa"/>
            </w:tcMar>
            <w:vAlign w:val="center"/>
          </w:tcPr>
          <w:p w14:paraId="2D4AE084" w14:textId="77777777" w:rsidR="003D5A6B" w:rsidRPr="003D5A6B" w:rsidRDefault="003D5A6B" w:rsidP="00F1408E">
            <w:pPr>
              <w:pStyle w:val="CDIFigure-Table-BodyTextCentre"/>
            </w:pPr>
            <w:r w:rsidRPr="003D5A6B">
              <w:t>22.8</w:t>
            </w:r>
          </w:p>
        </w:tc>
        <w:tc>
          <w:tcPr>
            <w:tcW w:w="1509" w:type="dxa"/>
            <w:shd w:val="clear" w:color="auto" w:fill="F2F2F2" w:themeFill="background1" w:themeFillShade="F2"/>
            <w:tcMar>
              <w:top w:w="85" w:type="dxa"/>
              <w:left w:w="113" w:type="dxa"/>
              <w:bottom w:w="85" w:type="dxa"/>
              <w:right w:w="113" w:type="dxa"/>
            </w:tcMar>
            <w:vAlign w:val="center"/>
          </w:tcPr>
          <w:p w14:paraId="2C93E6D2" w14:textId="77777777" w:rsidR="003D5A6B" w:rsidRPr="003D5A6B" w:rsidRDefault="003D5A6B" w:rsidP="00F1408E">
            <w:pPr>
              <w:pStyle w:val="CDIFigure-Table-BodyTextCentre"/>
            </w:pPr>
            <w:r w:rsidRPr="003D5A6B">
              <w:t>11.1</w:t>
            </w:r>
          </w:p>
        </w:tc>
        <w:tc>
          <w:tcPr>
            <w:tcW w:w="1510" w:type="dxa"/>
            <w:shd w:val="clear" w:color="auto" w:fill="F2F2F2" w:themeFill="background1" w:themeFillShade="F2"/>
            <w:tcMar>
              <w:top w:w="85" w:type="dxa"/>
              <w:left w:w="113" w:type="dxa"/>
              <w:bottom w:w="85" w:type="dxa"/>
              <w:right w:w="113" w:type="dxa"/>
            </w:tcMar>
            <w:vAlign w:val="center"/>
          </w:tcPr>
          <w:p w14:paraId="410AC8FA" w14:textId="77777777" w:rsidR="003D5A6B" w:rsidRPr="003D5A6B" w:rsidRDefault="003D5A6B" w:rsidP="00F1408E">
            <w:pPr>
              <w:pStyle w:val="CDIFigure-Table-BodyTextCentre"/>
            </w:pPr>
            <w:r w:rsidRPr="003D5A6B">
              <w:t>1.7</w:t>
            </w:r>
          </w:p>
        </w:tc>
        <w:tc>
          <w:tcPr>
            <w:tcW w:w="1509" w:type="dxa"/>
            <w:shd w:val="clear" w:color="auto" w:fill="F2F2F2" w:themeFill="background1" w:themeFillShade="F2"/>
            <w:tcMar>
              <w:top w:w="85" w:type="dxa"/>
              <w:left w:w="113" w:type="dxa"/>
              <w:bottom w:w="85" w:type="dxa"/>
              <w:right w:w="113" w:type="dxa"/>
            </w:tcMar>
            <w:vAlign w:val="center"/>
          </w:tcPr>
          <w:p w14:paraId="55CCEB9F" w14:textId="77777777" w:rsidR="003D5A6B" w:rsidRPr="003D5A6B" w:rsidRDefault="003D5A6B" w:rsidP="00F1408E">
            <w:pPr>
              <w:pStyle w:val="CDIFigure-Table-BodyTextCentre"/>
            </w:pPr>
            <w:r w:rsidRPr="003D5A6B">
              <w:t>0.49</w:t>
            </w:r>
          </w:p>
        </w:tc>
        <w:tc>
          <w:tcPr>
            <w:tcW w:w="1509" w:type="dxa"/>
            <w:shd w:val="clear" w:color="auto" w:fill="F2F2F2" w:themeFill="background1" w:themeFillShade="F2"/>
            <w:tcMar>
              <w:top w:w="85" w:type="dxa"/>
              <w:left w:w="113" w:type="dxa"/>
              <w:bottom w:w="85" w:type="dxa"/>
              <w:right w:w="113" w:type="dxa"/>
            </w:tcMar>
            <w:vAlign w:val="center"/>
          </w:tcPr>
          <w:p w14:paraId="31781392" w14:textId="77777777" w:rsidR="003D5A6B" w:rsidRPr="003D5A6B" w:rsidRDefault="003D5A6B" w:rsidP="00F1408E">
            <w:pPr>
              <w:pStyle w:val="CDIFigure-Table-BodyTextCentre"/>
            </w:pPr>
            <w:r w:rsidRPr="003D5A6B">
              <w:t xml:space="preserve"> 0.36–0.65</w:t>
            </w:r>
          </w:p>
        </w:tc>
        <w:tc>
          <w:tcPr>
            <w:tcW w:w="1510" w:type="dxa"/>
            <w:shd w:val="clear" w:color="auto" w:fill="F2F2F2" w:themeFill="background1" w:themeFillShade="F2"/>
            <w:tcMar>
              <w:top w:w="85" w:type="dxa"/>
              <w:left w:w="113" w:type="dxa"/>
              <w:bottom w:w="85" w:type="dxa"/>
              <w:right w:w="113" w:type="dxa"/>
            </w:tcMar>
            <w:vAlign w:val="center"/>
          </w:tcPr>
          <w:p w14:paraId="66939596" w14:textId="77777777" w:rsidR="003D5A6B" w:rsidRPr="003D5A6B" w:rsidRDefault="003D5A6B" w:rsidP="00F1408E">
            <w:pPr>
              <w:pStyle w:val="CDIFigure-Table-BodyTextCentre"/>
            </w:pPr>
            <w:r w:rsidRPr="003D5A6B">
              <w:t>0.07</w:t>
            </w:r>
          </w:p>
        </w:tc>
        <w:tc>
          <w:tcPr>
            <w:tcW w:w="1509" w:type="dxa"/>
            <w:shd w:val="clear" w:color="auto" w:fill="F2F2F2" w:themeFill="background1" w:themeFillShade="F2"/>
            <w:tcMar>
              <w:top w:w="85" w:type="dxa"/>
              <w:left w:w="113" w:type="dxa"/>
              <w:bottom w:w="85" w:type="dxa"/>
              <w:right w:w="113" w:type="dxa"/>
            </w:tcMar>
            <w:vAlign w:val="center"/>
          </w:tcPr>
          <w:p w14:paraId="46DE9B9F" w14:textId="77777777" w:rsidR="003D5A6B" w:rsidRPr="003D5A6B" w:rsidRDefault="003D5A6B" w:rsidP="00F1408E">
            <w:pPr>
              <w:pStyle w:val="CDIFigure-Table-BodyTextCentre"/>
            </w:pPr>
            <w:r w:rsidRPr="003D5A6B">
              <w:t xml:space="preserve"> 0.04–0.14</w:t>
            </w:r>
          </w:p>
        </w:tc>
      </w:tr>
      <w:tr w:rsidR="003D5A6B" w:rsidRPr="003D5A6B" w14:paraId="06EDAC8C"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0916CBBF" w14:textId="77777777" w:rsidR="003D5A6B" w:rsidRPr="003D5A6B" w:rsidRDefault="003D5A6B" w:rsidP="00F1408E">
            <w:pPr>
              <w:pStyle w:val="CDIFigure-Table-BodyTextLeft"/>
            </w:pPr>
          </w:p>
        </w:tc>
        <w:tc>
          <w:tcPr>
            <w:tcW w:w="1509" w:type="dxa"/>
            <w:tcMar>
              <w:top w:w="85" w:type="dxa"/>
              <w:left w:w="113" w:type="dxa"/>
              <w:bottom w:w="85" w:type="dxa"/>
              <w:right w:w="113" w:type="dxa"/>
            </w:tcMar>
            <w:vAlign w:val="center"/>
          </w:tcPr>
          <w:p w14:paraId="4A9305E0" w14:textId="77777777" w:rsidR="003D5A6B" w:rsidRPr="003D5A6B" w:rsidRDefault="003D5A6B" w:rsidP="00F1408E">
            <w:pPr>
              <w:pStyle w:val="CDIFigure-Table-BodyTextCentre"/>
            </w:pPr>
            <w:r w:rsidRPr="003D5A6B">
              <w:t>25–69</w:t>
            </w:r>
          </w:p>
        </w:tc>
        <w:tc>
          <w:tcPr>
            <w:tcW w:w="1510" w:type="dxa"/>
            <w:tcMar>
              <w:top w:w="85" w:type="dxa"/>
              <w:left w:w="113" w:type="dxa"/>
              <w:bottom w:w="85" w:type="dxa"/>
              <w:right w:w="113" w:type="dxa"/>
            </w:tcMar>
            <w:vAlign w:val="center"/>
          </w:tcPr>
          <w:p w14:paraId="055531A7" w14:textId="77777777" w:rsidR="003D5A6B" w:rsidRPr="003D5A6B" w:rsidRDefault="003D5A6B" w:rsidP="00F1408E">
            <w:pPr>
              <w:pStyle w:val="CDIFigure-Table-BodyTextCentre"/>
            </w:pPr>
            <w:r w:rsidRPr="003D5A6B">
              <w:t>16.4</w:t>
            </w:r>
          </w:p>
        </w:tc>
        <w:tc>
          <w:tcPr>
            <w:tcW w:w="1509" w:type="dxa"/>
            <w:tcMar>
              <w:top w:w="85" w:type="dxa"/>
              <w:left w:w="113" w:type="dxa"/>
              <w:bottom w:w="85" w:type="dxa"/>
              <w:right w:w="113" w:type="dxa"/>
            </w:tcMar>
            <w:vAlign w:val="center"/>
          </w:tcPr>
          <w:p w14:paraId="305E8DE3" w14:textId="77777777" w:rsidR="003D5A6B" w:rsidRPr="003D5A6B" w:rsidRDefault="003D5A6B" w:rsidP="00F1408E">
            <w:pPr>
              <w:pStyle w:val="CDIFigure-Table-BodyTextCentre"/>
            </w:pPr>
            <w:r w:rsidRPr="003D5A6B">
              <w:t>6.4</w:t>
            </w:r>
          </w:p>
        </w:tc>
        <w:tc>
          <w:tcPr>
            <w:tcW w:w="1510" w:type="dxa"/>
            <w:tcMar>
              <w:top w:w="85" w:type="dxa"/>
              <w:left w:w="113" w:type="dxa"/>
              <w:bottom w:w="85" w:type="dxa"/>
              <w:right w:w="113" w:type="dxa"/>
            </w:tcMar>
            <w:vAlign w:val="center"/>
          </w:tcPr>
          <w:p w14:paraId="36761C7A" w14:textId="77777777" w:rsidR="003D5A6B" w:rsidRPr="003D5A6B" w:rsidRDefault="003D5A6B" w:rsidP="00F1408E">
            <w:pPr>
              <w:pStyle w:val="CDIFigure-Table-BodyTextCentre"/>
            </w:pPr>
            <w:r w:rsidRPr="003D5A6B">
              <w:t>1.1</w:t>
            </w:r>
          </w:p>
        </w:tc>
        <w:tc>
          <w:tcPr>
            <w:tcW w:w="1509" w:type="dxa"/>
            <w:tcMar>
              <w:top w:w="85" w:type="dxa"/>
              <w:left w:w="113" w:type="dxa"/>
              <w:bottom w:w="85" w:type="dxa"/>
              <w:right w:w="113" w:type="dxa"/>
            </w:tcMar>
            <w:vAlign w:val="center"/>
          </w:tcPr>
          <w:p w14:paraId="6C2F3415" w14:textId="77777777" w:rsidR="003D5A6B" w:rsidRPr="003D5A6B" w:rsidRDefault="003D5A6B" w:rsidP="00F1408E">
            <w:pPr>
              <w:pStyle w:val="CDIFigure-Table-BodyTextCentre"/>
            </w:pPr>
            <w:r w:rsidRPr="003D5A6B">
              <w:t>0.39</w:t>
            </w:r>
          </w:p>
        </w:tc>
        <w:tc>
          <w:tcPr>
            <w:tcW w:w="1509" w:type="dxa"/>
            <w:tcMar>
              <w:top w:w="85" w:type="dxa"/>
              <w:left w:w="113" w:type="dxa"/>
              <w:bottom w:w="85" w:type="dxa"/>
              <w:right w:w="113" w:type="dxa"/>
            </w:tcMar>
            <w:vAlign w:val="center"/>
          </w:tcPr>
          <w:p w14:paraId="69EDF992" w14:textId="77777777" w:rsidR="003D5A6B" w:rsidRPr="003D5A6B" w:rsidRDefault="003D5A6B" w:rsidP="00F1408E">
            <w:pPr>
              <w:pStyle w:val="CDIFigure-Table-BodyTextCentre"/>
            </w:pPr>
            <w:r w:rsidRPr="003D5A6B">
              <w:t xml:space="preserve"> 0.33–0.46</w:t>
            </w:r>
          </w:p>
        </w:tc>
        <w:tc>
          <w:tcPr>
            <w:tcW w:w="1510" w:type="dxa"/>
            <w:tcMar>
              <w:top w:w="85" w:type="dxa"/>
              <w:left w:w="113" w:type="dxa"/>
              <w:bottom w:w="85" w:type="dxa"/>
              <w:right w:w="113" w:type="dxa"/>
            </w:tcMar>
            <w:vAlign w:val="center"/>
          </w:tcPr>
          <w:p w14:paraId="698C3E43" w14:textId="77777777" w:rsidR="003D5A6B" w:rsidRPr="003D5A6B" w:rsidRDefault="003D5A6B" w:rsidP="00F1408E">
            <w:pPr>
              <w:pStyle w:val="CDIFigure-Table-BodyTextCentre"/>
            </w:pPr>
            <w:r w:rsidRPr="003D5A6B">
              <w:t>0.07</w:t>
            </w:r>
          </w:p>
        </w:tc>
        <w:tc>
          <w:tcPr>
            <w:tcW w:w="1509" w:type="dxa"/>
            <w:tcMar>
              <w:top w:w="85" w:type="dxa"/>
              <w:left w:w="113" w:type="dxa"/>
              <w:bottom w:w="85" w:type="dxa"/>
              <w:right w:w="113" w:type="dxa"/>
            </w:tcMar>
            <w:vAlign w:val="center"/>
          </w:tcPr>
          <w:p w14:paraId="443D8394" w14:textId="77777777" w:rsidR="003D5A6B" w:rsidRPr="003D5A6B" w:rsidRDefault="003D5A6B" w:rsidP="00F1408E">
            <w:pPr>
              <w:pStyle w:val="CDIFigure-Table-BodyTextCentre"/>
            </w:pPr>
            <w:r w:rsidRPr="003D5A6B">
              <w:t xml:space="preserve"> 0.04–0.09</w:t>
            </w:r>
          </w:p>
        </w:tc>
      </w:tr>
      <w:tr w:rsidR="006A4AE7" w:rsidRPr="003D5A6B" w14:paraId="7E636775"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670119EC" w14:textId="77777777" w:rsidR="003D5A6B" w:rsidRPr="003D5A6B" w:rsidRDefault="003D5A6B" w:rsidP="00F1408E">
            <w:pPr>
              <w:pStyle w:val="CDIFigure-Table-BodyTextLeft"/>
            </w:pPr>
          </w:p>
        </w:tc>
        <w:tc>
          <w:tcPr>
            <w:tcW w:w="1509" w:type="dxa"/>
            <w:shd w:val="clear" w:color="auto" w:fill="F2F2F2" w:themeFill="background1" w:themeFillShade="F2"/>
            <w:tcMar>
              <w:top w:w="85" w:type="dxa"/>
              <w:left w:w="113" w:type="dxa"/>
              <w:bottom w:w="85" w:type="dxa"/>
              <w:right w:w="113" w:type="dxa"/>
            </w:tcMar>
            <w:vAlign w:val="center"/>
          </w:tcPr>
          <w:p w14:paraId="304C733D" w14:textId="77777777" w:rsidR="003D5A6B" w:rsidRPr="003D5A6B" w:rsidRDefault="003D5A6B" w:rsidP="00F1408E">
            <w:pPr>
              <w:pStyle w:val="CDIFigure-Table-BodyTextCentre"/>
            </w:pPr>
            <w:r w:rsidRPr="003D5A6B">
              <w:t>≥ 70</w:t>
            </w:r>
          </w:p>
        </w:tc>
        <w:tc>
          <w:tcPr>
            <w:tcW w:w="1510" w:type="dxa"/>
            <w:shd w:val="clear" w:color="auto" w:fill="F2F2F2" w:themeFill="background1" w:themeFillShade="F2"/>
            <w:tcMar>
              <w:top w:w="85" w:type="dxa"/>
              <w:left w:w="113" w:type="dxa"/>
              <w:bottom w:w="85" w:type="dxa"/>
              <w:right w:w="113" w:type="dxa"/>
            </w:tcMar>
            <w:vAlign w:val="center"/>
          </w:tcPr>
          <w:p w14:paraId="7FEDB257" w14:textId="77777777" w:rsidR="003D5A6B" w:rsidRPr="003D5A6B" w:rsidRDefault="003D5A6B" w:rsidP="00F1408E">
            <w:pPr>
              <w:pStyle w:val="CDIFigure-Table-BodyTextCentre"/>
            </w:pPr>
            <w:r w:rsidRPr="003D5A6B">
              <w:t>11.8</w:t>
            </w:r>
          </w:p>
        </w:tc>
        <w:tc>
          <w:tcPr>
            <w:tcW w:w="1509" w:type="dxa"/>
            <w:shd w:val="clear" w:color="auto" w:fill="F2F2F2" w:themeFill="background1" w:themeFillShade="F2"/>
            <w:tcMar>
              <w:top w:w="85" w:type="dxa"/>
              <w:left w:w="113" w:type="dxa"/>
              <w:bottom w:w="85" w:type="dxa"/>
              <w:right w:w="113" w:type="dxa"/>
            </w:tcMar>
            <w:vAlign w:val="center"/>
          </w:tcPr>
          <w:p w14:paraId="5CDFA2DF" w14:textId="77777777" w:rsidR="003D5A6B" w:rsidRPr="003D5A6B" w:rsidRDefault="003D5A6B" w:rsidP="00F1408E">
            <w:pPr>
              <w:pStyle w:val="CDIFigure-Table-BodyTextCentre"/>
            </w:pPr>
            <w:r w:rsidRPr="003D5A6B">
              <w:t>5.9</w:t>
            </w:r>
          </w:p>
        </w:tc>
        <w:tc>
          <w:tcPr>
            <w:tcW w:w="1510" w:type="dxa"/>
            <w:shd w:val="clear" w:color="auto" w:fill="F2F2F2" w:themeFill="background1" w:themeFillShade="F2"/>
            <w:tcMar>
              <w:top w:w="85" w:type="dxa"/>
              <w:left w:w="113" w:type="dxa"/>
              <w:bottom w:w="85" w:type="dxa"/>
              <w:right w:w="113" w:type="dxa"/>
            </w:tcMar>
            <w:vAlign w:val="center"/>
          </w:tcPr>
          <w:p w14:paraId="0A783B2D" w14:textId="77777777" w:rsidR="003D5A6B" w:rsidRPr="003D5A6B" w:rsidRDefault="003D5A6B" w:rsidP="00F1408E">
            <w:pPr>
              <w:pStyle w:val="CDIFigure-Table-BodyTextCentre"/>
            </w:pPr>
            <w:r w:rsidRPr="003D5A6B">
              <w:t>1.0</w:t>
            </w:r>
          </w:p>
        </w:tc>
        <w:tc>
          <w:tcPr>
            <w:tcW w:w="1509" w:type="dxa"/>
            <w:shd w:val="clear" w:color="auto" w:fill="F2F2F2" w:themeFill="background1" w:themeFillShade="F2"/>
            <w:tcMar>
              <w:top w:w="85" w:type="dxa"/>
              <w:left w:w="113" w:type="dxa"/>
              <w:bottom w:w="85" w:type="dxa"/>
              <w:right w:w="113" w:type="dxa"/>
            </w:tcMar>
            <w:vAlign w:val="center"/>
          </w:tcPr>
          <w:p w14:paraId="4182F1FB" w14:textId="77777777" w:rsidR="003D5A6B" w:rsidRPr="003D5A6B" w:rsidRDefault="003D5A6B" w:rsidP="00F1408E">
            <w:pPr>
              <w:pStyle w:val="CDIFigure-Table-BodyTextCentre"/>
            </w:pPr>
            <w:r w:rsidRPr="003D5A6B">
              <w:t>0.51</w:t>
            </w:r>
          </w:p>
        </w:tc>
        <w:tc>
          <w:tcPr>
            <w:tcW w:w="1509" w:type="dxa"/>
            <w:shd w:val="clear" w:color="auto" w:fill="F2F2F2" w:themeFill="background1" w:themeFillShade="F2"/>
            <w:tcMar>
              <w:top w:w="85" w:type="dxa"/>
              <w:left w:w="113" w:type="dxa"/>
              <w:bottom w:w="85" w:type="dxa"/>
              <w:right w:w="113" w:type="dxa"/>
            </w:tcMar>
            <w:vAlign w:val="center"/>
          </w:tcPr>
          <w:p w14:paraId="578A12B5" w14:textId="77777777" w:rsidR="003D5A6B" w:rsidRPr="003D5A6B" w:rsidRDefault="003D5A6B" w:rsidP="00F1408E">
            <w:pPr>
              <w:pStyle w:val="CDIFigure-Table-BodyTextCentre"/>
            </w:pPr>
            <w:r w:rsidRPr="003D5A6B">
              <w:t xml:space="preserve"> 0.32–0.78</w:t>
            </w:r>
          </w:p>
        </w:tc>
        <w:tc>
          <w:tcPr>
            <w:tcW w:w="1510" w:type="dxa"/>
            <w:shd w:val="clear" w:color="auto" w:fill="F2F2F2" w:themeFill="background1" w:themeFillShade="F2"/>
            <w:tcMar>
              <w:top w:w="85" w:type="dxa"/>
              <w:left w:w="113" w:type="dxa"/>
              <w:bottom w:w="85" w:type="dxa"/>
              <w:right w:w="113" w:type="dxa"/>
            </w:tcMar>
            <w:vAlign w:val="center"/>
          </w:tcPr>
          <w:p w14:paraId="66FC9280" w14:textId="77777777" w:rsidR="003D5A6B" w:rsidRPr="003D5A6B" w:rsidRDefault="003D5A6B" w:rsidP="00F1408E">
            <w:pPr>
              <w:pStyle w:val="CDIFigure-Table-BodyTextCentre"/>
            </w:pPr>
            <w:r w:rsidRPr="003D5A6B">
              <w:t>0.09</w:t>
            </w:r>
          </w:p>
        </w:tc>
        <w:tc>
          <w:tcPr>
            <w:tcW w:w="1509" w:type="dxa"/>
            <w:shd w:val="clear" w:color="auto" w:fill="F2F2F2" w:themeFill="background1" w:themeFillShade="F2"/>
            <w:tcMar>
              <w:top w:w="85" w:type="dxa"/>
              <w:left w:w="113" w:type="dxa"/>
              <w:bottom w:w="85" w:type="dxa"/>
              <w:right w:w="113" w:type="dxa"/>
            </w:tcMar>
            <w:vAlign w:val="center"/>
          </w:tcPr>
          <w:p w14:paraId="028D3629" w14:textId="77777777" w:rsidR="003D5A6B" w:rsidRPr="003D5A6B" w:rsidRDefault="003D5A6B" w:rsidP="00F1408E">
            <w:pPr>
              <w:pStyle w:val="CDIFigure-Table-BodyTextCentre"/>
            </w:pPr>
            <w:r w:rsidRPr="003D5A6B">
              <w:t xml:space="preserve"> 0.03–0.20</w:t>
            </w:r>
          </w:p>
        </w:tc>
      </w:tr>
      <w:tr w:rsidR="003D5A6B" w:rsidRPr="003D5A6B" w14:paraId="5516AB6B"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4684E5EC" w14:textId="77777777" w:rsidR="003D5A6B" w:rsidRPr="003D5A6B" w:rsidRDefault="003D5A6B" w:rsidP="00F1408E">
            <w:pPr>
              <w:pStyle w:val="CDIFigure-Table-BodyTextLeft"/>
            </w:pPr>
          </w:p>
        </w:tc>
        <w:tc>
          <w:tcPr>
            <w:tcW w:w="1509" w:type="dxa"/>
            <w:tcBorders>
              <w:bottom w:val="single" w:sz="6" w:space="0" w:color="033636" w:themeColor="text2"/>
            </w:tcBorders>
            <w:tcMar>
              <w:top w:w="85" w:type="dxa"/>
              <w:left w:w="113" w:type="dxa"/>
              <w:bottom w:w="85" w:type="dxa"/>
              <w:right w:w="113" w:type="dxa"/>
            </w:tcMar>
            <w:vAlign w:val="center"/>
          </w:tcPr>
          <w:p w14:paraId="73756739" w14:textId="77777777" w:rsidR="003D5A6B" w:rsidRPr="00F1408E" w:rsidRDefault="003D5A6B" w:rsidP="00F1408E">
            <w:pPr>
              <w:pStyle w:val="CDIFigure-Table-BodyTextCentre"/>
              <w:rPr>
                <w:b/>
                <w:bCs/>
              </w:rPr>
            </w:pPr>
            <w:r w:rsidRPr="00F1408E">
              <w:rPr>
                <w:b/>
                <w:bCs/>
              </w:rPr>
              <w:t>Overall</w:t>
            </w:r>
          </w:p>
        </w:tc>
        <w:tc>
          <w:tcPr>
            <w:tcW w:w="1510" w:type="dxa"/>
            <w:tcBorders>
              <w:bottom w:val="single" w:sz="6" w:space="0" w:color="033636" w:themeColor="text2"/>
            </w:tcBorders>
            <w:tcMar>
              <w:top w:w="85" w:type="dxa"/>
              <w:left w:w="113" w:type="dxa"/>
              <w:bottom w:w="85" w:type="dxa"/>
              <w:right w:w="113" w:type="dxa"/>
            </w:tcMar>
            <w:vAlign w:val="center"/>
          </w:tcPr>
          <w:p w14:paraId="7A05E366" w14:textId="77777777" w:rsidR="003D5A6B" w:rsidRPr="00F1408E" w:rsidRDefault="003D5A6B" w:rsidP="00F1408E">
            <w:pPr>
              <w:pStyle w:val="CDIFigure-Table-BodyTextCentre"/>
              <w:rPr>
                <w:b/>
                <w:bCs/>
              </w:rPr>
            </w:pPr>
            <w:r w:rsidRPr="00F1408E">
              <w:rPr>
                <w:b/>
                <w:bCs/>
              </w:rPr>
              <w:t>32.4</w:t>
            </w:r>
          </w:p>
        </w:tc>
        <w:tc>
          <w:tcPr>
            <w:tcW w:w="1509" w:type="dxa"/>
            <w:tcBorders>
              <w:bottom w:val="single" w:sz="6" w:space="0" w:color="033636" w:themeColor="text2"/>
            </w:tcBorders>
            <w:tcMar>
              <w:top w:w="85" w:type="dxa"/>
              <w:left w:w="113" w:type="dxa"/>
              <w:bottom w:w="85" w:type="dxa"/>
              <w:right w:w="113" w:type="dxa"/>
            </w:tcMar>
            <w:vAlign w:val="center"/>
          </w:tcPr>
          <w:p w14:paraId="4EF1BD42" w14:textId="77777777" w:rsidR="003D5A6B" w:rsidRPr="00F1408E" w:rsidRDefault="003D5A6B" w:rsidP="00F1408E">
            <w:pPr>
              <w:pStyle w:val="CDIFigure-Table-BodyTextCentre"/>
              <w:rPr>
                <w:b/>
                <w:bCs/>
              </w:rPr>
            </w:pPr>
            <w:r w:rsidRPr="00F1408E">
              <w:rPr>
                <w:b/>
                <w:bCs/>
              </w:rPr>
              <w:t>9.5</w:t>
            </w:r>
          </w:p>
        </w:tc>
        <w:tc>
          <w:tcPr>
            <w:tcW w:w="1510" w:type="dxa"/>
            <w:tcBorders>
              <w:bottom w:val="single" w:sz="6" w:space="0" w:color="033636" w:themeColor="text2"/>
            </w:tcBorders>
            <w:tcMar>
              <w:top w:w="85" w:type="dxa"/>
              <w:left w:w="113" w:type="dxa"/>
              <w:bottom w:w="85" w:type="dxa"/>
              <w:right w:w="113" w:type="dxa"/>
            </w:tcMar>
            <w:vAlign w:val="center"/>
          </w:tcPr>
          <w:p w14:paraId="2AF67AE6" w14:textId="77777777" w:rsidR="003D5A6B" w:rsidRPr="00F1408E" w:rsidRDefault="003D5A6B" w:rsidP="00F1408E">
            <w:pPr>
              <w:pStyle w:val="CDIFigure-Table-BodyTextCentre"/>
              <w:rPr>
                <w:b/>
                <w:bCs/>
              </w:rPr>
            </w:pPr>
            <w:r w:rsidRPr="00F1408E">
              <w:rPr>
                <w:b/>
                <w:bCs/>
              </w:rPr>
              <w:t>1.9</w:t>
            </w:r>
          </w:p>
        </w:tc>
        <w:tc>
          <w:tcPr>
            <w:tcW w:w="1509" w:type="dxa"/>
            <w:tcBorders>
              <w:bottom w:val="single" w:sz="6" w:space="0" w:color="033636" w:themeColor="text2"/>
            </w:tcBorders>
            <w:tcMar>
              <w:top w:w="85" w:type="dxa"/>
              <w:left w:w="113" w:type="dxa"/>
              <w:bottom w:w="85" w:type="dxa"/>
              <w:right w:w="113" w:type="dxa"/>
            </w:tcMar>
            <w:vAlign w:val="center"/>
          </w:tcPr>
          <w:p w14:paraId="4CD58EF0" w14:textId="77777777" w:rsidR="003D5A6B" w:rsidRPr="00F1408E" w:rsidRDefault="003D5A6B" w:rsidP="00F1408E">
            <w:pPr>
              <w:pStyle w:val="CDIFigure-Table-BodyTextCentre"/>
              <w:rPr>
                <w:b/>
                <w:bCs/>
              </w:rPr>
            </w:pPr>
            <w:r w:rsidRPr="00F1408E">
              <w:rPr>
                <w:b/>
                <w:bCs/>
              </w:rPr>
              <w:t>0.29</w:t>
            </w:r>
          </w:p>
        </w:tc>
        <w:tc>
          <w:tcPr>
            <w:tcW w:w="1509" w:type="dxa"/>
            <w:tcBorders>
              <w:bottom w:val="single" w:sz="6" w:space="0" w:color="033636" w:themeColor="text2"/>
            </w:tcBorders>
            <w:tcMar>
              <w:top w:w="85" w:type="dxa"/>
              <w:left w:w="113" w:type="dxa"/>
              <w:bottom w:w="85" w:type="dxa"/>
              <w:right w:w="113" w:type="dxa"/>
            </w:tcMar>
            <w:vAlign w:val="center"/>
          </w:tcPr>
          <w:p w14:paraId="37D96EAC" w14:textId="77777777" w:rsidR="003D5A6B" w:rsidRPr="00F1408E" w:rsidRDefault="003D5A6B" w:rsidP="00F1408E">
            <w:pPr>
              <w:pStyle w:val="CDIFigure-Table-BodyTextCentre"/>
              <w:rPr>
                <w:b/>
                <w:bCs/>
              </w:rPr>
            </w:pPr>
            <w:r w:rsidRPr="00F1408E">
              <w:rPr>
                <w:b/>
                <w:bCs/>
              </w:rPr>
              <w:t xml:space="preserve"> 0.26–0.32</w:t>
            </w:r>
          </w:p>
        </w:tc>
        <w:tc>
          <w:tcPr>
            <w:tcW w:w="1510" w:type="dxa"/>
            <w:tcBorders>
              <w:bottom w:val="single" w:sz="6" w:space="0" w:color="033636" w:themeColor="text2"/>
            </w:tcBorders>
            <w:tcMar>
              <w:top w:w="85" w:type="dxa"/>
              <w:left w:w="113" w:type="dxa"/>
              <w:bottom w:w="85" w:type="dxa"/>
              <w:right w:w="113" w:type="dxa"/>
            </w:tcMar>
            <w:vAlign w:val="center"/>
          </w:tcPr>
          <w:p w14:paraId="2B777C06" w14:textId="77777777" w:rsidR="003D5A6B" w:rsidRPr="00F1408E" w:rsidRDefault="003D5A6B" w:rsidP="00F1408E">
            <w:pPr>
              <w:pStyle w:val="CDIFigure-Table-BodyTextCentre"/>
              <w:rPr>
                <w:b/>
                <w:bCs/>
              </w:rPr>
            </w:pPr>
            <w:r w:rsidRPr="00F1408E">
              <w:rPr>
                <w:b/>
                <w:bCs/>
              </w:rPr>
              <w:t>0.06</w:t>
            </w:r>
          </w:p>
        </w:tc>
        <w:tc>
          <w:tcPr>
            <w:tcW w:w="1509" w:type="dxa"/>
            <w:tcBorders>
              <w:bottom w:val="single" w:sz="6" w:space="0" w:color="033636" w:themeColor="text2"/>
            </w:tcBorders>
            <w:tcMar>
              <w:top w:w="85" w:type="dxa"/>
              <w:left w:w="113" w:type="dxa"/>
              <w:bottom w:w="85" w:type="dxa"/>
              <w:right w:w="113" w:type="dxa"/>
            </w:tcMar>
            <w:vAlign w:val="center"/>
          </w:tcPr>
          <w:p w14:paraId="21DDCD38" w14:textId="77777777" w:rsidR="003D5A6B" w:rsidRPr="00F1408E" w:rsidRDefault="003D5A6B" w:rsidP="00F1408E">
            <w:pPr>
              <w:pStyle w:val="CDIFigure-Table-BodyTextCentre"/>
              <w:rPr>
                <w:b/>
                <w:bCs/>
              </w:rPr>
            </w:pPr>
            <w:r w:rsidRPr="00F1408E">
              <w:rPr>
                <w:b/>
                <w:bCs/>
              </w:rPr>
              <w:t xml:space="preserve"> 0.05–0.07</w:t>
            </w:r>
          </w:p>
        </w:tc>
      </w:tr>
      <w:tr w:rsidR="00F1408E" w:rsidRPr="003D5A6B" w14:paraId="254633E5" w14:textId="77777777" w:rsidTr="00824584">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61BB0C0C" w14:textId="2C9D2135" w:rsidR="00F1408E" w:rsidRPr="003D5A6B" w:rsidRDefault="00F1408E" w:rsidP="00F1408E">
            <w:pPr>
              <w:pStyle w:val="CDIFigure-Table-BodyTextLeft"/>
            </w:pPr>
            <w:r w:rsidRPr="003D5A6B">
              <w:t>South Australia</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5FCA22F1" w14:textId="77777777" w:rsidR="00F1408E" w:rsidRPr="003D5A6B" w:rsidRDefault="00F1408E" w:rsidP="00F1408E">
            <w:pPr>
              <w:pStyle w:val="CDIFigure-Table-BodyTextCentre"/>
            </w:pPr>
            <w:r w:rsidRPr="003D5A6B">
              <w:t>0–4</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68AB57AE" w14:textId="77777777" w:rsidR="00F1408E" w:rsidRPr="003D5A6B" w:rsidRDefault="00F1408E" w:rsidP="00F1408E">
            <w:pPr>
              <w:pStyle w:val="CDIFigure-Table-BodyTextCentre"/>
            </w:pPr>
            <w:r w:rsidRPr="003D5A6B">
              <w:t>100.1</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104FB024" w14:textId="77777777" w:rsidR="00F1408E" w:rsidRPr="003D5A6B" w:rsidRDefault="00F1408E" w:rsidP="00F1408E">
            <w:pPr>
              <w:pStyle w:val="CDIFigure-Table-BodyTextCentre"/>
            </w:pPr>
            <w:r w:rsidRPr="003D5A6B">
              <w:t>18.3</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5C250734" w14:textId="77777777" w:rsidR="00F1408E" w:rsidRPr="003D5A6B" w:rsidRDefault="00F1408E" w:rsidP="00F1408E">
            <w:pPr>
              <w:pStyle w:val="CDIFigure-Table-BodyTextCentre"/>
            </w:pPr>
            <w:r w:rsidRPr="003D5A6B">
              <w:t>5.1</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13924397" w14:textId="77777777" w:rsidR="00F1408E" w:rsidRPr="003D5A6B" w:rsidRDefault="00F1408E" w:rsidP="00F1408E">
            <w:pPr>
              <w:pStyle w:val="CDIFigure-Table-BodyTextCentre"/>
            </w:pPr>
            <w:r w:rsidRPr="003D5A6B">
              <w:t>0.18</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6D37A855" w14:textId="77777777" w:rsidR="00F1408E" w:rsidRPr="003D5A6B" w:rsidRDefault="00F1408E" w:rsidP="00F1408E">
            <w:pPr>
              <w:pStyle w:val="CDIFigure-Table-BodyTextCentre"/>
            </w:pPr>
            <w:r w:rsidRPr="003D5A6B">
              <w:t xml:space="preserve"> 0.10–0.30</w:t>
            </w:r>
          </w:p>
        </w:tc>
        <w:tc>
          <w:tcPr>
            <w:tcW w:w="1510"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0B41B2BA" w14:textId="77777777" w:rsidR="00F1408E" w:rsidRPr="003D5A6B" w:rsidRDefault="00F1408E" w:rsidP="00F1408E">
            <w:pPr>
              <w:pStyle w:val="CDIFigure-Table-BodyTextCentre"/>
            </w:pPr>
            <w:r w:rsidRPr="003D5A6B">
              <w:t>0.05</w:t>
            </w:r>
          </w:p>
        </w:tc>
        <w:tc>
          <w:tcPr>
            <w:tcW w:w="1509" w:type="dxa"/>
            <w:tcBorders>
              <w:top w:val="single" w:sz="6" w:space="0" w:color="033636" w:themeColor="text2"/>
            </w:tcBorders>
            <w:shd w:val="clear" w:color="auto" w:fill="F2F2F2" w:themeFill="background1" w:themeFillShade="F2"/>
            <w:tcMar>
              <w:top w:w="85" w:type="dxa"/>
              <w:left w:w="113" w:type="dxa"/>
              <w:bottom w:w="85" w:type="dxa"/>
              <w:right w:w="113" w:type="dxa"/>
            </w:tcMar>
            <w:vAlign w:val="center"/>
          </w:tcPr>
          <w:p w14:paraId="72724822" w14:textId="77777777" w:rsidR="00F1408E" w:rsidRPr="003D5A6B" w:rsidRDefault="00F1408E" w:rsidP="00F1408E">
            <w:pPr>
              <w:pStyle w:val="CDIFigure-Table-BodyTextCentre"/>
            </w:pPr>
            <w:r w:rsidRPr="003D5A6B">
              <w:t xml:space="preserve"> 0.02–0.12</w:t>
            </w:r>
          </w:p>
        </w:tc>
      </w:tr>
      <w:tr w:rsidR="00F1408E" w:rsidRPr="003D5A6B" w14:paraId="12DC65FF" w14:textId="77777777" w:rsidTr="00824584">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11418F44" w14:textId="2431FBFF" w:rsidR="00F1408E" w:rsidRPr="003D5A6B" w:rsidRDefault="00F1408E" w:rsidP="00F1408E">
            <w:pPr>
              <w:pStyle w:val="CDIFigure-Table-BodyTextLeft"/>
            </w:pPr>
          </w:p>
        </w:tc>
        <w:tc>
          <w:tcPr>
            <w:tcW w:w="1509" w:type="dxa"/>
            <w:tcMar>
              <w:top w:w="85" w:type="dxa"/>
              <w:left w:w="113" w:type="dxa"/>
              <w:bottom w:w="85" w:type="dxa"/>
              <w:right w:w="113" w:type="dxa"/>
            </w:tcMar>
            <w:vAlign w:val="center"/>
          </w:tcPr>
          <w:p w14:paraId="1B21EA96" w14:textId="77777777" w:rsidR="00F1408E" w:rsidRPr="003D5A6B" w:rsidRDefault="00F1408E" w:rsidP="00F1408E">
            <w:pPr>
              <w:pStyle w:val="CDIFigure-Table-BodyTextCentre"/>
            </w:pPr>
            <w:r w:rsidRPr="003D5A6B">
              <w:t>5–14</w:t>
            </w:r>
          </w:p>
        </w:tc>
        <w:tc>
          <w:tcPr>
            <w:tcW w:w="1510" w:type="dxa"/>
            <w:tcMar>
              <w:top w:w="85" w:type="dxa"/>
              <w:left w:w="113" w:type="dxa"/>
              <w:bottom w:w="85" w:type="dxa"/>
              <w:right w:w="113" w:type="dxa"/>
            </w:tcMar>
            <w:vAlign w:val="center"/>
          </w:tcPr>
          <w:p w14:paraId="7F314FE2" w14:textId="77777777" w:rsidR="00F1408E" w:rsidRPr="003D5A6B" w:rsidRDefault="00F1408E" w:rsidP="00F1408E">
            <w:pPr>
              <w:pStyle w:val="CDIFigure-Table-BodyTextCentre"/>
            </w:pPr>
            <w:r w:rsidRPr="003D5A6B">
              <w:t>159.9</w:t>
            </w:r>
          </w:p>
        </w:tc>
        <w:tc>
          <w:tcPr>
            <w:tcW w:w="1509" w:type="dxa"/>
            <w:tcMar>
              <w:top w:w="85" w:type="dxa"/>
              <w:left w:w="113" w:type="dxa"/>
              <w:bottom w:w="85" w:type="dxa"/>
              <w:right w:w="113" w:type="dxa"/>
            </w:tcMar>
            <w:vAlign w:val="center"/>
          </w:tcPr>
          <w:p w14:paraId="21D297AD" w14:textId="77777777" w:rsidR="00F1408E" w:rsidRPr="003D5A6B" w:rsidRDefault="00F1408E" w:rsidP="00F1408E">
            <w:pPr>
              <w:pStyle w:val="CDIFigure-Table-BodyTextCentre"/>
            </w:pPr>
            <w:r w:rsidRPr="003D5A6B">
              <w:t>21.1</w:t>
            </w:r>
          </w:p>
        </w:tc>
        <w:tc>
          <w:tcPr>
            <w:tcW w:w="1510" w:type="dxa"/>
            <w:tcMar>
              <w:top w:w="85" w:type="dxa"/>
              <w:left w:w="113" w:type="dxa"/>
              <w:bottom w:w="85" w:type="dxa"/>
              <w:right w:w="113" w:type="dxa"/>
            </w:tcMar>
            <w:vAlign w:val="center"/>
          </w:tcPr>
          <w:p w14:paraId="27118404" w14:textId="77777777" w:rsidR="00F1408E" w:rsidRPr="003D5A6B" w:rsidRDefault="00F1408E" w:rsidP="00F1408E">
            <w:pPr>
              <w:pStyle w:val="CDIFigure-Table-BodyTextCentre"/>
            </w:pPr>
            <w:r w:rsidRPr="003D5A6B">
              <w:t>0.5</w:t>
            </w:r>
          </w:p>
        </w:tc>
        <w:tc>
          <w:tcPr>
            <w:tcW w:w="1509" w:type="dxa"/>
            <w:tcMar>
              <w:top w:w="85" w:type="dxa"/>
              <w:left w:w="113" w:type="dxa"/>
              <w:bottom w:w="85" w:type="dxa"/>
              <w:right w:w="113" w:type="dxa"/>
            </w:tcMar>
            <w:vAlign w:val="center"/>
          </w:tcPr>
          <w:p w14:paraId="660261D2" w14:textId="77777777" w:rsidR="00F1408E" w:rsidRPr="003D5A6B" w:rsidRDefault="00F1408E" w:rsidP="00F1408E">
            <w:pPr>
              <w:pStyle w:val="CDIFigure-Table-BodyTextCentre"/>
            </w:pPr>
            <w:r w:rsidRPr="003D5A6B">
              <w:t>0.13</w:t>
            </w:r>
          </w:p>
        </w:tc>
        <w:tc>
          <w:tcPr>
            <w:tcW w:w="1509" w:type="dxa"/>
            <w:tcMar>
              <w:top w:w="85" w:type="dxa"/>
              <w:left w:w="113" w:type="dxa"/>
              <w:bottom w:w="85" w:type="dxa"/>
              <w:right w:w="113" w:type="dxa"/>
            </w:tcMar>
            <w:vAlign w:val="center"/>
          </w:tcPr>
          <w:p w14:paraId="046FA35D" w14:textId="77777777" w:rsidR="00F1408E" w:rsidRPr="003D5A6B" w:rsidRDefault="00F1408E" w:rsidP="00F1408E">
            <w:pPr>
              <w:pStyle w:val="CDIFigure-Table-BodyTextCentre"/>
            </w:pPr>
            <w:r w:rsidRPr="003D5A6B">
              <w:t xml:space="preserve"> 0.10–0.18</w:t>
            </w:r>
          </w:p>
        </w:tc>
        <w:tc>
          <w:tcPr>
            <w:tcW w:w="1510" w:type="dxa"/>
            <w:tcMar>
              <w:top w:w="85" w:type="dxa"/>
              <w:left w:w="113" w:type="dxa"/>
              <w:bottom w:w="85" w:type="dxa"/>
              <w:right w:w="113" w:type="dxa"/>
            </w:tcMar>
            <w:vAlign w:val="center"/>
          </w:tcPr>
          <w:p w14:paraId="49DAD3BE" w14:textId="77777777" w:rsidR="00F1408E" w:rsidRPr="003D5A6B" w:rsidRDefault="00F1408E" w:rsidP="00F1408E">
            <w:pPr>
              <w:pStyle w:val="CDIFigure-Table-BodyTextCentre"/>
            </w:pPr>
            <w:r w:rsidRPr="003D5A6B">
              <w:t>&lt; 0.001</w:t>
            </w:r>
          </w:p>
        </w:tc>
        <w:tc>
          <w:tcPr>
            <w:tcW w:w="1509" w:type="dxa"/>
            <w:tcMar>
              <w:top w:w="85" w:type="dxa"/>
              <w:left w:w="113" w:type="dxa"/>
              <w:bottom w:w="85" w:type="dxa"/>
              <w:right w:w="113" w:type="dxa"/>
            </w:tcMar>
            <w:vAlign w:val="center"/>
          </w:tcPr>
          <w:p w14:paraId="6AF9F943" w14:textId="77777777" w:rsidR="00F1408E" w:rsidRPr="003D5A6B" w:rsidRDefault="00F1408E" w:rsidP="00F1408E">
            <w:pPr>
              <w:pStyle w:val="CDIFigure-Table-BodyTextCentre"/>
            </w:pPr>
            <w:r w:rsidRPr="003D5A6B">
              <w:t xml:space="preserve"> 0.00–0.02</w:t>
            </w:r>
          </w:p>
        </w:tc>
      </w:tr>
      <w:tr w:rsidR="00F1408E" w:rsidRPr="003D5A6B" w14:paraId="091635BC" w14:textId="77777777" w:rsidTr="00824584">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2C41956B" w14:textId="77777777" w:rsidR="00F1408E" w:rsidRPr="003D5A6B" w:rsidRDefault="00F1408E" w:rsidP="00F1408E">
            <w:pPr>
              <w:pStyle w:val="CDIFigure-Table-BodyTextLeft"/>
            </w:pPr>
          </w:p>
        </w:tc>
        <w:tc>
          <w:tcPr>
            <w:tcW w:w="1509" w:type="dxa"/>
            <w:shd w:val="clear" w:color="auto" w:fill="F2F2F2" w:themeFill="background1" w:themeFillShade="F2"/>
            <w:tcMar>
              <w:top w:w="85" w:type="dxa"/>
              <w:left w:w="113" w:type="dxa"/>
              <w:bottom w:w="85" w:type="dxa"/>
              <w:right w:w="113" w:type="dxa"/>
            </w:tcMar>
            <w:vAlign w:val="center"/>
          </w:tcPr>
          <w:p w14:paraId="6B0E0309" w14:textId="77777777" w:rsidR="00F1408E" w:rsidRPr="003D5A6B" w:rsidRDefault="00F1408E" w:rsidP="00F1408E">
            <w:pPr>
              <w:pStyle w:val="CDIFigure-Table-BodyTextCentre"/>
            </w:pPr>
            <w:r w:rsidRPr="003D5A6B">
              <w:t>15–24</w:t>
            </w:r>
          </w:p>
        </w:tc>
        <w:tc>
          <w:tcPr>
            <w:tcW w:w="1510" w:type="dxa"/>
            <w:shd w:val="clear" w:color="auto" w:fill="F2F2F2" w:themeFill="background1" w:themeFillShade="F2"/>
            <w:tcMar>
              <w:top w:w="85" w:type="dxa"/>
              <w:left w:w="113" w:type="dxa"/>
              <w:bottom w:w="85" w:type="dxa"/>
              <w:right w:w="113" w:type="dxa"/>
            </w:tcMar>
            <w:vAlign w:val="center"/>
          </w:tcPr>
          <w:p w14:paraId="13974FF5" w14:textId="77777777" w:rsidR="00F1408E" w:rsidRPr="003D5A6B" w:rsidRDefault="00F1408E" w:rsidP="00F1408E">
            <w:pPr>
              <w:pStyle w:val="CDIFigure-Table-BodyTextCentre"/>
            </w:pPr>
            <w:r w:rsidRPr="003D5A6B">
              <w:t>40.5</w:t>
            </w:r>
          </w:p>
        </w:tc>
        <w:tc>
          <w:tcPr>
            <w:tcW w:w="1509" w:type="dxa"/>
            <w:shd w:val="clear" w:color="auto" w:fill="F2F2F2" w:themeFill="background1" w:themeFillShade="F2"/>
            <w:tcMar>
              <w:top w:w="85" w:type="dxa"/>
              <w:left w:w="113" w:type="dxa"/>
              <w:bottom w:w="85" w:type="dxa"/>
              <w:right w:w="113" w:type="dxa"/>
            </w:tcMar>
            <w:vAlign w:val="center"/>
          </w:tcPr>
          <w:p w14:paraId="2EE31BD5" w14:textId="77777777" w:rsidR="00F1408E" w:rsidRPr="003D5A6B" w:rsidRDefault="00F1408E" w:rsidP="00F1408E">
            <w:pPr>
              <w:pStyle w:val="CDIFigure-Table-BodyTextCentre"/>
            </w:pPr>
            <w:r w:rsidRPr="003D5A6B">
              <w:t>21.6</w:t>
            </w:r>
          </w:p>
        </w:tc>
        <w:tc>
          <w:tcPr>
            <w:tcW w:w="1510" w:type="dxa"/>
            <w:shd w:val="clear" w:color="auto" w:fill="F2F2F2" w:themeFill="background1" w:themeFillShade="F2"/>
            <w:tcMar>
              <w:top w:w="85" w:type="dxa"/>
              <w:left w:w="113" w:type="dxa"/>
              <w:bottom w:w="85" w:type="dxa"/>
              <w:right w:w="113" w:type="dxa"/>
            </w:tcMar>
            <w:vAlign w:val="center"/>
          </w:tcPr>
          <w:p w14:paraId="59AF8C33" w14:textId="77777777" w:rsidR="00F1408E" w:rsidRPr="003D5A6B" w:rsidRDefault="00F1408E" w:rsidP="00F1408E">
            <w:pPr>
              <w:pStyle w:val="CDIFigure-Table-BodyTextCentre"/>
            </w:pPr>
            <w:r w:rsidRPr="003D5A6B">
              <w:t>0.5</w:t>
            </w:r>
          </w:p>
        </w:tc>
        <w:tc>
          <w:tcPr>
            <w:tcW w:w="1509" w:type="dxa"/>
            <w:shd w:val="clear" w:color="auto" w:fill="F2F2F2" w:themeFill="background1" w:themeFillShade="F2"/>
            <w:tcMar>
              <w:top w:w="85" w:type="dxa"/>
              <w:left w:w="113" w:type="dxa"/>
              <w:bottom w:w="85" w:type="dxa"/>
              <w:right w:w="113" w:type="dxa"/>
            </w:tcMar>
            <w:vAlign w:val="center"/>
          </w:tcPr>
          <w:p w14:paraId="3EA267DB" w14:textId="77777777" w:rsidR="00F1408E" w:rsidRPr="003D5A6B" w:rsidRDefault="00F1408E" w:rsidP="00F1408E">
            <w:pPr>
              <w:pStyle w:val="CDIFigure-Table-BodyTextCentre"/>
            </w:pPr>
            <w:r w:rsidRPr="003D5A6B">
              <w:t>0.53</w:t>
            </w:r>
          </w:p>
        </w:tc>
        <w:tc>
          <w:tcPr>
            <w:tcW w:w="1509" w:type="dxa"/>
            <w:shd w:val="clear" w:color="auto" w:fill="F2F2F2" w:themeFill="background1" w:themeFillShade="F2"/>
            <w:tcMar>
              <w:top w:w="85" w:type="dxa"/>
              <w:left w:w="113" w:type="dxa"/>
              <w:bottom w:w="85" w:type="dxa"/>
              <w:right w:w="113" w:type="dxa"/>
            </w:tcMar>
            <w:vAlign w:val="center"/>
          </w:tcPr>
          <w:p w14:paraId="7777028A" w14:textId="77777777" w:rsidR="00F1408E" w:rsidRPr="003D5A6B" w:rsidRDefault="00F1408E" w:rsidP="00F1408E">
            <w:pPr>
              <w:pStyle w:val="CDIFigure-Table-BodyTextCentre"/>
            </w:pPr>
            <w:r w:rsidRPr="003D5A6B">
              <w:t xml:space="preserve"> 0.37–0.77</w:t>
            </w:r>
          </w:p>
        </w:tc>
        <w:tc>
          <w:tcPr>
            <w:tcW w:w="1510" w:type="dxa"/>
            <w:shd w:val="clear" w:color="auto" w:fill="F2F2F2" w:themeFill="background1" w:themeFillShade="F2"/>
            <w:tcMar>
              <w:top w:w="85" w:type="dxa"/>
              <w:left w:w="113" w:type="dxa"/>
              <w:bottom w:w="85" w:type="dxa"/>
              <w:right w:w="113" w:type="dxa"/>
            </w:tcMar>
            <w:vAlign w:val="center"/>
          </w:tcPr>
          <w:p w14:paraId="2BA95B00" w14:textId="77777777" w:rsidR="00F1408E" w:rsidRPr="003D5A6B" w:rsidRDefault="00F1408E" w:rsidP="00F1408E">
            <w:pPr>
              <w:pStyle w:val="CDIFigure-Table-BodyTextCentre"/>
            </w:pPr>
            <w:r w:rsidRPr="003D5A6B">
              <w:t>0.01</w:t>
            </w:r>
          </w:p>
        </w:tc>
        <w:tc>
          <w:tcPr>
            <w:tcW w:w="1509" w:type="dxa"/>
            <w:shd w:val="clear" w:color="auto" w:fill="F2F2F2" w:themeFill="background1" w:themeFillShade="F2"/>
            <w:tcMar>
              <w:top w:w="85" w:type="dxa"/>
              <w:left w:w="113" w:type="dxa"/>
              <w:bottom w:w="85" w:type="dxa"/>
              <w:right w:w="113" w:type="dxa"/>
            </w:tcMar>
            <w:vAlign w:val="center"/>
          </w:tcPr>
          <w:p w14:paraId="1B14D403" w14:textId="77777777" w:rsidR="00F1408E" w:rsidRPr="003D5A6B" w:rsidRDefault="00F1408E" w:rsidP="00F1408E">
            <w:pPr>
              <w:pStyle w:val="CDIFigure-Table-BodyTextCentre"/>
            </w:pPr>
            <w:r w:rsidRPr="003D5A6B">
              <w:t xml:space="preserve"> 0.00–0.07</w:t>
            </w:r>
          </w:p>
        </w:tc>
      </w:tr>
      <w:tr w:rsidR="00F1408E" w:rsidRPr="003D5A6B" w14:paraId="65B5D1A1" w14:textId="77777777" w:rsidTr="00824584">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34181B14" w14:textId="77777777" w:rsidR="00F1408E" w:rsidRPr="003D5A6B" w:rsidRDefault="00F1408E" w:rsidP="00F1408E">
            <w:pPr>
              <w:pStyle w:val="CDIFigure-Table-BodyTextLeft"/>
            </w:pPr>
          </w:p>
        </w:tc>
        <w:tc>
          <w:tcPr>
            <w:tcW w:w="1509" w:type="dxa"/>
            <w:tcMar>
              <w:top w:w="88" w:type="dxa"/>
              <w:left w:w="113" w:type="dxa"/>
              <w:bottom w:w="88" w:type="dxa"/>
              <w:right w:w="113" w:type="dxa"/>
            </w:tcMar>
            <w:vAlign w:val="center"/>
          </w:tcPr>
          <w:p w14:paraId="1BD3A76F" w14:textId="77777777" w:rsidR="00F1408E" w:rsidRPr="003D5A6B" w:rsidRDefault="00F1408E" w:rsidP="00F1408E">
            <w:pPr>
              <w:pStyle w:val="CDIFigure-Table-BodyTextCentre"/>
            </w:pPr>
            <w:r w:rsidRPr="003D5A6B">
              <w:t>25–69</w:t>
            </w:r>
          </w:p>
        </w:tc>
        <w:tc>
          <w:tcPr>
            <w:tcW w:w="1510" w:type="dxa"/>
            <w:tcMar>
              <w:top w:w="88" w:type="dxa"/>
              <w:left w:w="113" w:type="dxa"/>
              <w:bottom w:w="88" w:type="dxa"/>
              <w:right w:w="113" w:type="dxa"/>
            </w:tcMar>
            <w:vAlign w:val="center"/>
          </w:tcPr>
          <w:p w14:paraId="21CB06A6" w14:textId="77777777" w:rsidR="00F1408E" w:rsidRPr="003D5A6B" w:rsidRDefault="00F1408E" w:rsidP="00F1408E">
            <w:pPr>
              <w:pStyle w:val="CDIFigure-Table-BodyTextCentre"/>
            </w:pPr>
            <w:r w:rsidRPr="003D5A6B">
              <w:t>33.4</w:t>
            </w:r>
          </w:p>
        </w:tc>
        <w:tc>
          <w:tcPr>
            <w:tcW w:w="1509" w:type="dxa"/>
            <w:tcMar>
              <w:top w:w="88" w:type="dxa"/>
              <w:left w:w="113" w:type="dxa"/>
              <w:bottom w:w="88" w:type="dxa"/>
              <w:right w:w="113" w:type="dxa"/>
            </w:tcMar>
            <w:vAlign w:val="center"/>
          </w:tcPr>
          <w:p w14:paraId="04CAC010" w14:textId="77777777" w:rsidR="00F1408E" w:rsidRPr="003D5A6B" w:rsidRDefault="00F1408E" w:rsidP="00F1408E">
            <w:pPr>
              <w:pStyle w:val="CDIFigure-Table-BodyTextCentre"/>
            </w:pPr>
            <w:r w:rsidRPr="003D5A6B">
              <w:t>15.8</w:t>
            </w:r>
          </w:p>
        </w:tc>
        <w:tc>
          <w:tcPr>
            <w:tcW w:w="1510" w:type="dxa"/>
            <w:tcMar>
              <w:top w:w="88" w:type="dxa"/>
              <w:left w:w="113" w:type="dxa"/>
              <w:bottom w:w="88" w:type="dxa"/>
              <w:right w:w="113" w:type="dxa"/>
            </w:tcMar>
            <w:vAlign w:val="center"/>
          </w:tcPr>
          <w:p w14:paraId="7136CA4D" w14:textId="77777777" w:rsidR="00F1408E" w:rsidRPr="003D5A6B" w:rsidRDefault="00F1408E" w:rsidP="00F1408E">
            <w:pPr>
              <w:pStyle w:val="CDIFigure-Table-BodyTextCentre"/>
            </w:pPr>
            <w:r w:rsidRPr="003D5A6B">
              <w:t>1.7</w:t>
            </w:r>
          </w:p>
        </w:tc>
        <w:tc>
          <w:tcPr>
            <w:tcW w:w="1509" w:type="dxa"/>
            <w:tcMar>
              <w:top w:w="88" w:type="dxa"/>
              <w:left w:w="113" w:type="dxa"/>
              <w:bottom w:w="88" w:type="dxa"/>
              <w:right w:w="113" w:type="dxa"/>
            </w:tcMar>
            <w:vAlign w:val="center"/>
          </w:tcPr>
          <w:p w14:paraId="5DFBD76B" w14:textId="77777777" w:rsidR="00F1408E" w:rsidRPr="003D5A6B" w:rsidRDefault="00F1408E" w:rsidP="00F1408E">
            <w:pPr>
              <w:pStyle w:val="CDIFigure-Table-BodyTextCentre"/>
            </w:pPr>
            <w:r w:rsidRPr="003D5A6B">
              <w:t>0.47</w:t>
            </w:r>
          </w:p>
        </w:tc>
        <w:tc>
          <w:tcPr>
            <w:tcW w:w="1509" w:type="dxa"/>
            <w:tcMar>
              <w:top w:w="88" w:type="dxa"/>
              <w:left w:w="113" w:type="dxa"/>
              <w:bottom w:w="88" w:type="dxa"/>
              <w:right w:w="113" w:type="dxa"/>
            </w:tcMar>
            <w:vAlign w:val="center"/>
          </w:tcPr>
          <w:p w14:paraId="21840FFF" w14:textId="77777777" w:rsidR="00F1408E" w:rsidRPr="003D5A6B" w:rsidRDefault="00F1408E" w:rsidP="00F1408E">
            <w:pPr>
              <w:pStyle w:val="CDIFigure-Table-BodyTextCentre"/>
            </w:pPr>
            <w:r w:rsidRPr="003D5A6B">
              <w:t xml:space="preserve"> 0.39–0.57</w:t>
            </w:r>
          </w:p>
        </w:tc>
        <w:tc>
          <w:tcPr>
            <w:tcW w:w="1510" w:type="dxa"/>
            <w:tcMar>
              <w:top w:w="88" w:type="dxa"/>
              <w:left w:w="113" w:type="dxa"/>
              <w:bottom w:w="88" w:type="dxa"/>
              <w:right w:w="113" w:type="dxa"/>
            </w:tcMar>
            <w:vAlign w:val="center"/>
          </w:tcPr>
          <w:p w14:paraId="6266613B" w14:textId="77777777" w:rsidR="00F1408E" w:rsidRPr="003D5A6B" w:rsidRDefault="00F1408E" w:rsidP="00F1408E">
            <w:pPr>
              <w:pStyle w:val="CDIFigure-Table-BodyTextCentre"/>
            </w:pPr>
            <w:r w:rsidRPr="003D5A6B">
              <w:t>0.05</w:t>
            </w:r>
          </w:p>
        </w:tc>
        <w:tc>
          <w:tcPr>
            <w:tcW w:w="1509" w:type="dxa"/>
            <w:tcMar>
              <w:top w:w="88" w:type="dxa"/>
              <w:left w:w="113" w:type="dxa"/>
              <w:bottom w:w="88" w:type="dxa"/>
              <w:right w:w="113" w:type="dxa"/>
            </w:tcMar>
            <w:vAlign w:val="center"/>
          </w:tcPr>
          <w:p w14:paraId="0CAD0C19" w14:textId="77777777" w:rsidR="00F1408E" w:rsidRPr="003D5A6B" w:rsidRDefault="00F1408E" w:rsidP="00F1408E">
            <w:pPr>
              <w:pStyle w:val="CDIFigure-Table-BodyTextCentre"/>
            </w:pPr>
            <w:r w:rsidRPr="003D5A6B">
              <w:t xml:space="preserve"> 0.03–0.08</w:t>
            </w:r>
          </w:p>
        </w:tc>
      </w:tr>
      <w:tr w:rsidR="00F1408E" w:rsidRPr="003D5A6B" w14:paraId="477CC1E5" w14:textId="77777777" w:rsidTr="00824584">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0B37F052" w14:textId="77777777" w:rsidR="00F1408E" w:rsidRPr="003D5A6B" w:rsidRDefault="00F1408E" w:rsidP="00F1408E">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7C0B43AA" w14:textId="77777777" w:rsidR="00F1408E" w:rsidRPr="003D5A6B" w:rsidRDefault="00F1408E" w:rsidP="00F1408E">
            <w:pPr>
              <w:pStyle w:val="CDIFigure-Table-BodyTextCentre"/>
            </w:pPr>
            <w:r w:rsidRPr="003D5A6B">
              <w:t>≥ 70</w:t>
            </w:r>
          </w:p>
        </w:tc>
        <w:tc>
          <w:tcPr>
            <w:tcW w:w="1510" w:type="dxa"/>
            <w:shd w:val="clear" w:color="auto" w:fill="F2F2F2" w:themeFill="background1" w:themeFillShade="F2"/>
            <w:tcMar>
              <w:top w:w="88" w:type="dxa"/>
              <w:left w:w="113" w:type="dxa"/>
              <w:bottom w:w="88" w:type="dxa"/>
              <w:right w:w="113" w:type="dxa"/>
            </w:tcMar>
            <w:vAlign w:val="center"/>
          </w:tcPr>
          <w:p w14:paraId="572FD4B5" w14:textId="77777777" w:rsidR="00F1408E" w:rsidRPr="003D5A6B" w:rsidRDefault="00F1408E" w:rsidP="00F1408E">
            <w:pPr>
              <w:pStyle w:val="CDIFigure-Table-BodyTextCentre"/>
            </w:pPr>
            <w:r w:rsidRPr="003D5A6B">
              <w:t>27.2</w:t>
            </w:r>
          </w:p>
        </w:tc>
        <w:tc>
          <w:tcPr>
            <w:tcW w:w="1509" w:type="dxa"/>
            <w:shd w:val="clear" w:color="auto" w:fill="F2F2F2" w:themeFill="background1" w:themeFillShade="F2"/>
            <w:tcMar>
              <w:top w:w="88" w:type="dxa"/>
              <w:left w:w="113" w:type="dxa"/>
              <w:bottom w:w="88" w:type="dxa"/>
              <w:right w:w="113" w:type="dxa"/>
            </w:tcMar>
            <w:vAlign w:val="center"/>
          </w:tcPr>
          <w:p w14:paraId="60FFF8A5" w14:textId="77777777" w:rsidR="00F1408E" w:rsidRPr="003D5A6B" w:rsidRDefault="00F1408E" w:rsidP="00F1408E">
            <w:pPr>
              <w:pStyle w:val="CDIFigure-Table-BodyTextCentre"/>
            </w:pPr>
            <w:r w:rsidRPr="003D5A6B">
              <w:t>6.6</w:t>
            </w:r>
          </w:p>
        </w:tc>
        <w:tc>
          <w:tcPr>
            <w:tcW w:w="1510" w:type="dxa"/>
            <w:shd w:val="clear" w:color="auto" w:fill="F2F2F2" w:themeFill="background1" w:themeFillShade="F2"/>
            <w:tcMar>
              <w:top w:w="88" w:type="dxa"/>
              <w:left w:w="113" w:type="dxa"/>
              <w:bottom w:w="88" w:type="dxa"/>
              <w:right w:w="113" w:type="dxa"/>
            </w:tcMar>
            <w:vAlign w:val="center"/>
          </w:tcPr>
          <w:p w14:paraId="56F2CA6D" w14:textId="77777777" w:rsidR="00F1408E" w:rsidRPr="003D5A6B" w:rsidRDefault="00F1408E" w:rsidP="00F1408E">
            <w:pPr>
              <w:pStyle w:val="CDIFigure-Table-BodyTextCentre"/>
            </w:pPr>
            <w:r w:rsidRPr="003D5A6B">
              <w:t>3.2</w:t>
            </w:r>
          </w:p>
        </w:tc>
        <w:tc>
          <w:tcPr>
            <w:tcW w:w="1509" w:type="dxa"/>
            <w:shd w:val="clear" w:color="auto" w:fill="F2F2F2" w:themeFill="background1" w:themeFillShade="F2"/>
            <w:tcMar>
              <w:top w:w="88" w:type="dxa"/>
              <w:left w:w="113" w:type="dxa"/>
              <w:bottom w:w="88" w:type="dxa"/>
              <w:right w:w="113" w:type="dxa"/>
            </w:tcMar>
            <w:vAlign w:val="center"/>
          </w:tcPr>
          <w:p w14:paraId="3B4C946F" w14:textId="77777777" w:rsidR="00F1408E" w:rsidRPr="003D5A6B" w:rsidRDefault="00F1408E" w:rsidP="00F1408E">
            <w:pPr>
              <w:pStyle w:val="CDIFigure-Table-BodyTextCentre"/>
            </w:pPr>
            <w:r w:rsidRPr="003D5A6B">
              <w:t>0.25</w:t>
            </w:r>
          </w:p>
        </w:tc>
        <w:tc>
          <w:tcPr>
            <w:tcW w:w="1509" w:type="dxa"/>
            <w:shd w:val="clear" w:color="auto" w:fill="F2F2F2" w:themeFill="background1" w:themeFillShade="F2"/>
            <w:tcMar>
              <w:top w:w="88" w:type="dxa"/>
              <w:left w:w="113" w:type="dxa"/>
              <w:bottom w:w="88" w:type="dxa"/>
              <w:right w:w="113" w:type="dxa"/>
            </w:tcMar>
            <w:vAlign w:val="center"/>
          </w:tcPr>
          <w:p w14:paraId="03E74231" w14:textId="77777777" w:rsidR="00F1408E" w:rsidRPr="003D5A6B" w:rsidRDefault="00F1408E" w:rsidP="00F1408E">
            <w:pPr>
              <w:pStyle w:val="CDIFigure-Table-BodyTextCentre"/>
            </w:pPr>
            <w:r w:rsidRPr="003D5A6B">
              <w:t xml:space="preserve"> 0.13–0.43</w:t>
            </w:r>
          </w:p>
        </w:tc>
        <w:tc>
          <w:tcPr>
            <w:tcW w:w="1510" w:type="dxa"/>
            <w:shd w:val="clear" w:color="auto" w:fill="F2F2F2" w:themeFill="background1" w:themeFillShade="F2"/>
            <w:tcMar>
              <w:top w:w="88" w:type="dxa"/>
              <w:left w:w="113" w:type="dxa"/>
              <w:bottom w:w="88" w:type="dxa"/>
              <w:right w:w="113" w:type="dxa"/>
            </w:tcMar>
            <w:vAlign w:val="center"/>
          </w:tcPr>
          <w:p w14:paraId="59E2F970" w14:textId="77777777" w:rsidR="00F1408E" w:rsidRPr="003D5A6B" w:rsidRDefault="00F1408E" w:rsidP="00F1408E">
            <w:pPr>
              <w:pStyle w:val="CDIFigure-Table-BodyTextCentre"/>
            </w:pPr>
            <w:r w:rsidRPr="003D5A6B">
              <w:t>0.12</w:t>
            </w:r>
          </w:p>
        </w:tc>
        <w:tc>
          <w:tcPr>
            <w:tcW w:w="1509" w:type="dxa"/>
            <w:shd w:val="clear" w:color="auto" w:fill="F2F2F2" w:themeFill="background1" w:themeFillShade="F2"/>
            <w:tcMar>
              <w:top w:w="88" w:type="dxa"/>
              <w:left w:w="113" w:type="dxa"/>
              <w:bottom w:w="88" w:type="dxa"/>
              <w:right w:w="113" w:type="dxa"/>
            </w:tcMar>
            <w:vAlign w:val="center"/>
          </w:tcPr>
          <w:p w14:paraId="73881AE5" w14:textId="77777777" w:rsidR="00F1408E" w:rsidRPr="003D5A6B" w:rsidRDefault="00F1408E" w:rsidP="00F1408E">
            <w:pPr>
              <w:pStyle w:val="CDIFigure-Table-BodyTextCentre"/>
            </w:pPr>
            <w:r w:rsidRPr="003D5A6B">
              <w:t xml:space="preserve"> 0.05–0.25</w:t>
            </w:r>
          </w:p>
        </w:tc>
      </w:tr>
      <w:tr w:rsidR="00F1408E" w:rsidRPr="003D5A6B" w14:paraId="6DB1C705" w14:textId="77777777" w:rsidTr="00824584">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18274E07" w14:textId="77777777" w:rsidR="00F1408E" w:rsidRPr="003D5A6B" w:rsidRDefault="00F1408E" w:rsidP="00F1408E">
            <w:pPr>
              <w:pStyle w:val="CDIFigure-Table-BodyTextLeft"/>
            </w:pPr>
          </w:p>
        </w:tc>
        <w:tc>
          <w:tcPr>
            <w:tcW w:w="1509" w:type="dxa"/>
            <w:tcBorders>
              <w:bottom w:val="single" w:sz="6" w:space="0" w:color="033636" w:themeColor="text2"/>
            </w:tcBorders>
            <w:tcMar>
              <w:top w:w="88" w:type="dxa"/>
              <w:left w:w="113" w:type="dxa"/>
              <w:bottom w:w="88" w:type="dxa"/>
              <w:right w:w="113" w:type="dxa"/>
            </w:tcMar>
            <w:vAlign w:val="center"/>
          </w:tcPr>
          <w:p w14:paraId="36E9223C" w14:textId="77777777" w:rsidR="00F1408E" w:rsidRPr="00F1408E" w:rsidRDefault="00F1408E" w:rsidP="00F1408E">
            <w:pPr>
              <w:pStyle w:val="CDIFigure-Table-BodyTextCentre"/>
              <w:rPr>
                <w:b/>
                <w:bCs/>
              </w:rPr>
            </w:pPr>
            <w:r w:rsidRPr="00F1408E">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28D31A69" w14:textId="77777777" w:rsidR="00F1408E" w:rsidRPr="00F1408E" w:rsidRDefault="00F1408E" w:rsidP="00F1408E">
            <w:pPr>
              <w:pStyle w:val="CDIFigure-Table-BodyTextCentre"/>
              <w:rPr>
                <w:b/>
                <w:bCs/>
              </w:rPr>
            </w:pPr>
            <w:r w:rsidRPr="00F1408E">
              <w:rPr>
                <w:b/>
                <w:bCs/>
              </w:rPr>
              <w:t>52.6</w:t>
            </w:r>
          </w:p>
        </w:tc>
        <w:tc>
          <w:tcPr>
            <w:tcW w:w="1509" w:type="dxa"/>
            <w:tcBorders>
              <w:bottom w:val="single" w:sz="6" w:space="0" w:color="033636" w:themeColor="text2"/>
            </w:tcBorders>
            <w:tcMar>
              <w:top w:w="88" w:type="dxa"/>
              <w:left w:w="113" w:type="dxa"/>
              <w:bottom w:w="88" w:type="dxa"/>
              <w:right w:w="113" w:type="dxa"/>
            </w:tcMar>
            <w:vAlign w:val="center"/>
          </w:tcPr>
          <w:p w14:paraId="45A8F3FA" w14:textId="77777777" w:rsidR="00F1408E" w:rsidRPr="00F1408E" w:rsidRDefault="00F1408E" w:rsidP="00F1408E">
            <w:pPr>
              <w:pStyle w:val="CDIFigure-Table-BodyTextCentre"/>
              <w:rPr>
                <w:b/>
                <w:bCs/>
              </w:rPr>
            </w:pPr>
            <w:r w:rsidRPr="00F1408E">
              <w:rPr>
                <w:b/>
                <w:bCs/>
              </w:rPr>
              <w:t>16.2</w:t>
            </w:r>
          </w:p>
        </w:tc>
        <w:tc>
          <w:tcPr>
            <w:tcW w:w="1510" w:type="dxa"/>
            <w:tcBorders>
              <w:bottom w:val="single" w:sz="6" w:space="0" w:color="033636" w:themeColor="text2"/>
            </w:tcBorders>
            <w:tcMar>
              <w:top w:w="88" w:type="dxa"/>
              <w:left w:w="113" w:type="dxa"/>
              <w:bottom w:w="88" w:type="dxa"/>
              <w:right w:w="113" w:type="dxa"/>
            </w:tcMar>
            <w:vAlign w:val="center"/>
          </w:tcPr>
          <w:p w14:paraId="7DA4A2BF" w14:textId="77777777" w:rsidR="00F1408E" w:rsidRPr="00F1408E" w:rsidRDefault="00F1408E" w:rsidP="00F1408E">
            <w:pPr>
              <w:pStyle w:val="CDIFigure-Table-BodyTextCentre"/>
              <w:rPr>
                <w:b/>
                <w:bCs/>
              </w:rPr>
            </w:pPr>
            <w:r w:rsidRPr="00F1408E">
              <w:rPr>
                <w:b/>
                <w:bCs/>
              </w:rPr>
              <w:t>1.8</w:t>
            </w:r>
          </w:p>
        </w:tc>
        <w:tc>
          <w:tcPr>
            <w:tcW w:w="1509" w:type="dxa"/>
            <w:tcBorders>
              <w:bottom w:val="single" w:sz="6" w:space="0" w:color="033636" w:themeColor="text2"/>
            </w:tcBorders>
            <w:tcMar>
              <w:top w:w="88" w:type="dxa"/>
              <w:left w:w="113" w:type="dxa"/>
              <w:bottom w:w="88" w:type="dxa"/>
              <w:right w:w="113" w:type="dxa"/>
            </w:tcMar>
            <w:vAlign w:val="center"/>
          </w:tcPr>
          <w:p w14:paraId="30046CED" w14:textId="77777777" w:rsidR="00F1408E" w:rsidRPr="00F1408E" w:rsidRDefault="00F1408E" w:rsidP="00F1408E">
            <w:pPr>
              <w:pStyle w:val="CDIFigure-Table-BodyTextCentre"/>
              <w:rPr>
                <w:b/>
                <w:bCs/>
              </w:rPr>
            </w:pPr>
            <w:r w:rsidRPr="00F1408E">
              <w:rPr>
                <w:b/>
                <w:bCs/>
              </w:rPr>
              <w:t>0.31</w:t>
            </w:r>
          </w:p>
        </w:tc>
        <w:tc>
          <w:tcPr>
            <w:tcW w:w="1509" w:type="dxa"/>
            <w:tcBorders>
              <w:bottom w:val="single" w:sz="6" w:space="0" w:color="033636" w:themeColor="text2"/>
            </w:tcBorders>
            <w:tcMar>
              <w:top w:w="88" w:type="dxa"/>
              <w:left w:w="113" w:type="dxa"/>
              <w:bottom w:w="88" w:type="dxa"/>
              <w:right w:w="113" w:type="dxa"/>
            </w:tcMar>
            <w:vAlign w:val="center"/>
          </w:tcPr>
          <w:p w14:paraId="34D39D89" w14:textId="77777777" w:rsidR="00F1408E" w:rsidRPr="00F1408E" w:rsidRDefault="00F1408E" w:rsidP="00F1408E">
            <w:pPr>
              <w:pStyle w:val="CDIFigure-Table-BodyTextCentre"/>
              <w:rPr>
                <w:b/>
                <w:bCs/>
              </w:rPr>
            </w:pPr>
            <w:r w:rsidRPr="00F1408E">
              <w:rPr>
                <w:b/>
                <w:bCs/>
              </w:rPr>
              <w:t xml:space="preserve"> 0.27–0.35</w:t>
            </w:r>
          </w:p>
        </w:tc>
        <w:tc>
          <w:tcPr>
            <w:tcW w:w="1510" w:type="dxa"/>
            <w:tcBorders>
              <w:bottom w:val="single" w:sz="6" w:space="0" w:color="033636" w:themeColor="text2"/>
            </w:tcBorders>
            <w:tcMar>
              <w:top w:w="88" w:type="dxa"/>
              <w:left w:w="113" w:type="dxa"/>
              <w:bottom w:w="88" w:type="dxa"/>
              <w:right w:w="113" w:type="dxa"/>
            </w:tcMar>
            <w:vAlign w:val="center"/>
          </w:tcPr>
          <w:p w14:paraId="354F57A7" w14:textId="77777777" w:rsidR="00F1408E" w:rsidRPr="00F1408E" w:rsidRDefault="00F1408E" w:rsidP="00F1408E">
            <w:pPr>
              <w:pStyle w:val="CDIFigure-Table-BodyTextCentre"/>
              <w:rPr>
                <w:b/>
                <w:bCs/>
              </w:rPr>
            </w:pPr>
            <w:r w:rsidRPr="00F1408E">
              <w:rPr>
                <w:b/>
                <w:bCs/>
              </w:rPr>
              <w:t>0.03</w:t>
            </w:r>
          </w:p>
        </w:tc>
        <w:tc>
          <w:tcPr>
            <w:tcW w:w="1509" w:type="dxa"/>
            <w:tcBorders>
              <w:bottom w:val="single" w:sz="6" w:space="0" w:color="033636" w:themeColor="text2"/>
            </w:tcBorders>
            <w:tcMar>
              <w:top w:w="88" w:type="dxa"/>
              <w:left w:w="113" w:type="dxa"/>
              <w:bottom w:w="88" w:type="dxa"/>
              <w:right w:w="113" w:type="dxa"/>
            </w:tcMar>
            <w:vAlign w:val="center"/>
          </w:tcPr>
          <w:p w14:paraId="3FE27510" w14:textId="77777777" w:rsidR="00F1408E" w:rsidRPr="00F1408E" w:rsidRDefault="00F1408E" w:rsidP="00F1408E">
            <w:pPr>
              <w:pStyle w:val="CDIFigure-Table-BodyTextCentre"/>
              <w:rPr>
                <w:b/>
                <w:bCs/>
              </w:rPr>
            </w:pPr>
            <w:r w:rsidRPr="00F1408E">
              <w:rPr>
                <w:b/>
                <w:bCs/>
              </w:rPr>
              <w:t xml:space="preserve"> 0.02–0.05</w:t>
            </w:r>
          </w:p>
        </w:tc>
      </w:tr>
      <w:tr w:rsidR="006A4AE7" w:rsidRPr="003D5A6B" w14:paraId="74FE2785" w14:textId="77777777" w:rsidTr="00824584">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582CED59" w14:textId="77777777" w:rsidR="003D5A6B" w:rsidRPr="003D5A6B" w:rsidRDefault="003D5A6B" w:rsidP="00F1408E">
            <w:pPr>
              <w:pStyle w:val="CDIFigure-Table-BodyTextLeft"/>
            </w:pPr>
            <w:r w:rsidRPr="003D5A6B">
              <w:t>Tasmania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E9A43C7" w14:textId="77777777" w:rsidR="003D5A6B" w:rsidRPr="003D5A6B" w:rsidRDefault="003D5A6B" w:rsidP="00F1408E">
            <w:pPr>
              <w:pStyle w:val="CDIFigure-Table-BodyTextCentre"/>
            </w:pPr>
            <w:r w:rsidRPr="003D5A6B">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F26F7F9" w14:textId="77777777" w:rsidR="003D5A6B" w:rsidRPr="003D5A6B" w:rsidRDefault="003D5A6B" w:rsidP="00F1408E">
            <w:pPr>
              <w:pStyle w:val="CDIFigure-Table-BodyTextCentre"/>
            </w:pPr>
            <w:r w:rsidRPr="003D5A6B">
              <w:t>118.0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6503B44B" w14:textId="77777777" w:rsidR="003D5A6B" w:rsidRPr="003D5A6B" w:rsidRDefault="003D5A6B" w:rsidP="00F1408E">
            <w:pPr>
              <w:pStyle w:val="CDIFigure-Table-BodyTextCentre"/>
            </w:pPr>
            <w:r w:rsidRPr="003D5A6B">
              <w:t>40.5</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A287ADC" w14:textId="77777777" w:rsidR="003D5A6B" w:rsidRPr="003D5A6B" w:rsidRDefault="003D5A6B" w:rsidP="00F1408E">
            <w:pPr>
              <w:pStyle w:val="CDIFigure-Table-BodyTextCentre"/>
            </w:pPr>
            <w:r w:rsidRPr="003D5A6B">
              <w:t>0.0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DFE2D0D" w14:textId="77777777" w:rsidR="003D5A6B" w:rsidRPr="003D5A6B" w:rsidRDefault="003D5A6B" w:rsidP="00F1408E">
            <w:pPr>
              <w:pStyle w:val="CDIFigure-Table-BodyTextCentre"/>
            </w:pPr>
            <w:r w:rsidRPr="003D5A6B">
              <w:t>0.34</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B133179" w14:textId="77777777" w:rsidR="003D5A6B" w:rsidRPr="003D5A6B" w:rsidRDefault="003D5A6B" w:rsidP="00F1408E">
            <w:pPr>
              <w:pStyle w:val="CDIFigure-Table-BodyTextCentre"/>
            </w:pPr>
            <w:r w:rsidRPr="003D5A6B">
              <w:t xml:space="preserve"> 0.16–0.68</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A5DE26C" w14:textId="77777777" w:rsidR="003D5A6B" w:rsidRPr="003D5A6B" w:rsidRDefault="003D5A6B" w:rsidP="00F1408E">
            <w:pPr>
              <w:pStyle w:val="CDIFigure-Table-BodyTextCentre"/>
            </w:pPr>
            <w:r w:rsidRPr="003D5A6B">
              <w:t>&lt; 0.001</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6EC41FA0" w14:textId="77777777" w:rsidR="003D5A6B" w:rsidRPr="003D5A6B" w:rsidRDefault="003D5A6B" w:rsidP="00F1408E">
            <w:pPr>
              <w:pStyle w:val="CDIFigure-Table-BodyTextCentre"/>
            </w:pPr>
            <w:r w:rsidRPr="003D5A6B">
              <w:t xml:space="preserve"> 0.00–0.11</w:t>
            </w:r>
          </w:p>
        </w:tc>
      </w:tr>
      <w:tr w:rsidR="003D5A6B" w:rsidRPr="003D5A6B" w14:paraId="58D8F447"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553F16D2" w14:textId="77777777" w:rsidR="003D5A6B" w:rsidRPr="003D5A6B" w:rsidRDefault="003D5A6B" w:rsidP="003D5A6B"/>
        </w:tc>
        <w:tc>
          <w:tcPr>
            <w:tcW w:w="1509" w:type="dxa"/>
            <w:tcMar>
              <w:top w:w="88" w:type="dxa"/>
              <w:left w:w="113" w:type="dxa"/>
              <w:bottom w:w="88" w:type="dxa"/>
              <w:right w:w="113" w:type="dxa"/>
            </w:tcMar>
            <w:vAlign w:val="center"/>
          </w:tcPr>
          <w:p w14:paraId="705B59B7" w14:textId="77777777" w:rsidR="003D5A6B" w:rsidRPr="003D5A6B" w:rsidRDefault="003D5A6B" w:rsidP="00F1408E">
            <w:pPr>
              <w:pStyle w:val="CDIFigure-Table-BodyTextCentre"/>
            </w:pPr>
            <w:r w:rsidRPr="003D5A6B">
              <w:t>5–14</w:t>
            </w:r>
          </w:p>
        </w:tc>
        <w:tc>
          <w:tcPr>
            <w:tcW w:w="1510" w:type="dxa"/>
            <w:tcMar>
              <w:top w:w="88" w:type="dxa"/>
              <w:left w:w="113" w:type="dxa"/>
              <w:bottom w:w="88" w:type="dxa"/>
              <w:right w:w="113" w:type="dxa"/>
            </w:tcMar>
            <w:vAlign w:val="center"/>
          </w:tcPr>
          <w:p w14:paraId="7B8DC31A" w14:textId="77777777" w:rsidR="003D5A6B" w:rsidRPr="003D5A6B" w:rsidRDefault="003D5A6B" w:rsidP="00F1408E">
            <w:pPr>
              <w:pStyle w:val="CDIFigure-Table-BodyTextCentre"/>
            </w:pPr>
            <w:r w:rsidRPr="003D5A6B">
              <w:t>255.0</w:t>
            </w:r>
          </w:p>
        </w:tc>
        <w:tc>
          <w:tcPr>
            <w:tcW w:w="1509" w:type="dxa"/>
            <w:tcMar>
              <w:top w:w="88" w:type="dxa"/>
              <w:left w:w="113" w:type="dxa"/>
              <w:bottom w:w="88" w:type="dxa"/>
              <w:right w:w="113" w:type="dxa"/>
            </w:tcMar>
            <w:vAlign w:val="center"/>
          </w:tcPr>
          <w:p w14:paraId="0882C5F1" w14:textId="77777777" w:rsidR="003D5A6B" w:rsidRPr="003D5A6B" w:rsidRDefault="003D5A6B" w:rsidP="00F1408E">
            <w:pPr>
              <w:pStyle w:val="CDIFigure-Table-BodyTextCentre"/>
            </w:pPr>
            <w:r w:rsidRPr="003D5A6B">
              <w:t>28.6</w:t>
            </w:r>
          </w:p>
        </w:tc>
        <w:tc>
          <w:tcPr>
            <w:tcW w:w="1510" w:type="dxa"/>
            <w:tcMar>
              <w:top w:w="88" w:type="dxa"/>
              <w:left w:w="113" w:type="dxa"/>
              <w:bottom w:w="88" w:type="dxa"/>
              <w:right w:w="113" w:type="dxa"/>
            </w:tcMar>
            <w:vAlign w:val="center"/>
          </w:tcPr>
          <w:p w14:paraId="1BF06E04" w14:textId="77777777" w:rsidR="003D5A6B" w:rsidRPr="003D5A6B" w:rsidRDefault="003D5A6B" w:rsidP="00F1408E">
            <w:pPr>
              <w:pStyle w:val="CDIFigure-Table-BodyTextCentre"/>
            </w:pPr>
            <w:r w:rsidRPr="003D5A6B">
              <w:t>0.0</w:t>
            </w:r>
          </w:p>
        </w:tc>
        <w:tc>
          <w:tcPr>
            <w:tcW w:w="1509" w:type="dxa"/>
            <w:tcMar>
              <w:top w:w="88" w:type="dxa"/>
              <w:left w:w="113" w:type="dxa"/>
              <w:bottom w:w="88" w:type="dxa"/>
              <w:right w:w="113" w:type="dxa"/>
            </w:tcMar>
            <w:vAlign w:val="center"/>
          </w:tcPr>
          <w:p w14:paraId="71B96385" w14:textId="77777777" w:rsidR="003D5A6B" w:rsidRPr="003D5A6B" w:rsidRDefault="003D5A6B" w:rsidP="00F1408E">
            <w:pPr>
              <w:pStyle w:val="CDIFigure-Table-BodyTextCentre"/>
            </w:pPr>
            <w:r w:rsidRPr="003D5A6B">
              <w:t>0.11</w:t>
            </w:r>
          </w:p>
        </w:tc>
        <w:tc>
          <w:tcPr>
            <w:tcW w:w="1509" w:type="dxa"/>
            <w:tcMar>
              <w:top w:w="88" w:type="dxa"/>
              <w:left w:w="113" w:type="dxa"/>
              <w:bottom w:w="88" w:type="dxa"/>
              <w:right w:w="113" w:type="dxa"/>
            </w:tcMar>
            <w:vAlign w:val="center"/>
          </w:tcPr>
          <w:p w14:paraId="702BDDE0" w14:textId="77777777" w:rsidR="003D5A6B" w:rsidRPr="003D5A6B" w:rsidRDefault="003D5A6B" w:rsidP="00F1408E">
            <w:pPr>
              <w:pStyle w:val="CDIFigure-Table-BodyTextCentre"/>
            </w:pPr>
            <w:r w:rsidRPr="003D5A6B">
              <w:t xml:space="preserve"> 0.07–0.18</w:t>
            </w:r>
          </w:p>
        </w:tc>
        <w:tc>
          <w:tcPr>
            <w:tcW w:w="1510" w:type="dxa"/>
            <w:tcMar>
              <w:top w:w="88" w:type="dxa"/>
              <w:left w:w="113" w:type="dxa"/>
              <w:bottom w:w="88" w:type="dxa"/>
              <w:right w:w="113" w:type="dxa"/>
            </w:tcMar>
            <w:vAlign w:val="center"/>
          </w:tcPr>
          <w:p w14:paraId="5DEBBE41" w14:textId="77777777" w:rsidR="003D5A6B" w:rsidRPr="003D5A6B" w:rsidRDefault="003D5A6B" w:rsidP="00F1408E">
            <w:pPr>
              <w:pStyle w:val="CDIFigure-Table-BodyTextCentre"/>
            </w:pPr>
            <w:r w:rsidRPr="003D5A6B">
              <w:t>&lt; 0.001</w:t>
            </w:r>
          </w:p>
        </w:tc>
        <w:tc>
          <w:tcPr>
            <w:tcW w:w="1509" w:type="dxa"/>
            <w:tcMar>
              <w:top w:w="88" w:type="dxa"/>
              <w:left w:w="113" w:type="dxa"/>
              <w:bottom w:w="88" w:type="dxa"/>
              <w:right w:w="113" w:type="dxa"/>
            </w:tcMar>
            <w:vAlign w:val="center"/>
          </w:tcPr>
          <w:p w14:paraId="37EEA266" w14:textId="77777777" w:rsidR="003D5A6B" w:rsidRPr="003D5A6B" w:rsidRDefault="003D5A6B" w:rsidP="00F1408E">
            <w:pPr>
              <w:pStyle w:val="CDIFigure-Table-BodyTextCentre"/>
            </w:pPr>
            <w:r w:rsidRPr="003D5A6B">
              <w:t xml:space="preserve"> 0.00–0.02</w:t>
            </w:r>
          </w:p>
        </w:tc>
      </w:tr>
      <w:tr w:rsidR="003D5A6B" w:rsidRPr="003D5A6B" w14:paraId="0B3013F7"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16201DBD" w14:textId="77777777" w:rsidR="003D5A6B" w:rsidRPr="003D5A6B" w:rsidRDefault="003D5A6B" w:rsidP="003D5A6B"/>
        </w:tc>
        <w:tc>
          <w:tcPr>
            <w:tcW w:w="1509" w:type="dxa"/>
            <w:shd w:val="clear" w:color="auto" w:fill="F2F2F2" w:themeFill="background1" w:themeFillShade="F2"/>
            <w:tcMar>
              <w:top w:w="88" w:type="dxa"/>
              <w:left w:w="113" w:type="dxa"/>
              <w:bottom w:w="88" w:type="dxa"/>
              <w:right w:w="113" w:type="dxa"/>
            </w:tcMar>
            <w:vAlign w:val="center"/>
          </w:tcPr>
          <w:p w14:paraId="69219C3F" w14:textId="77777777" w:rsidR="003D5A6B" w:rsidRPr="003D5A6B" w:rsidRDefault="003D5A6B" w:rsidP="00F1408E">
            <w:pPr>
              <w:pStyle w:val="CDIFigure-Table-BodyTextCentre"/>
            </w:pPr>
            <w:r w:rsidRPr="003D5A6B">
              <w:t>15–24</w:t>
            </w:r>
          </w:p>
        </w:tc>
        <w:tc>
          <w:tcPr>
            <w:tcW w:w="1510" w:type="dxa"/>
            <w:shd w:val="clear" w:color="auto" w:fill="F2F2F2" w:themeFill="background1" w:themeFillShade="F2"/>
            <w:tcMar>
              <w:top w:w="88" w:type="dxa"/>
              <w:left w:w="113" w:type="dxa"/>
              <w:bottom w:w="88" w:type="dxa"/>
              <w:right w:w="113" w:type="dxa"/>
            </w:tcMar>
            <w:vAlign w:val="center"/>
          </w:tcPr>
          <w:p w14:paraId="49740CC1" w14:textId="77777777" w:rsidR="003D5A6B" w:rsidRPr="003D5A6B" w:rsidRDefault="003D5A6B" w:rsidP="00F1408E">
            <w:pPr>
              <w:pStyle w:val="CDIFigure-Table-BodyTextCentre"/>
            </w:pPr>
            <w:r w:rsidRPr="003D5A6B">
              <w:t>51.9</w:t>
            </w:r>
          </w:p>
        </w:tc>
        <w:tc>
          <w:tcPr>
            <w:tcW w:w="1509" w:type="dxa"/>
            <w:shd w:val="clear" w:color="auto" w:fill="F2F2F2" w:themeFill="background1" w:themeFillShade="F2"/>
            <w:tcMar>
              <w:top w:w="88" w:type="dxa"/>
              <w:left w:w="113" w:type="dxa"/>
              <w:bottom w:w="88" w:type="dxa"/>
              <w:right w:w="113" w:type="dxa"/>
            </w:tcMar>
            <w:vAlign w:val="center"/>
          </w:tcPr>
          <w:p w14:paraId="041A2939" w14:textId="77777777" w:rsidR="003D5A6B" w:rsidRPr="003D5A6B" w:rsidRDefault="003D5A6B" w:rsidP="00F1408E">
            <w:pPr>
              <w:pStyle w:val="CDIFigure-Table-BodyTextCentre"/>
            </w:pPr>
            <w:r w:rsidRPr="003D5A6B">
              <w:t>1.6</w:t>
            </w:r>
          </w:p>
        </w:tc>
        <w:tc>
          <w:tcPr>
            <w:tcW w:w="1510" w:type="dxa"/>
            <w:shd w:val="clear" w:color="auto" w:fill="F2F2F2" w:themeFill="background1" w:themeFillShade="F2"/>
            <w:tcMar>
              <w:top w:w="88" w:type="dxa"/>
              <w:left w:w="113" w:type="dxa"/>
              <w:bottom w:w="88" w:type="dxa"/>
              <w:right w:w="113" w:type="dxa"/>
            </w:tcMar>
            <w:vAlign w:val="center"/>
          </w:tcPr>
          <w:p w14:paraId="7AAC32C4" w14:textId="77777777" w:rsidR="003D5A6B" w:rsidRPr="003D5A6B" w:rsidRDefault="003D5A6B" w:rsidP="00F1408E">
            <w:pPr>
              <w:pStyle w:val="CDIFigure-Table-BodyTextCentre"/>
            </w:pPr>
            <w:r w:rsidRPr="003D5A6B">
              <w:t>0.0</w:t>
            </w:r>
          </w:p>
        </w:tc>
        <w:tc>
          <w:tcPr>
            <w:tcW w:w="1509" w:type="dxa"/>
            <w:shd w:val="clear" w:color="auto" w:fill="F2F2F2" w:themeFill="background1" w:themeFillShade="F2"/>
            <w:tcMar>
              <w:top w:w="88" w:type="dxa"/>
              <w:left w:w="113" w:type="dxa"/>
              <w:bottom w:w="88" w:type="dxa"/>
              <w:right w:w="113" w:type="dxa"/>
            </w:tcMar>
            <w:vAlign w:val="center"/>
          </w:tcPr>
          <w:p w14:paraId="3B2478D9" w14:textId="77777777" w:rsidR="003D5A6B" w:rsidRPr="003D5A6B" w:rsidRDefault="003D5A6B" w:rsidP="00F1408E">
            <w:pPr>
              <w:pStyle w:val="CDIFigure-Table-BodyTextCentre"/>
            </w:pPr>
            <w:r w:rsidRPr="003D5A6B">
              <w:t>0.03</w:t>
            </w:r>
          </w:p>
        </w:tc>
        <w:tc>
          <w:tcPr>
            <w:tcW w:w="1509" w:type="dxa"/>
            <w:shd w:val="clear" w:color="auto" w:fill="F2F2F2" w:themeFill="background1" w:themeFillShade="F2"/>
            <w:tcMar>
              <w:top w:w="88" w:type="dxa"/>
              <w:left w:w="113" w:type="dxa"/>
              <w:bottom w:w="88" w:type="dxa"/>
              <w:right w:w="113" w:type="dxa"/>
            </w:tcMar>
            <w:vAlign w:val="center"/>
          </w:tcPr>
          <w:p w14:paraId="013CE930" w14:textId="77777777" w:rsidR="003D5A6B" w:rsidRPr="003D5A6B" w:rsidRDefault="003D5A6B" w:rsidP="00F1408E">
            <w:pPr>
              <w:pStyle w:val="CDIFigure-Table-BodyTextCentre"/>
            </w:pPr>
            <w:r w:rsidRPr="003D5A6B">
              <w:t xml:space="preserve"> 0.00–0.18</w:t>
            </w:r>
          </w:p>
        </w:tc>
        <w:tc>
          <w:tcPr>
            <w:tcW w:w="1510" w:type="dxa"/>
            <w:shd w:val="clear" w:color="auto" w:fill="F2F2F2" w:themeFill="background1" w:themeFillShade="F2"/>
            <w:tcMar>
              <w:top w:w="88" w:type="dxa"/>
              <w:left w:w="113" w:type="dxa"/>
              <w:bottom w:w="88" w:type="dxa"/>
              <w:right w:w="113" w:type="dxa"/>
            </w:tcMar>
            <w:vAlign w:val="center"/>
          </w:tcPr>
          <w:p w14:paraId="18CA8D70" w14:textId="77777777" w:rsidR="003D5A6B" w:rsidRPr="003D5A6B" w:rsidRDefault="003D5A6B" w:rsidP="00F1408E">
            <w:pPr>
              <w:pStyle w:val="CDIFigure-Table-BodyTextCentre"/>
            </w:pPr>
            <w:r w:rsidRPr="003D5A6B">
              <w:t>&lt; 0.001</w:t>
            </w:r>
          </w:p>
        </w:tc>
        <w:tc>
          <w:tcPr>
            <w:tcW w:w="1509" w:type="dxa"/>
            <w:shd w:val="clear" w:color="auto" w:fill="F2F2F2" w:themeFill="background1" w:themeFillShade="F2"/>
            <w:tcMar>
              <w:top w:w="88" w:type="dxa"/>
              <w:left w:w="113" w:type="dxa"/>
              <w:bottom w:w="88" w:type="dxa"/>
              <w:right w:w="113" w:type="dxa"/>
            </w:tcMar>
            <w:vAlign w:val="center"/>
          </w:tcPr>
          <w:p w14:paraId="2DA0C19B" w14:textId="77777777" w:rsidR="003D5A6B" w:rsidRPr="003D5A6B" w:rsidRDefault="003D5A6B" w:rsidP="00F1408E">
            <w:pPr>
              <w:pStyle w:val="CDIFigure-Table-BodyTextCentre"/>
            </w:pPr>
            <w:r w:rsidRPr="003D5A6B">
              <w:t xml:space="preserve"> 0.00–0.12</w:t>
            </w:r>
          </w:p>
        </w:tc>
      </w:tr>
      <w:tr w:rsidR="003D5A6B" w:rsidRPr="003D5A6B" w14:paraId="0076C313"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4E7AB2D9" w14:textId="77777777" w:rsidR="003D5A6B" w:rsidRPr="003D5A6B" w:rsidRDefault="003D5A6B" w:rsidP="003D5A6B"/>
        </w:tc>
        <w:tc>
          <w:tcPr>
            <w:tcW w:w="1509" w:type="dxa"/>
            <w:tcMar>
              <w:top w:w="88" w:type="dxa"/>
              <w:left w:w="113" w:type="dxa"/>
              <w:bottom w:w="88" w:type="dxa"/>
              <w:right w:w="113" w:type="dxa"/>
            </w:tcMar>
            <w:vAlign w:val="center"/>
          </w:tcPr>
          <w:p w14:paraId="542C154C" w14:textId="77777777" w:rsidR="003D5A6B" w:rsidRPr="003D5A6B" w:rsidRDefault="003D5A6B" w:rsidP="00F1408E">
            <w:pPr>
              <w:pStyle w:val="CDIFigure-Table-BodyTextCentre"/>
            </w:pPr>
            <w:r w:rsidRPr="003D5A6B">
              <w:t>25–69</w:t>
            </w:r>
          </w:p>
        </w:tc>
        <w:tc>
          <w:tcPr>
            <w:tcW w:w="1510" w:type="dxa"/>
            <w:tcMar>
              <w:top w:w="88" w:type="dxa"/>
              <w:left w:w="113" w:type="dxa"/>
              <w:bottom w:w="88" w:type="dxa"/>
              <w:right w:w="113" w:type="dxa"/>
            </w:tcMar>
            <w:vAlign w:val="center"/>
          </w:tcPr>
          <w:p w14:paraId="3A39DA54" w14:textId="77777777" w:rsidR="003D5A6B" w:rsidRPr="003D5A6B" w:rsidRDefault="003D5A6B" w:rsidP="00F1408E">
            <w:pPr>
              <w:pStyle w:val="CDIFigure-Table-BodyTextCentre"/>
            </w:pPr>
            <w:r w:rsidRPr="003D5A6B">
              <w:t>30.7</w:t>
            </w:r>
          </w:p>
        </w:tc>
        <w:tc>
          <w:tcPr>
            <w:tcW w:w="1509" w:type="dxa"/>
            <w:tcMar>
              <w:top w:w="88" w:type="dxa"/>
              <w:left w:w="113" w:type="dxa"/>
              <w:bottom w:w="88" w:type="dxa"/>
              <w:right w:w="113" w:type="dxa"/>
            </w:tcMar>
            <w:vAlign w:val="center"/>
          </w:tcPr>
          <w:p w14:paraId="58799A90" w14:textId="77777777" w:rsidR="003D5A6B" w:rsidRPr="003D5A6B" w:rsidRDefault="003D5A6B" w:rsidP="00F1408E">
            <w:pPr>
              <w:pStyle w:val="CDIFigure-Table-BodyTextCentre"/>
            </w:pPr>
            <w:r w:rsidRPr="003D5A6B">
              <w:t>9.5</w:t>
            </w:r>
          </w:p>
        </w:tc>
        <w:tc>
          <w:tcPr>
            <w:tcW w:w="1510" w:type="dxa"/>
            <w:tcMar>
              <w:top w:w="88" w:type="dxa"/>
              <w:left w:w="113" w:type="dxa"/>
              <w:bottom w:w="88" w:type="dxa"/>
              <w:right w:w="113" w:type="dxa"/>
            </w:tcMar>
            <w:vAlign w:val="center"/>
          </w:tcPr>
          <w:p w14:paraId="4C2B5C2E" w14:textId="77777777" w:rsidR="003D5A6B" w:rsidRPr="003D5A6B" w:rsidRDefault="003D5A6B" w:rsidP="00F1408E">
            <w:pPr>
              <w:pStyle w:val="CDIFigure-Table-BodyTextCentre"/>
            </w:pPr>
            <w:r w:rsidRPr="003D5A6B">
              <w:t>1.5</w:t>
            </w:r>
          </w:p>
        </w:tc>
        <w:tc>
          <w:tcPr>
            <w:tcW w:w="1509" w:type="dxa"/>
            <w:tcMar>
              <w:top w:w="88" w:type="dxa"/>
              <w:left w:w="113" w:type="dxa"/>
              <w:bottom w:w="88" w:type="dxa"/>
              <w:right w:w="113" w:type="dxa"/>
            </w:tcMar>
            <w:vAlign w:val="center"/>
          </w:tcPr>
          <w:p w14:paraId="367C30B2" w14:textId="77777777" w:rsidR="003D5A6B" w:rsidRPr="003D5A6B" w:rsidRDefault="003D5A6B" w:rsidP="00F1408E">
            <w:pPr>
              <w:pStyle w:val="CDIFigure-Table-BodyTextCentre"/>
            </w:pPr>
            <w:r w:rsidRPr="003D5A6B">
              <w:t>0.31</w:t>
            </w:r>
          </w:p>
        </w:tc>
        <w:tc>
          <w:tcPr>
            <w:tcW w:w="1509" w:type="dxa"/>
            <w:tcMar>
              <w:top w:w="88" w:type="dxa"/>
              <w:left w:w="113" w:type="dxa"/>
              <w:bottom w:w="88" w:type="dxa"/>
              <w:right w:w="113" w:type="dxa"/>
            </w:tcMar>
            <w:vAlign w:val="center"/>
          </w:tcPr>
          <w:p w14:paraId="5564EA4A" w14:textId="77777777" w:rsidR="003D5A6B" w:rsidRPr="003D5A6B" w:rsidRDefault="003D5A6B" w:rsidP="00F1408E">
            <w:pPr>
              <w:pStyle w:val="CDIFigure-Table-BodyTextCentre"/>
            </w:pPr>
            <w:r w:rsidRPr="003D5A6B">
              <w:t xml:space="preserve"> 0.20–0.46</w:t>
            </w:r>
          </w:p>
        </w:tc>
        <w:tc>
          <w:tcPr>
            <w:tcW w:w="1510" w:type="dxa"/>
            <w:tcMar>
              <w:top w:w="88" w:type="dxa"/>
              <w:left w:w="113" w:type="dxa"/>
              <w:bottom w:w="88" w:type="dxa"/>
              <w:right w:w="113" w:type="dxa"/>
            </w:tcMar>
            <w:vAlign w:val="center"/>
          </w:tcPr>
          <w:p w14:paraId="1B7CF99E" w14:textId="77777777" w:rsidR="003D5A6B" w:rsidRPr="003D5A6B" w:rsidRDefault="003D5A6B" w:rsidP="00F1408E">
            <w:pPr>
              <w:pStyle w:val="CDIFigure-Table-BodyTextCentre"/>
            </w:pPr>
            <w:r w:rsidRPr="003D5A6B">
              <w:t>0.05</w:t>
            </w:r>
          </w:p>
        </w:tc>
        <w:tc>
          <w:tcPr>
            <w:tcW w:w="1509" w:type="dxa"/>
            <w:tcMar>
              <w:top w:w="88" w:type="dxa"/>
              <w:left w:w="113" w:type="dxa"/>
              <w:bottom w:w="88" w:type="dxa"/>
              <w:right w:w="113" w:type="dxa"/>
            </w:tcMar>
            <w:vAlign w:val="center"/>
          </w:tcPr>
          <w:p w14:paraId="2480E8FC" w14:textId="77777777" w:rsidR="003D5A6B" w:rsidRPr="003D5A6B" w:rsidRDefault="003D5A6B" w:rsidP="00F1408E">
            <w:pPr>
              <w:pStyle w:val="CDIFigure-Table-BodyTextCentre"/>
            </w:pPr>
            <w:r w:rsidRPr="003D5A6B">
              <w:t xml:space="preserve"> 0.02–0.12</w:t>
            </w:r>
          </w:p>
        </w:tc>
      </w:tr>
      <w:tr w:rsidR="006A4AE7" w:rsidRPr="003D5A6B" w14:paraId="1B6D75F1"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672653DE" w14:textId="77777777" w:rsidR="003D5A6B" w:rsidRPr="003D5A6B" w:rsidRDefault="003D5A6B" w:rsidP="003D5A6B"/>
        </w:tc>
        <w:tc>
          <w:tcPr>
            <w:tcW w:w="1509" w:type="dxa"/>
            <w:shd w:val="clear" w:color="auto" w:fill="F2F2F2" w:themeFill="background1" w:themeFillShade="F2"/>
            <w:tcMar>
              <w:top w:w="88" w:type="dxa"/>
              <w:left w:w="113" w:type="dxa"/>
              <w:bottom w:w="88" w:type="dxa"/>
              <w:right w:w="113" w:type="dxa"/>
            </w:tcMar>
            <w:vAlign w:val="center"/>
          </w:tcPr>
          <w:p w14:paraId="446C4CAF" w14:textId="77777777" w:rsidR="003D5A6B" w:rsidRPr="003D5A6B" w:rsidRDefault="003D5A6B" w:rsidP="00F1408E">
            <w:pPr>
              <w:pStyle w:val="CDIFigure-Table-BodyTextCentre"/>
            </w:pPr>
            <w:r w:rsidRPr="003D5A6B">
              <w:t>≥ 70</w:t>
            </w:r>
          </w:p>
        </w:tc>
        <w:tc>
          <w:tcPr>
            <w:tcW w:w="1510" w:type="dxa"/>
            <w:shd w:val="clear" w:color="auto" w:fill="F2F2F2" w:themeFill="background1" w:themeFillShade="F2"/>
            <w:tcMar>
              <w:top w:w="88" w:type="dxa"/>
              <w:left w:w="113" w:type="dxa"/>
              <w:bottom w:w="88" w:type="dxa"/>
              <w:right w:w="113" w:type="dxa"/>
            </w:tcMar>
            <w:vAlign w:val="center"/>
          </w:tcPr>
          <w:p w14:paraId="09C69D22" w14:textId="77777777" w:rsidR="003D5A6B" w:rsidRPr="003D5A6B" w:rsidRDefault="003D5A6B" w:rsidP="00F1408E">
            <w:pPr>
              <w:pStyle w:val="CDIFigure-Table-BodyTextCentre"/>
            </w:pPr>
            <w:r w:rsidRPr="003D5A6B">
              <w:t>14.4</w:t>
            </w:r>
          </w:p>
        </w:tc>
        <w:tc>
          <w:tcPr>
            <w:tcW w:w="1509" w:type="dxa"/>
            <w:shd w:val="clear" w:color="auto" w:fill="F2F2F2" w:themeFill="background1" w:themeFillShade="F2"/>
            <w:tcMar>
              <w:top w:w="88" w:type="dxa"/>
              <w:left w:w="113" w:type="dxa"/>
              <w:bottom w:w="88" w:type="dxa"/>
              <w:right w:w="113" w:type="dxa"/>
            </w:tcMar>
            <w:vAlign w:val="center"/>
          </w:tcPr>
          <w:p w14:paraId="2386E6BD" w14:textId="77777777" w:rsidR="003D5A6B" w:rsidRPr="003D5A6B" w:rsidRDefault="003D5A6B" w:rsidP="00F1408E">
            <w:pPr>
              <w:pStyle w:val="CDIFigure-Table-BodyTextCentre"/>
            </w:pPr>
            <w:r w:rsidRPr="003D5A6B">
              <w:t>2.6</w:t>
            </w:r>
          </w:p>
        </w:tc>
        <w:tc>
          <w:tcPr>
            <w:tcW w:w="1510" w:type="dxa"/>
            <w:shd w:val="clear" w:color="auto" w:fill="F2F2F2" w:themeFill="background1" w:themeFillShade="F2"/>
            <w:tcMar>
              <w:top w:w="88" w:type="dxa"/>
              <w:left w:w="113" w:type="dxa"/>
              <w:bottom w:w="88" w:type="dxa"/>
              <w:right w:w="113" w:type="dxa"/>
            </w:tcMar>
            <w:vAlign w:val="center"/>
          </w:tcPr>
          <w:p w14:paraId="094E9BC8" w14:textId="77777777" w:rsidR="003D5A6B" w:rsidRPr="003D5A6B" w:rsidRDefault="003D5A6B" w:rsidP="00F1408E">
            <w:pPr>
              <w:pStyle w:val="CDIFigure-Table-BodyTextCentre"/>
            </w:pPr>
            <w:r w:rsidRPr="003D5A6B">
              <w:t>1.2</w:t>
            </w:r>
          </w:p>
        </w:tc>
        <w:tc>
          <w:tcPr>
            <w:tcW w:w="1509" w:type="dxa"/>
            <w:shd w:val="clear" w:color="auto" w:fill="F2F2F2" w:themeFill="background1" w:themeFillShade="F2"/>
            <w:tcMar>
              <w:top w:w="88" w:type="dxa"/>
              <w:left w:w="113" w:type="dxa"/>
              <w:bottom w:w="88" w:type="dxa"/>
              <w:right w:w="113" w:type="dxa"/>
            </w:tcMar>
            <w:vAlign w:val="center"/>
          </w:tcPr>
          <w:p w14:paraId="27BB0732" w14:textId="77777777" w:rsidR="003D5A6B" w:rsidRPr="003D5A6B" w:rsidRDefault="003D5A6B" w:rsidP="00F1408E">
            <w:pPr>
              <w:pStyle w:val="CDIFigure-Table-BodyTextCentre"/>
            </w:pPr>
            <w:r w:rsidRPr="003D5A6B">
              <w:t>0.18</w:t>
            </w:r>
          </w:p>
        </w:tc>
        <w:tc>
          <w:tcPr>
            <w:tcW w:w="1509" w:type="dxa"/>
            <w:shd w:val="clear" w:color="auto" w:fill="F2F2F2" w:themeFill="background1" w:themeFillShade="F2"/>
            <w:tcMar>
              <w:top w:w="88" w:type="dxa"/>
              <w:left w:w="113" w:type="dxa"/>
              <w:bottom w:w="88" w:type="dxa"/>
              <w:right w:w="113" w:type="dxa"/>
            </w:tcMar>
            <w:vAlign w:val="center"/>
          </w:tcPr>
          <w:p w14:paraId="4D0FE434" w14:textId="77777777" w:rsidR="003D5A6B" w:rsidRPr="003D5A6B" w:rsidRDefault="003D5A6B" w:rsidP="00F1408E">
            <w:pPr>
              <w:pStyle w:val="CDIFigure-Table-BodyTextCentre"/>
            </w:pPr>
            <w:r w:rsidRPr="003D5A6B">
              <w:t xml:space="preserve"> 0.02–0.86</w:t>
            </w:r>
          </w:p>
        </w:tc>
        <w:tc>
          <w:tcPr>
            <w:tcW w:w="1510" w:type="dxa"/>
            <w:shd w:val="clear" w:color="auto" w:fill="F2F2F2" w:themeFill="background1" w:themeFillShade="F2"/>
            <w:tcMar>
              <w:top w:w="88" w:type="dxa"/>
              <w:left w:w="113" w:type="dxa"/>
              <w:bottom w:w="88" w:type="dxa"/>
              <w:right w:w="113" w:type="dxa"/>
            </w:tcMar>
            <w:vAlign w:val="center"/>
          </w:tcPr>
          <w:p w14:paraId="75B26CF7" w14:textId="77777777" w:rsidR="003D5A6B" w:rsidRPr="003D5A6B" w:rsidRDefault="003D5A6B" w:rsidP="00F1408E">
            <w:pPr>
              <w:pStyle w:val="CDIFigure-Table-BodyTextCentre"/>
            </w:pPr>
            <w:r w:rsidRPr="003D5A6B">
              <w:t>0.09</w:t>
            </w:r>
          </w:p>
        </w:tc>
        <w:tc>
          <w:tcPr>
            <w:tcW w:w="1509" w:type="dxa"/>
            <w:shd w:val="clear" w:color="auto" w:fill="F2F2F2" w:themeFill="background1" w:themeFillShade="F2"/>
            <w:tcMar>
              <w:top w:w="88" w:type="dxa"/>
              <w:left w:w="113" w:type="dxa"/>
              <w:bottom w:w="88" w:type="dxa"/>
              <w:right w:w="113" w:type="dxa"/>
            </w:tcMar>
            <w:vAlign w:val="center"/>
          </w:tcPr>
          <w:p w14:paraId="590B23E9" w14:textId="77777777" w:rsidR="003D5A6B" w:rsidRPr="003D5A6B" w:rsidRDefault="003D5A6B" w:rsidP="00F1408E">
            <w:pPr>
              <w:pStyle w:val="CDIFigure-Table-BodyTextCentre"/>
            </w:pPr>
            <w:r w:rsidRPr="003D5A6B">
              <w:t xml:space="preserve"> 0.00–0.63</w:t>
            </w:r>
          </w:p>
        </w:tc>
      </w:tr>
      <w:tr w:rsidR="003D5A6B" w:rsidRPr="003D5A6B" w14:paraId="2989EA3E"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51525F4A" w14:textId="77777777" w:rsidR="003D5A6B" w:rsidRPr="003D5A6B" w:rsidRDefault="003D5A6B" w:rsidP="003D5A6B"/>
        </w:tc>
        <w:tc>
          <w:tcPr>
            <w:tcW w:w="1509" w:type="dxa"/>
            <w:tcBorders>
              <w:bottom w:val="single" w:sz="6" w:space="0" w:color="033636" w:themeColor="text2"/>
            </w:tcBorders>
            <w:tcMar>
              <w:top w:w="88" w:type="dxa"/>
              <w:left w:w="113" w:type="dxa"/>
              <w:bottom w:w="88" w:type="dxa"/>
              <w:right w:w="113" w:type="dxa"/>
            </w:tcMar>
            <w:vAlign w:val="center"/>
          </w:tcPr>
          <w:p w14:paraId="601E7153" w14:textId="77777777" w:rsidR="003D5A6B" w:rsidRPr="00F1408E" w:rsidRDefault="003D5A6B" w:rsidP="00F1408E">
            <w:pPr>
              <w:pStyle w:val="CDIFigure-Table-BodyTextCentre"/>
              <w:rPr>
                <w:b/>
                <w:bCs/>
              </w:rPr>
            </w:pPr>
            <w:r w:rsidRPr="00F1408E">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0AEE5605" w14:textId="77777777" w:rsidR="003D5A6B" w:rsidRPr="00F1408E" w:rsidRDefault="003D5A6B" w:rsidP="00F1408E">
            <w:pPr>
              <w:pStyle w:val="CDIFigure-Table-BodyTextCentre"/>
              <w:rPr>
                <w:b/>
                <w:bCs/>
              </w:rPr>
            </w:pPr>
            <w:r w:rsidRPr="00F1408E">
              <w:rPr>
                <w:b/>
                <w:bCs/>
              </w:rPr>
              <w:t>64.3</w:t>
            </w:r>
          </w:p>
        </w:tc>
        <w:tc>
          <w:tcPr>
            <w:tcW w:w="1509" w:type="dxa"/>
            <w:tcBorders>
              <w:bottom w:val="single" w:sz="6" w:space="0" w:color="033636" w:themeColor="text2"/>
            </w:tcBorders>
            <w:tcMar>
              <w:top w:w="88" w:type="dxa"/>
              <w:left w:w="113" w:type="dxa"/>
              <w:bottom w:w="88" w:type="dxa"/>
              <w:right w:w="113" w:type="dxa"/>
            </w:tcMar>
            <w:vAlign w:val="center"/>
          </w:tcPr>
          <w:p w14:paraId="7466C1A0" w14:textId="77777777" w:rsidR="003D5A6B" w:rsidRPr="00F1408E" w:rsidRDefault="003D5A6B" w:rsidP="00F1408E">
            <w:pPr>
              <w:pStyle w:val="CDIFigure-Table-BodyTextCentre"/>
              <w:rPr>
                <w:b/>
                <w:bCs/>
              </w:rPr>
            </w:pPr>
            <w:r w:rsidRPr="00F1408E">
              <w:rPr>
                <w:b/>
                <w:bCs/>
              </w:rPr>
              <w:t>12.0</w:t>
            </w:r>
          </w:p>
        </w:tc>
        <w:tc>
          <w:tcPr>
            <w:tcW w:w="1510" w:type="dxa"/>
            <w:tcBorders>
              <w:bottom w:val="single" w:sz="6" w:space="0" w:color="033636" w:themeColor="text2"/>
            </w:tcBorders>
            <w:tcMar>
              <w:top w:w="88" w:type="dxa"/>
              <w:left w:w="113" w:type="dxa"/>
              <w:bottom w:w="88" w:type="dxa"/>
              <w:right w:w="113" w:type="dxa"/>
            </w:tcMar>
            <w:vAlign w:val="center"/>
          </w:tcPr>
          <w:p w14:paraId="251EFFBA" w14:textId="77777777" w:rsidR="003D5A6B" w:rsidRPr="00F1408E" w:rsidRDefault="003D5A6B" w:rsidP="00F1408E">
            <w:pPr>
              <w:pStyle w:val="CDIFigure-Table-BodyTextCentre"/>
              <w:rPr>
                <w:b/>
                <w:bCs/>
              </w:rPr>
            </w:pPr>
            <w:r w:rsidRPr="00F1408E">
              <w:rPr>
                <w:b/>
                <w:bCs/>
              </w:rPr>
              <w:t>1.1</w:t>
            </w:r>
          </w:p>
        </w:tc>
        <w:tc>
          <w:tcPr>
            <w:tcW w:w="1509" w:type="dxa"/>
            <w:tcBorders>
              <w:bottom w:val="single" w:sz="6" w:space="0" w:color="033636" w:themeColor="text2"/>
            </w:tcBorders>
            <w:tcMar>
              <w:top w:w="88" w:type="dxa"/>
              <w:left w:w="113" w:type="dxa"/>
              <w:bottom w:w="88" w:type="dxa"/>
              <w:right w:w="113" w:type="dxa"/>
            </w:tcMar>
            <w:vAlign w:val="center"/>
          </w:tcPr>
          <w:p w14:paraId="31454BED" w14:textId="77777777" w:rsidR="003D5A6B" w:rsidRPr="00F1408E" w:rsidRDefault="003D5A6B" w:rsidP="00F1408E">
            <w:pPr>
              <w:pStyle w:val="CDIFigure-Table-BodyTextCentre"/>
              <w:rPr>
                <w:b/>
                <w:bCs/>
              </w:rPr>
            </w:pPr>
            <w:r w:rsidRPr="00F1408E">
              <w:rPr>
                <w:b/>
                <w:bCs/>
              </w:rPr>
              <w:t>0.19</w:t>
            </w:r>
          </w:p>
        </w:tc>
        <w:tc>
          <w:tcPr>
            <w:tcW w:w="1509" w:type="dxa"/>
            <w:tcBorders>
              <w:bottom w:val="single" w:sz="6" w:space="0" w:color="033636" w:themeColor="text2"/>
            </w:tcBorders>
            <w:tcMar>
              <w:top w:w="88" w:type="dxa"/>
              <w:left w:w="113" w:type="dxa"/>
              <w:bottom w:w="88" w:type="dxa"/>
              <w:right w:w="113" w:type="dxa"/>
            </w:tcMar>
            <w:vAlign w:val="center"/>
          </w:tcPr>
          <w:p w14:paraId="4A7E9645" w14:textId="77777777" w:rsidR="003D5A6B" w:rsidRPr="00F1408E" w:rsidRDefault="003D5A6B" w:rsidP="00F1408E">
            <w:pPr>
              <w:pStyle w:val="CDIFigure-Table-BodyTextCentre"/>
              <w:rPr>
                <w:b/>
                <w:bCs/>
              </w:rPr>
            </w:pPr>
            <w:r w:rsidRPr="00F1408E">
              <w:rPr>
                <w:b/>
                <w:bCs/>
              </w:rPr>
              <w:t xml:space="preserve"> 0.14–0.24</w:t>
            </w:r>
          </w:p>
        </w:tc>
        <w:tc>
          <w:tcPr>
            <w:tcW w:w="1510" w:type="dxa"/>
            <w:tcBorders>
              <w:bottom w:val="single" w:sz="6" w:space="0" w:color="033636" w:themeColor="text2"/>
            </w:tcBorders>
            <w:tcMar>
              <w:top w:w="88" w:type="dxa"/>
              <w:left w:w="113" w:type="dxa"/>
              <w:bottom w:w="88" w:type="dxa"/>
              <w:right w:w="113" w:type="dxa"/>
            </w:tcMar>
            <w:vAlign w:val="center"/>
          </w:tcPr>
          <w:p w14:paraId="7557A05E" w14:textId="77777777" w:rsidR="003D5A6B" w:rsidRPr="00F1408E" w:rsidRDefault="003D5A6B" w:rsidP="00F1408E">
            <w:pPr>
              <w:pStyle w:val="CDIFigure-Table-BodyTextCentre"/>
              <w:rPr>
                <w:b/>
                <w:bCs/>
              </w:rPr>
            </w:pPr>
            <w:r w:rsidRPr="00F1408E">
              <w:rPr>
                <w:b/>
                <w:bCs/>
              </w:rPr>
              <w:t>0.02</w:t>
            </w:r>
          </w:p>
        </w:tc>
        <w:tc>
          <w:tcPr>
            <w:tcW w:w="1509" w:type="dxa"/>
            <w:tcBorders>
              <w:bottom w:val="single" w:sz="6" w:space="0" w:color="033636" w:themeColor="text2"/>
            </w:tcBorders>
            <w:tcMar>
              <w:top w:w="88" w:type="dxa"/>
              <w:left w:w="113" w:type="dxa"/>
              <w:bottom w:w="88" w:type="dxa"/>
              <w:right w:w="113" w:type="dxa"/>
            </w:tcMar>
            <w:vAlign w:val="center"/>
          </w:tcPr>
          <w:p w14:paraId="3DB0250B" w14:textId="77777777" w:rsidR="003D5A6B" w:rsidRPr="00F1408E" w:rsidRDefault="003D5A6B" w:rsidP="00F1408E">
            <w:pPr>
              <w:pStyle w:val="CDIFigure-Table-BodyTextCentre"/>
              <w:rPr>
                <w:b/>
                <w:bCs/>
              </w:rPr>
            </w:pPr>
            <w:r w:rsidRPr="00F1408E">
              <w:rPr>
                <w:b/>
                <w:bCs/>
              </w:rPr>
              <w:t xml:space="preserve"> 0.01–0.04</w:t>
            </w:r>
          </w:p>
        </w:tc>
      </w:tr>
      <w:tr w:rsidR="00824584" w:rsidRPr="003D5A6B" w14:paraId="553B9C12" w14:textId="77777777" w:rsidTr="00824584">
        <w:trPr>
          <w:trHeight w:val="20"/>
        </w:trPr>
        <w:tc>
          <w:tcPr>
            <w:tcW w:w="2268" w:type="dxa"/>
            <w:vMerge w:val="restart"/>
            <w:tcBorders>
              <w:top w:val="single" w:sz="6" w:space="0" w:color="033636" w:themeColor="text2"/>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2AEC1ECC" w14:textId="77777777" w:rsidR="003D5A6B" w:rsidRPr="003D5A6B" w:rsidRDefault="003D5A6B" w:rsidP="00824584">
            <w:pPr>
              <w:pStyle w:val="CDIFigure-Table-BodyTextLeft"/>
              <w:keepNext/>
            </w:pPr>
            <w:r w:rsidRPr="003D5A6B">
              <w:lastRenderedPageBreak/>
              <w:t>Victoria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F663C85" w14:textId="77777777" w:rsidR="003D5A6B" w:rsidRPr="003D5A6B" w:rsidRDefault="003D5A6B" w:rsidP="00824584">
            <w:pPr>
              <w:pStyle w:val="CDIFigure-Table-BodyTextCentre"/>
              <w:keepNext/>
            </w:pPr>
            <w:r w:rsidRPr="003D5A6B">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02C8DF0" w14:textId="77777777" w:rsidR="003D5A6B" w:rsidRPr="003D5A6B" w:rsidRDefault="003D5A6B" w:rsidP="00F1408E">
            <w:pPr>
              <w:pStyle w:val="CDIFigure-Table-BodyTextCentre"/>
            </w:pPr>
            <w:r w:rsidRPr="003D5A6B">
              <w:t>35.3</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84DFEF0" w14:textId="77777777" w:rsidR="003D5A6B" w:rsidRPr="003D5A6B" w:rsidRDefault="003D5A6B" w:rsidP="00F1408E">
            <w:pPr>
              <w:pStyle w:val="CDIFigure-Table-BodyTextCentre"/>
            </w:pPr>
            <w:r w:rsidRPr="003D5A6B">
              <w:t>25.6</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33A135B" w14:textId="77777777" w:rsidR="003D5A6B" w:rsidRPr="003D5A6B" w:rsidRDefault="003D5A6B" w:rsidP="00F1408E">
            <w:pPr>
              <w:pStyle w:val="CDIFigure-Table-BodyTextCentre"/>
            </w:pPr>
            <w:r w:rsidRPr="003D5A6B">
              <w:t>3.9</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6055F8E" w14:textId="77777777" w:rsidR="003D5A6B" w:rsidRPr="003D5A6B" w:rsidRDefault="003D5A6B" w:rsidP="00F1408E">
            <w:pPr>
              <w:pStyle w:val="CDIFigure-Table-BodyTextCentre"/>
            </w:pPr>
            <w:r w:rsidRPr="003D5A6B">
              <w:t>0.72</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72F87BA" w14:textId="77777777" w:rsidR="003D5A6B" w:rsidRPr="003D5A6B" w:rsidRDefault="003D5A6B" w:rsidP="00F1408E">
            <w:pPr>
              <w:pStyle w:val="CDIFigure-Table-BodyTextCentre"/>
            </w:pPr>
            <w:r w:rsidRPr="003D5A6B">
              <w:t xml:space="preserve"> 0.56–0.94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576CCCD" w14:textId="77777777" w:rsidR="003D5A6B" w:rsidRPr="003D5A6B" w:rsidRDefault="003D5A6B" w:rsidP="00F1408E">
            <w:pPr>
              <w:pStyle w:val="CDIFigure-Table-BodyTextCentre"/>
            </w:pPr>
            <w:r w:rsidRPr="003D5A6B">
              <w:t>0.11</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99BB355" w14:textId="77777777" w:rsidR="003D5A6B" w:rsidRPr="003D5A6B" w:rsidRDefault="003D5A6B" w:rsidP="00F1408E">
            <w:pPr>
              <w:pStyle w:val="CDIFigure-Table-BodyTextCentre"/>
            </w:pPr>
            <w:r w:rsidRPr="003D5A6B">
              <w:t xml:space="preserve"> 0.06–0.19</w:t>
            </w:r>
          </w:p>
        </w:tc>
      </w:tr>
      <w:tr w:rsidR="003D5A6B" w:rsidRPr="003D5A6B" w14:paraId="09538177"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6ADF305C" w14:textId="77777777" w:rsidR="003D5A6B" w:rsidRPr="003D5A6B" w:rsidRDefault="003D5A6B" w:rsidP="00824584">
            <w:pPr>
              <w:pStyle w:val="CDIFigure-Table-BodyTextLeft"/>
              <w:keepNext/>
            </w:pPr>
          </w:p>
        </w:tc>
        <w:tc>
          <w:tcPr>
            <w:tcW w:w="1509" w:type="dxa"/>
            <w:tcMar>
              <w:top w:w="88" w:type="dxa"/>
              <w:left w:w="113" w:type="dxa"/>
              <w:bottom w:w="88" w:type="dxa"/>
              <w:right w:w="113" w:type="dxa"/>
            </w:tcMar>
            <w:vAlign w:val="center"/>
          </w:tcPr>
          <w:p w14:paraId="0F4F20C0" w14:textId="77777777" w:rsidR="003D5A6B" w:rsidRPr="003D5A6B" w:rsidRDefault="003D5A6B" w:rsidP="00824584">
            <w:pPr>
              <w:pStyle w:val="CDIFigure-Table-BodyTextCentre"/>
              <w:keepNext/>
            </w:pPr>
            <w:r w:rsidRPr="003D5A6B">
              <w:t>5–14</w:t>
            </w:r>
          </w:p>
        </w:tc>
        <w:tc>
          <w:tcPr>
            <w:tcW w:w="1510" w:type="dxa"/>
            <w:tcMar>
              <w:top w:w="88" w:type="dxa"/>
              <w:left w:w="113" w:type="dxa"/>
              <w:bottom w:w="88" w:type="dxa"/>
              <w:right w:w="113" w:type="dxa"/>
            </w:tcMar>
            <w:vAlign w:val="center"/>
          </w:tcPr>
          <w:p w14:paraId="69A82BCE" w14:textId="77777777" w:rsidR="003D5A6B" w:rsidRPr="003D5A6B" w:rsidRDefault="003D5A6B" w:rsidP="00F1408E">
            <w:pPr>
              <w:pStyle w:val="CDIFigure-Table-BodyTextCentre"/>
            </w:pPr>
            <w:r w:rsidRPr="003D5A6B">
              <w:t>64.2</w:t>
            </w:r>
          </w:p>
        </w:tc>
        <w:tc>
          <w:tcPr>
            <w:tcW w:w="1509" w:type="dxa"/>
            <w:tcMar>
              <w:top w:w="88" w:type="dxa"/>
              <w:left w:w="113" w:type="dxa"/>
              <w:bottom w:w="88" w:type="dxa"/>
              <w:right w:w="113" w:type="dxa"/>
            </w:tcMar>
            <w:vAlign w:val="center"/>
          </w:tcPr>
          <w:p w14:paraId="73A577AB" w14:textId="77777777" w:rsidR="003D5A6B" w:rsidRPr="003D5A6B" w:rsidRDefault="003D5A6B" w:rsidP="00F1408E">
            <w:pPr>
              <w:pStyle w:val="CDIFigure-Table-BodyTextCentre"/>
            </w:pPr>
            <w:r w:rsidRPr="003D5A6B">
              <w:t>29.2</w:t>
            </w:r>
          </w:p>
        </w:tc>
        <w:tc>
          <w:tcPr>
            <w:tcW w:w="1510" w:type="dxa"/>
            <w:tcMar>
              <w:top w:w="88" w:type="dxa"/>
              <w:left w:w="113" w:type="dxa"/>
              <w:bottom w:w="88" w:type="dxa"/>
              <w:right w:w="113" w:type="dxa"/>
            </w:tcMar>
            <w:vAlign w:val="center"/>
          </w:tcPr>
          <w:p w14:paraId="2DECC24C" w14:textId="77777777" w:rsidR="003D5A6B" w:rsidRPr="003D5A6B" w:rsidRDefault="003D5A6B" w:rsidP="00F1408E">
            <w:pPr>
              <w:pStyle w:val="CDIFigure-Table-BodyTextCentre"/>
            </w:pPr>
            <w:r w:rsidRPr="003D5A6B">
              <w:t>1.7</w:t>
            </w:r>
          </w:p>
        </w:tc>
        <w:tc>
          <w:tcPr>
            <w:tcW w:w="1509" w:type="dxa"/>
            <w:tcMar>
              <w:top w:w="88" w:type="dxa"/>
              <w:left w:w="113" w:type="dxa"/>
              <w:bottom w:w="88" w:type="dxa"/>
              <w:right w:w="113" w:type="dxa"/>
            </w:tcMar>
            <w:vAlign w:val="center"/>
          </w:tcPr>
          <w:p w14:paraId="6EE6BC17" w14:textId="77777777" w:rsidR="003D5A6B" w:rsidRPr="003D5A6B" w:rsidRDefault="003D5A6B" w:rsidP="00F1408E">
            <w:pPr>
              <w:pStyle w:val="CDIFigure-Table-BodyTextCentre"/>
            </w:pPr>
            <w:r w:rsidRPr="003D5A6B">
              <w:t>0.45</w:t>
            </w:r>
          </w:p>
        </w:tc>
        <w:tc>
          <w:tcPr>
            <w:tcW w:w="1509" w:type="dxa"/>
            <w:tcMar>
              <w:top w:w="88" w:type="dxa"/>
              <w:left w:w="113" w:type="dxa"/>
              <w:bottom w:w="88" w:type="dxa"/>
              <w:right w:w="113" w:type="dxa"/>
            </w:tcMar>
            <w:vAlign w:val="center"/>
          </w:tcPr>
          <w:p w14:paraId="24CAC06F" w14:textId="77777777" w:rsidR="003D5A6B" w:rsidRPr="003D5A6B" w:rsidRDefault="003D5A6B" w:rsidP="00F1408E">
            <w:pPr>
              <w:pStyle w:val="CDIFigure-Table-BodyTextCentre"/>
            </w:pPr>
            <w:r w:rsidRPr="003D5A6B">
              <w:t xml:space="preserve"> 0.39–0.53</w:t>
            </w:r>
          </w:p>
        </w:tc>
        <w:tc>
          <w:tcPr>
            <w:tcW w:w="1510" w:type="dxa"/>
            <w:tcMar>
              <w:top w:w="88" w:type="dxa"/>
              <w:left w:w="113" w:type="dxa"/>
              <w:bottom w:w="88" w:type="dxa"/>
              <w:right w:w="113" w:type="dxa"/>
            </w:tcMar>
            <w:vAlign w:val="center"/>
          </w:tcPr>
          <w:p w14:paraId="11452264" w14:textId="77777777" w:rsidR="003D5A6B" w:rsidRPr="003D5A6B" w:rsidRDefault="003D5A6B" w:rsidP="00F1408E">
            <w:pPr>
              <w:pStyle w:val="CDIFigure-Table-BodyTextCentre"/>
            </w:pPr>
            <w:r w:rsidRPr="003D5A6B">
              <w:t>0.03</w:t>
            </w:r>
          </w:p>
        </w:tc>
        <w:tc>
          <w:tcPr>
            <w:tcW w:w="1509" w:type="dxa"/>
            <w:tcMar>
              <w:top w:w="88" w:type="dxa"/>
              <w:left w:w="113" w:type="dxa"/>
              <w:bottom w:w="88" w:type="dxa"/>
              <w:right w:w="113" w:type="dxa"/>
            </w:tcMar>
            <w:vAlign w:val="center"/>
          </w:tcPr>
          <w:p w14:paraId="2445156B" w14:textId="77777777" w:rsidR="003D5A6B" w:rsidRPr="003D5A6B" w:rsidRDefault="003D5A6B" w:rsidP="00F1408E">
            <w:pPr>
              <w:pStyle w:val="CDIFigure-Table-BodyTextCentre"/>
            </w:pPr>
            <w:r w:rsidRPr="003D5A6B">
              <w:t xml:space="preserve"> 0.01–0.05</w:t>
            </w:r>
          </w:p>
        </w:tc>
      </w:tr>
      <w:tr w:rsidR="003D5A6B" w:rsidRPr="003D5A6B" w14:paraId="7AFCBE93"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639A72AB" w14:textId="77777777" w:rsidR="003D5A6B" w:rsidRPr="003D5A6B" w:rsidRDefault="003D5A6B" w:rsidP="00824584">
            <w:pPr>
              <w:pStyle w:val="CDIFigure-Table-BodyTextLeft"/>
              <w:keepNext/>
            </w:pPr>
          </w:p>
        </w:tc>
        <w:tc>
          <w:tcPr>
            <w:tcW w:w="1509" w:type="dxa"/>
            <w:shd w:val="clear" w:color="auto" w:fill="F2F2F2" w:themeFill="background1" w:themeFillShade="F2"/>
            <w:tcMar>
              <w:top w:w="88" w:type="dxa"/>
              <w:left w:w="113" w:type="dxa"/>
              <w:bottom w:w="88" w:type="dxa"/>
              <w:right w:w="113" w:type="dxa"/>
            </w:tcMar>
            <w:vAlign w:val="center"/>
          </w:tcPr>
          <w:p w14:paraId="372DEC0E" w14:textId="77777777" w:rsidR="003D5A6B" w:rsidRPr="003D5A6B" w:rsidRDefault="003D5A6B" w:rsidP="00824584">
            <w:pPr>
              <w:pStyle w:val="CDIFigure-Table-BodyTextCentre"/>
              <w:keepNext/>
            </w:pPr>
            <w:r w:rsidRPr="003D5A6B">
              <w:t>15–24</w:t>
            </w:r>
          </w:p>
        </w:tc>
        <w:tc>
          <w:tcPr>
            <w:tcW w:w="1510" w:type="dxa"/>
            <w:shd w:val="clear" w:color="auto" w:fill="F2F2F2" w:themeFill="background1" w:themeFillShade="F2"/>
            <w:tcMar>
              <w:top w:w="88" w:type="dxa"/>
              <w:left w:w="113" w:type="dxa"/>
              <w:bottom w:w="88" w:type="dxa"/>
              <w:right w:w="113" w:type="dxa"/>
            </w:tcMar>
            <w:vAlign w:val="center"/>
          </w:tcPr>
          <w:p w14:paraId="77C59812" w14:textId="77777777" w:rsidR="003D5A6B" w:rsidRPr="003D5A6B" w:rsidRDefault="003D5A6B" w:rsidP="00F1408E">
            <w:pPr>
              <w:pStyle w:val="CDIFigure-Table-BodyTextCentre"/>
            </w:pPr>
            <w:r w:rsidRPr="003D5A6B">
              <w:t>19.2</w:t>
            </w:r>
          </w:p>
        </w:tc>
        <w:tc>
          <w:tcPr>
            <w:tcW w:w="1509" w:type="dxa"/>
            <w:shd w:val="clear" w:color="auto" w:fill="F2F2F2" w:themeFill="background1" w:themeFillShade="F2"/>
            <w:tcMar>
              <w:top w:w="88" w:type="dxa"/>
              <w:left w:w="113" w:type="dxa"/>
              <w:bottom w:w="88" w:type="dxa"/>
              <w:right w:w="113" w:type="dxa"/>
            </w:tcMar>
            <w:vAlign w:val="center"/>
          </w:tcPr>
          <w:p w14:paraId="7267D336" w14:textId="77777777" w:rsidR="003D5A6B" w:rsidRPr="003D5A6B" w:rsidRDefault="003D5A6B" w:rsidP="00F1408E">
            <w:pPr>
              <w:pStyle w:val="CDIFigure-Table-BodyTextCentre"/>
            </w:pPr>
            <w:r w:rsidRPr="003D5A6B">
              <w:t>15.1</w:t>
            </w:r>
          </w:p>
        </w:tc>
        <w:tc>
          <w:tcPr>
            <w:tcW w:w="1510" w:type="dxa"/>
            <w:shd w:val="clear" w:color="auto" w:fill="F2F2F2" w:themeFill="background1" w:themeFillShade="F2"/>
            <w:tcMar>
              <w:top w:w="88" w:type="dxa"/>
              <w:left w:w="113" w:type="dxa"/>
              <w:bottom w:w="88" w:type="dxa"/>
              <w:right w:w="113" w:type="dxa"/>
            </w:tcMar>
            <w:vAlign w:val="center"/>
          </w:tcPr>
          <w:p w14:paraId="141EB562" w14:textId="77777777" w:rsidR="003D5A6B" w:rsidRPr="003D5A6B" w:rsidRDefault="003D5A6B" w:rsidP="00F1408E">
            <w:pPr>
              <w:pStyle w:val="CDIFigure-Table-BodyTextCentre"/>
            </w:pPr>
            <w:r w:rsidRPr="003D5A6B">
              <w:t>4.6</w:t>
            </w:r>
          </w:p>
        </w:tc>
        <w:tc>
          <w:tcPr>
            <w:tcW w:w="1509" w:type="dxa"/>
            <w:shd w:val="clear" w:color="auto" w:fill="F2F2F2" w:themeFill="background1" w:themeFillShade="F2"/>
            <w:tcMar>
              <w:top w:w="88" w:type="dxa"/>
              <w:left w:w="113" w:type="dxa"/>
              <w:bottom w:w="88" w:type="dxa"/>
              <w:right w:w="113" w:type="dxa"/>
            </w:tcMar>
            <w:vAlign w:val="center"/>
          </w:tcPr>
          <w:p w14:paraId="79212054" w14:textId="77777777" w:rsidR="003D5A6B" w:rsidRPr="003D5A6B" w:rsidRDefault="003D5A6B" w:rsidP="00F1408E">
            <w:pPr>
              <w:pStyle w:val="CDIFigure-Table-BodyTextCentre"/>
            </w:pPr>
            <w:r w:rsidRPr="003D5A6B">
              <w:t>0.79</w:t>
            </w:r>
          </w:p>
        </w:tc>
        <w:tc>
          <w:tcPr>
            <w:tcW w:w="1509" w:type="dxa"/>
            <w:shd w:val="clear" w:color="auto" w:fill="F2F2F2" w:themeFill="background1" w:themeFillShade="F2"/>
            <w:tcMar>
              <w:top w:w="88" w:type="dxa"/>
              <w:left w:w="113" w:type="dxa"/>
              <w:bottom w:w="88" w:type="dxa"/>
              <w:right w:w="113" w:type="dxa"/>
            </w:tcMar>
            <w:vAlign w:val="center"/>
          </w:tcPr>
          <w:p w14:paraId="06E22B68" w14:textId="77777777" w:rsidR="003D5A6B" w:rsidRPr="003D5A6B" w:rsidRDefault="003D5A6B" w:rsidP="00F1408E">
            <w:pPr>
              <w:pStyle w:val="CDIFigure-Table-BodyTextCentre"/>
            </w:pPr>
            <w:r w:rsidRPr="003D5A6B">
              <w:t xml:space="preserve"> 0.62–1.00</w:t>
            </w:r>
          </w:p>
        </w:tc>
        <w:tc>
          <w:tcPr>
            <w:tcW w:w="1510" w:type="dxa"/>
            <w:shd w:val="clear" w:color="auto" w:fill="F2F2F2" w:themeFill="background1" w:themeFillShade="F2"/>
            <w:tcMar>
              <w:top w:w="88" w:type="dxa"/>
              <w:left w:w="113" w:type="dxa"/>
              <w:bottom w:w="88" w:type="dxa"/>
              <w:right w:w="113" w:type="dxa"/>
            </w:tcMar>
            <w:vAlign w:val="center"/>
          </w:tcPr>
          <w:p w14:paraId="2DA7F60C" w14:textId="77777777" w:rsidR="003D5A6B" w:rsidRPr="003D5A6B" w:rsidRDefault="003D5A6B" w:rsidP="00F1408E">
            <w:pPr>
              <w:pStyle w:val="CDIFigure-Table-BodyTextCentre"/>
            </w:pPr>
            <w:r w:rsidRPr="003D5A6B">
              <w:t>0.24</w:t>
            </w:r>
          </w:p>
        </w:tc>
        <w:tc>
          <w:tcPr>
            <w:tcW w:w="1509" w:type="dxa"/>
            <w:shd w:val="clear" w:color="auto" w:fill="F2F2F2" w:themeFill="background1" w:themeFillShade="F2"/>
            <w:tcMar>
              <w:top w:w="88" w:type="dxa"/>
              <w:left w:w="113" w:type="dxa"/>
              <w:bottom w:w="88" w:type="dxa"/>
              <w:right w:w="113" w:type="dxa"/>
            </w:tcMar>
            <w:vAlign w:val="center"/>
          </w:tcPr>
          <w:p w14:paraId="1F96E5DB" w14:textId="77777777" w:rsidR="003D5A6B" w:rsidRPr="003D5A6B" w:rsidRDefault="003D5A6B" w:rsidP="00F1408E">
            <w:pPr>
              <w:pStyle w:val="CDIFigure-Table-BodyTextCentre"/>
            </w:pPr>
            <w:r w:rsidRPr="003D5A6B">
              <w:t xml:space="preserve"> 0.16–0.34</w:t>
            </w:r>
          </w:p>
        </w:tc>
      </w:tr>
      <w:tr w:rsidR="003D5A6B" w:rsidRPr="003D5A6B" w14:paraId="284A223B"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4D27FA33" w14:textId="77777777" w:rsidR="003D5A6B" w:rsidRPr="003D5A6B" w:rsidRDefault="003D5A6B" w:rsidP="00824584">
            <w:pPr>
              <w:pStyle w:val="CDIFigure-Table-BodyTextLeft"/>
              <w:keepNext/>
            </w:pPr>
          </w:p>
        </w:tc>
        <w:tc>
          <w:tcPr>
            <w:tcW w:w="1509" w:type="dxa"/>
            <w:tcMar>
              <w:top w:w="88" w:type="dxa"/>
              <w:left w:w="113" w:type="dxa"/>
              <w:bottom w:w="88" w:type="dxa"/>
              <w:right w:w="113" w:type="dxa"/>
            </w:tcMar>
            <w:vAlign w:val="center"/>
          </w:tcPr>
          <w:p w14:paraId="11B6467B" w14:textId="77777777" w:rsidR="003D5A6B" w:rsidRPr="003D5A6B" w:rsidRDefault="003D5A6B" w:rsidP="00824584">
            <w:pPr>
              <w:pStyle w:val="CDIFigure-Table-BodyTextCentre"/>
              <w:keepNext/>
            </w:pPr>
            <w:r w:rsidRPr="003D5A6B">
              <w:t>25–69</w:t>
            </w:r>
          </w:p>
        </w:tc>
        <w:tc>
          <w:tcPr>
            <w:tcW w:w="1510" w:type="dxa"/>
            <w:tcMar>
              <w:top w:w="88" w:type="dxa"/>
              <w:left w:w="113" w:type="dxa"/>
              <w:bottom w:w="88" w:type="dxa"/>
              <w:right w:w="113" w:type="dxa"/>
            </w:tcMar>
            <w:vAlign w:val="center"/>
          </w:tcPr>
          <w:p w14:paraId="18BA88E5" w14:textId="77777777" w:rsidR="003D5A6B" w:rsidRPr="003D5A6B" w:rsidRDefault="003D5A6B" w:rsidP="00F1408E">
            <w:pPr>
              <w:pStyle w:val="CDIFigure-Table-BodyTextCentre"/>
            </w:pPr>
            <w:r w:rsidRPr="003D5A6B">
              <w:t>25.9</w:t>
            </w:r>
          </w:p>
        </w:tc>
        <w:tc>
          <w:tcPr>
            <w:tcW w:w="1509" w:type="dxa"/>
            <w:tcMar>
              <w:top w:w="88" w:type="dxa"/>
              <w:left w:w="113" w:type="dxa"/>
              <w:bottom w:w="88" w:type="dxa"/>
              <w:right w:w="113" w:type="dxa"/>
            </w:tcMar>
            <w:vAlign w:val="center"/>
          </w:tcPr>
          <w:p w14:paraId="4722731C" w14:textId="77777777" w:rsidR="003D5A6B" w:rsidRPr="003D5A6B" w:rsidRDefault="003D5A6B" w:rsidP="00F1408E">
            <w:pPr>
              <w:pStyle w:val="CDIFigure-Table-BodyTextCentre"/>
            </w:pPr>
            <w:r w:rsidRPr="003D5A6B">
              <w:t>13.9</w:t>
            </w:r>
          </w:p>
        </w:tc>
        <w:tc>
          <w:tcPr>
            <w:tcW w:w="1510" w:type="dxa"/>
            <w:tcMar>
              <w:top w:w="88" w:type="dxa"/>
              <w:left w:w="113" w:type="dxa"/>
              <w:bottom w:w="88" w:type="dxa"/>
              <w:right w:w="113" w:type="dxa"/>
            </w:tcMar>
            <w:vAlign w:val="center"/>
          </w:tcPr>
          <w:p w14:paraId="0FA6E2AD" w14:textId="77777777" w:rsidR="003D5A6B" w:rsidRPr="003D5A6B" w:rsidRDefault="003D5A6B" w:rsidP="00F1408E">
            <w:pPr>
              <w:pStyle w:val="CDIFigure-Table-BodyTextCentre"/>
            </w:pPr>
            <w:r w:rsidRPr="003D5A6B">
              <w:t>5.7</w:t>
            </w:r>
          </w:p>
        </w:tc>
        <w:tc>
          <w:tcPr>
            <w:tcW w:w="1509" w:type="dxa"/>
            <w:tcMar>
              <w:top w:w="88" w:type="dxa"/>
              <w:left w:w="113" w:type="dxa"/>
              <w:bottom w:w="88" w:type="dxa"/>
              <w:right w:w="113" w:type="dxa"/>
            </w:tcMar>
            <w:vAlign w:val="center"/>
          </w:tcPr>
          <w:p w14:paraId="1052B0BC" w14:textId="77777777" w:rsidR="003D5A6B" w:rsidRPr="003D5A6B" w:rsidRDefault="003D5A6B" w:rsidP="00F1408E">
            <w:pPr>
              <w:pStyle w:val="CDIFigure-Table-BodyTextCentre"/>
            </w:pPr>
            <w:r w:rsidRPr="003D5A6B">
              <w:t>0.54</w:t>
            </w:r>
          </w:p>
        </w:tc>
        <w:tc>
          <w:tcPr>
            <w:tcW w:w="1509" w:type="dxa"/>
            <w:tcMar>
              <w:top w:w="88" w:type="dxa"/>
              <w:left w:w="113" w:type="dxa"/>
              <w:bottom w:w="88" w:type="dxa"/>
              <w:right w:w="113" w:type="dxa"/>
            </w:tcMar>
            <w:vAlign w:val="center"/>
          </w:tcPr>
          <w:p w14:paraId="4F52E461" w14:textId="77777777" w:rsidR="003D5A6B" w:rsidRPr="003D5A6B" w:rsidRDefault="003D5A6B" w:rsidP="00F1408E">
            <w:pPr>
              <w:pStyle w:val="CDIFigure-Table-BodyTextCentre"/>
            </w:pPr>
            <w:r w:rsidRPr="003D5A6B">
              <w:t xml:space="preserve"> 0.48–0.60</w:t>
            </w:r>
          </w:p>
        </w:tc>
        <w:tc>
          <w:tcPr>
            <w:tcW w:w="1510" w:type="dxa"/>
            <w:tcMar>
              <w:top w:w="88" w:type="dxa"/>
              <w:left w:w="113" w:type="dxa"/>
              <w:bottom w:w="88" w:type="dxa"/>
              <w:right w:w="113" w:type="dxa"/>
            </w:tcMar>
            <w:vAlign w:val="center"/>
          </w:tcPr>
          <w:p w14:paraId="3A102D0A" w14:textId="77777777" w:rsidR="003D5A6B" w:rsidRPr="003D5A6B" w:rsidRDefault="003D5A6B" w:rsidP="00F1408E">
            <w:pPr>
              <w:pStyle w:val="CDIFigure-Table-BodyTextCentre"/>
            </w:pPr>
            <w:r w:rsidRPr="003D5A6B">
              <w:t>0.22</w:t>
            </w:r>
          </w:p>
        </w:tc>
        <w:tc>
          <w:tcPr>
            <w:tcW w:w="1509" w:type="dxa"/>
            <w:tcMar>
              <w:top w:w="88" w:type="dxa"/>
              <w:left w:w="113" w:type="dxa"/>
              <w:bottom w:w="88" w:type="dxa"/>
              <w:right w:w="113" w:type="dxa"/>
            </w:tcMar>
            <w:vAlign w:val="center"/>
          </w:tcPr>
          <w:p w14:paraId="199C9D45" w14:textId="77777777" w:rsidR="003D5A6B" w:rsidRPr="003D5A6B" w:rsidRDefault="003D5A6B" w:rsidP="00F1408E">
            <w:pPr>
              <w:pStyle w:val="CDIFigure-Table-BodyTextCentre"/>
            </w:pPr>
            <w:r w:rsidRPr="003D5A6B">
              <w:t xml:space="preserve"> 0.19–0.25</w:t>
            </w:r>
          </w:p>
        </w:tc>
      </w:tr>
      <w:tr w:rsidR="006A4AE7" w:rsidRPr="003D5A6B" w14:paraId="2E6A650E"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3F0FF3D2" w14:textId="77777777" w:rsidR="003D5A6B" w:rsidRPr="003D5A6B" w:rsidRDefault="003D5A6B" w:rsidP="00F1408E">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62099694" w14:textId="77777777" w:rsidR="003D5A6B" w:rsidRPr="003D5A6B" w:rsidRDefault="003D5A6B" w:rsidP="00F1408E">
            <w:pPr>
              <w:pStyle w:val="CDIFigure-Table-BodyTextCentre"/>
            </w:pPr>
            <w:r w:rsidRPr="003D5A6B">
              <w:t>≥ 70</w:t>
            </w:r>
          </w:p>
        </w:tc>
        <w:tc>
          <w:tcPr>
            <w:tcW w:w="1510" w:type="dxa"/>
            <w:shd w:val="clear" w:color="auto" w:fill="F2F2F2" w:themeFill="background1" w:themeFillShade="F2"/>
            <w:tcMar>
              <w:top w:w="88" w:type="dxa"/>
              <w:left w:w="113" w:type="dxa"/>
              <w:bottom w:w="88" w:type="dxa"/>
              <w:right w:w="113" w:type="dxa"/>
            </w:tcMar>
            <w:vAlign w:val="center"/>
          </w:tcPr>
          <w:p w14:paraId="24E29D0F" w14:textId="77777777" w:rsidR="003D5A6B" w:rsidRPr="003D5A6B" w:rsidRDefault="003D5A6B" w:rsidP="00F1408E">
            <w:pPr>
              <w:pStyle w:val="CDIFigure-Table-BodyTextCentre"/>
            </w:pPr>
            <w:r w:rsidRPr="003D5A6B">
              <w:t>28.5</w:t>
            </w:r>
          </w:p>
        </w:tc>
        <w:tc>
          <w:tcPr>
            <w:tcW w:w="1509" w:type="dxa"/>
            <w:shd w:val="clear" w:color="auto" w:fill="F2F2F2" w:themeFill="background1" w:themeFillShade="F2"/>
            <w:tcMar>
              <w:top w:w="88" w:type="dxa"/>
              <w:left w:w="113" w:type="dxa"/>
              <w:bottom w:w="88" w:type="dxa"/>
              <w:right w:w="113" w:type="dxa"/>
            </w:tcMar>
            <w:vAlign w:val="center"/>
          </w:tcPr>
          <w:p w14:paraId="24B01481" w14:textId="77777777" w:rsidR="003D5A6B" w:rsidRPr="003D5A6B" w:rsidRDefault="003D5A6B" w:rsidP="00F1408E">
            <w:pPr>
              <w:pStyle w:val="CDIFigure-Table-BodyTextCentre"/>
            </w:pPr>
            <w:r w:rsidRPr="003D5A6B">
              <w:t>14.1</w:t>
            </w:r>
          </w:p>
        </w:tc>
        <w:tc>
          <w:tcPr>
            <w:tcW w:w="1510" w:type="dxa"/>
            <w:shd w:val="clear" w:color="auto" w:fill="F2F2F2" w:themeFill="background1" w:themeFillShade="F2"/>
            <w:tcMar>
              <w:top w:w="88" w:type="dxa"/>
              <w:left w:w="113" w:type="dxa"/>
              <w:bottom w:w="88" w:type="dxa"/>
              <w:right w:w="113" w:type="dxa"/>
            </w:tcMar>
            <w:vAlign w:val="center"/>
          </w:tcPr>
          <w:p w14:paraId="120F5A5B" w14:textId="77777777" w:rsidR="003D5A6B" w:rsidRPr="003D5A6B" w:rsidRDefault="003D5A6B" w:rsidP="00F1408E">
            <w:pPr>
              <w:pStyle w:val="CDIFigure-Table-BodyTextCentre"/>
            </w:pPr>
            <w:r w:rsidRPr="003D5A6B">
              <w:t>3.7</w:t>
            </w:r>
          </w:p>
        </w:tc>
        <w:tc>
          <w:tcPr>
            <w:tcW w:w="1509" w:type="dxa"/>
            <w:shd w:val="clear" w:color="auto" w:fill="F2F2F2" w:themeFill="background1" w:themeFillShade="F2"/>
            <w:tcMar>
              <w:top w:w="88" w:type="dxa"/>
              <w:left w:w="113" w:type="dxa"/>
              <w:bottom w:w="88" w:type="dxa"/>
              <w:right w:w="113" w:type="dxa"/>
            </w:tcMar>
            <w:vAlign w:val="center"/>
          </w:tcPr>
          <w:p w14:paraId="7209FF17" w14:textId="77777777" w:rsidR="003D5A6B" w:rsidRPr="003D5A6B" w:rsidRDefault="003D5A6B" w:rsidP="00F1408E">
            <w:pPr>
              <w:pStyle w:val="CDIFigure-Table-BodyTextCentre"/>
            </w:pPr>
            <w:r w:rsidRPr="003D5A6B">
              <w:t>0.50</w:t>
            </w:r>
          </w:p>
        </w:tc>
        <w:tc>
          <w:tcPr>
            <w:tcW w:w="1509" w:type="dxa"/>
            <w:shd w:val="clear" w:color="auto" w:fill="F2F2F2" w:themeFill="background1" w:themeFillShade="F2"/>
            <w:tcMar>
              <w:top w:w="88" w:type="dxa"/>
              <w:left w:w="113" w:type="dxa"/>
              <w:bottom w:w="88" w:type="dxa"/>
              <w:right w:w="113" w:type="dxa"/>
            </w:tcMar>
            <w:vAlign w:val="center"/>
          </w:tcPr>
          <w:p w14:paraId="048C11BE" w14:textId="77777777" w:rsidR="003D5A6B" w:rsidRPr="003D5A6B" w:rsidRDefault="003D5A6B" w:rsidP="00F1408E">
            <w:pPr>
              <w:pStyle w:val="CDIFigure-Table-BodyTextCentre"/>
            </w:pPr>
            <w:r w:rsidRPr="003D5A6B">
              <w:t xml:space="preserve"> 0.39–0.64</w:t>
            </w:r>
          </w:p>
        </w:tc>
        <w:tc>
          <w:tcPr>
            <w:tcW w:w="1510" w:type="dxa"/>
            <w:shd w:val="clear" w:color="auto" w:fill="F2F2F2" w:themeFill="background1" w:themeFillShade="F2"/>
            <w:tcMar>
              <w:top w:w="88" w:type="dxa"/>
              <w:left w:w="113" w:type="dxa"/>
              <w:bottom w:w="88" w:type="dxa"/>
              <w:right w:w="113" w:type="dxa"/>
            </w:tcMar>
            <w:vAlign w:val="center"/>
          </w:tcPr>
          <w:p w14:paraId="0C914738" w14:textId="77777777" w:rsidR="003D5A6B" w:rsidRPr="003D5A6B" w:rsidRDefault="003D5A6B" w:rsidP="00F1408E">
            <w:pPr>
              <w:pStyle w:val="CDIFigure-Table-BodyTextCentre"/>
            </w:pPr>
            <w:r w:rsidRPr="003D5A6B">
              <w:t>0.13</w:t>
            </w:r>
          </w:p>
        </w:tc>
        <w:tc>
          <w:tcPr>
            <w:tcW w:w="1509" w:type="dxa"/>
            <w:shd w:val="clear" w:color="auto" w:fill="F2F2F2" w:themeFill="background1" w:themeFillShade="F2"/>
            <w:tcMar>
              <w:top w:w="88" w:type="dxa"/>
              <w:left w:w="113" w:type="dxa"/>
              <w:bottom w:w="88" w:type="dxa"/>
              <w:right w:w="113" w:type="dxa"/>
            </w:tcMar>
            <w:vAlign w:val="center"/>
          </w:tcPr>
          <w:p w14:paraId="3C65F4BA" w14:textId="77777777" w:rsidR="003D5A6B" w:rsidRPr="003D5A6B" w:rsidRDefault="003D5A6B" w:rsidP="00F1408E">
            <w:pPr>
              <w:pStyle w:val="CDIFigure-Table-BodyTextCentre"/>
            </w:pPr>
            <w:r w:rsidRPr="003D5A6B">
              <w:t xml:space="preserve"> 0.08–0.19</w:t>
            </w:r>
          </w:p>
        </w:tc>
      </w:tr>
      <w:tr w:rsidR="003D5A6B" w:rsidRPr="003D5A6B" w14:paraId="7A318D0A" w14:textId="77777777" w:rsidTr="00824584">
        <w:trPr>
          <w:trHeight w:val="20"/>
        </w:trPr>
        <w:tc>
          <w:tcPr>
            <w:tcW w:w="2268" w:type="dxa"/>
            <w:vMerge/>
            <w:tcBorders>
              <w:bottom w:val="single" w:sz="6" w:space="0" w:color="033636" w:themeColor="text2"/>
            </w:tcBorders>
            <w:shd w:val="clear" w:color="auto" w:fill="C5FFEF" w:themeFill="background2" w:themeFillTint="33"/>
          </w:tcPr>
          <w:p w14:paraId="42B389A0" w14:textId="77777777" w:rsidR="003D5A6B" w:rsidRPr="003D5A6B" w:rsidRDefault="003D5A6B" w:rsidP="00F1408E">
            <w:pPr>
              <w:pStyle w:val="CDIFigure-Table-BodyTextLeft"/>
            </w:pPr>
          </w:p>
        </w:tc>
        <w:tc>
          <w:tcPr>
            <w:tcW w:w="1509" w:type="dxa"/>
            <w:tcBorders>
              <w:bottom w:val="single" w:sz="6" w:space="0" w:color="033636" w:themeColor="text2"/>
            </w:tcBorders>
            <w:tcMar>
              <w:top w:w="88" w:type="dxa"/>
              <w:left w:w="113" w:type="dxa"/>
              <w:bottom w:w="88" w:type="dxa"/>
              <w:right w:w="113" w:type="dxa"/>
            </w:tcMar>
            <w:vAlign w:val="center"/>
          </w:tcPr>
          <w:p w14:paraId="7CB39A29" w14:textId="77777777" w:rsidR="003D5A6B" w:rsidRPr="00F1408E" w:rsidRDefault="003D5A6B" w:rsidP="00F1408E">
            <w:pPr>
              <w:pStyle w:val="CDIFigure-Table-BodyTextCentre"/>
              <w:rPr>
                <w:b/>
                <w:bCs/>
              </w:rPr>
            </w:pPr>
            <w:r w:rsidRPr="00F1408E">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112E0B56" w14:textId="77777777" w:rsidR="003D5A6B" w:rsidRPr="00F1408E" w:rsidRDefault="003D5A6B" w:rsidP="00F1408E">
            <w:pPr>
              <w:pStyle w:val="CDIFigure-Table-BodyTextCentre"/>
              <w:rPr>
                <w:b/>
                <w:bCs/>
              </w:rPr>
            </w:pPr>
            <w:r w:rsidRPr="00F1408E">
              <w:rPr>
                <w:b/>
                <w:bCs/>
              </w:rPr>
              <w:t>30.3</w:t>
            </w:r>
          </w:p>
        </w:tc>
        <w:tc>
          <w:tcPr>
            <w:tcW w:w="1509" w:type="dxa"/>
            <w:tcBorders>
              <w:bottom w:val="single" w:sz="6" w:space="0" w:color="033636" w:themeColor="text2"/>
            </w:tcBorders>
            <w:tcMar>
              <w:top w:w="88" w:type="dxa"/>
              <w:left w:w="113" w:type="dxa"/>
              <w:bottom w:w="88" w:type="dxa"/>
              <w:right w:w="113" w:type="dxa"/>
            </w:tcMar>
            <w:vAlign w:val="center"/>
          </w:tcPr>
          <w:p w14:paraId="2E75A036" w14:textId="77777777" w:rsidR="003D5A6B" w:rsidRPr="00F1408E" w:rsidRDefault="003D5A6B" w:rsidP="00F1408E">
            <w:pPr>
              <w:pStyle w:val="CDIFigure-Table-BodyTextCentre"/>
              <w:rPr>
                <w:b/>
                <w:bCs/>
              </w:rPr>
            </w:pPr>
            <w:r w:rsidRPr="00F1408E">
              <w:rPr>
                <w:b/>
                <w:bCs/>
              </w:rPr>
              <w:t>16.4</w:t>
            </w:r>
          </w:p>
        </w:tc>
        <w:tc>
          <w:tcPr>
            <w:tcW w:w="1510" w:type="dxa"/>
            <w:tcBorders>
              <w:bottom w:val="single" w:sz="6" w:space="0" w:color="033636" w:themeColor="text2"/>
            </w:tcBorders>
            <w:tcMar>
              <w:top w:w="88" w:type="dxa"/>
              <w:left w:w="113" w:type="dxa"/>
              <w:bottom w:w="88" w:type="dxa"/>
              <w:right w:w="113" w:type="dxa"/>
            </w:tcMar>
            <w:vAlign w:val="center"/>
          </w:tcPr>
          <w:p w14:paraId="718FF368" w14:textId="77777777" w:rsidR="003D5A6B" w:rsidRPr="00F1408E" w:rsidRDefault="003D5A6B" w:rsidP="00F1408E">
            <w:pPr>
              <w:pStyle w:val="CDIFigure-Table-BodyTextCentre"/>
              <w:rPr>
                <w:b/>
                <w:bCs/>
              </w:rPr>
            </w:pPr>
            <w:r w:rsidRPr="00F1408E">
              <w:rPr>
                <w:b/>
                <w:bCs/>
              </w:rPr>
              <w:t>4.7</w:t>
            </w:r>
          </w:p>
        </w:tc>
        <w:tc>
          <w:tcPr>
            <w:tcW w:w="1509" w:type="dxa"/>
            <w:tcBorders>
              <w:bottom w:val="single" w:sz="6" w:space="0" w:color="033636" w:themeColor="text2"/>
            </w:tcBorders>
            <w:tcMar>
              <w:top w:w="88" w:type="dxa"/>
              <w:left w:w="113" w:type="dxa"/>
              <w:bottom w:w="88" w:type="dxa"/>
              <w:right w:w="113" w:type="dxa"/>
            </w:tcMar>
            <w:vAlign w:val="center"/>
          </w:tcPr>
          <w:p w14:paraId="3A79DB09" w14:textId="77777777" w:rsidR="003D5A6B" w:rsidRPr="00F1408E" w:rsidRDefault="003D5A6B" w:rsidP="00F1408E">
            <w:pPr>
              <w:pStyle w:val="CDIFigure-Table-BodyTextCentre"/>
              <w:rPr>
                <w:b/>
                <w:bCs/>
              </w:rPr>
            </w:pPr>
            <w:r w:rsidRPr="00F1408E">
              <w:rPr>
                <w:b/>
                <w:bCs/>
              </w:rPr>
              <w:t>0.54</w:t>
            </w:r>
          </w:p>
        </w:tc>
        <w:tc>
          <w:tcPr>
            <w:tcW w:w="1509" w:type="dxa"/>
            <w:tcBorders>
              <w:bottom w:val="single" w:sz="6" w:space="0" w:color="033636" w:themeColor="text2"/>
            </w:tcBorders>
            <w:tcMar>
              <w:top w:w="88" w:type="dxa"/>
              <w:left w:w="113" w:type="dxa"/>
              <w:bottom w:w="88" w:type="dxa"/>
              <w:right w:w="113" w:type="dxa"/>
            </w:tcMar>
            <w:vAlign w:val="center"/>
          </w:tcPr>
          <w:p w14:paraId="6FD4C4A7" w14:textId="77777777" w:rsidR="003D5A6B" w:rsidRPr="00F1408E" w:rsidRDefault="003D5A6B" w:rsidP="00F1408E">
            <w:pPr>
              <w:pStyle w:val="CDIFigure-Table-BodyTextCentre"/>
              <w:rPr>
                <w:b/>
                <w:bCs/>
              </w:rPr>
            </w:pPr>
            <w:r w:rsidRPr="00F1408E">
              <w:rPr>
                <w:b/>
                <w:bCs/>
              </w:rPr>
              <w:t xml:space="preserve"> 0.50 –0.58</w:t>
            </w:r>
          </w:p>
        </w:tc>
        <w:tc>
          <w:tcPr>
            <w:tcW w:w="1510" w:type="dxa"/>
            <w:tcBorders>
              <w:bottom w:val="single" w:sz="6" w:space="0" w:color="033636" w:themeColor="text2"/>
            </w:tcBorders>
            <w:tcMar>
              <w:top w:w="88" w:type="dxa"/>
              <w:left w:w="113" w:type="dxa"/>
              <w:bottom w:w="88" w:type="dxa"/>
              <w:right w:w="113" w:type="dxa"/>
            </w:tcMar>
            <w:vAlign w:val="center"/>
          </w:tcPr>
          <w:p w14:paraId="50893972" w14:textId="77777777" w:rsidR="003D5A6B" w:rsidRPr="00F1408E" w:rsidRDefault="003D5A6B" w:rsidP="00F1408E">
            <w:pPr>
              <w:pStyle w:val="CDIFigure-Table-BodyTextCentre"/>
              <w:rPr>
                <w:b/>
                <w:bCs/>
              </w:rPr>
            </w:pPr>
            <w:r w:rsidRPr="00F1408E">
              <w:rPr>
                <w:b/>
                <w:bCs/>
              </w:rPr>
              <w:t>0.15</w:t>
            </w:r>
          </w:p>
        </w:tc>
        <w:tc>
          <w:tcPr>
            <w:tcW w:w="1509" w:type="dxa"/>
            <w:tcBorders>
              <w:bottom w:val="single" w:sz="6" w:space="0" w:color="033636" w:themeColor="text2"/>
            </w:tcBorders>
            <w:tcMar>
              <w:top w:w="88" w:type="dxa"/>
              <w:left w:w="113" w:type="dxa"/>
              <w:bottom w:w="88" w:type="dxa"/>
              <w:right w:w="113" w:type="dxa"/>
            </w:tcMar>
            <w:vAlign w:val="center"/>
          </w:tcPr>
          <w:p w14:paraId="3B6DB124" w14:textId="77777777" w:rsidR="003D5A6B" w:rsidRPr="00F1408E" w:rsidRDefault="003D5A6B" w:rsidP="00F1408E">
            <w:pPr>
              <w:pStyle w:val="CDIFigure-Table-BodyTextCentre"/>
              <w:rPr>
                <w:b/>
                <w:bCs/>
              </w:rPr>
            </w:pPr>
            <w:r w:rsidRPr="00F1408E">
              <w:rPr>
                <w:b/>
                <w:bCs/>
              </w:rPr>
              <w:t xml:space="preserve"> 0.14–0.17</w:t>
            </w:r>
          </w:p>
        </w:tc>
      </w:tr>
      <w:tr w:rsidR="00824584" w:rsidRPr="003D5A6B" w14:paraId="40131F05" w14:textId="77777777" w:rsidTr="00824584">
        <w:trPr>
          <w:trHeight w:val="20"/>
        </w:trPr>
        <w:tc>
          <w:tcPr>
            <w:tcW w:w="2268" w:type="dxa"/>
            <w:vMerge w:val="restart"/>
            <w:tcBorders>
              <w:top w:val="single" w:sz="6" w:space="0" w:color="033636" w:themeColor="text2"/>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59FCA61A" w14:textId="77777777" w:rsidR="003D5A6B" w:rsidRPr="003D5A6B" w:rsidRDefault="003D5A6B" w:rsidP="00F1408E">
            <w:pPr>
              <w:pStyle w:val="CDIFigure-Table-BodyTextLeft"/>
            </w:pPr>
            <w:r w:rsidRPr="003D5A6B">
              <w:t>Western Australia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C7D1BD2" w14:textId="77777777" w:rsidR="003D5A6B" w:rsidRPr="003D5A6B" w:rsidRDefault="003D5A6B" w:rsidP="00F1408E">
            <w:pPr>
              <w:pStyle w:val="CDIFigure-Table-BodyTextCentre"/>
            </w:pPr>
            <w:r w:rsidRPr="003D5A6B">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6A12219" w14:textId="77777777" w:rsidR="003D5A6B" w:rsidRPr="003D5A6B" w:rsidRDefault="003D5A6B" w:rsidP="00F1408E">
            <w:pPr>
              <w:pStyle w:val="CDIFigure-Table-BodyTextCentre"/>
            </w:pPr>
            <w:r w:rsidRPr="003D5A6B">
              <w:t>86.4</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EA61EFB" w14:textId="77777777" w:rsidR="003D5A6B" w:rsidRPr="003D5A6B" w:rsidRDefault="003D5A6B" w:rsidP="00F1408E">
            <w:pPr>
              <w:pStyle w:val="CDIFigure-Table-BodyTextCentre"/>
            </w:pPr>
            <w:r w:rsidRPr="003D5A6B">
              <w:t>5.8</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65FF4D6F" w14:textId="77777777" w:rsidR="003D5A6B" w:rsidRPr="003D5A6B" w:rsidRDefault="003D5A6B" w:rsidP="00F1408E">
            <w:pPr>
              <w:pStyle w:val="CDIFigure-Table-BodyTextCentre"/>
            </w:pPr>
            <w:r w:rsidRPr="003D5A6B">
              <w:t>0.0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E4A9BC1" w14:textId="77777777" w:rsidR="003D5A6B" w:rsidRPr="003D5A6B" w:rsidRDefault="003D5A6B" w:rsidP="00F1408E">
            <w:pPr>
              <w:pStyle w:val="CDIFigure-Table-BodyTextCentre"/>
            </w:pPr>
            <w:r w:rsidRPr="003D5A6B">
              <w:t>0.07</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F45FB53" w14:textId="77777777" w:rsidR="003D5A6B" w:rsidRPr="003D5A6B" w:rsidRDefault="003D5A6B" w:rsidP="00F1408E">
            <w:pPr>
              <w:pStyle w:val="CDIFigure-Table-BodyTextCentre"/>
            </w:pPr>
            <w:r w:rsidRPr="003D5A6B">
              <w:t xml:space="preserve"> 0.03–0.13</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AC7928B" w14:textId="77777777" w:rsidR="003D5A6B" w:rsidRPr="003D5A6B" w:rsidRDefault="003D5A6B" w:rsidP="00F1408E">
            <w:pPr>
              <w:pStyle w:val="CDIFigure-Table-BodyTextCentre"/>
            </w:pPr>
            <w:r w:rsidRPr="003D5A6B">
              <w:t>&lt; 0.001</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54DADD8" w14:textId="77777777" w:rsidR="003D5A6B" w:rsidRPr="003D5A6B" w:rsidRDefault="003D5A6B" w:rsidP="00F1408E">
            <w:pPr>
              <w:pStyle w:val="CDIFigure-Table-BodyTextCentre"/>
            </w:pPr>
            <w:r w:rsidRPr="003D5A6B">
              <w:t xml:space="preserve"> 0.00–0.03</w:t>
            </w:r>
          </w:p>
        </w:tc>
      </w:tr>
      <w:tr w:rsidR="003D5A6B" w:rsidRPr="003D5A6B" w14:paraId="1DD9D698"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3899DDDB" w14:textId="77777777" w:rsidR="003D5A6B" w:rsidRPr="003D5A6B" w:rsidRDefault="003D5A6B" w:rsidP="00F1408E">
            <w:pPr>
              <w:pStyle w:val="CDIFigure-Table-BodyTextLeft"/>
            </w:pPr>
          </w:p>
        </w:tc>
        <w:tc>
          <w:tcPr>
            <w:tcW w:w="1509" w:type="dxa"/>
            <w:tcMar>
              <w:top w:w="88" w:type="dxa"/>
              <w:left w:w="113" w:type="dxa"/>
              <w:bottom w:w="88" w:type="dxa"/>
              <w:right w:w="113" w:type="dxa"/>
            </w:tcMar>
            <w:vAlign w:val="center"/>
          </w:tcPr>
          <w:p w14:paraId="01E0E8A3" w14:textId="77777777" w:rsidR="003D5A6B" w:rsidRPr="003D5A6B" w:rsidRDefault="003D5A6B" w:rsidP="00F1408E">
            <w:pPr>
              <w:pStyle w:val="CDIFigure-Table-BodyTextCentre"/>
            </w:pPr>
            <w:r w:rsidRPr="003D5A6B">
              <w:t>5–14</w:t>
            </w:r>
          </w:p>
        </w:tc>
        <w:tc>
          <w:tcPr>
            <w:tcW w:w="1510" w:type="dxa"/>
            <w:tcMar>
              <w:top w:w="88" w:type="dxa"/>
              <w:left w:w="113" w:type="dxa"/>
              <w:bottom w:w="88" w:type="dxa"/>
              <w:right w:w="113" w:type="dxa"/>
            </w:tcMar>
            <w:vAlign w:val="center"/>
          </w:tcPr>
          <w:p w14:paraId="2C497308" w14:textId="77777777" w:rsidR="003D5A6B" w:rsidRPr="003D5A6B" w:rsidRDefault="003D5A6B" w:rsidP="00F1408E">
            <w:pPr>
              <w:pStyle w:val="CDIFigure-Table-BodyTextCentre"/>
            </w:pPr>
            <w:r w:rsidRPr="003D5A6B">
              <w:t>84.4</w:t>
            </w:r>
          </w:p>
        </w:tc>
        <w:tc>
          <w:tcPr>
            <w:tcW w:w="1509" w:type="dxa"/>
            <w:tcMar>
              <w:top w:w="88" w:type="dxa"/>
              <w:left w:w="113" w:type="dxa"/>
              <w:bottom w:w="88" w:type="dxa"/>
              <w:right w:w="113" w:type="dxa"/>
            </w:tcMar>
            <w:vAlign w:val="center"/>
          </w:tcPr>
          <w:p w14:paraId="18CECE21" w14:textId="77777777" w:rsidR="003D5A6B" w:rsidRPr="003D5A6B" w:rsidRDefault="003D5A6B" w:rsidP="00F1408E">
            <w:pPr>
              <w:pStyle w:val="CDIFigure-Table-BodyTextCentre"/>
            </w:pPr>
            <w:r w:rsidRPr="003D5A6B">
              <w:t>7.6</w:t>
            </w:r>
          </w:p>
        </w:tc>
        <w:tc>
          <w:tcPr>
            <w:tcW w:w="1510" w:type="dxa"/>
            <w:tcMar>
              <w:top w:w="88" w:type="dxa"/>
              <w:left w:w="113" w:type="dxa"/>
              <w:bottom w:w="88" w:type="dxa"/>
              <w:right w:w="113" w:type="dxa"/>
            </w:tcMar>
            <w:vAlign w:val="center"/>
          </w:tcPr>
          <w:p w14:paraId="50C698C3" w14:textId="77777777" w:rsidR="003D5A6B" w:rsidRPr="003D5A6B" w:rsidRDefault="003D5A6B" w:rsidP="00F1408E">
            <w:pPr>
              <w:pStyle w:val="CDIFigure-Table-BodyTextCentre"/>
            </w:pPr>
            <w:r w:rsidRPr="003D5A6B">
              <w:t>0.3</w:t>
            </w:r>
          </w:p>
        </w:tc>
        <w:tc>
          <w:tcPr>
            <w:tcW w:w="1509" w:type="dxa"/>
            <w:tcMar>
              <w:top w:w="88" w:type="dxa"/>
              <w:left w:w="113" w:type="dxa"/>
              <w:bottom w:w="88" w:type="dxa"/>
              <w:right w:w="113" w:type="dxa"/>
            </w:tcMar>
            <w:vAlign w:val="center"/>
          </w:tcPr>
          <w:p w14:paraId="6DDF4355" w14:textId="77777777" w:rsidR="003D5A6B" w:rsidRPr="003D5A6B" w:rsidRDefault="003D5A6B" w:rsidP="00F1408E">
            <w:pPr>
              <w:pStyle w:val="CDIFigure-Table-BodyTextCentre"/>
            </w:pPr>
            <w:r w:rsidRPr="003D5A6B">
              <w:t>0.09</w:t>
            </w:r>
          </w:p>
        </w:tc>
        <w:tc>
          <w:tcPr>
            <w:tcW w:w="1509" w:type="dxa"/>
            <w:tcMar>
              <w:top w:w="88" w:type="dxa"/>
              <w:left w:w="113" w:type="dxa"/>
              <w:bottom w:w="88" w:type="dxa"/>
              <w:right w:w="113" w:type="dxa"/>
            </w:tcMar>
            <w:vAlign w:val="center"/>
          </w:tcPr>
          <w:p w14:paraId="2927138F" w14:textId="77777777" w:rsidR="003D5A6B" w:rsidRPr="003D5A6B" w:rsidRDefault="003D5A6B" w:rsidP="00F1408E">
            <w:pPr>
              <w:pStyle w:val="CDIFigure-Table-BodyTextCentre"/>
            </w:pPr>
            <w:r w:rsidRPr="003D5A6B">
              <w:t xml:space="preserve"> 0.06–0.14</w:t>
            </w:r>
          </w:p>
        </w:tc>
        <w:tc>
          <w:tcPr>
            <w:tcW w:w="1510" w:type="dxa"/>
            <w:tcMar>
              <w:top w:w="88" w:type="dxa"/>
              <w:left w:w="113" w:type="dxa"/>
              <w:bottom w:w="88" w:type="dxa"/>
              <w:right w:w="113" w:type="dxa"/>
            </w:tcMar>
            <w:vAlign w:val="center"/>
          </w:tcPr>
          <w:p w14:paraId="5B261C34" w14:textId="77777777" w:rsidR="003D5A6B" w:rsidRPr="003D5A6B" w:rsidRDefault="003D5A6B" w:rsidP="00F1408E">
            <w:pPr>
              <w:pStyle w:val="CDIFigure-Table-BodyTextCentre"/>
            </w:pPr>
            <w:r w:rsidRPr="003D5A6B">
              <w:t>&lt; 0.001</w:t>
            </w:r>
          </w:p>
        </w:tc>
        <w:tc>
          <w:tcPr>
            <w:tcW w:w="1509" w:type="dxa"/>
            <w:tcMar>
              <w:top w:w="88" w:type="dxa"/>
              <w:left w:w="113" w:type="dxa"/>
              <w:bottom w:w="88" w:type="dxa"/>
              <w:right w:w="113" w:type="dxa"/>
            </w:tcMar>
            <w:vAlign w:val="center"/>
          </w:tcPr>
          <w:p w14:paraId="6014ED20" w14:textId="77777777" w:rsidR="003D5A6B" w:rsidRPr="003D5A6B" w:rsidRDefault="003D5A6B" w:rsidP="00F1408E">
            <w:pPr>
              <w:pStyle w:val="CDIFigure-Table-BodyTextCentre"/>
            </w:pPr>
            <w:r w:rsidRPr="003D5A6B">
              <w:t xml:space="preserve"> 0.00–0.02</w:t>
            </w:r>
          </w:p>
        </w:tc>
      </w:tr>
      <w:tr w:rsidR="003D5A6B" w:rsidRPr="003D5A6B" w14:paraId="40FB529F"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490A4342" w14:textId="77777777" w:rsidR="003D5A6B" w:rsidRPr="003D5A6B" w:rsidRDefault="003D5A6B" w:rsidP="00F1408E">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29C3241A" w14:textId="77777777" w:rsidR="003D5A6B" w:rsidRPr="003D5A6B" w:rsidRDefault="003D5A6B" w:rsidP="00F1408E">
            <w:pPr>
              <w:pStyle w:val="CDIFigure-Table-BodyTextCentre"/>
            </w:pPr>
            <w:r w:rsidRPr="003D5A6B">
              <w:t>15–24</w:t>
            </w:r>
          </w:p>
        </w:tc>
        <w:tc>
          <w:tcPr>
            <w:tcW w:w="1510" w:type="dxa"/>
            <w:shd w:val="clear" w:color="auto" w:fill="F2F2F2" w:themeFill="background1" w:themeFillShade="F2"/>
            <w:tcMar>
              <w:top w:w="88" w:type="dxa"/>
              <w:left w:w="113" w:type="dxa"/>
              <w:bottom w:w="88" w:type="dxa"/>
              <w:right w:w="113" w:type="dxa"/>
            </w:tcMar>
            <w:vAlign w:val="center"/>
          </w:tcPr>
          <w:p w14:paraId="3E4CCD37" w14:textId="77777777" w:rsidR="003D5A6B" w:rsidRPr="003D5A6B" w:rsidRDefault="003D5A6B" w:rsidP="00F1408E">
            <w:pPr>
              <w:pStyle w:val="CDIFigure-Table-BodyTextCentre"/>
            </w:pPr>
            <w:r w:rsidRPr="003D5A6B">
              <w:t>31.3</w:t>
            </w:r>
          </w:p>
        </w:tc>
        <w:tc>
          <w:tcPr>
            <w:tcW w:w="1509" w:type="dxa"/>
            <w:shd w:val="clear" w:color="auto" w:fill="F2F2F2" w:themeFill="background1" w:themeFillShade="F2"/>
            <w:tcMar>
              <w:top w:w="88" w:type="dxa"/>
              <w:left w:w="113" w:type="dxa"/>
              <w:bottom w:w="88" w:type="dxa"/>
              <w:right w:w="113" w:type="dxa"/>
            </w:tcMar>
            <w:vAlign w:val="center"/>
          </w:tcPr>
          <w:p w14:paraId="236993AB" w14:textId="77777777" w:rsidR="003D5A6B" w:rsidRPr="003D5A6B" w:rsidRDefault="003D5A6B" w:rsidP="00F1408E">
            <w:pPr>
              <w:pStyle w:val="CDIFigure-Table-BodyTextCentre"/>
            </w:pPr>
            <w:r w:rsidRPr="003D5A6B">
              <w:t>4.3</w:t>
            </w:r>
          </w:p>
        </w:tc>
        <w:tc>
          <w:tcPr>
            <w:tcW w:w="1510" w:type="dxa"/>
            <w:shd w:val="clear" w:color="auto" w:fill="F2F2F2" w:themeFill="background1" w:themeFillShade="F2"/>
            <w:tcMar>
              <w:top w:w="88" w:type="dxa"/>
              <w:left w:w="113" w:type="dxa"/>
              <w:bottom w:w="88" w:type="dxa"/>
              <w:right w:w="113" w:type="dxa"/>
            </w:tcMar>
            <w:vAlign w:val="center"/>
          </w:tcPr>
          <w:p w14:paraId="2452D50C" w14:textId="77777777" w:rsidR="003D5A6B" w:rsidRPr="003D5A6B" w:rsidRDefault="003D5A6B" w:rsidP="00F1408E">
            <w:pPr>
              <w:pStyle w:val="CDIFigure-Table-BodyTextCentre"/>
            </w:pPr>
            <w:r w:rsidRPr="003D5A6B">
              <w:t>0.6</w:t>
            </w:r>
          </w:p>
        </w:tc>
        <w:tc>
          <w:tcPr>
            <w:tcW w:w="1509" w:type="dxa"/>
            <w:shd w:val="clear" w:color="auto" w:fill="F2F2F2" w:themeFill="background1" w:themeFillShade="F2"/>
            <w:tcMar>
              <w:top w:w="88" w:type="dxa"/>
              <w:left w:w="113" w:type="dxa"/>
              <w:bottom w:w="88" w:type="dxa"/>
              <w:right w:w="113" w:type="dxa"/>
            </w:tcMar>
            <w:vAlign w:val="center"/>
          </w:tcPr>
          <w:p w14:paraId="18C4039B" w14:textId="77777777" w:rsidR="003D5A6B" w:rsidRPr="003D5A6B" w:rsidRDefault="003D5A6B" w:rsidP="00F1408E">
            <w:pPr>
              <w:pStyle w:val="CDIFigure-Table-BodyTextCentre"/>
            </w:pPr>
            <w:r w:rsidRPr="003D5A6B">
              <w:t>0.14</w:t>
            </w:r>
          </w:p>
        </w:tc>
        <w:tc>
          <w:tcPr>
            <w:tcW w:w="1509" w:type="dxa"/>
            <w:shd w:val="clear" w:color="auto" w:fill="F2F2F2" w:themeFill="background1" w:themeFillShade="F2"/>
            <w:tcMar>
              <w:top w:w="88" w:type="dxa"/>
              <w:left w:w="113" w:type="dxa"/>
              <w:bottom w:w="88" w:type="dxa"/>
              <w:right w:w="113" w:type="dxa"/>
            </w:tcMar>
            <w:vAlign w:val="center"/>
          </w:tcPr>
          <w:p w14:paraId="32CB0768" w14:textId="77777777" w:rsidR="003D5A6B" w:rsidRPr="003D5A6B" w:rsidRDefault="003D5A6B" w:rsidP="00F1408E">
            <w:pPr>
              <w:pStyle w:val="CDIFigure-Table-BodyTextCentre"/>
            </w:pPr>
            <w:r w:rsidRPr="003D5A6B">
              <w:t xml:space="preserve"> 0.07–0.24</w:t>
            </w:r>
          </w:p>
        </w:tc>
        <w:tc>
          <w:tcPr>
            <w:tcW w:w="1510" w:type="dxa"/>
            <w:shd w:val="clear" w:color="auto" w:fill="F2F2F2" w:themeFill="background1" w:themeFillShade="F2"/>
            <w:tcMar>
              <w:top w:w="88" w:type="dxa"/>
              <w:left w:w="113" w:type="dxa"/>
              <w:bottom w:w="88" w:type="dxa"/>
              <w:right w:w="113" w:type="dxa"/>
            </w:tcMar>
            <w:vAlign w:val="center"/>
          </w:tcPr>
          <w:p w14:paraId="31E8002B" w14:textId="77777777" w:rsidR="003D5A6B" w:rsidRPr="003D5A6B" w:rsidRDefault="003D5A6B" w:rsidP="00F1408E">
            <w:pPr>
              <w:pStyle w:val="CDIFigure-Table-BodyTextCentre"/>
            </w:pPr>
            <w:r w:rsidRPr="003D5A6B">
              <w:t>0.02</w:t>
            </w:r>
          </w:p>
        </w:tc>
        <w:tc>
          <w:tcPr>
            <w:tcW w:w="1509" w:type="dxa"/>
            <w:shd w:val="clear" w:color="auto" w:fill="F2F2F2" w:themeFill="background1" w:themeFillShade="F2"/>
            <w:tcMar>
              <w:top w:w="88" w:type="dxa"/>
              <w:left w:w="113" w:type="dxa"/>
              <w:bottom w:w="88" w:type="dxa"/>
              <w:right w:w="113" w:type="dxa"/>
            </w:tcMar>
            <w:vAlign w:val="center"/>
          </w:tcPr>
          <w:p w14:paraId="2C5B2DDD" w14:textId="77777777" w:rsidR="003D5A6B" w:rsidRPr="003D5A6B" w:rsidRDefault="003D5A6B" w:rsidP="00F1408E">
            <w:pPr>
              <w:pStyle w:val="CDIFigure-Table-BodyTextCentre"/>
            </w:pPr>
            <w:r w:rsidRPr="003D5A6B">
              <w:t xml:space="preserve"> 0.00–0.07</w:t>
            </w:r>
          </w:p>
        </w:tc>
      </w:tr>
      <w:tr w:rsidR="003D5A6B" w:rsidRPr="003D5A6B" w14:paraId="03179840"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049D87B7" w14:textId="77777777" w:rsidR="003D5A6B" w:rsidRPr="003D5A6B" w:rsidRDefault="003D5A6B" w:rsidP="00F1408E">
            <w:pPr>
              <w:pStyle w:val="CDIFigure-Table-BodyTextLeft"/>
            </w:pPr>
          </w:p>
        </w:tc>
        <w:tc>
          <w:tcPr>
            <w:tcW w:w="1509" w:type="dxa"/>
            <w:tcMar>
              <w:top w:w="88" w:type="dxa"/>
              <w:left w:w="113" w:type="dxa"/>
              <w:bottom w:w="88" w:type="dxa"/>
              <w:right w:w="113" w:type="dxa"/>
            </w:tcMar>
            <w:vAlign w:val="center"/>
          </w:tcPr>
          <w:p w14:paraId="2A6C24D0" w14:textId="77777777" w:rsidR="003D5A6B" w:rsidRPr="003D5A6B" w:rsidRDefault="003D5A6B" w:rsidP="00F1408E">
            <w:pPr>
              <w:pStyle w:val="CDIFigure-Table-BodyTextCentre"/>
            </w:pPr>
            <w:r w:rsidRPr="003D5A6B">
              <w:t>25–69</w:t>
            </w:r>
          </w:p>
        </w:tc>
        <w:tc>
          <w:tcPr>
            <w:tcW w:w="1510" w:type="dxa"/>
            <w:tcMar>
              <w:top w:w="88" w:type="dxa"/>
              <w:left w:w="113" w:type="dxa"/>
              <w:bottom w:w="88" w:type="dxa"/>
              <w:right w:w="113" w:type="dxa"/>
            </w:tcMar>
            <w:vAlign w:val="center"/>
          </w:tcPr>
          <w:p w14:paraId="11CD1549" w14:textId="77777777" w:rsidR="003D5A6B" w:rsidRPr="003D5A6B" w:rsidRDefault="003D5A6B" w:rsidP="00F1408E">
            <w:pPr>
              <w:pStyle w:val="CDIFigure-Table-BodyTextCentre"/>
            </w:pPr>
            <w:r w:rsidRPr="003D5A6B">
              <w:t>32.0</w:t>
            </w:r>
          </w:p>
        </w:tc>
        <w:tc>
          <w:tcPr>
            <w:tcW w:w="1509" w:type="dxa"/>
            <w:tcMar>
              <w:top w:w="88" w:type="dxa"/>
              <w:left w:w="113" w:type="dxa"/>
              <w:bottom w:w="88" w:type="dxa"/>
              <w:right w:w="113" w:type="dxa"/>
            </w:tcMar>
            <w:vAlign w:val="center"/>
          </w:tcPr>
          <w:p w14:paraId="03B63D35" w14:textId="77777777" w:rsidR="003D5A6B" w:rsidRPr="003D5A6B" w:rsidRDefault="003D5A6B" w:rsidP="00F1408E">
            <w:pPr>
              <w:pStyle w:val="CDIFigure-Table-BodyTextCentre"/>
            </w:pPr>
            <w:r w:rsidRPr="003D5A6B">
              <w:t>3.9</w:t>
            </w:r>
          </w:p>
        </w:tc>
        <w:tc>
          <w:tcPr>
            <w:tcW w:w="1510" w:type="dxa"/>
            <w:tcMar>
              <w:top w:w="88" w:type="dxa"/>
              <w:left w:w="113" w:type="dxa"/>
              <w:bottom w:w="88" w:type="dxa"/>
              <w:right w:w="113" w:type="dxa"/>
            </w:tcMar>
            <w:vAlign w:val="center"/>
          </w:tcPr>
          <w:p w14:paraId="0156C9C3" w14:textId="77777777" w:rsidR="003D5A6B" w:rsidRPr="003D5A6B" w:rsidRDefault="003D5A6B" w:rsidP="00F1408E">
            <w:pPr>
              <w:pStyle w:val="CDIFigure-Table-BodyTextCentre"/>
            </w:pPr>
            <w:r w:rsidRPr="003D5A6B">
              <w:t>2.3</w:t>
            </w:r>
          </w:p>
        </w:tc>
        <w:tc>
          <w:tcPr>
            <w:tcW w:w="1509" w:type="dxa"/>
            <w:tcMar>
              <w:top w:w="88" w:type="dxa"/>
              <w:left w:w="113" w:type="dxa"/>
              <w:bottom w:w="88" w:type="dxa"/>
              <w:right w:w="113" w:type="dxa"/>
            </w:tcMar>
            <w:vAlign w:val="center"/>
          </w:tcPr>
          <w:p w14:paraId="7986F775" w14:textId="77777777" w:rsidR="003D5A6B" w:rsidRPr="003D5A6B" w:rsidRDefault="003D5A6B" w:rsidP="00F1408E">
            <w:pPr>
              <w:pStyle w:val="CDIFigure-Table-BodyTextCentre"/>
            </w:pPr>
            <w:r w:rsidRPr="003D5A6B">
              <w:t>0.12</w:t>
            </w:r>
          </w:p>
        </w:tc>
        <w:tc>
          <w:tcPr>
            <w:tcW w:w="1509" w:type="dxa"/>
            <w:tcMar>
              <w:top w:w="88" w:type="dxa"/>
              <w:left w:w="113" w:type="dxa"/>
              <w:bottom w:w="88" w:type="dxa"/>
              <w:right w:w="113" w:type="dxa"/>
            </w:tcMar>
            <w:vAlign w:val="center"/>
          </w:tcPr>
          <w:p w14:paraId="49D0377E" w14:textId="77777777" w:rsidR="003D5A6B" w:rsidRPr="003D5A6B" w:rsidRDefault="003D5A6B" w:rsidP="00F1408E">
            <w:pPr>
              <w:pStyle w:val="CDIFigure-Table-BodyTextCentre"/>
            </w:pPr>
            <w:r w:rsidRPr="003D5A6B">
              <w:t xml:space="preserve"> 0.09–0.16</w:t>
            </w:r>
          </w:p>
        </w:tc>
        <w:tc>
          <w:tcPr>
            <w:tcW w:w="1510" w:type="dxa"/>
            <w:tcMar>
              <w:top w:w="88" w:type="dxa"/>
              <w:left w:w="113" w:type="dxa"/>
              <w:bottom w:w="88" w:type="dxa"/>
              <w:right w:w="113" w:type="dxa"/>
            </w:tcMar>
            <w:vAlign w:val="center"/>
          </w:tcPr>
          <w:p w14:paraId="53EDC90B" w14:textId="77777777" w:rsidR="003D5A6B" w:rsidRPr="003D5A6B" w:rsidRDefault="003D5A6B" w:rsidP="00F1408E">
            <w:pPr>
              <w:pStyle w:val="CDIFigure-Table-BodyTextCentre"/>
            </w:pPr>
            <w:r w:rsidRPr="003D5A6B">
              <w:t>0.07</w:t>
            </w:r>
          </w:p>
        </w:tc>
        <w:tc>
          <w:tcPr>
            <w:tcW w:w="1509" w:type="dxa"/>
            <w:tcMar>
              <w:top w:w="88" w:type="dxa"/>
              <w:left w:w="113" w:type="dxa"/>
              <w:bottom w:w="88" w:type="dxa"/>
              <w:right w:w="113" w:type="dxa"/>
            </w:tcMar>
            <w:vAlign w:val="center"/>
          </w:tcPr>
          <w:p w14:paraId="644696E4" w14:textId="77777777" w:rsidR="003D5A6B" w:rsidRPr="003D5A6B" w:rsidRDefault="003D5A6B" w:rsidP="00F1408E">
            <w:pPr>
              <w:pStyle w:val="CDIFigure-Table-BodyTextCentre"/>
            </w:pPr>
            <w:r w:rsidRPr="003D5A6B">
              <w:t xml:space="preserve"> 0.05–0.10</w:t>
            </w:r>
          </w:p>
        </w:tc>
      </w:tr>
      <w:tr w:rsidR="006A4AE7" w:rsidRPr="003D5A6B" w14:paraId="3857419E"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3B38868C" w14:textId="77777777" w:rsidR="003D5A6B" w:rsidRPr="003D5A6B" w:rsidRDefault="003D5A6B" w:rsidP="00F1408E">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028E84A7" w14:textId="77777777" w:rsidR="003D5A6B" w:rsidRPr="003D5A6B" w:rsidRDefault="003D5A6B" w:rsidP="00F1408E">
            <w:pPr>
              <w:pStyle w:val="CDIFigure-Table-BodyTextCentre"/>
            </w:pPr>
            <w:r w:rsidRPr="003D5A6B">
              <w:t>≥ 70</w:t>
            </w:r>
          </w:p>
        </w:tc>
        <w:tc>
          <w:tcPr>
            <w:tcW w:w="1510" w:type="dxa"/>
            <w:shd w:val="clear" w:color="auto" w:fill="F2F2F2" w:themeFill="background1" w:themeFillShade="F2"/>
            <w:tcMar>
              <w:top w:w="88" w:type="dxa"/>
              <w:left w:w="113" w:type="dxa"/>
              <w:bottom w:w="88" w:type="dxa"/>
              <w:right w:w="113" w:type="dxa"/>
            </w:tcMar>
            <w:vAlign w:val="center"/>
          </w:tcPr>
          <w:p w14:paraId="3083B257" w14:textId="77777777" w:rsidR="003D5A6B" w:rsidRPr="003D5A6B" w:rsidRDefault="003D5A6B" w:rsidP="00F1408E">
            <w:pPr>
              <w:pStyle w:val="CDIFigure-Table-BodyTextCentre"/>
            </w:pPr>
            <w:r w:rsidRPr="003D5A6B">
              <w:t>38.9</w:t>
            </w:r>
          </w:p>
        </w:tc>
        <w:tc>
          <w:tcPr>
            <w:tcW w:w="1509" w:type="dxa"/>
            <w:shd w:val="clear" w:color="auto" w:fill="F2F2F2" w:themeFill="background1" w:themeFillShade="F2"/>
            <w:tcMar>
              <w:top w:w="88" w:type="dxa"/>
              <w:left w:w="113" w:type="dxa"/>
              <w:bottom w:w="88" w:type="dxa"/>
              <w:right w:w="113" w:type="dxa"/>
            </w:tcMar>
            <w:vAlign w:val="center"/>
          </w:tcPr>
          <w:p w14:paraId="475D8BE0" w14:textId="77777777" w:rsidR="003D5A6B" w:rsidRPr="003D5A6B" w:rsidRDefault="003D5A6B" w:rsidP="00F1408E">
            <w:pPr>
              <w:pStyle w:val="CDIFigure-Table-BodyTextCentre"/>
            </w:pPr>
            <w:r w:rsidRPr="003D5A6B">
              <w:t>4.2</w:t>
            </w:r>
          </w:p>
        </w:tc>
        <w:tc>
          <w:tcPr>
            <w:tcW w:w="1510" w:type="dxa"/>
            <w:shd w:val="clear" w:color="auto" w:fill="F2F2F2" w:themeFill="background1" w:themeFillShade="F2"/>
            <w:tcMar>
              <w:top w:w="88" w:type="dxa"/>
              <w:left w:w="113" w:type="dxa"/>
              <w:bottom w:w="88" w:type="dxa"/>
              <w:right w:w="113" w:type="dxa"/>
            </w:tcMar>
            <w:vAlign w:val="center"/>
          </w:tcPr>
          <w:p w14:paraId="6ACBD9CD" w14:textId="77777777" w:rsidR="003D5A6B" w:rsidRPr="003D5A6B" w:rsidRDefault="003D5A6B" w:rsidP="00F1408E">
            <w:pPr>
              <w:pStyle w:val="CDIFigure-Table-BodyTextCentre"/>
            </w:pPr>
            <w:r w:rsidRPr="003D5A6B">
              <w:t>2.3</w:t>
            </w:r>
          </w:p>
        </w:tc>
        <w:tc>
          <w:tcPr>
            <w:tcW w:w="1509" w:type="dxa"/>
            <w:shd w:val="clear" w:color="auto" w:fill="F2F2F2" w:themeFill="background1" w:themeFillShade="F2"/>
            <w:tcMar>
              <w:top w:w="88" w:type="dxa"/>
              <w:left w:w="113" w:type="dxa"/>
              <w:bottom w:w="88" w:type="dxa"/>
              <w:right w:w="113" w:type="dxa"/>
            </w:tcMar>
            <w:vAlign w:val="center"/>
          </w:tcPr>
          <w:p w14:paraId="296F8DFA" w14:textId="77777777" w:rsidR="003D5A6B" w:rsidRPr="003D5A6B" w:rsidRDefault="003D5A6B" w:rsidP="00F1408E">
            <w:pPr>
              <w:pStyle w:val="CDIFigure-Table-BodyTextCentre"/>
            </w:pPr>
            <w:r w:rsidRPr="003D5A6B">
              <w:t>0.11</w:t>
            </w:r>
          </w:p>
        </w:tc>
        <w:tc>
          <w:tcPr>
            <w:tcW w:w="1509" w:type="dxa"/>
            <w:shd w:val="clear" w:color="auto" w:fill="F2F2F2" w:themeFill="background1" w:themeFillShade="F2"/>
            <w:tcMar>
              <w:top w:w="88" w:type="dxa"/>
              <w:left w:w="113" w:type="dxa"/>
              <w:bottom w:w="88" w:type="dxa"/>
              <w:right w:w="113" w:type="dxa"/>
            </w:tcMar>
            <w:vAlign w:val="center"/>
          </w:tcPr>
          <w:p w14:paraId="37A67714" w14:textId="77777777" w:rsidR="003D5A6B" w:rsidRPr="003D5A6B" w:rsidRDefault="003D5A6B" w:rsidP="00F1408E">
            <w:pPr>
              <w:pStyle w:val="CDIFigure-Table-BodyTextCentre"/>
            </w:pPr>
            <w:r w:rsidRPr="003D5A6B">
              <w:t xml:space="preserve"> 0.05–0.20</w:t>
            </w:r>
          </w:p>
        </w:tc>
        <w:tc>
          <w:tcPr>
            <w:tcW w:w="1510" w:type="dxa"/>
            <w:shd w:val="clear" w:color="auto" w:fill="F2F2F2" w:themeFill="background1" w:themeFillShade="F2"/>
            <w:tcMar>
              <w:top w:w="88" w:type="dxa"/>
              <w:left w:w="113" w:type="dxa"/>
              <w:bottom w:w="88" w:type="dxa"/>
              <w:right w:w="113" w:type="dxa"/>
            </w:tcMar>
            <w:vAlign w:val="center"/>
          </w:tcPr>
          <w:p w14:paraId="08330A25" w14:textId="77777777" w:rsidR="003D5A6B" w:rsidRPr="003D5A6B" w:rsidRDefault="003D5A6B" w:rsidP="00F1408E">
            <w:pPr>
              <w:pStyle w:val="CDIFigure-Table-BodyTextCentre"/>
            </w:pPr>
            <w:r w:rsidRPr="003D5A6B">
              <w:t>0.06</w:t>
            </w:r>
          </w:p>
        </w:tc>
        <w:tc>
          <w:tcPr>
            <w:tcW w:w="1509" w:type="dxa"/>
            <w:shd w:val="clear" w:color="auto" w:fill="F2F2F2" w:themeFill="background1" w:themeFillShade="F2"/>
            <w:tcMar>
              <w:top w:w="88" w:type="dxa"/>
              <w:left w:w="113" w:type="dxa"/>
              <w:bottom w:w="88" w:type="dxa"/>
              <w:right w:w="113" w:type="dxa"/>
            </w:tcMar>
            <w:vAlign w:val="center"/>
          </w:tcPr>
          <w:p w14:paraId="2918D2AF" w14:textId="77777777" w:rsidR="003D5A6B" w:rsidRPr="003D5A6B" w:rsidRDefault="003D5A6B" w:rsidP="00F1408E">
            <w:pPr>
              <w:pStyle w:val="CDIFigure-Table-BodyTextCentre"/>
            </w:pPr>
            <w:r w:rsidRPr="003D5A6B">
              <w:t xml:space="preserve"> 0.02–0.13</w:t>
            </w:r>
          </w:p>
        </w:tc>
      </w:tr>
      <w:tr w:rsidR="003D5A6B" w:rsidRPr="003D5A6B" w14:paraId="5A4B1368"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067D0D2A" w14:textId="77777777" w:rsidR="003D5A6B" w:rsidRPr="003D5A6B" w:rsidRDefault="003D5A6B" w:rsidP="00F1408E">
            <w:pPr>
              <w:pStyle w:val="CDIFigure-Table-BodyTextLeft"/>
            </w:pPr>
          </w:p>
        </w:tc>
        <w:tc>
          <w:tcPr>
            <w:tcW w:w="1509" w:type="dxa"/>
            <w:tcBorders>
              <w:bottom w:val="single" w:sz="6" w:space="0" w:color="033636" w:themeColor="text2"/>
            </w:tcBorders>
            <w:tcMar>
              <w:top w:w="88" w:type="dxa"/>
              <w:left w:w="113" w:type="dxa"/>
              <w:bottom w:w="88" w:type="dxa"/>
              <w:right w:w="113" w:type="dxa"/>
            </w:tcMar>
            <w:vAlign w:val="center"/>
          </w:tcPr>
          <w:p w14:paraId="066EB1AB" w14:textId="77777777" w:rsidR="003D5A6B" w:rsidRPr="00F1408E" w:rsidRDefault="003D5A6B" w:rsidP="00F1408E">
            <w:pPr>
              <w:pStyle w:val="CDIFigure-Table-BodyTextCentre"/>
              <w:rPr>
                <w:b/>
                <w:bCs/>
              </w:rPr>
            </w:pPr>
            <w:r w:rsidRPr="00F1408E">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5FA2A371" w14:textId="77777777" w:rsidR="003D5A6B" w:rsidRPr="00F1408E" w:rsidRDefault="003D5A6B" w:rsidP="00F1408E">
            <w:pPr>
              <w:pStyle w:val="CDIFigure-Table-BodyTextCentre"/>
              <w:rPr>
                <w:b/>
                <w:bCs/>
              </w:rPr>
            </w:pPr>
            <w:r w:rsidRPr="00F1408E">
              <w:rPr>
                <w:b/>
                <w:bCs/>
              </w:rPr>
              <w:t>43.3</w:t>
            </w:r>
          </w:p>
        </w:tc>
        <w:tc>
          <w:tcPr>
            <w:tcW w:w="1509" w:type="dxa"/>
            <w:tcBorders>
              <w:bottom w:val="single" w:sz="6" w:space="0" w:color="033636" w:themeColor="text2"/>
            </w:tcBorders>
            <w:tcMar>
              <w:top w:w="88" w:type="dxa"/>
              <w:left w:w="113" w:type="dxa"/>
              <w:bottom w:w="88" w:type="dxa"/>
              <w:right w:w="113" w:type="dxa"/>
            </w:tcMar>
            <w:vAlign w:val="center"/>
          </w:tcPr>
          <w:p w14:paraId="7D651A56" w14:textId="77777777" w:rsidR="003D5A6B" w:rsidRPr="00F1408E" w:rsidRDefault="003D5A6B" w:rsidP="00F1408E">
            <w:pPr>
              <w:pStyle w:val="CDIFigure-Table-BodyTextCentre"/>
              <w:rPr>
                <w:b/>
                <w:bCs/>
              </w:rPr>
            </w:pPr>
            <w:r w:rsidRPr="00F1408E">
              <w:rPr>
                <w:b/>
                <w:bCs/>
              </w:rPr>
              <w:t>4.7</w:t>
            </w:r>
          </w:p>
        </w:tc>
        <w:tc>
          <w:tcPr>
            <w:tcW w:w="1510" w:type="dxa"/>
            <w:tcBorders>
              <w:bottom w:val="single" w:sz="6" w:space="0" w:color="033636" w:themeColor="text2"/>
            </w:tcBorders>
            <w:tcMar>
              <w:top w:w="88" w:type="dxa"/>
              <w:left w:w="113" w:type="dxa"/>
              <w:bottom w:w="88" w:type="dxa"/>
              <w:right w:w="113" w:type="dxa"/>
            </w:tcMar>
            <w:vAlign w:val="center"/>
          </w:tcPr>
          <w:p w14:paraId="2AB051D9" w14:textId="77777777" w:rsidR="003D5A6B" w:rsidRPr="00F1408E" w:rsidRDefault="003D5A6B" w:rsidP="00F1408E">
            <w:pPr>
              <w:pStyle w:val="CDIFigure-Table-BodyTextCentre"/>
              <w:rPr>
                <w:b/>
                <w:bCs/>
              </w:rPr>
            </w:pPr>
            <w:r w:rsidRPr="00F1408E">
              <w:rPr>
                <w:b/>
                <w:bCs/>
              </w:rPr>
              <w:t>1.8</w:t>
            </w:r>
          </w:p>
        </w:tc>
        <w:tc>
          <w:tcPr>
            <w:tcW w:w="1509" w:type="dxa"/>
            <w:tcBorders>
              <w:bottom w:val="single" w:sz="6" w:space="0" w:color="033636" w:themeColor="text2"/>
            </w:tcBorders>
            <w:tcMar>
              <w:top w:w="88" w:type="dxa"/>
              <w:left w:w="113" w:type="dxa"/>
              <w:bottom w:w="88" w:type="dxa"/>
              <w:right w:w="113" w:type="dxa"/>
            </w:tcMar>
            <w:vAlign w:val="center"/>
          </w:tcPr>
          <w:p w14:paraId="4940CE5E" w14:textId="77777777" w:rsidR="003D5A6B" w:rsidRPr="00F1408E" w:rsidRDefault="003D5A6B" w:rsidP="00F1408E">
            <w:pPr>
              <w:pStyle w:val="CDIFigure-Table-BodyTextCentre"/>
              <w:rPr>
                <w:b/>
                <w:bCs/>
              </w:rPr>
            </w:pPr>
            <w:r w:rsidRPr="00F1408E">
              <w:rPr>
                <w:b/>
                <w:bCs/>
              </w:rPr>
              <w:t>0.11</w:t>
            </w:r>
          </w:p>
        </w:tc>
        <w:tc>
          <w:tcPr>
            <w:tcW w:w="1509" w:type="dxa"/>
            <w:tcBorders>
              <w:bottom w:val="single" w:sz="6" w:space="0" w:color="033636" w:themeColor="text2"/>
            </w:tcBorders>
            <w:tcMar>
              <w:top w:w="88" w:type="dxa"/>
              <w:left w:w="113" w:type="dxa"/>
              <w:bottom w:w="88" w:type="dxa"/>
              <w:right w:w="113" w:type="dxa"/>
            </w:tcMar>
            <w:vAlign w:val="center"/>
          </w:tcPr>
          <w:p w14:paraId="5639D280" w14:textId="77777777" w:rsidR="003D5A6B" w:rsidRPr="00F1408E" w:rsidRDefault="003D5A6B" w:rsidP="00F1408E">
            <w:pPr>
              <w:pStyle w:val="CDIFigure-Table-BodyTextCentre"/>
              <w:rPr>
                <w:b/>
                <w:bCs/>
              </w:rPr>
            </w:pPr>
            <w:r w:rsidRPr="00F1408E">
              <w:rPr>
                <w:b/>
                <w:bCs/>
              </w:rPr>
              <w:t xml:space="preserve"> 0.09–0.13</w:t>
            </w:r>
          </w:p>
        </w:tc>
        <w:tc>
          <w:tcPr>
            <w:tcW w:w="1510" w:type="dxa"/>
            <w:tcBorders>
              <w:bottom w:val="single" w:sz="6" w:space="0" w:color="033636" w:themeColor="text2"/>
            </w:tcBorders>
            <w:tcMar>
              <w:top w:w="88" w:type="dxa"/>
              <w:left w:w="113" w:type="dxa"/>
              <w:bottom w:w="88" w:type="dxa"/>
              <w:right w:w="113" w:type="dxa"/>
            </w:tcMar>
            <w:vAlign w:val="center"/>
          </w:tcPr>
          <w:p w14:paraId="034D56FD" w14:textId="77777777" w:rsidR="003D5A6B" w:rsidRPr="00F1408E" w:rsidRDefault="003D5A6B" w:rsidP="00F1408E">
            <w:pPr>
              <w:pStyle w:val="CDIFigure-Table-BodyTextCentre"/>
              <w:rPr>
                <w:b/>
                <w:bCs/>
              </w:rPr>
            </w:pPr>
            <w:r w:rsidRPr="00F1408E">
              <w:rPr>
                <w:b/>
                <w:bCs/>
              </w:rPr>
              <w:t>0.04</w:t>
            </w:r>
          </w:p>
        </w:tc>
        <w:tc>
          <w:tcPr>
            <w:tcW w:w="1509" w:type="dxa"/>
            <w:tcBorders>
              <w:bottom w:val="single" w:sz="6" w:space="0" w:color="033636" w:themeColor="text2"/>
            </w:tcBorders>
            <w:tcMar>
              <w:top w:w="88" w:type="dxa"/>
              <w:left w:w="113" w:type="dxa"/>
              <w:bottom w:w="88" w:type="dxa"/>
              <w:right w:w="113" w:type="dxa"/>
            </w:tcMar>
            <w:vAlign w:val="center"/>
          </w:tcPr>
          <w:p w14:paraId="490EDD42" w14:textId="77777777" w:rsidR="003D5A6B" w:rsidRPr="00F1408E" w:rsidRDefault="003D5A6B" w:rsidP="00F1408E">
            <w:pPr>
              <w:pStyle w:val="CDIFigure-Table-BodyTextCentre"/>
              <w:rPr>
                <w:b/>
                <w:bCs/>
              </w:rPr>
            </w:pPr>
            <w:r w:rsidRPr="00F1408E">
              <w:rPr>
                <w:b/>
                <w:bCs/>
              </w:rPr>
              <w:t xml:space="preserve"> 0.03–0.05</w:t>
            </w:r>
          </w:p>
        </w:tc>
      </w:tr>
      <w:tr w:rsidR="006A4AE7" w:rsidRPr="003D5A6B" w14:paraId="4A42188B" w14:textId="77777777" w:rsidTr="00F1408E">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0D3452E1" w14:textId="77777777" w:rsidR="003D5A6B" w:rsidRPr="003D5A6B" w:rsidRDefault="003D5A6B" w:rsidP="00F1408E">
            <w:pPr>
              <w:pStyle w:val="CDIFigure-Table-BodyTextLeft"/>
            </w:pPr>
            <w:r w:rsidRPr="003D5A6B">
              <w:t>Australia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B5C29E7" w14:textId="77777777" w:rsidR="003D5A6B" w:rsidRPr="003D5A6B" w:rsidRDefault="003D5A6B" w:rsidP="00F1408E">
            <w:pPr>
              <w:pStyle w:val="CDIFigure-Table-BodyTextCentre"/>
            </w:pPr>
            <w:r w:rsidRPr="003D5A6B">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9C0442F" w14:textId="77777777" w:rsidR="003D5A6B" w:rsidRPr="003D5A6B" w:rsidRDefault="003D5A6B" w:rsidP="00F1408E">
            <w:pPr>
              <w:pStyle w:val="CDIFigure-Table-BodyTextCentre"/>
            </w:pPr>
            <w:r w:rsidRPr="003D5A6B">
              <w:t>98.3</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0047A92" w14:textId="77777777" w:rsidR="003D5A6B" w:rsidRPr="003D5A6B" w:rsidRDefault="003D5A6B" w:rsidP="00F1408E">
            <w:pPr>
              <w:pStyle w:val="CDIFigure-Table-BodyTextCentre"/>
            </w:pPr>
            <w:r w:rsidRPr="003D5A6B">
              <w:t>24.5</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6DEEF0F" w14:textId="77777777" w:rsidR="003D5A6B" w:rsidRPr="003D5A6B" w:rsidRDefault="003D5A6B" w:rsidP="00F1408E">
            <w:pPr>
              <w:pStyle w:val="CDIFigure-Table-BodyTextCentre"/>
            </w:pPr>
            <w:r w:rsidRPr="003D5A6B">
              <w:t>3.0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185D8E2" w14:textId="77777777" w:rsidR="003D5A6B" w:rsidRPr="003D5A6B" w:rsidRDefault="003D5A6B" w:rsidP="00F1408E">
            <w:pPr>
              <w:pStyle w:val="CDIFigure-Table-BodyTextCentre"/>
            </w:pPr>
            <w:r w:rsidRPr="003D5A6B">
              <w:t>0.25</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6DE260D" w14:textId="77777777" w:rsidR="003D5A6B" w:rsidRPr="003D5A6B" w:rsidRDefault="003D5A6B" w:rsidP="00F1408E">
            <w:pPr>
              <w:pStyle w:val="CDIFigure-Table-BodyTextCentre"/>
            </w:pPr>
            <w:r w:rsidRPr="003D5A6B">
              <w:t xml:space="preserve"> 0.22–0.28</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366934B" w14:textId="77777777" w:rsidR="003D5A6B" w:rsidRPr="003D5A6B" w:rsidRDefault="003D5A6B" w:rsidP="00F1408E">
            <w:pPr>
              <w:pStyle w:val="CDIFigure-Table-BodyTextCentre"/>
            </w:pPr>
            <w:r w:rsidRPr="003D5A6B">
              <w:t>0.03</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12D8488" w14:textId="77777777" w:rsidR="003D5A6B" w:rsidRPr="003D5A6B" w:rsidRDefault="003D5A6B" w:rsidP="00F1408E">
            <w:pPr>
              <w:pStyle w:val="CDIFigure-Table-BodyTextCentre"/>
            </w:pPr>
            <w:r w:rsidRPr="003D5A6B">
              <w:t xml:space="preserve"> 0.02–0.04</w:t>
            </w:r>
          </w:p>
        </w:tc>
      </w:tr>
      <w:tr w:rsidR="003D5A6B" w:rsidRPr="003D5A6B" w14:paraId="23583A1A"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64B45CBE" w14:textId="77777777" w:rsidR="003D5A6B" w:rsidRPr="003D5A6B" w:rsidRDefault="003D5A6B" w:rsidP="003D5A6B"/>
        </w:tc>
        <w:tc>
          <w:tcPr>
            <w:tcW w:w="1509" w:type="dxa"/>
            <w:tcMar>
              <w:top w:w="88" w:type="dxa"/>
              <w:left w:w="113" w:type="dxa"/>
              <w:bottom w:w="88" w:type="dxa"/>
              <w:right w:w="113" w:type="dxa"/>
            </w:tcMar>
            <w:vAlign w:val="center"/>
          </w:tcPr>
          <w:p w14:paraId="7656DEEE" w14:textId="77777777" w:rsidR="003D5A6B" w:rsidRPr="003D5A6B" w:rsidRDefault="003D5A6B" w:rsidP="00F1408E">
            <w:pPr>
              <w:pStyle w:val="CDIFigure-Table-BodyTextCentre"/>
            </w:pPr>
            <w:r w:rsidRPr="003D5A6B">
              <w:t>5–14</w:t>
            </w:r>
          </w:p>
        </w:tc>
        <w:tc>
          <w:tcPr>
            <w:tcW w:w="1510" w:type="dxa"/>
            <w:tcMar>
              <w:top w:w="88" w:type="dxa"/>
              <w:left w:w="113" w:type="dxa"/>
              <w:bottom w:w="88" w:type="dxa"/>
              <w:right w:w="113" w:type="dxa"/>
            </w:tcMar>
            <w:vAlign w:val="center"/>
          </w:tcPr>
          <w:p w14:paraId="7DB33E9A" w14:textId="77777777" w:rsidR="003D5A6B" w:rsidRPr="003D5A6B" w:rsidRDefault="003D5A6B" w:rsidP="00F1408E">
            <w:pPr>
              <w:pStyle w:val="CDIFigure-Table-BodyTextCentre"/>
            </w:pPr>
            <w:r w:rsidRPr="003D5A6B">
              <w:t>152.1</w:t>
            </w:r>
          </w:p>
        </w:tc>
        <w:tc>
          <w:tcPr>
            <w:tcW w:w="1509" w:type="dxa"/>
            <w:tcMar>
              <w:top w:w="88" w:type="dxa"/>
              <w:left w:w="113" w:type="dxa"/>
              <w:bottom w:w="88" w:type="dxa"/>
              <w:right w:w="113" w:type="dxa"/>
            </w:tcMar>
            <w:vAlign w:val="center"/>
          </w:tcPr>
          <w:p w14:paraId="60759ABF" w14:textId="77777777" w:rsidR="003D5A6B" w:rsidRPr="003D5A6B" w:rsidRDefault="003D5A6B" w:rsidP="00F1408E">
            <w:pPr>
              <w:pStyle w:val="CDIFigure-Table-BodyTextCentre"/>
            </w:pPr>
            <w:r w:rsidRPr="003D5A6B">
              <w:t>30.9</w:t>
            </w:r>
          </w:p>
        </w:tc>
        <w:tc>
          <w:tcPr>
            <w:tcW w:w="1510" w:type="dxa"/>
            <w:tcMar>
              <w:top w:w="88" w:type="dxa"/>
              <w:left w:w="113" w:type="dxa"/>
              <w:bottom w:w="88" w:type="dxa"/>
              <w:right w:w="113" w:type="dxa"/>
            </w:tcMar>
            <w:vAlign w:val="center"/>
          </w:tcPr>
          <w:p w14:paraId="1ABE7485" w14:textId="77777777" w:rsidR="003D5A6B" w:rsidRPr="003D5A6B" w:rsidRDefault="003D5A6B" w:rsidP="00F1408E">
            <w:pPr>
              <w:pStyle w:val="CDIFigure-Table-BodyTextCentre"/>
            </w:pPr>
            <w:r w:rsidRPr="003D5A6B">
              <w:t>1.7</w:t>
            </w:r>
          </w:p>
        </w:tc>
        <w:tc>
          <w:tcPr>
            <w:tcW w:w="1509" w:type="dxa"/>
            <w:tcMar>
              <w:top w:w="88" w:type="dxa"/>
              <w:left w:w="113" w:type="dxa"/>
              <w:bottom w:w="88" w:type="dxa"/>
              <w:right w:w="113" w:type="dxa"/>
            </w:tcMar>
            <w:vAlign w:val="center"/>
          </w:tcPr>
          <w:p w14:paraId="1788D1B5" w14:textId="77777777" w:rsidR="003D5A6B" w:rsidRPr="003D5A6B" w:rsidRDefault="003D5A6B" w:rsidP="00F1408E">
            <w:pPr>
              <w:pStyle w:val="CDIFigure-Table-BodyTextCentre"/>
            </w:pPr>
            <w:r w:rsidRPr="003D5A6B">
              <w:t>0.20</w:t>
            </w:r>
          </w:p>
        </w:tc>
        <w:tc>
          <w:tcPr>
            <w:tcW w:w="1509" w:type="dxa"/>
            <w:tcMar>
              <w:top w:w="88" w:type="dxa"/>
              <w:left w:w="113" w:type="dxa"/>
              <w:bottom w:w="88" w:type="dxa"/>
              <w:right w:w="113" w:type="dxa"/>
            </w:tcMar>
            <w:vAlign w:val="center"/>
          </w:tcPr>
          <w:p w14:paraId="76E1D9DA" w14:textId="77777777" w:rsidR="003D5A6B" w:rsidRPr="003D5A6B" w:rsidRDefault="003D5A6B" w:rsidP="00F1408E">
            <w:pPr>
              <w:pStyle w:val="CDIFigure-Table-BodyTextCentre"/>
            </w:pPr>
            <w:r w:rsidRPr="003D5A6B">
              <w:t xml:space="preserve"> 0.18–0.22</w:t>
            </w:r>
          </w:p>
        </w:tc>
        <w:tc>
          <w:tcPr>
            <w:tcW w:w="1510" w:type="dxa"/>
            <w:tcMar>
              <w:top w:w="88" w:type="dxa"/>
              <w:left w:w="113" w:type="dxa"/>
              <w:bottom w:w="88" w:type="dxa"/>
              <w:right w:w="113" w:type="dxa"/>
            </w:tcMar>
            <w:vAlign w:val="center"/>
          </w:tcPr>
          <w:p w14:paraId="516F7CE0" w14:textId="77777777" w:rsidR="003D5A6B" w:rsidRPr="003D5A6B" w:rsidRDefault="003D5A6B" w:rsidP="00F1408E">
            <w:pPr>
              <w:pStyle w:val="CDIFigure-Table-BodyTextCentre"/>
            </w:pPr>
            <w:r w:rsidRPr="003D5A6B">
              <w:t>0.01</w:t>
            </w:r>
          </w:p>
        </w:tc>
        <w:tc>
          <w:tcPr>
            <w:tcW w:w="1509" w:type="dxa"/>
            <w:tcMar>
              <w:top w:w="88" w:type="dxa"/>
              <w:left w:w="113" w:type="dxa"/>
              <w:bottom w:w="88" w:type="dxa"/>
              <w:right w:w="113" w:type="dxa"/>
            </w:tcMar>
            <w:vAlign w:val="center"/>
          </w:tcPr>
          <w:p w14:paraId="3D1680CE" w14:textId="77777777" w:rsidR="003D5A6B" w:rsidRPr="003D5A6B" w:rsidRDefault="003D5A6B" w:rsidP="00F1408E">
            <w:pPr>
              <w:pStyle w:val="CDIFigure-Table-BodyTextCentre"/>
            </w:pPr>
            <w:r w:rsidRPr="003D5A6B">
              <w:t xml:space="preserve"> 0.01–0.01</w:t>
            </w:r>
          </w:p>
        </w:tc>
      </w:tr>
      <w:tr w:rsidR="003D5A6B" w:rsidRPr="003D5A6B" w14:paraId="54265BE9"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0AB9B411" w14:textId="77777777" w:rsidR="003D5A6B" w:rsidRPr="003D5A6B" w:rsidRDefault="003D5A6B" w:rsidP="003D5A6B"/>
        </w:tc>
        <w:tc>
          <w:tcPr>
            <w:tcW w:w="1509" w:type="dxa"/>
            <w:shd w:val="clear" w:color="auto" w:fill="F2F2F2" w:themeFill="background1" w:themeFillShade="F2"/>
            <w:tcMar>
              <w:top w:w="88" w:type="dxa"/>
              <w:left w:w="113" w:type="dxa"/>
              <w:bottom w:w="88" w:type="dxa"/>
              <w:right w:w="113" w:type="dxa"/>
            </w:tcMar>
            <w:vAlign w:val="center"/>
          </w:tcPr>
          <w:p w14:paraId="113DA1A2" w14:textId="77777777" w:rsidR="003D5A6B" w:rsidRPr="003D5A6B" w:rsidRDefault="003D5A6B" w:rsidP="00F1408E">
            <w:pPr>
              <w:pStyle w:val="CDIFigure-Table-BodyTextCentre"/>
            </w:pPr>
            <w:r w:rsidRPr="003D5A6B">
              <w:t>15–24</w:t>
            </w:r>
          </w:p>
        </w:tc>
        <w:tc>
          <w:tcPr>
            <w:tcW w:w="1510" w:type="dxa"/>
            <w:shd w:val="clear" w:color="auto" w:fill="F2F2F2" w:themeFill="background1" w:themeFillShade="F2"/>
            <w:tcMar>
              <w:top w:w="88" w:type="dxa"/>
              <w:left w:w="113" w:type="dxa"/>
              <w:bottom w:w="88" w:type="dxa"/>
              <w:right w:w="113" w:type="dxa"/>
            </w:tcMar>
            <w:vAlign w:val="center"/>
          </w:tcPr>
          <w:p w14:paraId="046E72D6" w14:textId="77777777" w:rsidR="003D5A6B" w:rsidRPr="003D5A6B" w:rsidRDefault="003D5A6B" w:rsidP="00F1408E">
            <w:pPr>
              <w:pStyle w:val="CDIFigure-Table-BodyTextCentre"/>
            </w:pPr>
            <w:r w:rsidRPr="003D5A6B">
              <w:t>38.4</w:t>
            </w:r>
          </w:p>
        </w:tc>
        <w:tc>
          <w:tcPr>
            <w:tcW w:w="1509" w:type="dxa"/>
            <w:shd w:val="clear" w:color="auto" w:fill="F2F2F2" w:themeFill="background1" w:themeFillShade="F2"/>
            <w:tcMar>
              <w:top w:w="88" w:type="dxa"/>
              <w:left w:w="113" w:type="dxa"/>
              <w:bottom w:w="88" w:type="dxa"/>
              <w:right w:w="113" w:type="dxa"/>
            </w:tcMar>
            <w:vAlign w:val="center"/>
          </w:tcPr>
          <w:p w14:paraId="1C382AF3" w14:textId="77777777" w:rsidR="003D5A6B" w:rsidRPr="003D5A6B" w:rsidRDefault="003D5A6B" w:rsidP="00F1408E">
            <w:pPr>
              <w:pStyle w:val="CDIFigure-Table-BodyTextCentre"/>
            </w:pPr>
            <w:r w:rsidRPr="003D5A6B">
              <w:t>13.0</w:t>
            </w:r>
          </w:p>
        </w:tc>
        <w:tc>
          <w:tcPr>
            <w:tcW w:w="1510" w:type="dxa"/>
            <w:shd w:val="clear" w:color="auto" w:fill="F2F2F2" w:themeFill="background1" w:themeFillShade="F2"/>
            <w:tcMar>
              <w:top w:w="88" w:type="dxa"/>
              <w:left w:w="113" w:type="dxa"/>
              <w:bottom w:w="88" w:type="dxa"/>
              <w:right w:w="113" w:type="dxa"/>
            </w:tcMar>
            <w:vAlign w:val="center"/>
          </w:tcPr>
          <w:p w14:paraId="31D47063" w14:textId="77777777" w:rsidR="003D5A6B" w:rsidRPr="003D5A6B" w:rsidRDefault="003D5A6B" w:rsidP="00F1408E">
            <w:pPr>
              <w:pStyle w:val="CDIFigure-Table-BodyTextCentre"/>
            </w:pPr>
            <w:r w:rsidRPr="003D5A6B">
              <w:t>1.7</w:t>
            </w:r>
          </w:p>
        </w:tc>
        <w:tc>
          <w:tcPr>
            <w:tcW w:w="1509" w:type="dxa"/>
            <w:shd w:val="clear" w:color="auto" w:fill="F2F2F2" w:themeFill="background1" w:themeFillShade="F2"/>
            <w:tcMar>
              <w:top w:w="88" w:type="dxa"/>
              <w:left w:w="113" w:type="dxa"/>
              <w:bottom w:w="88" w:type="dxa"/>
              <w:right w:w="113" w:type="dxa"/>
            </w:tcMar>
            <w:vAlign w:val="center"/>
          </w:tcPr>
          <w:p w14:paraId="3DE86413" w14:textId="77777777" w:rsidR="003D5A6B" w:rsidRPr="003D5A6B" w:rsidRDefault="003D5A6B" w:rsidP="00F1408E">
            <w:pPr>
              <w:pStyle w:val="CDIFigure-Table-BodyTextCentre"/>
            </w:pPr>
            <w:r w:rsidRPr="003D5A6B">
              <w:t>0.37</w:t>
            </w:r>
          </w:p>
        </w:tc>
        <w:tc>
          <w:tcPr>
            <w:tcW w:w="1509" w:type="dxa"/>
            <w:shd w:val="clear" w:color="auto" w:fill="F2F2F2" w:themeFill="background1" w:themeFillShade="F2"/>
            <w:tcMar>
              <w:top w:w="88" w:type="dxa"/>
              <w:left w:w="113" w:type="dxa"/>
              <w:bottom w:w="88" w:type="dxa"/>
              <w:right w:w="113" w:type="dxa"/>
            </w:tcMar>
            <w:vAlign w:val="center"/>
          </w:tcPr>
          <w:p w14:paraId="17540C24" w14:textId="77777777" w:rsidR="003D5A6B" w:rsidRPr="003D5A6B" w:rsidRDefault="003D5A6B" w:rsidP="00F1408E">
            <w:pPr>
              <w:pStyle w:val="CDIFigure-Table-BodyTextCentre"/>
            </w:pPr>
            <w:r w:rsidRPr="003D5A6B">
              <w:t xml:space="preserve"> 0.33–0.42</w:t>
            </w:r>
          </w:p>
        </w:tc>
        <w:tc>
          <w:tcPr>
            <w:tcW w:w="1510" w:type="dxa"/>
            <w:shd w:val="clear" w:color="auto" w:fill="F2F2F2" w:themeFill="background1" w:themeFillShade="F2"/>
            <w:tcMar>
              <w:top w:w="88" w:type="dxa"/>
              <w:left w:w="113" w:type="dxa"/>
              <w:bottom w:w="88" w:type="dxa"/>
              <w:right w:w="113" w:type="dxa"/>
            </w:tcMar>
            <w:vAlign w:val="center"/>
          </w:tcPr>
          <w:p w14:paraId="0E626F63" w14:textId="77777777" w:rsidR="003D5A6B" w:rsidRPr="003D5A6B" w:rsidRDefault="003D5A6B" w:rsidP="00F1408E">
            <w:pPr>
              <w:pStyle w:val="CDIFigure-Table-BodyTextCentre"/>
            </w:pPr>
            <w:r w:rsidRPr="003D5A6B">
              <w:t>0.05</w:t>
            </w:r>
          </w:p>
        </w:tc>
        <w:tc>
          <w:tcPr>
            <w:tcW w:w="1509" w:type="dxa"/>
            <w:shd w:val="clear" w:color="auto" w:fill="F2F2F2" w:themeFill="background1" w:themeFillShade="F2"/>
            <w:tcMar>
              <w:top w:w="88" w:type="dxa"/>
              <w:left w:w="113" w:type="dxa"/>
              <w:bottom w:w="88" w:type="dxa"/>
              <w:right w:w="113" w:type="dxa"/>
            </w:tcMar>
            <w:vAlign w:val="center"/>
          </w:tcPr>
          <w:p w14:paraId="7157E62E" w14:textId="77777777" w:rsidR="003D5A6B" w:rsidRPr="003D5A6B" w:rsidRDefault="003D5A6B" w:rsidP="00F1408E">
            <w:pPr>
              <w:pStyle w:val="CDIFigure-Table-BodyTextCentre"/>
            </w:pPr>
            <w:r w:rsidRPr="003D5A6B">
              <w:t xml:space="preserve"> 0.04–0.07</w:t>
            </w:r>
          </w:p>
        </w:tc>
      </w:tr>
      <w:tr w:rsidR="003D5A6B" w:rsidRPr="003D5A6B" w14:paraId="5DD8CDED"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5EA0D462" w14:textId="77777777" w:rsidR="003D5A6B" w:rsidRPr="003D5A6B" w:rsidRDefault="003D5A6B" w:rsidP="003D5A6B"/>
        </w:tc>
        <w:tc>
          <w:tcPr>
            <w:tcW w:w="1509" w:type="dxa"/>
            <w:tcMar>
              <w:top w:w="88" w:type="dxa"/>
              <w:left w:w="113" w:type="dxa"/>
              <w:bottom w:w="88" w:type="dxa"/>
              <w:right w:w="113" w:type="dxa"/>
            </w:tcMar>
            <w:vAlign w:val="center"/>
          </w:tcPr>
          <w:p w14:paraId="5B008C2A" w14:textId="77777777" w:rsidR="003D5A6B" w:rsidRPr="003D5A6B" w:rsidRDefault="003D5A6B" w:rsidP="00F1408E">
            <w:pPr>
              <w:pStyle w:val="CDIFigure-Table-BodyTextCentre"/>
            </w:pPr>
            <w:r w:rsidRPr="003D5A6B">
              <w:t>25–69</w:t>
            </w:r>
          </w:p>
        </w:tc>
        <w:tc>
          <w:tcPr>
            <w:tcW w:w="1510" w:type="dxa"/>
            <w:tcMar>
              <w:top w:w="88" w:type="dxa"/>
              <w:left w:w="113" w:type="dxa"/>
              <w:bottom w:w="88" w:type="dxa"/>
              <w:right w:w="113" w:type="dxa"/>
            </w:tcMar>
            <w:vAlign w:val="center"/>
          </w:tcPr>
          <w:p w14:paraId="3F0E1BEC" w14:textId="77777777" w:rsidR="003D5A6B" w:rsidRPr="003D5A6B" w:rsidRDefault="003D5A6B" w:rsidP="00F1408E">
            <w:pPr>
              <w:pStyle w:val="CDIFigure-Table-BodyTextCentre"/>
            </w:pPr>
            <w:r w:rsidRPr="003D5A6B">
              <w:t>29.3</w:t>
            </w:r>
          </w:p>
        </w:tc>
        <w:tc>
          <w:tcPr>
            <w:tcW w:w="1509" w:type="dxa"/>
            <w:tcMar>
              <w:top w:w="88" w:type="dxa"/>
              <w:left w:w="113" w:type="dxa"/>
              <w:bottom w:w="88" w:type="dxa"/>
              <w:right w:w="113" w:type="dxa"/>
            </w:tcMar>
            <w:vAlign w:val="center"/>
          </w:tcPr>
          <w:p w14:paraId="1B51FF75" w14:textId="77777777" w:rsidR="003D5A6B" w:rsidRPr="003D5A6B" w:rsidRDefault="003D5A6B" w:rsidP="00F1408E">
            <w:pPr>
              <w:pStyle w:val="CDIFigure-Table-BodyTextCentre"/>
            </w:pPr>
            <w:r w:rsidRPr="003D5A6B">
              <w:t>9.8</w:t>
            </w:r>
          </w:p>
        </w:tc>
        <w:tc>
          <w:tcPr>
            <w:tcW w:w="1510" w:type="dxa"/>
            <w:tcMar>
              <w:top w:w="88" w:type="dxa"/>
              <w:left w:w="113" w:type="dxa"/>
              <w:bottom w:w="88" w:type="dxa"/>
              <w:right w:w="113" w:type="dxa"/>
            </w:tcMar>
            <w:vAlign w:val="center"/>
          </w:tcPr>
          <w:p w14:paraId="33C1F35C" w14:textId="77777777" w:rsidR="003D5A6B" w:rsidRPr="003D5A6B" w:rsidRDefault="003D5A6B" w:rsidP="00F1408E">
            <w:pPr>
              <w:pStyle w:val="CDIFigure-Table-BodyTextCentre"/>
            </w:pPr>
            <w:r w:rsidRPr="003D5A6B">
              <w:t>2.3</w:t>
            </w:r>
          </w:p>
        </w:tc>
        <w:tc>
          <w:tcPr>
            <w:tcW w:w="1509" w:type="dxa"/>
            <w:tcMar>
              <w:top w:w="88" w:type="dxa"/>
              <w:left w:w="113" w:type="dxa"/>
              <w:bottom w:w="88" w:type="dxa"/>
              <w:right w:w="113" w:type="dxa"/>
            </w:tcMar>
            <w:vAlign w:val="center"/>
          </w:tcPr>
          <w:p w14:paraId="32A1F1AE" w14:textId="77777777" w:rsidR="003D5A6B" w:rsidRPr="003D5A6B" w:rsidRDefault="003D5A6B" w:rsidP="00F1408E">
            <w:pPr>
              <w:pStyle w:val="CDIFigure-Table-BodyTextCentre"/>
            </w:pPr>
            <w:r w:rsidRPr="003D5A6B">
              <w:t>0.34</w:t>
            </w:r>
          </w:p>
        </w:tc>
        <w:tc>
          <w:tcPr>
            <w:tcW w:w="1509" w:type="dxa"/>
            <w:tcMar>
              <w:top w:w="88" w:type="dxa"/>
              <w:left w:w="113" w:type="dxa"/>
              <w:bottom w:w="88" w:type="dxa"/>
              <w:right w:w="113" w:type="dxa"/>
            </w:tcMar>
            <w:vAlign w:val="center"/>
          </w:tcPr>
          <w:p w14:paraId="09C17136" w14:textId="77777777" w:rsidR="003D5A6B" w:rsidRPr="003D5A6B" w:rsidRDefault="003D5A6B" w:rsidP="00F1408E">
            <w:pPr>
              <w:pStyle w:val="CDIFigure-Table-BodyTextCentre"/>
            </w:pPr>
            <w:r w:rsidRPr="003D5A6B">
              <w:t xml:space="preserve"> 0.32–0.36</w:t>
            </w:r>
          </w:p>
        </w:tc>
        <w:tc>
          <w:tcPr>
            <w:tcW w:w="1510" w:type="dxa"/>
            <w:tcMar>
              <w:top w:w="88" w:type="dxa"/>
              <w:left w:w="113" w:type="dxa"/>
              <w:bottom w:w="88" w:type="dxa"/>
              <w:right w:w="113" w:type="dxa"/>
            </w:tcMar>
            <w:vAlign w:val="center"/>
          </w:tcPr>
          <w:p w14:paraId="5D20E5A7" w14:textId="77777777" w:rsidR="003D5A6B" w:rsidRPr="003D5A6B" w:rsidRDefault="003D5A6B" w:rsidP="00F1408E">
            <w:pPr>
              <w:pStyle w:val="CDIFigure-Table-BodyTextCentre"/>
            </w:pPr>
            <w:r w:rsidRPr="003D5A6B">
              <w:t>0.08</w:t>
            </w:r>
          </w:p>
        </w:tc>
        <w:tc>
          <w:tcPr>
            <w:tcW w:w="1509" w:type="dxa"/>
            <w:tcMar>
              <w:top w:w="88" w:type="dxa"/>
              <w:left w:w="113" w:type="dxa"/>
              <w:bottom w:w="88" w:type="dxa"/>
              <w:right w:w="113" w:type="dxa"/>
            </w:tcMar>
            <w:vAlign w:val="center"/>
          </w:tcPr>
          <w:p w14:paraId="52172AFB" w14:textId="77777777" w:rsidR="003D5A6B" w:rsidRPr="003D5A6B" w:rsidRDefault="003D5A6B" w:rsidP="00F1408E">
            <w:pPr>
              <w:pStyle w:val="CDIFigure-Table-BodyTextCentre"/>
            </w:pPr>
            <w:r w:rsidRPr="003D5A6B">
              <w:t xml:space="preserve"> 0.07–0.09</w:t>
            </w:r>
          </w:p>
        </w:tc>
      </w:tr>
      <w:tr w:rsidR="006A4AE7" w:rsidRPr="003D5A6B" w14:paraId="5EF44AE6"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6160E8C5" w14:textId="77777777" w:rsidR="003D5A6B" w:rsidRPr="003D5A6B" w:rsidRDefault="003D5A6B" w:rsidP="003D5A6B"/>
        </w:tc>
        <w:tc>
          <w:tcPr>
            <w:tcW w:w="1509" w:type="dxa"/>
            <w:shd w:val="clear" w:color="auto" w:fill="F2F2F2" w:themeFill="background1" w:themeFillShade="F2"/>
            <w:tcMar>
              <w:top w:w="88" w:type="dxa"/>
              <w:left w:w="113" w:type="dxa"/>
              <w:bottom w:w="88" w:type="dxa"/>
              <w:right w:w="113" w:type="dxa"/>
            </w:tcMar>
            <w:vAlign w:val="center"/>
          </w:tcPr>
          <w:p w14:paraId="5DCEA814" w14:textId="77777777" w:rsidR="003D5A6B" w:rsidRPr="003D5A6B" w:rsidRDefault="003D5A6B" w:rsidP="00F1408E">
            <w:pPr>
              <w:pStyle w:val="CDIFigure-Table-BodyTextCentre"/>
            </w:pPr>
            <w:r w:rsidRPr="003D5A6B">
              <w:t>≥ 70</w:t>
            </w:r>
          </w:p>
        </w:tc>
        <w:tc>
          <w:tcPr>
            <w:tcW w:w="1510" w:type="dxa"/>
            <w:shd w:val="clear" w:color="auto" w:fill="F2F2F2" w:themeFill="background1" w:themeFillShade="F2"/>
            <w:tcMar>
              <w:top w:w="88" w:type="dxa"/>
              <w:left w:w="113" w:type="dxa"/>
              <w:bottom w:w="88" w:type="dxa"/>
              <w:right w:w="113" w:type="dxa"/>
            </w:tcMar>
            <w:vAlign w:val="center"/>
          </w:tcPr>
          <w:p w14:paraId="5C12F14A" w14:textId="77777777" w:rsidR="003D5A6B" w:rsidRPr="003D5A6B" w:rsidRDefault="003D5A6B" w:rsidP="00F1408E">
            <w:pPr>
              <w:pStyle w:val="CDIFigure-Table-BodyTextCentre"/>
            </w:pPr>
            <w:r w:rsidRPr="003D5A6B">
              <w:t>24.9</w:t>
            </w:r>
          </w:p>
        </w:tc>
        <w:tc>
          <w:tcPr>
            <w:tcW w:w="1509" w:type="dxa"/>
            <w:shd w:val="clear" w:color="auto" w:fill="F2F2F2" w:themeFill="background1" w:themeFillShade="F2"/>
            <w:tcMar>
              <w:top w:w="88" w:type="dxa"/>
              <w:left w:w="113" w:type="dxa"/>
              <w:bottom w:w="88" w:type="dxa"/>
              <w:right w:w="113" w:type="dxa"/>
            </w:tcMar>
            <w:vAlign w:val="center"/>
          </w:tcPr>
          <w:p w14:paraId="5DBF7E8B" w14:textId="77777777" w:rsidR="003D5A6B" w:rsidRPr="003D5A6B" w:rsidRDefault="003D5A6B" w:rsidP="00F1408E">
            <w:pPr>
              <w:pStyle w:val="CDIFigure-Table-BodyTextCentre"/>
            </w:pPr>
            <w:r w:rsidRPr="003D5A6B">
              <w:t>7.6</w:t>
            </w:r>
          </w:p>
        </w:tc>
        <w:tc>
          <w:tcPr>
            <w:tcW w:w="1510" w:type="dxa"/>
            <w:shd w:val="clear" w:color="auto" w:fill="F2F2F2" w:themeFill="background1" w:themeFillShade="F2"/>
            <w:tcMar>
              <w:top w:w="88" w:type="dxa"/>
              <w:left w:w="113" w:type="dxa"/>
              <w:bottom w:w="88" w:type="dxa"/>
              <w:right w:w="113" w:type="dxa"/>
            </w:tcMar>
            <w:vAlign w:val="center"/>
          </w:tcPr>
          <w:p w14:paraId="16669276" w14:textId="77777777" w:rsidR="003D5A6B" w:rsidRPr="003D5A6B" w:rsidRDefault="003D5A6B" w:rsidP="00F1408E">
            <w:pPr>
              <w:pStyle w:val="CDIFigure-Table-BodyTextCentre"/>
            </w:pPr>
            <w:r w:rsidRPr="003D5A6B">
              <w:t>1.9</w:t>
            </w:r>
          </w:p>
        </w:tc>
        <w:tc>
          <w:tcPr>
            <w:tcW w:w="1509" w:type="dxa"/>
            <w:shd w:val="clear" w:color="auto" w:fill="F2F2F2" w:themeFill="background1" w:themeFillShade="F2"/>
            <w:tcMar>
              <w:top w:w="88" w:type="dxa"/>
              <w:left w:w="113" w:type="dxa"/>
              <w:bottom w:w="88" w:type="dxa"/>
              <w:right w:w="113" w:type="dxa"/>
            </w:tcMar>
            <w:vAlign w:val="center"/>
          </w:tcPr>
          <w:p w14:paraId="780D64EC" w14:textId="77777777" w:rsidR="003D5A6B" w:rsidRPr="003D5A6B" w:rsidRDefault="003D5A6B" w:rsidP="00F1408E">
            <w:pPr>
              <w:pStyle w:val="CDIFigure-Table-BodyTextCentre"/>
            </w:pPr>
            <w:r w:rsidRPr="003D5A6B">
              <w:t>0.31</w:t>
            </w:r>
          </w:p>
        </w:tc>
        <w:tc>
          <w:tcPr>
            <w:tcW w:w="1509" w:type="dxa"/>
            <w:shd w:val="clear" w:color="auto" w:fill="F2F2F2" w:themeFill="background1" w:themeFillShade="F2"/>
            <w:tcMar>
              <w:top w:w="88" w:type="dxa"/>
              <w:left w:w="113" w:type="dxa"/>
              <w:bottom w:w="88" w:type="dxa"/>
              <w:right w:w="113" w:type="dxa"/>
            </w:tcMar>
            <w:vAlign w:val="center"/>
          </w:tcPr>
          <w:p w14:paraId="34E5AA72" w14:textId="77777777" w:rsidR="003D5A6B" w:rsidRPr="003D5A6B" w:rsidRDefault="003D5A6B" w:rsidP="00F1408E">
            <w:pPr>
              <w:pStyle w:val="CDIFigure-Table-BodyTextCentre"/>
            </w:pPr>
            <w:r w:rsidRPr="003D5A6B">
              <w:t xml:space="preserve"> 0.26–0.36</w:t>
            </w:r>
          </w:p>
        </w:tc>
        <w:tc>
          <w:tcPr>
            <w:tcW w:w="1510" w:type="dxa"/>
            <w:shd w:val="clear" w:color="auto" w:fill="F2F2F2" w:themeFill="background1" w:themeFillShade="F2"/>
            <w:tcMar>
              <w:top w:w="88" w:type="dxa"/>
              <w:left w:w="113" w:type="dxa"/>
              <w:bottom w:w="88" w:type="dxa"/>
              <w:right w:w="113" w:type="dxa"/>
            </w:tcMar>
            <w:vAlign w:val="center"/>
          </w:tcPr>
          <w:p w14:paraId="69C8A2DD" w14:textId="77777777" w:rsidR="003D5A6B" w:rsidRPr="003D5A6B" w:rsidRDefault="003D5A6B" w:rsidP="00F1408E">
            <w:pPr>
              <w:pStyle w:val="CDIFigure-Table-BodyTextCentre"/>
            </w:pPr>
            <w:r w:rsidRPr="003D5A6B">
              <w:t>0.08</w:t>
            </w:r>
          </w:p>
        </w:tc>
        <w:tc>
          <w:tcPr>
            <w:tcW w:w="1509" w:type="dxa"/>
            <w:shd w:val="clear" w:color="auto" w:fill="F2F2F2" w:themeFill="background1" w:themeFillShade="F2"/>
            <w:tcMar>
              <w:top w:w="88" w:type="dxa"/>
              <w:left w:w="113" w:type="dxa"/>
              <w:bottom w:w="88" w:type="dxa"/>
              <w:right w:w="113" w:type="dxa"/>
            </w:tcMar>
            <w:vAlign w:val="center"/>
          </w:tcPr>
          <w:p w14:paraId="511CF51D" w14:textId="77777777" w:rsidR="003D5A6B" w:rsidRPr="003D5A6B" w:rsidRDefault="003D5A6B" w:rsidP="00F1408E">
            <w:pPr>
              <w:pStyle w:val="CDIFigure-Table-BodyTextCentre"/>
            </w:pPr>
            <w:r w:rsidRPr="003D5A6B">
              <w:t xml:space="preserve"> 0.06–0.10</w:t>
            </w:r>
          </w:p>
        </w:tc>
      </w:tr>
      <w:tr w:rsidR="003D5A6B" w:rsidRPr="003D5A6B" w14:paraId="518BA924" w14:textId="77777777" w:rsidTr="00F1408E">
        <w:trPr>
          <w:trHeight w:val="20"/>
        </w:trPr>
        <w:tc>
          <w:tcPr>
            <w:tcW w:w="2268" w:type="dxa"/>
            <w:vMerge/>
            <w:tcBorders>
              <w:bottom w:val="single" w:sz="6" w:space="0" w:color="033636" w:themeColor="text2"/>
            </w:tcBorders>
            <w:shd w:val="clear" w:color="auto" w:fill="C5FFEF" w:themeFill="background2" w:themeFillTint="33"/>
          </w:tcPr>
          <w:p w14:paraId="5CEA52F0" w14:textId="77777777" w:rsidR="003D5A6B" w:rsidRPr="003D5A6B" w:rsidRDefault="003D5A6B" w:rsidP="003D5A6B"/>
        </w:tc>
        <w:tc>
          <w:tcPr>
            <w:tcW w:w="1509" w:type="dxa"/>
            <w:tcBorders>
              <w:bottom w:val="single" w:sz="6" w:space="0" w:color="033636" w:themeColor="text2"/>
            </w:tcBorders>
            <w:tcMar>
              <w:top w:w="88" w:type="dxa"/>
              <w:left w:w="113" w:type="dxa"/>
              <w:bottom w:w="88" w:type="dxa"/>
              <w:right w:w="113" w:type="dxa"/>
            </w:tcMar>
            <w:vAlign w:val="center"/>
          </w:tcPr>
          <w:p w14:paraId="247CA4EB" w14:textId="77777777" w:rsidR="003D5A6B" w:rsidRPr="00F1408E" w:rsidRDefault="003D5A6B" w:rsidP="00F1408E">
            <w:pPr>
              <w:pStyle w:val="CDIFigure-Table-BodyTextCentre"/>
              <w:rPr>
                <w:b/>
                <w:bCs/>
              </w:rPr>
            </w:pPr>
            <w:r w:rsidRPr="00F1408E">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5CCF9C24" w14:textId="77777777" w:rsidR="003D5A6B" w:rsidRPr="00F1408E" w:rsidRDefault="003D5A6B" w:rsidP="00F1408E">
            <w:pPr>
              <w:pStyle w:val="CDIFigure-Table-BodyTextCentre"/>
              <w:rPr>
                <w:b/>
                <w:bCs/>
              </w:rPr>
            </w:pPr>
            <w:r w:rsidRPr="00F1408E">
              <w:rPr>
                <w:b/>
                <w:bCs/>
              </w:rPr>
              <w:t>49.2</w:t>
            </w:r>
          </w:p>
        </w:tc>
        <w:tc>
          <w:tcPr>
            <w:tcW w:w="1509" w:type="dxa"/>
            <w:tcBorders>
              <w:bottom w:val="single" w:sz="6" w:space="0" w:color="033636" w:themeColor="text2"/>
            </w:tcBorders>
            <w:tcMar>
              <w:top w:w="88" w:type="dxa"/>
              <w:left w:w="113" w:type="dxa"/>
              <w:bottom w:w="88" w:type="dxa"/>
              <w:right w:w="113" w:type="dxa"/>
            </w:tcMar>
            <w:vAlign w:val="center"/>
          </w:tcPr>
          <w:p w14:paraId="23A609F1" w14:textId="77777777" w:rsidR="003D5A6B" w:rsidRPr="00F1408E" w:rsidRDefault="003D5A6B" w:rsidP="00F1408E">
            <w:pPr>
              <w:pStyle w:val="CDIFigure-Table-BodyTextCentre"/>
              <w:rPr>
                <w:b/>
                <w:bCs/>
              </w:rPr>
            </w:pPr>
            <w:r w:rsidRPr="00F1408E">
              <w:rPr>
                <w:b/>
                <w:bCs/>
              </w:rPr>
              <w:t>13.5</w:t>
            </w:r>
          </w:p>
        </w:tc>
        <w:tc>
          <w:tcPr>
            <w:tcW w:w="1510" w:type="dxa"/>
            <w:tcBorders>
              <w:bottom w:val="single" w:sz="6" w:space="0" w:color="033636" w:themeColor="text2"/>
            </w:tcBorders>
            <w:tcMar>
              <w:top w:w="88" w:type="dxa"/>
              <w:left w:w="113" w:type="dxa"/>
              <w:bottom w:w="88" w:type="dxa"/>
              <w:right w:w="113" w:type="dxa"/>
            </w:tcMar>
            <w:vAlign w:val="center"/>
          </w:tcPr>
          <w:p w14:paraId="33D81581" w14:textId="77777777" w:rsidR="003D5A6B" w:rsidRPr="00F1408E" w:rsidRDefault="003D5A6B" w:rsidP="00F1408E">
            <w:pPr>
              <w:pStyle w:val="CDIFigure-Table-BodyTextCentre"/>
              <w:rPr>
                <w:b/>
                <w:bCs/>
              </w:rPr>
            </w:pPr>
            <w:r w:rsidRPr="00F1408E">
              <w:rPr>
                <w:b/>
                <w:bCs/>
              </w:rPr>
              <w:t>2.1</w:t>
            </w:r>
          </w:p>
        </w:tc>
        <w:tc>
          <w:tcPr>
            <w:tcW w:w="1509" w:type="dxa"/>
            <w:tcBorders>
              <w:bottom w:val="single" w:sz="6" w:space="0" w:color="033636" w:themeColor="text2"/>
            </w:tcBorders>
            <w:tcMar>
              <w:top w:w="88" w:type="dxa"/>
              <w:left w:w="113" w:type="dxa"/>
              <w:bottom w:w="88" w:type="dxa"/>
              <w:right w:w="113" w:type="dxa"/>
            </w:tcMar>
            <w:vAlign w:val="center"/>
          </w:tcPr>
          <w:p w14:paraId="03BDBD20" w14:textId="77777777" w:rsidR="003D5A6B" w:rsidRPr="00F1408E" w:rsidRDefault="003D5A6B" w:rsidP="00F1408E">
            <w:pPr>
              <w:pStyle w:val="CDIFigure-Table-BodyTextCentre"/>
              <w:rPr>
                <w:b/>
                <w:bCs/>
              </w:rPr>
            </w:pPr>
            <w:r w:rsidRPr="00F1408E">
              <w:rPr>
                <w:b/>
                <w:bCs/>
              </w:rPr>
              <w:t>0.27</w:t>
            </w:r>
          </w:p>
        </w:tc>
        <w:tc>
          <w:tcPr>
            <w:tcW w:w="1509" w:type="dxa"/>
            <w:tcBorders>
              <w:bottom w:val="single" w:sz="6" w:space="0" w:color="033636" w:themeColor="text2"/>
            </w:tcBorders>
            <w:tcMar>
              <w:top w:w="88" w:type="dxa"/>
              <w:left w:w="113" w:type="dxa"/>
              <w:bottom w:w="88" w:type="dxa"/>
              <w:right w:w="113" w:type="dxa"/>
            </w:tcMar>
            <w:vAlign w:val="center"/>
          </w:tcPr>
          <w:p w14:paraId="210D1E23" w14:textId="77777777" w:rsidR="003D5A6B" w:rsidRPr="00F1408E" w:rsidRDefault="003D5A6B" w:rsidP="00F1408E">
            <w:pPr>
              <w:pStyle w:val="CDIFigure-Table-BodyTextCentre"/>
              <w:rPr>
                <w:b/>
                <w:bCs/>
              </w:rPr>
            </w:pPr>
            <w:r w:rsidRPr="00F1408E">
              <w:rPr>
                <w:b/>
                <w:bCs/>
              </w:rPr>
              <w:t xml:space="preserve"> 0.26–0.28</w:t>
            </w:r>
          </w:p>
        </w:tc>
        <w:tc>
          <w:tcPr>
            <w:tcW w:w="1510" w:type="dxa"/>
            <w:tcBorders>
              <w:bottom w:val="single" w:sz="6" w:space="0" w:color="033636" w:themeColor="text2"/>
            </w:tcBorders>
            <w:tcMar>
              <w:top w:w="88" w:type="dxa"/>
              <w:left w:w="113" w:type="dxa"/>
              <w:bottom w:w="88" w:type="dxa"/>
              <w:right w:w="113" w:type="dxa"/>
            </w:tcMar>
            <w:vAlign w:val="center"/>
          </w:tcPr>
          <w:p w14:paraId="0F49F052" w14:textId="77777777" w:rsidR="003D5A6B" w:rsidRPr="00F1408E" w:rsidRDefault="003D5A6B" w:rsidP="00F1408E">
            <w:pPr>
              <w:pStyle w:val="CDIFigure-Table-BodyTextCentre"/>
              <w:rPr>
                <w:b/>
                <w:bCs/>
              </w:rPr>
            </w:pPr>
            <w:r w:rsidRPr="00F1408E">
              <w:rPr>
                <w:b/>
                <w:bCs/>
              </w:rPr>
              <w:t>0.04</w:t>
            </w:r>
          </w:p>
        </w:tc>
        <w:tc>
          <w:tcPr>
            <w:tcW w:w="1509" w:type="dxa"/>
            <w:tcBorders>
              <w:bottom w:val="single" w:sz="6" w:space="0" w:color="033636" w:themeColor="text2"/>
            </w:tcBorders>
            <w:tcMar>
              <w:top w:w="88" w:type="dxa"/>
              <w:left w:w="113" w:type="dxa"/>
              <w:bottom w:w="88" w:type="dxa"/>
              <w:right w:w="113" w:type="dxa"/>
            </w:tcMar>
            <w:vAlign w:val="center"/>
          </w:tcPr>
          <w:p w14:paraId="229537D5" w14:textId="77777777" w:rsidR="003D5A6B" w:rsidRPr="00F1408E" w:rsidRDefault="003D5A6B" w:rsidP="00F1408E">
            <w:pPr>
              <w:pStyle w:val="CDIFigure-Table-BodyTextCentre"/>
              <w:rPr>
                <w:b/>
                <w:bCs/>
              </w:rPr>
            </w:pPr>
            <w:r w:rsidRPr="00F1408E">
              <w:rPr>
                <w:b/>
                <w:bCs/>
              </w:rPr>
              <w:t xml:space="preserve"> 0.04–0.05</w:t>
            </w:r>
          </w:p>
        </w:tc>
      </w:tr>
    </w:tbl>
    <w:p w14:paraId="5A799B4E" w14:textId="66347FF6" w:rsidR="009C7CAD" w:rsidRDefault="009C7CAD" w:rsidP="009C7CAD">
      <w:pPr>
        <w:pStyle w:val="CDIFigure-Table-FirstFootnote"/>
      </w:pPr>
      <w:proofErr w:type="gramStart"/>
      <w:r w:rsidRPr="009C7CAD">
        <w:t>a</w:t>
      </w:r>
      <w:proofErr w:type="gramEnd"/>
      <w:r w:rsidRPr="009C7CAD">
        <w:tab/>
        <w:t>IRR: incidence rate ratio. 95% CI: 95% confidence interval.</w:t>
      </w:r>
      <w:r>
        <w:br w:type="page"/>
      </w:r>
    </w:p>
    <w:p w14:paraId="441B64BE" w14:textId="00E68C48" w:rsidR="009C7CAD" w:rsidRDefault="009C7CAD" w:rsidP="009C7CAD">
      <w:pPr>
        <w:pStyle w:val="CDIFigure-Table-Title"/>
      </w:pPr>
      <w:r w:rsidRPr="009C7CAD">
        <w:lastRenderedPageBreak/>
        <w:t>Table A.2: Pertussis notification rates for 2020 and 2021 compared to the 2015 to 2019 mean annual rate, by age group, Australia</w:t>
      </w:r>
    </w:p>
    <w:tbl>
      <w:tblPr>
        <w:tblW w:w="14343" w:type="dxa"/>
        <w:tblInd w:w="-8" w:type="dxa"/>
        <w:tblLayout w:type="fixed"/>
        <w:tblCellMar>
          <w:left w:w="0" w:type="dxa"/>
          <w:right w:w="0" w:type="dxa"/>
        </w:tblCellMar>
        <w:tblLook w:val="0000" w:firstRow="0" w:lastRow="0" w:firstColumn="0" w:lastColumn="0" w:noHBand="0" w:noVBand="0"/>
        <w:tblCaption w:val="Table A.2: Pertussis notification rates for 2020 and 2021 compared to the 2015 to 2019 mean annual rate, by age group, Australia"/>
        <w:tblDescription w:val="Table A.2 shows pertussis notification rates per 100,000 population for 2020 and 2021 compared to the mean notification rate for 2015 to 2019, with incidence rate ratios and 95% confidence intervals, by jurisdiction and age group in Australia."/>
      </w:tblPr>
      <w:tblGrid>
        <w:gridCol w:w="2268"/>
        <w:gridCol w:w="1509"/>
        <w:gridCol w:w="1510"/>
        <w:gridCol w:w="1509"/>
        <w:gridCol w:w="1510"/>
        <w:gridCol w:w="1509"/>
        <w:gridCol w:w="1509"/>
        <w:gridCol w:w="1510"/>
        <w:gridCol w:w="1509"/>
      </w:tblGrid>
      <w:tr w:rsidR="009C7CAD" w:rsidRPr="009C7CAD" w14:paraId="608C8314" w14:textId="77777777" w:rsidTr="00F1408E">
        <w:trPr>
          <w:trHeight w:val="20"/>
          <w:tblHeader/>
        </w:trPr>
        <w:tc>
          <w:tcPr>
            <w:tcW w:w="2268" w:type="dxa"/>
            <w:vMerge w:val="restart"/>
            <w:shd w:val="clear" w:color="auto" w:fill="033636" w:themeFill="text2"/>
            <w:tcMar>
              <w:top w:w="88" w:type="dxa"/>
              <w:left w:w="113" w:type="dxa"/>
              <w:bottom w:w="88" w:type="dxa"/>
              <w:right w:w="113" w:type="dxa"/>
            </w:tcMar>
            <w:vAlign w:val="bottom"/>
          </w:tcPr>
          <w:p w14:paraId="20808A48" w14:textId="77777777" w:rsidR="009C7CAD" w:rsidRPr="009C7CAD" w:rsidRDefault="009C7CAD" w:rsidP="009C7CAD">
            <w:pPr>
              <w:pStyle w:val="CDIFigure-Table-H1Left"/>
            </w:pPr>
            <w:r w:rsidRPr="009C7CAD">
              <w:t>Jurisdiction</w:t>
            </w:r>
          </w:p>
        </w:tc>
        <w:tc>
          <w:tcPr>
            <w:tcW w:w="1509" w:type="dxa"/>
            <w:vMerge w:val="restart"/>
            <w:tcBorders>
              <w:right w:val="single" w:sz="6" w:space="0" w:color="FFFFFF" w:themeColor="background1"/>
            </w:tcBorders>
            <w:shd w:val="clear" w:color="auto" w:fill="033636" w:themeFill="text2"/>
            <w:tcMar>
              <w:top w:w="88" w:type="dxa"/>
              <w:left w:w="113" w:type="dxa"/>
              <w:bottom w:w="88" w:type="dxa"/>
              <w:right w:w="113" w:type="dxa"/>
            </w:tcMar>
            <w:vAlign w:val="bottom"/>
          </w:tcPr>
          <w:p w14:paraId="7E45A313" w14:textId="77777777" w:rsidR="009C7CAD" w:rsidRPr="009C7CAD" w:rsidRDefault="009C7CAD" w:rsidP="009C7CAD">
            <w:pPr>
              <w:pStyle w:val="CDIFigure-Table-H1"/>
            </w:pPr>
            <w:r w:rsidRPr="009C7CAD">
              <w:t>Age group (years)</w:t>
            </w:r>
          </w:p>
        </w:tc>
        <w:tc>
          <w:tcPr>
            <w:tcW w:w="4529" w:type="dxa"/>
            <w:gridSpan w:val="3"/>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508E1593" w14:textId="77777777" w:rsidR="009C7CAD" w:rsidRPr="009C7CAD" w:rsidRDefault="009C7CAD" w:rsidP="009C7CAD">
            <w:pPr>
              <w:pStyle w:val="CDIFigure-Table-H1"/>
            </w:pPr>
            <w:r w:rsidRPr="009C7CAD">
              <w:t>Notification rate per 100,000 population per year</w:t>
            </w:r>
          </w:p>
        </w:tc>
        <w:tc>
          <w:tcPr>
            <w:tcW w:w="301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75DE8409" w14:textId="77777777" w:rsidR="009C7CAD" w:rsidRPr="009C7CAD" w:rsidRDefault="009C7CAD" w:rsidP="009C7CAD">
            <w:pPr>
              <w:pStyle w:val="CDIFigure-Table-H1"/>
            </w:pPr>
            <w:r w:rsidRPr="009C7CAD">
              <w:t>2020 vs. 2015–2019</w:t>
            </w:r>
            <w:r w:rsidRPr="009C7CAD">
              <w:rPr>
                <w:vertAlign w:val="superscript"/>
              </w:rPr>
              <w:t>a</w:t>
            </w:r>
          </w:p>
        </w:tc>
        <w:tc>
          <w:tcPr>
            <w:tcW w:w="3019" w:type="dxa"/>
            <w:gridSpan w:val="2"/>
            <w:tcBorders>
              <w:left w:val="single" w:sz="6" w:space="0" w:color="FFFFFF" w:themeColor="background1"/>
              <w:bottom w:val="single" w:sz="6" w:space="0" w:color="FFFFFF" w:themeColor="background1"/>
            </w:tcBorders>
            <w:shd w:val="clear" w:color="auto" w:fill="033636" w:themeFill="text2"/>
            <w:tcMar>
              <w:top w:w="88" w:type="dxa"/>
              <w:left w:w="113" w:type="dxa"/>
              <w:bottom w:w="88" w:type="dxa"/>
              <w:right w:w="113" w:type="dxa"/>
            </w:tcMar>
            <w:vAlign w:val="bottom"/>
          </w:tcPr>
          <w:p w14:paraId="747C5317" w14:textId="77777777" w:rsidR="009C7CAD" w:rsidRPr="009C7CAD" w:rsidRDefault="009C7CAD" w:rsidP="009C7CAD">
            <w:pPr>
              <w:pStyle w:val="CDIFigure-Table-H1"/>
            </w:pPr>
            <w:r w:rsidRPr="009C7CAD">
              <w:t>2021 vs. 2015–2019</w:t>
            </w:r>
            <w:r w:rsidRPr="009C7CAD">
              <w:rPr>
                <w:vertAlign w:val="superscript"/>
              </w:rPr>
              <w:t>a</w:t>
            </w:r>
          </w:p>
        </w:tc>
      </w:tr>
      <w:tr w:rsidR="003D5A6B" w:rsidRPr="009C7CAD" w14:paraId="05A88220" w14:textId="77777777" w:rsidTr="003D5A6B">
        <w:trPr>
          <w:trHeight w:val="20"/>
          <w:tblHeader/>
        </w:trPr>
        <w:tc>
          <w:tcPr>
            <w:tcW w:w="2268" w:type="dxa"/>
            <w:vMerge/>
            <w:shd w:val="clear" w:color="auto" w:fill="033636" w:themeFill="text2"/>
          </w:tcPr>
          <w:p w14:paraId="098D7B7F" w14:textId="77777777" w:rsidR="009C7CAD" w:rsidRPr="009C7CAD" w:rsidRDefault="009C7CAD" w:rsidP="009C7CAD"/>
        </w:tc>
        <w:tc>
          <w:tcPr>
            <w:tcW w:w="1509" w:type="dxa"/>
            <w:vMerge/>
            <w:tcBorders>
              <w:right w:val="single" w:sz="6" w:space="0" w:color="FFFFFF" w:themeColor="background1"/>
            </w:tcBorders>
            <w:shd w:val="clear" w:color="auto" w:fill="033636" w:themeFill="text2"/>
          </w:tcPr>
          <w:p w14:paraId="13C779D3" w14:textId="77777777" w:rsidR="009C7CAD" w:rsidRPr="009C7CAD" w:rsidRDefault="009C7CAD" w:rsidP="009C7CAD">
            <w:pPr>
              <w:pStyle w:val="CDIFigure-Table-H1"/>
            </w:pPr>
          </w:p>
        </w:tc>
        <w:tc>
          <w:tcPr>
            <w:tcW w:w="1510" w:type="dxa"/>
            <w:tcBorders>
              <w:top w:val="single" w:sz="6" w:space="0" w:color="FFFFFF" w:themeColor="background1"/>
              <w:left w:val="single" w:sz="6" w:space="0" w:color="FFFFFF" w:themeColor="background1"/>
            </w:tcBorders>
            <w:shd w:val="clear" w:color="auto" w:fill="033636" w:themeFill="text2"/>
            <w:tcMar>
              <w:top w:w="88" w:type="dxa"/>
              <w:left w:w="113" w:type="dxa"/>
              <w:bottom w:w="88" w:type="dxa"/>
              <w:right w:w="113" w:type="dxa"/>
            </w:tcMar>
            <w:vAlign w:val="bottom"/>
          </w:tcPr>
          <w:p w14:paraId="66996074" w14:textId="77777777" w:rsidR="009C7CAD" w:rsidRPr="009C7CAD" w:rsidRDefault="009C7CAD" w:rsidP="009C7CAD">
            <w:pPr>
              <w:pStyle w:val="CDIFigure-Table-H1"/>
            </w:pPr>
            <w:r w:rsidRPr="009C7CAD">
              <w:t>2015 to 2019 mean</w:t>
            </w:r>
          </w:p>
        </w:tc>
        <w:tc>
          <w:tcPr>
            <w:tcW w:w="1509" w:type="dxa"/>
            <w:tcBorders>
              <w:top w:val="single" w:sz="6" w:space="0" w:color="FFFFFF" w:themeColor="background1"/>
            </w:tcBorders>
            <w:shd w:val="clear" w:color="auto" w:fill="033636" w:themeFill="text2"/>
            <w:tcMar>
              <w:top w:w="88" w:type="dxa"/>
              <w:left w:w="113" w:type="dxa"/>
              <w:bottom w:w="88" w:type="dxa"/>
              <w:right w:w="113" w:type="dxa"/>
            </w:tcMar>
            <w:vAlign w:val="bottom"/>
          </w:tcPr>
          <w:p w14:paraId="251622F3" w14:textId="77777777" w:rsidR="009C7CAD" w:rsidRPr="009C7CAD" w:rsidRDefault="009C7CAD" w:rsidP="009C7CAD">
            <w:pPr>
              <w:pStyle w:val="CDIFigure-Table-H1"/>
            </w:pPr>
            <w:r w:rsidRPr="009C7CAD">
              <w:t>2020</w:t>
            </w:r>
          </w:p>
        </w:tc>
        <w:tc>
          <w:tcPr>
            <w:tcW w:w="1510" w:type="dxa"/>
            <w:tcBorders>
              <w:top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5D4791D4" w14:textId="77777777" w:rsidR="009C7CAD" w:rsidRPr="009C7CAD" w:rsidRDefault="009C7CAD" w:rsidP="009C7CAD">
            <w:pPr>
              <w:pStyle w:val="CDIFigure-Table-H1"/>
            </w:pPr>
            <w:r w:rsidRPr="009C7CAD">
              <w:t>2021</w:t>
            </w:r>
          </w:p>
        </w:tc>
        <w:tc>
          <w:tcPr>
            <w:tcW w:w="1509" w:type="dxa"/>
            <w:tcBorders>
              <w:top w:val="single" w:sz="6" w:space="0" w:color="FFFFFF" w:themeColor="background1"/>
              <w:left w:val="single" w:sz="6" w:space="0" w:color="FFFFFF" w:themeColor="background1"/>
            </w:tcBorders>
            <w:shd w:val="clear" w:color="auto" w:fill="033636" w:themeFill="text2"/>
            <w:tcMar>
              <w:top w:w="88" w:type="dxa"/>
              <w:left w:w="113" w:type="dxa"/>
              <w:bottom w:w="88" w:type="dxa"/>
              <w:right w:w="113" w:type="dxa"/>
            </w:tcMar>
            <w:vAlign w:val="bottom"/>
          </w:tcPr>
          <w:p w14:paraId="1DB24BC8" w14:textId="77777777" w:rsidR="009C7CAD" w:rsidRPr="009C7CAD" w:rsidRDefault="009C7CAD" w:rsidP="009C7CAD">
            <w:pPr>
              <w:pStyle w:val="CDIFigure-Table-H1"/>
            </w:pPr>
            <w:r w:rsidRPr="009C7CAD">
              <w:t>IRR</w:t>
            </w:r>
          </w:p>
        </w:tc>
        <w:tc>
          <w:tcPr>
            <w:tcW w:w="1509" w:type="dxa"/>
            <w:tcBorders>
              <w:top w:val="single" w:sz="6" w:space="0" w:color="FFFFFF" w:themeColor="background1"/>
              <w:right w:val="single" w:sz="6" w:space="0" w:color="FFFFFF" w:themeColor="background1"/>
            </w:tcBorders>
            <w:shd w:val="clear" w:color="auto" w:fill="033636" w:themeFill="text2"/>
            <w:tcMar>
              <w:top w:w="88" w:type="dxa"/>
              <w:left w:w="113" w:type="dxa"/>
              <w:bottom w:w="88" w:type="dxa"/>
              <w:right w:w="113" w:type="dxa"/>
            </w:tcMar>
            <w:vAlign w:val="bottom"/>
          </w:tcPr>
          <w:p w14:paraId="5C12025C" w14:textId="77777777" w:rsidR="009C7CAD" w:rsidRPr="009C7CAD" w:rsidRDefault="009C7CAD" w:rsidP="009C7CAD">
            <w:pPr>
              <w:pStyle w:val="CDIFigure-Table-H1"/>
            </w:pPr>
            <w:r w:rsidRPr="009C7CAD">
              <w:t>95% CI</w:t>
            </w:r>
          </w:p>
        </w:tc>
        <w:tc>
          <w:tcPr>
            <w:tcW w:w="1510" w:type="dxa"/>
            <w:tcBorders>
              <w:top w:val="single" w:sz="6" w:space="0" w:color="FFFFFF" w:themeColor="background1"/>
              <w:left w:val="single" w:sz="6" w:space="0" w:color="FFFFFF" w:themeColor="background1"/>
            </w:tcBorders>
            <w:shd w:val="clear" w:color="auto" w:fill="033636" w:themeFill="text2"/>
            <w:tcMar>
              <w:top w:w="88" w:type="dxa"/>
              <w:left w:w="113" w:type="dxa"/>
              <w:bottom w:w="88" w:type="dxa"/>
              <w:right w:w="113" w:type="dxa"/>
            </w:tcMar>
            <w:vAlign w:val="bottom"/>
          </w:tcPr>
          <w:p w14:paraId="39F160EF" w14:textId="77777777" w:rsidR="009C7CAD" w:rsidRPr="009C7CAD" w:rsidRDefault="009C7CAD" w:rsidP="009C7CAD">
            <w:pPr>
              <w:pStyle w:val="CDIFigure-Table-H1"/>
            </w:pPr>
            <w:r w:rsidRPr="009C7CAD">
              <w:t>IRR</w:t>
            </w:r>
          </w:p>
        </w:tc>
        <w:tc>
          <w:tcPr>
            <w:tcW w:w="1509" w:type="dxa"/>
            <w:tcBorders>
              <w:top w:val="single" w:sz="6" w:space="0" w:color="FFFFFF" w:themeColor="background1"/>
            </w:tcBorders>
            <w:shd w:val="clear" w:color="auto" w:fill="033636" w:themeFill="text2"/>
            <w:tcMar>
              <w:top w:w="88" w:type="dxa"/>
              <w:left w:w="113" w:type="dxa"/>
              <w:bottom w:w="88" w:type="dxa"/>
              <w:right w:w="113" w:type="dxa"/>
            </w:tcMar>
            <w:vAlign w:val="bottom"/>
          </w:tcPr>
          <w:p w14:paraId="7C207EAC" w14:textId="77777777" w:rsidR="009C7CAD" w:rsidRPr="009C7CAD" w:rsidRDefault="009C7CAD" w:rsidP="009C7CAD">
            <w:pPr>
              <w:pStyle w:val="CDIFigure-Table-H1"/>
            </w:pPr>
            <w:r w:rsidRPr="009C7CAD">
              <w:t>95% CI</w:t>
            </w:r>
          </w:p>
        </w:tc>
      </w:tr>
      <w:tr w:rsidR="009C7CAD" w:rsidRPr="009C7CAD" w14:paraId="353FA21C" w14:textId="77777777" w:rsidTr="003D5A6B">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2C94BFFF" w14:textId="77777777" w:rsidR="009C7CAD" w:rsidRPr="009C7CAD" w:rsidRDefault="009C7CAD" w:rsidP="009C7CAD">
            <w:pPr>
              <w:pStyle w:val="CDIFigure-Table-BodyTextLeft"/>
            </w:pPr>
            <w:r w:rsidRPr="009C7CAD">
              <w:t>Australian Capital Territory</w:t>
            </w:r>
          </w:p>
        </w:tc>
        <w:tc>
          <w:tcPr>
            <w:tcW w:w="1509" w:type="dxa"/>
            <w:shd w:val="clear" w:color="auto" w:fill="F2F2F2" w:themeFill="background1" w:themeFillShade="F2"/>
            <w:tcMar>
              <w:top w:w="88" w:type="dxa"/>
              <w:left w:w="113" w:type="dxa"/>
              <w:bottom w:w="88" w:type="dxa"/>
              <w:right w:w="113" w:type="dxa"/>
            </w:tcMar>
            <w:vAlign w:val="center"/>
          </w:tcPr>
          <w:p w14:paraId="61966038" w14:textId="77777777" w:rsidR="009C7CAD" w:rsidRPr="009C7CAD" w:rsidRDefault="009C7CAD" w:rsidP="009C7CAD">
            <w:pPr>
              <w:pStyle w:val="CDIFigure-Table-BodyTextCentre"/>
            </w:pPr>
            <w:r w:rsidRPr="009C7CAD">
              <w:t>0–4</w:t>
            </w:r>
          </w:p>
        </w:tc>
        <w:tc>
          <w:tcPr>
            <w:tcW w:w="1510" w:type="dxa"/>
            <w:shd w:val="clear" w:color="auto" w:fill="F2F2F2" w:themeFill="background1" w:themeFillShade="F2"/>
            <w:tcMar>
              <w:top w:w="88" w:type="dxa"/>
              <w:left w:w="113" w:type="dxa"/>
              <w:bottom w:w="88" w:type="dxa"/>
              <w:right w:w="113" w:type="dxa"/>
            </w:tcMar>
            <w:vAlign w:val="center"/>
          </w:tcPr>
          <w:p w14:paraId="60F6223A" w14:textId="77777777" w:rsidR="009C7CAD" w:rsidRPr="009C7CAD" w:rsidRDefault="009C7CAD" w:rsidP="009C7CAD">
            <w:pPr>
              <w:pStyle w:val="CDIFigure-Table-BodyTextCentre"/>
            </w:pPr>
            <w:r w:rsidRPr="009C7CAD">
              <w:t>92.7</w:t>
            </w:r>
          </w:p>
        </w:tc>
        <w:tc>
          <w:tcPr>
            <w:tcW w:w="1509" w:type="dxa"/>
            <w:shd w:val="clear" w:color="auto" w:fill="F2F2F2" w:themeFill="background1" w:themeFillShade="F2"/>
            <w:tcMar>
              <w:top w:w="88" w:type="dxa"/>
              <w:left w:w="113" w:type="dxa"/>
              <w:bottom w:w="88" w:type="dxa"/>
              <w:right w:w="113" w:type="dxa"/>
            </w:tcMar>
            <w:vAlign w:val="center"/>
          </w:tcPr>
          <w:p w14:paraId="5D8BFBC3" w14:textId="77777777" w:rsidR="009C7CAD" w:rsidRPr="009C7CAD" w:rsidRDefault="009C7CAD" w:rsidP="009C7CAD">
            <w:pPr>
              <w:pStyle w:val="CDIFigure-Table-BodyTextCentre"/>
            </w:pPr>
            <w:r w:rsidRPr="009C7CAD">
              <w:t>14.4</w:t>
            </w:r>
          </w:p>
        </w:tc>
        <w:tc>
          <w:tcPr>
            <w:tcW w:w="1510" w:type="dxa"/>
            <w:shd w:val="clear" w:color="auto" w:fill="F2F2F2" w:themeFill="background1" w:themeFillShade="F2"/>
            <w:tcMar>
              <w:top w:w="88" w:type="dxa"/>
              <w:left w:w="113" w:type="dxa"/>
              <w:bottom w:w="88" w:type="dxa"/>
              <w:right w:w="113" w:type="dxa"/>
            </w:tcMar>
            <w:vAlign w:val="center"/>
          </w:tcPr>
          <w:p w14:paraId="5E4648DF" w14:textId="77777777" w:rsidR="009C7CAD" w:rsidRPr="009C7CAD" w:rsidRDefault="009C7CAD" w:rsidP="009C7CAD">
            <w:pPr>
              <w:pStyle w:val="CDIFigure-Table-BodyTextCentre"/>
            </w:pPr>
            <w:r w:rsidRPr="009C7CAD">
              <w:t>0.0</w:t>
            </w:r>
          </w:p>
        </w:tc>
        <w:tc>
          <w:tcPr>
            <w:tcW w:w="1509" w:type="dxa"/>
            <w:shd w:val="clear" w:color="auto" w:fill="F2F2F2" w:themeFill="background1" w:themeFillShade="F2"/>
            <w:tcMar>
              <w:top w:w="88" w:type="dxa"/>
              <w:left w:w="113" w:type="dxa"/>
              <w:bottom w:w="88" w:type="dxa"/>
              <w:right w:w="113" w:type="dxa"/>
            </w:tcMar>
            <w:vAlign w:val="center"/>
          </w:tcPr>
          <w:p w14:paraId="49667578" w14:textId="77777777" w:rsidR="009C7CAD" w:rsidRPr="009C7CAD" w:rsidRDefault="009C7CAD" w:rsidP="009C7CAD">
            <w:pPr>
              <w:pStyle w:val="CDIFigure-Table-BodyTextCentre"/>
            </w:pPr>
            <w:r w:rsidRPr="009C7CAD">
              <w:t>0.16</w:t>
            </w:r>
          </w:p>
        </w:tc>
        <w:tc>
          <w:tcPr>
            <w:tcW w:w="1509" w:type="dxa"/>
            <w:shd w:val="clear" w:color="auto" w:fill="F2F2F2" w:themeFill="background1" w:themeFillShade="F2"/>
            <w:tcMar>
              <w:top w:w="88" w:type="dxa"/>
              <w:left w:w="113" w:type="dxa"/>
              <w:bottom w:w="88" w:type="dxa"/>
              <w:right w:w="113" w:type="dxa"/>
            </w:tcMar>
            <w:vAlign w:val="center"/>
          </w:tcPr>
          <w:p w14:paraId="7AB549FE" w14:textId="77777777" w:rsidR="009C7CAD" w:rsidRPr="009C7CAD" w:rsidRDefault="009C7CAD" w:rsidP="009C7CAD">
            <w:pPr>
              <w:pStyle w:val="CDIFigure-Table-BodyTextCentre"/>
            </w:pPr>
            <w:r w:rsidRPr="009C7CAD">
              <w:t xml:space="preserve"> 0.04–0.45</w:t>
            </w:r>
          </w:p>
        </w:tc>
        <w:tc>
          <w:tcPr>
            <w:tcW w:w="1510" w:type="dxa"/>
            <w:shd w:val="clear" w:color="auto" w:fill="F2F2F2" w:themeFill="background1" w:themeFillShade="F2"/>
            <w:tcMar>
              <w:top w:w="88" w:type="dxa"/>
              <w:left w:w="113" w:type="dxa"/>
              <w:bottom w:w="88" w:type="dxa"/>
              <w:right w:w="113" w:type="dxa"/>
            </w:tcMar>
            <w:vAlign w:val="center"/>
          </w:tcPr>
          <w:p w14:paraId="17E48778" w14:textId="77777777" w:rsidR="009C7CAD" w:rsidRPr="009C7CAD" w:rsidRDefault="009C7CAD" w:rsidP="009C7CAD">
            <w:pPr>
              <w:pStyle w:val="CDIFigure-Table-BodyTextCentre"/>
            </w:pPr>
            <w:r w:rsidRPr="009C7CAD">
              <w:t>0.00</w:t>
            </w:r>
          </w:p>
        </w:tc>
        <w:tc>
          <w:tcPr>
            <w:tcW w:w="1509" w:type="dxa"/>
            <w:shd w:val="clear" w:color="auto" w:fill="F2F2F2" w:themeFill="background1" w:themeFillShade="F2"/>
            <w:tcMar>
              <w:top w:w="88" w:type="dxa"/>
              <w:left w:w="113" w:type="dxa"/>
              <w:bottom w:w="88" w:type="dxa"/>
              <w:right w:w="113" w:type="dxa"/>
            </w:tcMar>
            <w:vAlign w:val="center"/>
          </w:tcPr>
          <w:p w14:paraId="352DB32D" w14:textId="77777777" w:rsidR="009C7CAD" w:rsidRPr="009C7CAD" w:rsidRDefault="009C7CAD" w:rsidP="009C7CAD">
            <w:pPr>
              <w:pStyle w:val="CDIFigure-Table-BodyTextCentre"/>
            </w:pPr>
            <w:r w:rsidRPr="009C7CAD">
              <w:t xml:space="preserve"> 0.00–0.16</w:t>
            </w:r>
          </w:p>
        </w:tc>
      </w:tr>
      <w:tr w:rsidR="009C7CAD" w:rsidRPr="009C7CAD" w14:paraId="6528B4D6"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653AE110" w14:textId="77777777" w:rsidR="009C7CAD" w:rsidRPr="009C7CAD" w:rsidRDefault="009C7CAD" w:rsidP="009C7CAD">
            <w:pPr>
              <w:pStyle w:val="CDIFigure-Table-BodyTextLeft"/>
            </w:pPr>
          </w:p>
        </w:tc>
        <w:tc>
          <w:tcPr>
            <w:tcW w:w="1509" w:type="dxa"/>
            <w:tcMar>
              <w:top w:w="88" w:type="dxa"/>
              <w:left w:w="113" w:type="dxa"/>
              <w:bottom w:w="88" w:type="dxa"/>
              <w:right w:w="113" w:type="dxa"/>
            </w:tcMar>
            <w:vAlign w:val="center"/>
          </w:tcPr>
          <w:p w14:paraId="1ED91B4D" w14:textId="77777777" w:rsidR="009C7CAD" w:rsidRPr="009C7CAD" w:rsidRDefault="009C7CAD" w:rsidP="009C7CAD">
            <w:pPr>
              <w:pStyle w:val="CDIFigure-Table-BodyTextCentre"/>
            </w:pPr>
            <w:r w:rsidRPr="009C7CAD">
              <w:t>5–14</w:t>
            </w:r>
          </w:p>
        </w:tc>
        <w:tc>
          <w:tcPr>
            <w:tcW w:w="1510" w:type="dxa"/>
            <w:tcMar>
              <w:top w:w="88" w:type="dxa"/>
              <w:left w:w="113" w:type="dxa"/>
              <w:bottom w:w="88" w:type="dxa"/>
              <w:right w:w="113" w:type="dxa"/>
            </w:tcMar>
            <w:vAlign w:val="center"/>
          </w:tcPr>
          <w:p w14:paraId="09F90F73" w14:textId="77777777" w:rsidR="009C7CAD" w:rsidRPr="009C7CAD" w:rsidRDefault="009C7CAD" w:rsidP="009C7CAD">
            <w:pPr>
              <w:pStyle w:val="CDIFigure-Table-BodyTextCentre"/>
            </w:pPr>
            <w:r w:rsidRPr="009C7CAD">
              <w:t>226.7</w:t>
            </w:r>
          </w:p>
        </w:tc>
        <w:tc>
          <w:tcPr>
            <w:tcW w:w="1509" w:type="dxa"/>
            <w:tcMar>
              <w:top w:w="88" w:type="dxa"/>
              <w:left w:w="113" w:type="dxa"/>
              <w:bottom w:w="88" w:type="dxa"/>
              <w:right w:w="113" w:type="dxa"/>
            </w:tcMar>
            <w:vAlign w:val="center"/>
          </w:tcPr>
          <w:p w14:paraId="32D26447" w14:textId="77777777" w:rsidR="009C7CAD" w:rsidRPr="009C7CAD" w:rsidRDefault="009C7CAD" w:rsidP="009C7CAD">
            <w:pPr>
              <w:pStyle w:val="CDIFigure-Table-BodyTextCentre"/>
            </w:pPr>
            <w:r w:rsidRPr="009C7CAD">
              <w:t>21.6</w:t>
            </w:r>
          </w:p>
        </w:tc>
        <w:tc>
          <w:tcPr>
            <w:tcW w:w="1510" w:type="dxa"/>
            <w:tcMar>
              <w:top w:w="88" w:type="dxa"/>
              <w:left w:w="113" w:type="dxa"/>
              <w:bottom w:w="88" w:type="dxa"/>
              <w:right w:w="113" w:type="dxa"/>
            </w:tcMar>
            <w:vAlign w:val="center"/>
          </w:tcPr>
          <w:p w14:paraId="4C5DC5CB" w14:textId="77777777" w:rsidR="009C7CAD" w:rsidRPr="009C7CAD" w:rsidRDefault="009C7CAD" w:rsidP="009C7CAD">
            <w:pPr>
              <w:pStyle w:val="CDIFigure-Table-BodyTextCentre"/>
            </w:pPr>
            <w:r w:rsidRPr="009C7CAD">
              <w:t>1.8</w:t>
            </w:r>
          </w:p>
        </w:tc>
        <w:tc>
          <w:tcPr>
            <w:tcW w:w="1509" w:type="dxa"/>
            <w:tcMar>
              <w:top w:w="88" w:type="dxa"/>
              <w:left w:w="113" w:type="dxa"/>
              <w:bottom w:w="88" w:type="dxa"/>
              <w:right w:w="113" w:type="dxa"/>
            </w:tcMar>
            <w:vAlign w:val="center"/>
          </w:tcPr>
          <w:p w14:paraId="4479D9F5" w14:textId="77777777" w:rsidR="009C7CAD" w:rsidRPr="009C7CAD" w:rsidRDefault="009C7CAD" w:rsidP="009C7CAD">
            <w:pPr>
              <w:pStyle w:val="CDIFigure-Table-BodyTextCentre"/>
            </w:pPr>
            <w:r w:rsidRPr="009C7CAD">
              <w:t>0.10</w:t>
            </w:r>
          </w:p>
        </w:tc>
        <w:tc>
          <w:tcPr>
            <w:tcW w:w="1509" w:type="dxa"/>
            <w:tcMar>
              <w:top w:w="88" w:type="dxa"/>
              <w:left w:w="113" w:type="dxa"/>
              <w:bottom w:w="88" w:type="dxa"/>
              <w:right w:w="113" w:type="dxa"/>
            </w:tcMar>
            <w:vAlign w:val="center"/>
          </w:tcPr>
          <w:p w14:paraId="11AB6459" w14:textId="77777777" w:rsidR="009C7CAD" w:rsidRPr="009C7CAD" w:rsidRDefault="009C7CAD" w:rsidP="009C7CAD">
            <w:pPr>
              <w:pStyle w:val="CDIFigure-Table-BodyTextCentre"/>
            </w:pPr>
            <w:r w:rsidRPr="009C7CAD">
              <w:t xml:space="preserve"> 0.05–0.18</w:t>
            </w:r>
          </w:p>
        </w:tc>
        <w:tc>
          <w:tcPr>
            <w:tcW w:w="1510" w:type="dxa"/>
            <w:tcMar>
              <w:top w:w="88" w:type="dxa"/>
              <w:left w:w="113" w:type="dxa"/>
              <w:bottom w:w="88" w:type="dxa"/>
              <w:right w:w="113" w:type="dxa"/>
            </w:tcMar>
            <w:vAlign w:val="center"/>
          </w:tcPr>
          <w:p w14:paraId="773563B9" w14:textId="77777777" w:rsidR="009C7CAD" w:rsidRPr="009C7CAD" w:rsidRDefault="009C7CAD" w:rsidP="009C7CAD">
            <w:pPr>
              <w:pStyle w:val="CDIFigure-Table-BodyTextCentre"/>
            </w:pPr>
            <w:r w:rsidRPr="009C7CAD">
              <w:t>0.01</w:t>
            </w:r>
          </w:p>
        </w:tc>
        <w:tc>
          <w:tcPr>
            <w:tcW w:w="1509" w:type="dxa"/>
            <w:tcMar>
              <w:top w:w="88" w:type="dxa"/>
              <w:left w:w="113" w:type="dxa"/>
              <w:bottom w:w="88" w:type="dxa"/>
              <w:right w:w="113" w:type="dxa"/>
            </w:tcMar>
            <w:vAlign w:val="center"/>
          </w:tcPr>
          <w:p w14:paraId="563FB5A7" w14:textId="77777777" w:rsidR="009C7CAD" w:rsidRPr="009C7CAD" w:rsidRDefault="009C7CAD" w:rsidP="009C7CAD">
            <w:pPr>
              <w:pStyle w:val="CDIFigure-Table-BodyTextCentre"/>
            </w:pPr>
            <w:r w:rsidRPr="009C7CAD">
              <w:t xml:space="preserve"> 0.00–0.05</w:t>
            </w:r>
          </w:p>
        </w:tc>
      </w:tr>
      <w:tr w:rsidR="009C7CAD" w:rsidRPr="009C7CAD" w14:paraId="36B802EC"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65AE6888" w14:textId="77777777" w:rsidR="009C7CAD" w:rsidRPr="009C7CAD" w:rsidRDefault="009C7CAD" w:rsidP="009C7CAD">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6EED0DBC" w14:textId="77777777" w:rsidR="009C7CAD" w:rsidRPr="009C7CAD" w:rsidRDefault="009C7CAD" w:rsidP="009C7CAD">
            <w:pPr>
              <w:pStyle w:val="CDIFigure-Table-BodyTextCentre"/>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1734C775" w14:textId="77777777" w:rsidR="009C7CAD" w:rsidRPr="009C7CAD" w:rsidRDefault="009C7CAD" w:rsidP="009C7CAD">
            <w:pPr>
              <w:pStyle w:val="CDIFigure-Table-BodyTextCentre"/>
            </w:pPr>
            <w:r w:rsidRPr="009C7CAD">
              <w:t>66.7</w:t>
            </w:r>
          </w:p>
        </w:tc>
        <w:tc>
          <w:tcPr>
            <w:tcW w:w="1509" w:type="dxa"/>
            <w:shd w:val="clear" w:color="auto" w:fill="F2F2F2" w:themeFill="background1" w:themeFillShade="F2"/>
            <w:tcMar>
              <w:top w:w="88" w:type="dxa"/>
              <w:left w:w="113" w:type="dxa"/>
              <w:bottom w:w="88" w:type="dxa"/>
              <w:right w:w="113" w:type="dxa"/>
            </w:tcMar>
            <w:vAlign w:val="center"/>
          </w:tcPr>
          <w:p w14:paraId="5ED4852E" w14:textId="77777777" w:rsidR="009C7CAD" w:rsidRPr="009C7CAD" w:rsidRDefault="009C7CAD" w:rsidP="009C7CAD">
            <w:pPr>
              <w:pStyle w:val="CDIFigure-Table-BodyTextCentre"/>
            </w:pPr>
            <w:r w:rsidRPr="009C7CAD">
              <w:t>19.0</w:t>
            </w:r>
          </w:p>
        </w:tc>
        <w:tc>
          <w:tcPr>
            <w:tcW w:w="1510" w:type="dxa"/>
            <w:shd w:val="clear" w:color="auto" w:fill="F2F2F2" w:themeFill="background1" w:themeFillShade="F2"/>
            <w:tcMar>
              <w:top w:w="88" w:type="dxa"/>
              <w:left w:w="113" w:type="dxa"/>
              <w:bottom w:w="88" w:type="dxa"/>
              <w:right w:w="113" w:type="dxa"/>
            </w:tcMar>
            <w:vAlign w:val="center"/>
          </w:tcPr>
          <w:p w14:paraId="1A061FF6" w14:textId="77777777" w:rsidR="009C7CAD" w:rsidRPr="009C7CAD" w:rsidRDefault="009C7CAD" w:rsidP="009C7CAD">
            <w:pPr>
              <w:pStyle w:val="CDIFigure-Table-BodyTextCentre"/>
            </w:pPr>
            <w:r w:rsidRPr="009C7CAD">
              <w:t>0.0</w:t>
            </w:r>
          </w:p>
        </w:tc>
        <w:tc>
          <w:tcPr>
            <w:tcW w:w="1509" w:type="dxa"/>
            <w:shd w:val="clear" w:color="auto" w:fill="F2F2F2" w:themeFill="background1" w:themeFillShade="F2"/>
            <w:tcMar>
              <w:top w:w="88" w:type="dxa"/>
              <w:left w:w="113" w:type="dxa"/>
              <w:bottom w:w="88" w:type="dxa"/>
              <w:right w:w="113" w:type="dxa"/>
            </w:tcMar>
            <w:vAlign w:val="center"/>
          </w:tcPr>
          <w:p w14:paraId="7804E992" w14:textId="77777777" w:rsidR="009C7CAD" w:rsidRPr="009C7CAD" w:rsidRDefault="009C7CAD" w:rsidP="009C7CAD">
            <w:pPr>
              <w:pStyle w:val="CDIFigure-Table-BodyTextCentre"/>
            </w:pPr>
            <w:r w:rsidRPr="009C7CAD">
              <w:t>0.29</w:t>
            </w:r>
          </w:p>
        </w:tc>
        <w:tc>
          <w:tcPr>
            <w:tcW w:w="1509" w:type="dxa"/>
            <w:shd w:val="clear" w:color="auto" w:fill="F2F2F2" w:themeFill="background1" w:themeFillShade="F2"/>
            <w:tcMar>
              <w:top w:w="88" w:type="dxa"/>
              <w:left w:w="113" w:type="dxa"/>
              <w:bottom w:w="88" w:type="dxa"/>
              <w:right w:w="113" w:type="dxa"/>
            </w:tcMar>
            <w:vAlign w:val="center"/>
          </w:tcPr>
          <w:p w14:paraId="6F8171A2" w14:textId="77777777" w:rsidR="009C7CAD" w:rsidRPr="009C7CAD" w:rsidRDefault="009C7CAD" w:rsidP="009C7CAD">
            <w:pPr>
              <w:pStyle w:val="CDIFigure-Table-BodyTextCentre"/>
            </w:pPr>
            <w:r w:rsidRPr="009C7CAD">
              <w:t xml:space="preserve"> 0.14–0.56</w:t>
            </w:r>
          </w:p>
        </w:tc>
        <w:tc>
          <w:tcPr>
            <w:tcW w:w="1510" w:type="dxa"/>
            <w:shd w:val="clear" w:color="auto" w:fill="F2F2F2" w:themeFill="background1" w:themeFillShade="F2"/>
            <w:tcMar>
              <w:top w:w="88" w:type="dxa"/>
              <w:left w:w="113" w:type="dxa"/>
              <w:bottom w:w="88" w:type="dxa"/>
              <w:right w:w="113" w:type="dxa"/>
            </w:tcMar>
            <w:vAlign w:val="center"/>
          </w:tcPr>
          <w:p w14:paraId="53F14DC2" w14:textId="77777777" w:rsidR="009C7CAD" w:rsidRPr="009C7CAD" w:rsidRDefault="009C7CAD" w:rsidP="009C7CAD">
            <w:pPr>
              <w:pStyle w:val="CDIFigure-Table-BodyTextCentre"/>
            </w:pPr>
            <w:r w:rsidRPr="009C7CAD">
              <w:t>0.00</w:t>
            </w:r>
          </w:p>
        </w:tc>
        <w:tc>
          <w:tcPr>
            <w:tcW w:w="1509" w:type="dxa"/>
            <w:shd w:val="clear" w:color="auto" w:fill="F2F2F2" w:themeFill="background1" w:themeFillShade="F2"/>
            <w:tcMar>
              <w:top w:w="88" w:type="dxa"/>
              <w:left w:w="113" w:type="dxa"/>
              <w:bottom w:w="88" w:type="dxa"/>
              <w:right w:w="113" w:type="dxa"/>
            </w:tcMar>
            <w:vAlign w:val="center"/>
          </w:tcPr>
          <w:p w14:paraId="6B40F9B2" w14:textId="77777777" w:rsidR="009C7CAD" w:rsidRPr="009C7CAD" w:rsidRDefault="009C7CAD" w:rsidP="009C7CAD">
            <w:pPr>
              <w:pStyle w:val="CDIFigure-Table-BodyTextCentre"/>
            </w:pPr>
            <w:r w:rsidRPr="009C7CAD">
              <w:t xml:space="preserve"> 0.00–0.10</w:t>
            </w:r>
          </w:p>
        </w:tc>
      </w:tr>
      <w:tr w:rsidR="009C7CAD" w:rsidRPr="009C7CAD" w14:paraId="6914AA75"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4C54E8E2" w14:textId="77777777" w:rsidR="009C7CAD" w:rsidRPr="009C7CAD" w:rsidRDefault="009C7CAD" w:rsidP="009C7CAD">
            <w:pPr>
              <w:pStyle w:val="CDIFigure-Table-BodyTextLeft"/>
            </w:pPr>
          </w:p>
        </w:tc>
        <w:tc>
          <w:tcPr>
            <w:tcW w:w="1509" w:type="dxa"/>
            <w:tcMar>
              <w:top w:w="88" w:type="dxa"/>
              <w:left w:w="113" w:type="dxa"/>
              <w:bottom w:w="88" w:type="dxa"/>
              <w:right w:w="113" w:type="dxa"/>
            </w:tcMar>
            <w:vAlign w:val="center"/>
          </w:tcPr>
          <w:p w14:paraId="7076F513"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1EA4C4FA" w14:textId="77777777" w:rsidR="009C7CAD" w:rsidRPr="009C7CAD" w:rsidRDefault="009C7CAD" w:rsidP="009C7CAD">
            <w:pPr>
              <w:pStyle w:val="CDIFigure-Table-BodyTextCentre"/>
            </w:pPr>
            <w:r w:rsidRPr="009C7CAD">
              <w:t>65.1</w:t>
            </w:r>
          </w:p>
        </w:tc>
        <w:tc>
          <w:tcPr>
            <w:tcW w:w="1509" w:type="dxa"/>
            <w:tcMar>
              <w:top w:w="88" w:type="dxa"/>
              <w:left w:w="113" w:type="dxa"/>
              <w:bottom w:w="88" w:type="dxa"/>
              <w:right w:w="113" w:type="dxa"/>
            </w:tcMar>
            <w:vAlign w:val="center"/>
          </w:tcPr>
          <w:p w14:paraId="32257407" w14:textId="77777777" w:rsidR="009C7CAD" w:rsidRPr="009C7CAD" w:rsidRDefault="009C7CAD" w:rsidP="009C7CAD">
            <w:pPr>
              <w:pStyle w:val="CDIFigure-Table-BodyTextCentre"/>
            </w:pPr>
            <w:r w:rsidRPr="009C7CAD">
              <w:t>8.3</w:t>
            </w:r>
          </w:p>
        </w:tc>
        <w:tc>
          <w:tcPr>
            <w:tcW w:w="1510" w:type="dxa"/>
            <w:tcMar>
              <w:top w:w="88" w:type="dxa"/>
              <w:left w:w="113" w:type="dxa"/>
              <w:bottom w:w="88" w:type="dxa"/>
              <w:right w:w="113" w:type="dxa"/>
            </w:tcMar>
            <w:vAlign w:val="center"/>
          </w:tcPr>
          <w:p w14:paraId="61E0F5C6" w14:textId="77777777" w:rsidR="009C7CAD" w:rsidRPr="009C7CAD" w:rsidRDefault="009C7CAD" w:rsidP="009C7CAD">
            <w:pPr>
              <w:pStyle w:val="CDIFigure-Table-BodyTextCentre"/>
            </w:pPr>
            <w:r w:rsidRPr="009C7CAD">
              <w:t>2.6</w:t>
            </w:r>
          </w:p>
        </w:tc>
        <w:tc>
          <w:tcPr>
            <w:tcW w:w="1509" w:type="dxa"/>
            <w:tcMar>
              <w:top w:w="88" w:type="dxa"/>
              <w:left w:w="113" w:type="dxa"/>
              <w:bottom w:w="88" w:type="dxa"/>
              <w:right w:w="113" w:type="dxa"/>
            </w:tcMar>
            <w:vAlign w:val="center"/>
          </w:tcPr>
          <w:p w14:paraId="0E41A6D7" w14:textId="77777777" w:rsidR="009C7CAD" w:rsidRPr="009C7CAD" w:rsidRDefault="009C7CAD" w:rsidP="009C7CAD">
            <w:pPr>
              <w:pStyle w:val="CDIFigure-Table-BodyTextCentre"/>
            </w:pPr>
            <w:r w:rsidRPr="009C7CAD">
              <w:t>0.13</w:t>
            </w:r>
          </w:p>
        </w:tc>
        <w:tc>
          <w:tcPr>
            <w:tcW w:w="1509" w:type="dxa"/>
            <w:tcMar>
              <w:top w:w="88" w:type="dxa"/>
              <w:left w:w="113" w:type="dxa"/>
              <w:bottom w:w="88" w:type="dxa"/>
              <w:right w:w="113" w:type="dxa"/>
            </w:tcMar>
            <w:vAlign w:val="center"/>
          </w:tcPr>
          <w:p w14:paraId="07AA4DE4" w14:textId="77777777" w:rsidR="009C7CAD" w:rsidRPr="009C7CAD" w:rsidRDefault="009C7CAD" w:rsidP="009C7CAD">
            <w:pPr>
              <w:pStyle w:val="CDIFigure-Table-BodyTextCentre"/>
            </w:pPr>
            <w:r w:rsidRPr="009C7CAD">
              <w:t xml:space="preserve"> 0.08–0.20</w:t>
            </w:r>
          </w:p>
        </w:tc>
        <w:tc>
          <w:tcPr>
            <w:tcW w:w="1510" w:type="dxa"/>
            <w:tcMar>
              <w:top w:w="88" w:type="dxa"/>
              <w:left w:w="113" w:type="dxa"/>
              <w:bottom w:w="88" w:type="dxa"/>
              <w:right w:w="113" w:type="dxa"/>
            </w:tcMar>
            <w:vAlign w:val="center"/>
          </w:tcPr>
          <w:p w14:paraId="2B7AD7C1" w14:textId="77777777" w:rsidR="009C7CAD" w:rsidRPr="009C7CAD" w:rsidRDefault="009C7CAD" w:rsidP="009C7CAD">
            <w:pPr>
              <w:pStyle w:val="CDIFigure-Table-BodyTextCentre"/>
            </w:pPr>
            <w:r w:rsidRPr="009C7CAD">
              <w:t>0.04</w:t>
            </w:r>
          </w:p>
        </w:tc>
        <w:tc>
          <w:tcPr>
            <w:tcW w:w="1509" w:type="dxa"/>
            <w:tcMar>
              <w:top w:w="88" w:type="dxa"/>
              <w:left w:w="113" w:type="dxa"/>
              <w:bottom w:w="88" w:type="dxa"/>
              <w:right w:w="113" w:type="dxa"/>
            </w:tcMar>
            <w:vAlign w:val="center"/>
          </w:tcPr>
          <w:p w14:paraId="22B3DC3C" w14:textId="77777777" w:rsidR="009C7CAD" w:rsidRPr="009C7CAD" w:rsidRDefault="009C7CAD" w:rsidP="009C7CAD">
            <w:pPr>
              <w:pStyle w:val="CDIFigure-Table-BodyTextCentre"/>
            </w:pPr>
            <w:r w:rsidRPr="009C7CAD">
              <w:t xml:space="preserve"> 0.02–0.09</w:t>
            </w:r>
          </w:p>
        </w:tc>
      </w:tr>
      <w:tr w:rsidR="006A4AE7" w:rsidRPr="009C7CAD" w14:paraId="663E6FA0"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58DC4157" w14:textId="77777777" w:rsidR="009C7CAD" w:rsidRPr="009C7CAD" w:rsidRDefault="009C7CAD" w:rsidP="009C7CAD">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14C38398"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2B9C21A8" w14:textId="77777777" w:rsidR="009C7CAD" w:rsidRPr="009C7CAD" w:rsidRDefault="009C7CAD" w:rsidP="009C7CAD">
            <w:pPr>
              <w:pStyle w:val="CDIFigure-Table-BodyTextCentre"/>
            </w:pPr>
            <w:r w:rsidRPr="009C7CAD">
              <w:t>70.2</w:t>
            </w:r>
          </w:p>
        </w:tc>
        <w:tc>
          <w:tcPr>
            <w:tcW w:w="1509" w:type="dxa"/>
            <w:shd w:val="clear" w:color="auto" w:fill="F2F2F2" w:themeFill="background1" w:themeFillShade="F2"/>
            <w:tcMar>
              <w:top w:w="88" w:type="dxa"/>
              <w:left w:w="113" w:type="dxa"/>
              <w:bottom w:w="88" w:type="dxa"/>
              <w:right w:w="113" w:type="dxa"/>
            </w:tcMar>
            <w:vAlign w:val="center"/>
          </w:tcPr>
          <w:p w14:paraId="1FC3EFCB" w14:textId="77777777" w:rsidR="009C7CAD" w:rsidRPr="009C7CAD" w:rsidRDefault="009C7CAD" w:rsidP="009C7CAD">
            <w:pPr>
              <w:pStyle w:val="CDIFigure-Table-BodyTextCentre"/>
            </w:pPr>
            <w:r w:rsidRPr="009C7CAD">
              <w:t>2.5</w:t>
            </w:r>
          </w:p>
        </w:tc>
        <w:tc>
          <w:tcPr>
            <w:tcW w:w="1510" w:type="dxa"/>
            <w:shd w:val="clear" w:color="auto" w:fill="F2F2F2" w:themeFill="background1" w:themeFillShade="F2"/>
            <w:tcMar>
              <w:top w:w="88" w:type="dxa"/>
              <w:left w:w="113" w:type="dxa"/>
              <w:bottom w:w="88" w:type="dxa"/>
              <w:right w:w="113" w:type="dxa"/>
            </w:tcMar>
            <w:vAlign w:val="center"/>
          </w:tcPr>
          <w:p w14:paraId="3AD2F658" w14:textId="77777777" w:rsidR="009C7CAD" w:rsidRPr="009C7CAD" w:rsidRDefault="009C7CAD" w:rsidP="009C7CAD">
            <w:pPr>
              <w:pStyle w:val="CDIFigure-Table-BodyTextCentre"/>
            </w:pPr>
            <w:r w:rsidRPr="009C7CAD">
              <w:t>7.1</w:t>
            </w:r>
          </w:p>
        </w:tc>
        <w:tc>
          <w:tcPr>
            <w:tcW w:w="1509" w:type="dxa"/>
            <w:shd w:val="clear" w:color="auto" w:fill="F2F2F2" w:themeFill="background1" w:themeFillShade="F2"/>
            <w:tcMar>
              <w:top w:w="88" w:type="dxa"/>
              <w:left w:w="113" w:type="dxa"/>
              <w:bottom w:w="88" w:type="dxa"/>
              <w:right w:w="113" w:type="dxa"/>
            </w:tcMar>
            <w:vAlign w:val="center"/>
          </w:tcPr>
          <w:p w14:paraId="4A415F44" w14:textId="77777777" w:rsidR="009C7CAD" w:rsidRPr="009C7CAD" w:rsidRDefault="009C7CAD" w:rsidP="009C7CAD">
            <w:pPr>
              <w:pStyle w:val="CDIFigure-Table-BodyTextCentre"/>
            </w:pPr>
            <w:r w:rsidRPr="009C7CAD">
              <w:t>0.04</w:t>
            </w:r>
          </w:p>
        </w:tc>
        <w:tc>
          <w:tcPr>
            <w:tcW w:w="1509" w:type="dxa"/>
            <w:shd w:val="clear" w:color="auto" w:fill="F2F2F2" w:themeFill="background1" w:themeFillShade="F2"/>
            <w:tcMar>
              <w:top w:w="88" w:type="dxa"/>
              <w:left w:w="113" w:type="dxa"/>
              <w:bottom w:w="88" w:type="dxa"/>
              <w:right w:w="113" w:type="dxa"/>
            </w:tcMar>
            <w:vAlign w:val="center"/>
          </w:tcPr>
          <w:p w14:paraId="48F0909D" w14:textId="77777777" w:rsidR="009C7CAD" w:rsidRPr="009C7CAD" w:rsidRDefault="009C7CAD" w:rsidP="009C7CAD">
            <w:pPr>
              <w:pStyle w:val="CDIFigure-Table-BodyTextCentre"/>
            </w:pPr>
            <w:r w:rsidRPr="009C7CAD">
              <w:t xml:space="preserve"> 0.00–0.23</w:t>
            </w:r>
          </w:p>
        </w:tc>
        <w:tc>
          <w:tcPr>
            <w:tcW w:w="1510" w:type="dxa"/>
            <w:shd w:val="clear" w:color="auto" w:fill="F2F2F2" w:themeFill="background1" w:themeFillShade="F2"/>
            <w:tcMar>
              <w:top w:w="88" w:type="dxa"/>
              <w:left w:w="113" w:type="dxa"/>
              <w:bottom w:w="88" w:type="dxa"/>
              <w:right w:w="113" w:type="dxa"/>
            </w:tcMar>
            <w:vAlign w:val="center"/>
          </w:tcPr>
          <w:p w14:paraId="4FE8B9DD" w14:textId="77777777" w:rsidR="009C7CAD" w:rsidRPr="009C7CAD" w:rsidRDefault="009C7CAD" w:rsidP="009C7CAD">
            <w:pPr>
              <w:pStyle w:val="CDIFigure-Table-BodyTextCentre"/>
            </w:pPr>
            <w:r w:rsidRPr="009C7CAD">
              <w:t>0.11</w:t>
            </w:r>
          </w:p>
        </w:tc>
        <w:tc>
          <w:tcPr>
            <w:tcW w:w="1509" w:type="dxa"/>
            <w:shd w:val="clear" w:color="auto" w:fill="F2F2F2" w:themeFill="background1" w:themeFillShade="F2"/>
            <w:tcMar>
              <w:top w:w="88" w:type="dxa"/>
              <w:left w:w="113" w:type="dxa"/>
              <w:bottom w:w="88" w:type="dxa"/>
              <w:right w:w="113" w:type="dxa"/>
            </w:tcMar>
            <w:vAlign w:val="center"/>
          </w:tcPr>
          <w:p w14:paraId="2E2F4387" w14:textId="77777777" w:rsidR="009C7CAD" w:rsidRPr="009C7CAD" w:rsidRDefault="009C7CAD" w:rsidP="009C7CAD">
            <w:pPr>
              <w:pStyle w:val="CDIFigure-Table-BodyTextCentre"/>
            </w:pPr>
            <w:r w:rsidRPr="009C7CAD">
              <w:t xml:space="preserve"> 0.02–0.35</w:t>
            </w:r>
          </w:p>
        </w:tc>
      </w:tr>
      <w:tr w:rsidR="009C7CAD" w:rsidRPr="009C7CAD" w14:paraId="50DC72D7"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044D4850" w14:textId="77777777" w:rsidR="009C7CAD" w:rsidRPr="009C7CAD" w:rsidRDefault="009C7CAD" w:rsidP="009C7CAD">
            <w:pPr>
              <w:pStyle w:val="CDIFigure-Table-BodyTextLeft"/>
            </w:pPr>
          </w:p>
        </w:tc>
        <w:tc>
          <w:tcPr>
            <w:tcW w:w="1509" w:type="dxa"/>
            <w:tcBorders>
              <w:bottom w:val="single" w:sz="6" w:space="0" w:color="033636" w:themeColor="text2"/>
            </w:tcBorders>
            <w:tcMar>
              <w:top w:w="88" w:type="dxa"/>
              <w:left w:w="113" w:type="dxa"/>
              <w:bottom w:w="88" w:type="dxa"/>
              <w:right w:w="113" w:type="dxa"/>
            </w:tcMar>
            <w:vAlign w:val="center"/>
          </w:tcPr>
          <w:p w14:paraId="23DBC9DB"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41DB9127" w14:textId="77777777" w:rsidR="009C7CAD" w:rsidRPr="003D5A6B" w:rsidRDefault="009C7CAD" w:rsidP="009C7CAD">
            <w:pPr>
              <w:pStyle w:val="CDIFigure-Table-BodyTextCentre"/>
              <w:rPr>
                <w:b/>
                <w:bCs/>
              </w:rPr>
            </w:pPr>
            <w:r w:rsidRPr="003D5A6B">
              <w:rPr>
                <w:b/>
                <w:bCs/>
              </w:rPr>
              <w:t>87.8</w:t>
            </w:r>
          </w:p>
        </w:tc>
        <w:tc>
          <w:tcPr>
            <w:tcW w:w="1509" w:type="dxa"/>
            <w:tcBorders>
              <w:bottom w:val="single" w:sz="6" w:space="0" w:color="033636" w:themeColor="text2"/>
            </w:tcBorders>
            <w:tcMar>
              <w:top w:w="88" w:type="dxa"/>
              <w:left w:w="113" w:type="dxa"/>
              <w:bottom w:w="88" w:type="dxa"/>
              <w:right w:w="113" w:type="dxa"/>
            </w:tcMar>
            <w:vAlign w:val="center"/>
          </w:tcPr>
          <w:p w14:paraId="1F5C60A8" w14:textId="77777777" w:rsidR="009C7CAD" w:rsidRPr="003D5A6B" w:rsidRDefault="009C7CAD" w:rsidP="009C7CAD">
            <w:pPr>
              <w:pStyle w:val="CDIFigure-Table-BodyTextCentre"/>
              <w:rPr>
                <w:b/>
                <w:bCs/>
              </w:rPr>
            </w:pPr>
            <w:r w:rsidRPr="003D5A6B">
              <w:rPr>
                <w:b/>
                <w:bCs/>
              </w:rPr>
              <w:t>11.8</w:t>
            </w:r>
          </w:p>
        </w:tc>
        <w:tc>
          <w:tcPr>
            <w:tcW w:w="1510" w:type="dxa"/>
            <w:tcBorders>
              <w:bottom w:val="single" w:sz="6" w:space="0" w:color="033636" w:themeColor="text2"/>
            </w:tcBorders>
            <w:tcMar>
              <w:top w:w="88" w:type="dxa"/>
              <w:left w:w="113" w:type="dxa"/>
              <w:bottom w:w="88" w:type="dxa"/>
              <w:right w:w="113" w:type="dxa"/>
            </w:tcMar>
            <w:vAlign w:val="center"/>
          </w:tcPr>
          <w:p w14:paraId="35F4DE8E" w14:textId="77777777" w:rsidR="009C7CAD" w:rsidRPr="003D5A6B" w:rsidRDefault="009C7CAD" w:rsidP="009C7CAD">
            <w:pPr>
              <w:pStyle w:val="CDIFigure-Table-BodyTextCentre"/>
              <w:rPr>
                <w:b/>
                <w:bCs/>
              </w:rPr>
            </w:pPr>
            <w:r w:rsidRPr="003D5A6B">
              <w:rPr>
                <w:b/>
                <w:bCs/>
              </w:rPr>
              <w:t>2.5</w:t>
            </w:r>
          </w:p>
        </w:tc>
        <w:tc>
          <w:tcPr>
            <w:tcW w:w="1509" w:type="dxa"/>
            <w:tcBorders>
              <w:bottom w:val="single" w:sz="6" w:space="0" w:color="033636" w:themeColor="text2"/>
            </w:tcBorders>
            <w:tcMar>
              <w:top w:w="88" w:type="dxa"/>
              <w:left w:w="113" w:type="dxa"/>
              <w:bottom w:w="88" w:type="dxa"/>
              <w:right w:w="113" w:type="dxa"/>
            </w:tcMar>
            <w:vAlign w:val="center"/>
          </w:tcPr>
          <w:p w14:paraId="0E0AB90B" w14:textId="77777777" w:rsidR="009C7CAD" w:rsidRPr="003D5A6B" w:rsidRDefault="009C7CAD" w:rsidP="009C7CAD">
            <w:pPr>
              <w:pStyle w:val="CDIFigure-Table-BodyTextCentre"/>
              <w:rPr>
                <w:b/>
                <w:bCs/>
              </w:rPr>
            </w:pPr>
            <w:r w:rsidRPr="003D5A6B">
              <w:rPr>
                <w:b/>
                <w:bCs/>
              </w:rPr>
              <w:t>0.14</w:t>
            </w:r>
          </w:p>
        </w:tc>
        <w:tc>
          <w:tcPr>
            <w:tcW w:w="1509" w:type="dxa"/>
            <w:tcBorders>
              <w:bottom w:val="single" w:sz="6" w:space="0" w:color="033636" w:themeColor="text2"/>
            </w:tcBorders>
            <w:tcMar>
              <w:top w:w="88" w:type="dxa"/>
              <w:left w:w="113" w:type="dxa"/>
              <w:bottom w:w="88" w:type="dxa"/>
              <w:right w:w="113" w:type="dxa"/>
            </w:tcMar>
            <w:vAlign w:val="center"/>
          </w:tcPr>
          <w:p w14:paraId="4C698B1A" w14:textId="77777777" w:rsidR="009C7CAD" w:rsidRPr="003D5A6B" w:rsidRDefault="009C7CAD" w:rsidP="009C7CAD">
            <w:pPr>
              <w:pStyle w:val="CDIFigure-Table-BodyTextCentre"/>
              <w:rPr>
                <w:b/>
                <w:bCs/>
              </w:rPr>
            </w:pPr>
            <w:r w:rsidRPr="003D5A6B">
              <w:rPr>
                <w:b/>
                <w:bCs/>
              </w:rPr>
              <w:t xml:space="preserve"> 0.10–0.18</w:t>
            </w:r>
          </w:p>
        </w:tc>
        <w:tc>
          <w:tcPr>
            <w:tcW w:w="1510" w:type="dxa"/>
            <w:tcBorders>
              <w:bottom w:val="single" w:sz="6" w:space="0" w:color="033636" w:themeColor="text2"/>
            </w:tcBorders>
            <w:tcMar>
              <w:top w:w="88" w:type="dxa"/>
              <w:left w:w="113" w:type="dxa"/>
              <w:bottom w:w="88" w:type="dxa"/>
              <w:right w:w="113" w:type="dxa"/>
            </w:tcMar>
            <w:vAlign w:val="center"/>
          </w:tcPr>
          <w:p w14:paraId="080A2F74" w14:textId="77777777" w:rsidR="009C7CAD" w:rsidRPr="003D5A6B" w:rsidRDefault="009C7CAD" w:rsidP="009C7CAD">
            <w:pPr>
              <w:pStyle w:val="CDIFigure-Table-BodyTextCentre"/>
              <w:rPr>
                <w:b/>
                <w:bCs/>
              </w:rPr>
            </w:pPr>
            <w:r w:rsidRPr="003D5A6B">
              <w:rPr>
                <w:b/>
                <w:bCs/>
              </w:rPr>
              <w:t>0.03</w:t>
            </w:r>
          </w:p>
        </w:tc>
        <w:tc>
          <w:tcPr>
            <w:tcW w:w="1509" w:type="dxa"/>
            <w:tcBorders>
              <w:bottom w:val="single" w:sz="6" w:space="0" w:color="033636" w:themeColor="text2"/>
            </w:tcBorders>
            <w:tcMar>
              <w:top w:w="88" w:type="dxa"/>
              <w:left w:w="113" w:type="dxa"/>
              <w:bottom w:w="88" w:type="dxa"/>
              <w:right w:w="113" w:type="dxa"/>
            </w:tcMar>
            <w:vAlign w:val="center"/>
          </w:tcPr>
          <w:p w14:paraId="09CB21CD" w14:textId="77777777" w:rsidR="009C7CAD" w:rsidRPr="003D5A6B" w:rsidRDefault="009C7CAD" w:rsidP="009C7CAD">
            <w:pPr>
              <w:pStyle w:val="CDIFigure-Table-BodyTextCentre"/>
              <w:rPr>
                <w:b/>
                <w:bCs/>
              </w:rPr>
            </w:pPr>
            <w:r w:rsidRPr="003D5A6B">
              <w:rPr>
                <w:b/>
                <w:bCs/>
              </w:rPr>
              <w:t xml:space="preserve"> 0.01–0.05</w:t>
            </w:r>
          </w:p>
        </w:tc>
      </w:tr>
      <w:tr w:rsidR="006A4AE7" w:rsidRPr="009C7CAD" w14:paraId="7DB73484" w14:textId="77777777" w:rsidTr="003D5A6B">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342E72E1" w14:textId="77777777" w:rsidR="009C7CAD" w:rsidRPr="009C7CAD" w:rsidRDefault="009C7CAD" w:rsidP="009C7CAD">
            <w:pPr>
              <w:pStyle w:val="CDIFigure-Table-BodyTextLeft"/>
            </w:pPr>
            <w:r w:rsidRPr="009C7CAD">
              <w:t>New South Wales</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4F9F43B" w14:textId="77777777" w:rsidR="009C7CAD" w:rsidRPr="009C7CAD" w:rsidRDefault="009C7CAD" w:rsidP="009C7CAD">
            <w:pPr>
              <w:pStyle w:val="CDIFigure-Table-BodyTextCentre"/>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41B7B1D" w14:textId="77777777" w:rsidR="009C7CAD" w:rsidRPr="009C7CAD" w:rsidRDefault="009C7CAD" w:rsidP="009C7CAD">
            <w:pPr>
              <w:pStyle w:val="CDIFigure-Table-BodyTextCentre"/>
            </w:pPr>
            <w:r w:rsidRPr="009C7CAD">
              <w:t>261.9</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D4ECECB" w14:textId="77777777" w:rsidR="009C7CAD" w:rsidRPr="009C7CAD" w:rsidRDefault="009C7CAD" w:rsidP="009C7CAD">
            <w:pPr>
              <w:pStyle w:val="CDIFigure-Table-BodyTextCentre"/>
            </w:pPr>
            <w:r w:rsidRPr="009C7CAD">
              <w:t>43.4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360119E" w14:textId="77777777" w:rsidR="009C7CAD" w:rsidRPr="009C7CAD" w:rsidRDefault="009C7CAD" w:rsidP="009C7CAD">
            <w:pPr>
              <w:pStyle w:val="CDIFigure-Table-BodyTextCentre"/>
            </w:pPr>
            <w:r w:rsidRPr="009C7CAD">
              <w:t>1.7</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790CC5D" w14:textId="77777777" w:rsidR="009C7CAD" w:rsidRPr="009C7CAD" w:rsidRDefault="009C7CAD" w:rsidP="009C7CAD">
            <w:pPr>
              <w:pStyle w:val="CDIFigure-Table-BodyTextCentre"/>
            </w:pPr>
            <w:r w:rsidRPr="009C7CAD">
              <w:t>0.17</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8FCF044" w14:textId="77777777" w:rsidR="009C7CAD" w:rsidRPr="009C7CAD" w:rsidRDefault="009C7CAD" w:rsidP="009C7CAD">
            <w:pPr>
              <w:pStyle w:val="CDIFigure-Table-BodyTextCentre"/>
            </w:pPr>
            <w:r w:rsidRPr="009C7CAD">
              <w:t xml:space="preserve"> 0.14–0.19</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A9A2A6F" w14:textId="77777777" w:rsidR="009C7CAD" w:rsidRPr="009C7CAD" w:rsidRDefault="009C7CAD" w:rsidP="009C7CAD">
            <w:pPr>
              <w:pStyle w:val="CDIFigure-Table-BodyTextCentre"/>
            </w:pPr>
            <w:r w:rsidRPr="009C7CAD">
              <w:t>0.01</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75AB3F9" w14:textId="77777777" w:rsidR="009C7CAD" w:rsidRPr="009C7CAD" w:rsidRDefault="009C7CAD" w:rsidP="009C7CAD">
            <w:pPr>
              <w:pStyle w:val="CDIFigure-Table-BodyTextCentre"/>
            </w:pPr>
            <w:r w:rsidRPr="009C7CAD">
              <w:t xml:space="preserve"> 0.00–0.01</w:t>
            </w:r>
          </w:p>
        </w:tc>
      </w:tr>
      <w:tr w:rsidR="009C7CAD" w:rsidRPr="009C7CAD" w14:paraId="6961E43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78669CB8" w14:textId="77777777" w:rsidR="009C7CAD" w:rsidRPr="009C7CAD" w:rsidRDefault="009C7CAD" w:rsidP="009C7CAD"/>
        </w:tc>
        <w:tc>
          <w:tcPr>
            <w:tcW w:w="1509" w:type="dxa"/>
            <w:tcMar>
              <w:top w:w="88" w:type="dxa"/>
              <w:left w:w="113" w:type="dxa"/>
              <w:bottom w:w="88" w:type="dxa"/>
              <w:right w:w="113" w:type="dxa"/>
            </w:tcMar>
            <w:vAlign w:val="center"/>
          </w:tcPr>
          <w:p w14:paraId="139726EC" w14:textId="77777777" w:rsidR="009C7CAD" w:rsidRPr="009C7CAD" w:rsidRDefault="009C7CAD" w:rsidP="009C7CAD">
            <w:pPr>
              <w:pStyle w:val="CDIFigure-Table-BodyTextCentre"/>
            </w:pPr>
            <w:r w:rsidRPr="009C7CAD">
              <w:t>5–14</w:t>
            </w:r>
          </w:p>
        </w:tc>
        <w:tc>
          <w:tcPr>
            <w:tcW w:w="1510" w:type="dxa"/>
            <w:tcMar>
              <w:top w:w="88" w:type="dxa"/>
              <w:left w:w="113" w:type="dxa"/>
              <w:bottom w:w="88" w:type="dxa"/>
              <w:right w:w="113" w:type="dxa"/>
            </w:tcMar>
            <w:vAlign w:val="center"/>
          </w:tcPr>
          <w:p w14:paraId="28BCEAC0" w14:textId="77777777" w:rsidR="009C7CAD" w:rsidRPr="009C7CAD" w:rsidRDefault="009C7CAD" w:rsidP="009C7CAD">
            <w:pPr>
              <w:pStyle w:val="CDIFigure-Table-BodyTextCentre"/>
            </w:pPr>
            <w:r w:rsidRPr="009C7CAD">
              <w:t>379.4</w:t>
            </w:r>
          </w:p>
        </w:tc>
        <w:tc>
          <w:tcPr>
            <w:tcW w:w="1509" w:type="dxa"/>
            <w:tcMar>
              <w:top w:w="88" w:type="dxa"/>
              <w:left w:w="113" w:type="dxa"/>
              <w:bottom w:w="88" w:type="dxa"/>
              <w:right w:w="113" w:type="dxa"/>
            </w:tcMar>
            <w:vAlign w:val="center"/>
          </w:tcPr>
          <w:p w14:paraId="7286985F" w14:textId="77777777" w:rsidR="009C7CAD" w:rsidRPr="009C7CAD" w:rsidRDefault="009C7CAD" w:rsidP="009C7CAD">
            <w:pPr>
              <w:pStyle w:val="CDIFigure-Table-BodyTextCentre"/>
            </w:pPr>
            <w:r w:rsidRPr="009C7CAD">
              <w:t>47.0</w:t>
            </w:r>
          </w:p>
        </w:tc>
        <w:tc>
          <w:tcPr>
            <w:tcW w:w="1510" w:type="dxa"/>
            <w:tcMar>
              <w:top w:w="88" w:type="dxa"/>
              <w:left w:w="113" w:type="dxa"/>
              <w:bottom w:w="88" w:type="dxa"/>
              <w:right w:w="113" w:type="dxa"/>
            </w:tcMar>
            <w:vAlign w:val="center"/>
          </w:tcPr>
          <w:p w14:paraId="30905F70" w14:textId="77777777" w:rsidR="009C7CAD" w:rsidRPr="009C7CAD" w:rsidRDefault="009C7CAD" w:rsidP="009C7CAD">
            <w:pPr>
              <w:pStyle w:val="CDIFigure-Table-BodyTextCentre"/>
            </w:pPr>
            <w:r w:rsidRPr="009C7CAD">
              <w:t>0.5</w:t>
            </w:r>
          </w:p>
        </w:tc>
        <w:tc>
          <w:tcPr>
            <w:tcW w:w="1509" w:type="dxa"/>
            <w:tcMar>
              <w:top w:w="88" w:type="dxa"/>
              <w:left w:w="113" w:type="dxa"/>
              <w:bottom w:w="88" w:type="dxa"/>
              <w:right w:w="113" w:type="dxa"/>
            </w:tcMar>
            <w:vAlign w:val="center"/>
          </w:tcPr>
          <w:p w14:paraId="2DAA06F5" w14:textId="77777777" w:rsidR="009C7CAD" w:rsidRPr="009C7CAD" w:rsidRDefault="009C7CAD" w:rsidP="009C7CAD">
            <w:pPr>
              <w:pStyle w:val="CDIFigure-Table-BodyTextCentre"/>
            </w:pPr>
            <w:r w:rsidRPr="009C7CAD">
              <w:t>0.12</w:t>
            </w:r>
          </w:p>
        </w:tc>
        <w:tc>
          <w:tcPr>
            <w:tcW w:w="1509" w:type="dxa"/>
            <w:tcMar>
              <w:top w:w="88" w:type="dxa"/>
              <w:left w:w="113" w:type="dxa"/>
              <w:bottom w:w="88" w:type="dxa"/>
              <w:right w:w="113" w:type="dxa"/>
            </w:tcMar>
            <w:vAlign w:val="center"/>
          </w:tcPr>
          <w:p w14:paraId="6ED9B27A" w14:textId="77777777" w:rsidR="009C7CAD" w:rsidRPr="009C7CAD" w:rsidRDefault="009C7CAD" w:rsidP="009C7CAD">
            <w:pPr>
              <w:pStyle w:val="CDIFigure-Table-BodyTextCentre"/>
            </w:pPr>
            <w:r w:rsidRPr="009C7CAD">
              <w:t xml:space="preserve"> 0.11–0.14</w:t>
            </w:r>
          </w:p>
        </w:tc>
        <w:tc>
          <w:tcPr>
            <w:tcW w:w="1510" w:type="dxa"/>
            <w:tcMar>
              <w:top w:w="88" w:type="dxa"/>
              <w:left w:w="113" w:type="dxa"/>
              <w:bottom w:w="88" w:type="dxa"/>
              <w:right w:w="113" w:type="dxa"/>
            </w:tcMar>
            <w:vAlign w:val="center"/>
          </w:tcPr>
          <w:p w14:paraId="30A0EB7B" w14:textId="77777777" w:rsidR="009C7CAD" w:rsidRPr="009C7CAD" w:rsidRDefault="009C7CAD" w:rsidP="009C7CAD">
            <w:pPr>
              <w:pStyle w:val="CDIFigure-Table-BodyTextCentre"/>
            </w:pPr>
            <w:r w:rsidRPr="009C7CAD">
              <w:t>0.00</w:t>
            </w:r>
          </w:p>
        </w:tc>
        <w:tc>
          <w:tcPr>
            <w:tcW w:w="1509" w:type="dxa"/>
            <w:tcMar>
              <w:top w:w="88" w:type="dxa"/>
              <w:left w:w="113" w:type="dxa"/>
              <w:bottom w:w="88" w:type="dxa"/>
              <w:right w:w="113" w:type="dxa"/>
            </w:tcMar>
            <w:vAlign w:val="center"/>
          </w:tcPr>
          <w:p w14:paraId="28769C96" w14:textId="77777777" w:rsidR="009C7CAD" w:rsidRPr="009C7CAD" w:rsidRDefault="009C7CAD" w:rsidP="009C7CAD">
            <w:pPr>
              <w:pStyle w:val="CDIFigure-Table-BodyTextCentre"/>
            </w:pPr>
            <w:r w:rsidRPr="009C7CAD">
              <w:t xml:space="preserve"> 0.00–0.00</w:t>
            </w:r>
          </w:p>
        </w:tc>
      </w:tr>
      <w:tr w:rsidR="009C7CAD" w:rsidRPr="009C7CAD" w14:paraId="79F711AC"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6B7D9F0C"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4D4B739D" w14:textId="77777777" w:rsidR="009C7CAD" w:rsidRPr="009C7CAD" w:rsidRDefault="009C7CAD" w:rsidP="009C7CAD">
            <w:pPr>
              <w:pStyle w:val="CDIFigure-Table-BodyTextCentre"/>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629F295F" w14:textId="77777777" w:rsidR="009C7CAD" w:rsidRPr="009C7CAD" w:rsidRDefault="009C7CAD" w:rsidP="009C7CAD">
            <w:pPr>
              <w:pStyle w:val="CDIFigure-Table-BodyTextCentre"/>
            </w:pPr>
            <w:r w:rsidRPr="009C7CAD">
              <w:t>70.4</w:t>
            </w:r>
          </w:p>
        </w:tc>
        <w:tc>
          <w:tcPr>
            <w:tcW w:w="1509" w:type="dxa"/>
            <w:shd w:val="clear" w:color="auto" w:fill="F2F2F2" w:themeFill="background1" w:themeFillShade="F2"/>
            <w:tcMar>
              <w:top w:w="88" w:type="dxa"/>
              <w:left w:w="113" w:type="dxa"/>
              <w:bottom w:w="88" w:type="dxa"/>
              <w:right w:w="113" w:type="dxa"/>
            </w:tcMar>
            <w:vAlign w:val="center"/>
          </w:tcPr>
          <w:p w14:paraId="0F030B77" w14:textId="77777777" w:rsidR="009C7CAD" w:rsidRPr="009C7CAD" w:rsidRDefault="009C7CAD" w:rsidP="009C7CAD">
            <w:pPr>
              <w:pStyle w:val="CDIFigure-Table-BodyTextCentre"/>
            </w:pPr>
            <w:r w:rsidRPr="009C7CAD">
              <w:t>13.9</w:t>
            </w:r>
          </w:p>
        </w:tc>
        <w:tc>
          <w:tcPr>
            <w:tcW w:w="1510" w:type="dxa"/>
            <w:shd w:val="clear" w:color="auto" w:fill="F2F2F2" w:themeFill="background1" w:themeFillShade="F2"/>
            <w:tcMar>
              <w:top w:w="88" w:type="dxa"/>
              <w:left w:w="113" w:type="dxa"/>
              <w:bottom w:w="88" w:type="dxa"/>
              <w:right w:w="113" w:type="dxa"/>
            </w:tcMar>
            <w:vAlign w:val="center"/>
          </w:tcPr>
          <w:p w14:paraId="02DB8191" w14:textId="77777777" w:rsidR="009C7CAD" w:rsidRPr="009C7CAD" w:rsidRDefault="009C7CAD" w:rsidP="009C7CAD">
            <w:pPr>
              <w:pStyle w:val="CDIFigure-Table-BodyTextCentre"/>
            </w:pPr>
            <w:r w:rsidRPr="009C7CAD">
              <w:t>0.4</w:t>
            </w:r>
          </w:p>
        </w:tc>
        <w:tc>
          <w:tcPr>
            <w:tcW w:w="1509" w:type="dxa"/>
            <w:shd w:val="clear" w:color="auto" w:fill="F2F2F2" w:themeFill="background1" w:themeFillShade="F2"/>
            <w:tcMar>
              <w:top w:w="88" w:type="dxa"/>
              <w:left w:w="113" w:type="dxa"/>
              <w:bottom w:w="88" w:type="dxa"/>
              <w:right w:w="113" w:type="dxa"/>
            </w:tcMar>
            <w:vAlign w:val="center"/>
          </w:tcPr>
          <w:p w14:paraId="3A064708" w14:textId="77777777" w:rsidR="009C7CAD" w:rsidRPr="009C7CAD" w:rsidRDefault="009C7CAD" w:rsidP="009C7CAD">
            <w:pPr>
              <w:pStyle w:val="CDIFigure-Table-BodyTextCentre"/>
            </w:pPr>
            <w:r w:rsidRPr="009C7CAD">
              <w:t>0.20</w:t>
            </w:r>
          </w:p>
        </w:tc>
        <w:tc>
          <w:tcPr>
            <w:tcW w:w="1509" w:type="dxa"/>
            <w:shd w:val="clear" w:color="auto" w:fill="F2F2F2" w:themeFill="background1" w:themeFillShade="F2"/>
            <w:tcMar>
              <w:top w:w="88" w:type="dxa"/>
              <w:left w:w="113" w:type="dxa"/>
              <w:bottom w:w="88" w:type="dxa"/>
              <w:right w:w="113" w:type="dxa"/>
            </w:tcMar>
            <w:vAlign w:val="center"/>
          </w:tcPr>
          <w:p w14:paraId="1DDFCFF5" w14:textId="77777777" w:rsidR="009C7CAD" w:rsidRPr="009C7CAD" w:rsidRDefault="009C7CAD" w:rsidP="009C7CAD">
            <w:pPr>
              <w:pStyle w:val="CDIFigure-Table-BodyTextCentre"/>
            </w:pPr>
            <w:r w:rsidRPr="009C7CAD">
              <w:t xml:space="preserve"> 0.16–0.24</w:t>
            </w:r>
          </w:p>
        </w:tc>
        <w:tc>
          <w:tcPr>
            <w:tcW w:w="1510" w:type="dxa"/>
            <w:shd w:val="clear" w:color="auto" w:fill="F2F2F2" w:themeFill="background1" w:themeFillShade="F2"/>
            <w:tcMar>
              <w:top w:w="88" w:type="dxa"/>
              <w:left w:w="113" w:type="dxa"/>
              <w:bottom w:w="88" w:type="dxa"/>
              <w:right w:w="113" w:type="dxa"/>
            </w:tcMar>
            <w:vAlign w:val="center"/>
          </w:tcPr>
          <w:p w14:paraId="2E39B083" w14:textId="77777777" w:rsidR="009C7CAD" w:rsidRPr="009C7CAD" w:rsidRDefault="009C7CAD" w:rsidP="009C7CAD">
            <w:pPr>
              <w:pStyle w:val="CDIFigure-Table-BodyTextCentre"/>
            </w:pPr>
            <w:r w:rsidRPr="009C7CAD">
              <w:t>0.01</w:t>
            </w:r>
          </w:p>
        </w:tc>
        <w:tc>
          <w:tcPr>
            <w:tcW w:w="1509" w:type="dxa"/>
            <w:shd w:val="clear" w:color="auto" w:fill="F2F2F2" w:themeFill="background1" w:themeFillShade="F2"/>
            <w:tcMar>
              <w:top w:w="88" w:type="dxa"/>
              <w:left w:w="113" w:type="dxa"/>
              <w:bottom w:w="88" w:type="dxa"/>
              <w:right w:w="113" w:type="dxa"/>
            </w:tcMar>
            <w:vAlign w:val="center"/>
          </w:tcPr>
          <w:p w14:paraId="76356881" w14:textId="77777777" w:rsidR="009C7CAD" w:rsidRPr="009C7CAD" w:rsidRDefault="009C7CAD" w:rsidP="009C7CAD">
            <w:pPr>
              <w:pStyle w:val="CDIFigure-Table-BodyTextCentre"/>
            </w:pPr>
            <w:r w:rsidRPr="009C7CAD">
              <w:t xml:space="preserve"> 0.00–0.02</w:t>
            </w:r>
          </w:p>
        </w:tc>
      </w:tr>
      <w:tr w:rsidR="009C7CAD" w:rsidRPr="009C7CAD" w14:paraId="4889EA9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166DFA95" w14:textId="77777777" w:rsidR="009C7CAD" w:rsidRPr="009C7CAD" w:rsidRDefault="009C7CAD" w:rsidP="009C7CAD"/>
        </w:tc>
        <w:tc>
          <w:tcPr>
            <w:tcW w:w="1509" w:type="dxa"/>
            <w:tcMar>
              <w:top w:w="88" w:type="dxa"/>
              <w:left w:w="113" w:type="dxa"/>
              <w:bottom w:w="88" w:type="dxa"/>
              <w:right w:w="113" w:type="dxa"/>
            </w:tcMar>
            <w:vAlign w:val="center"/>
          </w:tcPr>
          <w:p w14:paraId="1432ECCA"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00B2BFE1" w14:textId="77777777" w:rsidR="009C7CAD" w:rsidRPr="009C7CAD" w:rsidRDefault="009C7CAD" w:rsidP="009C7CAD">
            <w:pPr>
              <w:pStyle w:val="CDIFigure-Table-BodyTextCentre"/>
            </w:pPr>
            <w:r w:rsidRPr="009C7CAD">
              <w:t>50.7</w:t>
            </w:r>
          </w:p>
        </w:tc>
        <w:tc>
          <w:tcPr>
            <w:tcW w:w="1509" w:type="dxa"/>
            <w:tcMar>
              <w:top w:w="88" w:type="dxa"/>
              <w:left w:w="113" w:type="dxa"/>
              <w:bottom w:w="88" w:type="dxa"/>
              <w:right w:w="113" w:type="dxa"/>
            </w:tcMar>
            <w:vAlign w:val="center"/>
          </w:tcPr>
          <w:p w14:paraId="6477BA95" w14:textId="77777777" w:rsidR="009C7CAD" w:rsidRPr="009C7CAD" w:rsidRDefault="009C7CAD" w:rsidP="009C7CAD">
            <w:pPr>
              <w:pStyle w:val="CDIFigure-Table-BodyTextCentre"/>
            </w:pPr>
            <w:r w:rsidRPr="009C7CAD">
              <w:t>9.6</w:t>
            </w:r>
          </w:p>
        </w:tc>
        <w:tc>
          <w:tcPr>
            <w:tcW w:w="1510" w:type="dxa"/>
            <w:tcMar>
              <w:top w:w="88" w:type="dxa"/>
              <w:left w:w="113" w:type="dxa"/>
              <w:bottom w:w="88" w:type="dxa"/>
              <w:right w:w="113" w:type="dxa"/>
            </w:tcMar>
            <w:vAlign w:val="center"/>
          </w:tcPr>
          <w:p w14:paraId="603DC789" w14:textId="77777777" w:rsidR="009C7CAD" w:rsidRPr="009C7CAD" w:rsidRDefault="009C7CAD" w:rsidP="009C7CAD">
            <w:pPr>
              <w:pStyle w:val="CDIFigure-Table-BodyTextCentre"/>
            </w:pPr>
            <w:r w:rsidRPr="009C7CAD">
              <w:t>0.4</w:t>
            </w:r>
          </w:p>
        </w:tc>
        <w:tc>
          <w:tcPr>
            <w:tcW w:w="1509" w:type="dxa"/>
            <w:tcMar>
              <w:top w:w="88" w:type="dxa"/>
              <w:left w:w="113" w:type="dxa"/>
              <w:bottom w:w="88" w:type="dxa"/>
              <w:right w:w="113" w:type="dxa"/>
            </w:tcMar>
            <w:vAlign w:val="center"/>
          </w:tcPr>
          <w:p w14:paraId="3D1CBD2B" w14:textId="77777777" w:rsidR="009C7CAD" w:rsidRPr="009C7CAD" w:rsidRDefault="009C7CAD" w:rsidP="009C7CAD">
            <w:pPr>
              <w:pStyle w:val="CDIFigure-Table-BodyTextCentre"/>
            </w:pPr>
            <w:r w:rsidRPr="009C7CAD">
              <w:t>0.19</w:t>
            </w:r>
          </w:p>
        </w:tc>
        <w:tc>
          <w:tcPr>
            <w:tcW w:w="1509" w:type="dxa"/>
            <w:tcMar>
              <w:top w:w="88" w:type="dxa"/>
              <w:left w:w="113" w:type="dxa"/>
              <w:bottom w:w="88" w:type="dxa"/>
              <w:right w:w="113" w:type="dxa"/>
            </w:tcMar>
            <w:vAlign w:val="center"/>
          </w:tcPr>
          <w:p w14:paraId="1291F1C4" w14:textId="77777777" w:rsidR="009C7CAD" w:rsidRPr="009C7CAD" w:rsidRDefault="009C7CAD" w:rsidP="009C7CAD">
            <w:pPr>
              <w:pStyle w:val="CDIFigure-Table-BodyTextCentre"/>
            </w:pPr>
            <w:r w:rsidRPr="009C7CAD">
              <w:t xml:space="preserve"> 0.17–0.21</w:t>
            </w:r>
          </w:p>
        </w:tc>
        <w:tc>
          <w:tcPr>
            <w:tcW w:w="1510" w:type="dxa"/>
            <w:tcMar>
              <w:top w:w="88" w:type="dxa"/>
              <w:left w:w="113" w:type="dxa"/>
              <w:bottom w:w="88" w:type="dxa"/>
              <w:right w:w="113" w:type="dxa"/>
            </w:tcMar>
            <w:vAlign w:val="center"/>
          </w:tcPr>
          <w:p w14:paraId="03F4A933" w14:textId="77777777" w:rsidR="009C7CAD" w:rsidRPr="009C7CAD" w:rsidRDefault="009C7CAD" w:rsidP="009C7CAD">
            <w:pPr>
              <w:pStyle w:val="CDIFigure-Table-BodyTextCentre"/>
            </w:pPr>
            <w:r w:rsidRPr="009C7CAD">
              <w:t>0.01</w:t>
            </w:r>
          </w:p>
        </w:tc>
        <w:tc>
          <w:tcPr>
            <w:tcW w:w="1509" w:type="dxa"/>
            <w:tcMar>
              <w:top w:w="88" w:type="dxa"/>
              <w:left w:w="113" w:type="dxa"/>
              <w:bottom w:w="88" w:type="dxa"/>
              <w:right w:w="113" w:type="dxa"/>
            </w:tcMar>
            <w:vAlign w:val="center"/>
          </w:tcPr>
          <w:p w14:paraId="5C0BB775" w14:textId="77777777" w:rsidR="009C7CAD" w:rsidRPr="009C7CAD" w:rsidRDefault="009C7CAD" w:rsidP="009C7CAD">
            <w:pPr>
              <w:pStyle w:val="CDIFigure-Table-BodyTextCentre"/>
            </w:pPr>
            <w:r w:rsidRPr="009C7CAD">
              <w:t xml:space="preserve"> 0.01–0.01</w:t>
            </w:r>
          </w:p>
        </w:tc>
      </w:tr>
      <w:tr w:rsidR="006A4AE7" w:rsidRPr="009C7CAD" w14:paraId="0916A770"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6DFA13BF"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2DD4859E"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4D16C25C" w14:textId="77777777" w:rsidR="009C7CAD" w:rsidRPr="009C7CAD" w:rsidRDefault="009C7CAD" w:rsidP="009C7CAD">
            <w:pPr>
              <w:pStyle w:val="CDIFigure-Table-BodyTextCentre"/>
            </w:pPr>
            <w:r w:rsidRPr="009C7CAD">
              <w:t>32.3</w:t>
            </w:r>
          </w:p>
        </w:tc>
        <w:tc>
          <w:tcPr>
            <w:tcW w:w="1509" w:type="dxa"/>
            <w:shd w:val="clear" w:color="auto" w:fill="F2F2F2" w:themeFill="background1" w:themeFillShade="F2"/>
            <w:tcMar>
              <w:top w:w="88" w:type="dxa"/>
              <w:left w:w="113" w:type="dxa"/>
              <w:bottom w:w="88" w:type="dxa"/>
              <w:right w:w="113" w:type="dxa"/>
            </w:tcMar>
            <w:vAlign w:val="center"/>
          </w:tcPr>
          <w:p w14:paraId="7D2B1397" w14:textId="77777777" w:rsidR="009C7CAD" w:rsidRPr="009C7CAD" w:rsidRDefault="009C7CAD" w:rsidP="009C7CAD">
            <w:pPr>
              <w:pStyle w:val="CDIFigure-Table-BodyTextCentre"/>
            </w:pPr>
            <w:r w:rsidRPr="009C7CAD">
              <w:t>5.6</w:t>
            </w:r>
          </w:p>
        </w:tc>
        <w:tc>
          <w:tcPr>
            <w:tcW w:w="1510" w:type="dxa"/>
            <w:shd w:val="clear" w:color="auto" w:fill="F2F2F2" w:themeFill="background1" w:themeFillShade="F2"/>
            <w:tcMar>
              <w:top w:w="88" w:type="dxa"/>
              <w:left w:w="113" w:type="dxa"/>
              <w:bottom w:w="88" w:type="dxa"/>
              <w:right w:w="113" w:type="dxa"/>
            </w:tcMar>
            <w:vAlign w:val="center"/>
          </w:tcPr>
          <w:p w14:paraId="789B95B1" w14:textId="77777777" w:rsidR="009C7CAD" w:rsidRPr="009C7CAD" w:rsidRDefault="009C7CAD" w:rsidP="009C7CAD">
            <w:pPr>
              <w:pStyle w:val="CDIFigure-Table-BodyTextCentre"/>
            </w:pPr>
            <w:r w:rsidRPr="009C7CAD">
              <w:t>0.4</w:t>
            </w:r>
          </w:p>
        </w:tc>
        <w:tc>
          <w:tcPr>
            <w:tcW w:w="1509" w:type="dxa"/>
            <w:shd w:val="clear" w:color="auto" w:fill="F2F2F2" w:themeFill="background1" w:themeFillShade="F2"/>
            <w:tcMar>
              <w:top w:w="88" w:type="dxa"/>
              <w:left w:w="113" w:type="dxa"/>
              <w:bottom w:w="88" w:type="dxa"/>
              <w:right w:w="113" w:type="dxa"/>
            </w:tcMar>
            <w:vAlign w:val="center"/>
          </w:tcPr>
          <w:p w14:paraId="03CAA1AA" w14:textId="77777777" w:rsidR="009C7CAD" w:rsidRPr="009C7CAD" w:rsidRDefault="009C7CAD" w:rsidP="009C7CAD">
            <w:pPr>
              <w:pStyle w:val="CDIFigure-Table-BodyTextCentre"/>
            </w:pPr>
            <w:r w:rsidRPr="009C7CAD">
              <w:t>0.17</w:t>
            </w:r>
          </w:p>
        </w:tc>
        <w:tc>
          <w:tcPr>
            <w:tcW w:w="1509" w:type="dxa"/>
            <w:shd w:val="clear" w:color="auto" w:fill="F2F2F2" w:themeFill="background1" w:themeFillShade="F2"/>
            <w:tcMar>
              <w:top w:w="88" w:type="dxa"/>
              <w:left w:w="113" w:type="dxa"/>
              <w:bottom w:w="88" w:type="dxa"/>
              <w:right w:w="113" w:type="dxa"/>
            </w:tcMar>
            <w:vAlign w:val="center"/>
          </w:tcPr>
          <w:p w14:paraId="0FA89BB3" w14:textId="77777777" w:rsidR="009C7CAD" w:rsidRPr="009C7CAD" w:rsidRDefault="009C7CAD" w:rsidP="009C7CAD">
            <w:pPr>
              <w:pStyle w:val="CDIFigure-Table-BodyTextCentre"/>
            </w:pPr>
            <w:r w:rsidRPr="009C7CAD">
              <w:t xml:space="preserve"> 0.13–0.23</w:t>
            </w:r>
          </w:p>
        </w:tc>
        <w:tc>
          <w:tcPr>
            <w:tcW w:w="1510" w:type="dxa"/>
            <w:shd w:val="clear" w:color="auto" w:fill="F2F2F2" w:themeFill="background1" w:themeFillShade="F2"/>
            <w:tcMar>
              <w:top w:w="88" w:type="dxa"/>
              <w:left w:w="113" w:type="dxa"/>
              <w:bottom w:w="88" w:type="dxa"/>
              <w:right w:w="113" w:type="dxa"/>
            </w:tcMar>
            <w:vAlign w:val="center"/>
          </w:tcPr>
          <w:p w14:paraId="5269EA8F" w14:textId="77777777" w:rsidR="009C7CAD" w:rsidRPr="009C7CAD" w:rsidRDefault="009C7CAD" w:rsidP="009C7CAD">
            <w:pPr>
              <w:pStyle w:val="CDIFigure-Table-BodyTextCentre"/>
            </w:pPr>
            <w:r w:rsidRPr="009C7CAD">
              <w:t>0.01</w:t>
            </w:r>
          </w:p>
        </w:tc>
        <w:tc>
          <w:tcPr>
            <w:tcW w:w="1509" w:type="dxa"/>
            <w:shd w:val="clear" w:color="auto" w:fill="F2F2F2" w:themeFill="background1" w:themeFillShade="F2"/>
            <w:tcMar>
              <w:top w:w="88" w:type="dxa"/>
              <w:left w:w="113" w:type="dxa"/>
              <w:bottom w:w="88" w:type="dxa"/>
              <w:right w:w="113" w:type="dxa"/>
            </w:tcMar>
            <w:vAlign w:val="center"/>
          </w:tcPr>
          <w:p w14:paraId="44584332" w14:textId="77777777" w:rsidR="009C7CAD" w:rsidRPr="009C7CAD" w:rsidRDefault="009C7CAD" w:rsidP="009C7CAD">
            <w:pPr>
              <w:pStyle w:val="CDIFigure-Table-BodyTextCentre"/>
            </w:pPr>
            <w:r w:rsidRPr="009C7CAD">
              <w:t xml:space="preserve"> 0.00–0.03</w:t>
            </w:r>
          </w:p>
        </w:tc>
      </w:tr>
      <w:tr w:rsidR="009C7CAD" w:rsidRPr="009C7CAD" w14:paraId="4764E7A0"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45223819" w14:textId="77777777" w:rsidR="009C7CAD" w:rsidRPr="009C7CAD" w:rsidRDefault="009C7CAD" w:rsidP="009C7CAD"/>
        </w:tc>
        <w:tc>
          <w:tcPr>
            <w:tcW w:w="1509" w:type="dxa"/>
            <w:tcBorders>
              <w:bottom w:val="single" w:sz="6" w:space="0" w:color="033636" w:themeColor="text2"/>
            </w:tcBorders>
            <w:tcMar>
              <w:top w:w="88" w:type="dxa"/>
              <w:left w:w="113" w:type="dxa"/>
              <w:bottom w:w="88" w:type="dxa"/>
              <w:right w:w="113" w:type="dxa"/>
            </w:tcMar>
            <w:vAlign w:val="center"/>
          </w:tcPr>
          <w:p w14:paraId="4CCEEAB4"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390ECA24" w14:textId="77777777" w:rsidR="009C7CAD" w:rsidRPr="003D5A6B" w:rsidRDefault="009C7CAD" w:rsidP="009C7CAD">
            <w:pPr>
              <w:pStyle w:val="CDIFigure-Table-BodyTextCentre"/>
              <w:rPr>
                <w:b/>
                <w:bCs/>
              </w:rPr>
            </w:pPr>
            <w:r w:rsidRPr="003D5A6B">
              <w:rPr>
                <w:b/>
                <w:bCs/>
              </w:rPr>
              <w:t>105.1</w:t>
            </w:r>
          </w:p>
        </w:tc>
        <w:tc>
          <w:tcPr>
            <w:tcW w:w="1509" w:type="dxa"/>
            <w:tcBorders>
              <w:bottom w:val="single" w:sz="6" w:space="0" w:color="033636" w:themeColor="text2"/>
            </w:tcBorders>
            <w:tcMar>
              <w:top w:w="88" w:type="dxa"/>
              <w:left w:w="113" w:type="dxa"/>
              <w:bottom w:w="88" w:type="dxa"/>
              <w:right w:w="113" w:type="dxa"/>
            </w:tcMar>
            <w:vAlign w:val="center"/>
          </w:tcPr>
          <w:p w14:paraId="076D9D40" w14:textId="77777777" w:rsidR="009C7CAD" w:rsidRPr="003D5A6B" w:rsidRDefault="009C7CAD" w:rsidP="009C7CAD">
            <w:pPr>
              <w:pStyle w:val="CDIFigure-Table-BodyTextCentre"/>
              <w:rPr>
                <w:b/>
                <w:bCs/>
              </w:rPr>
            </w:pPr>
            <w:r w:rsidRPr="003D5A6B">
              <w:rPr>
                <w:b/>
                <w:bCs/>
              </w:rPr>
              <w:t>16.2</w:t>
            </w:r>
          </w:p>
        </w:tc>
        <w:tc>
          <w:tcPr>
            <w:tcW w:w="1510" w:type="dxa"/>
            <w:tcBorders>
              <w:bottom w:val="single" w:sz="6" w:space="0" w:color="033636" w:themeColor="text2"/>
            </w:tcBorders>
            <w:tcMar>
              <w:top w:w="88" w:type="dxa"/>
              <w:left w:w="113" w:type="dxa"/>
              <w:bottom w:w="88" w:type="dxa"/>
              <w:right w:w="113" w:type="dxa"/>
            </w:tcMar>
            <w:vAlign w:val="center"/>
          </w:tcPr>
          <w:p w14:paraId="13364F62" w14:textId="77777777" w:rsidR="009C7CAD" w:rsidRPr="003D5A6B" w:rsidRDefault="009C7CAD" w:rsidP="009C7CAD">
            <w:pPr>
              <w:pStyle w:val="CDIFigure-Table-BodyTextCentre"/>
              <w:rPr>
                <w:b/>
                <w:bCs/>
              </w:rPr>
            </w:pPr>
            <w:r w:rsidRPr="003D5A6B">
              <w:rPr>
                <w:b/>
                <w:bCs/>
              </w:rPr>
              <w:t>0.5</w:t>
            </w:r>
          </w:p>
        </w:tc>
        <w:tc>
          <w:tcPr>
            <w:tcW w:w="1509" w:type="dxa"/>
            <w:tcBorders>
              <w:bottom w:val="single" w:sz="6" w:space="0" w:color="033636" w:themeColor="text2"/>
            </w:tcBorders>
            <w:tcMar>
              <w:top w:w="88" w:type="dxa"/>
              <w:left w:w="113" w:type="dxa"/>
              <w:bottom w:w="88" w:type="dxa"/>
              <w:right w:w="113" w:type="dxa"/>
            </w:tcMar>
            <w:vAlign w:val="center"/>
          </w:tcPr>
          <w:p w14:paraId="25901FBF" w14:textId="77777777" w:rsidR="009C7CAD" w:rsidRPr="003D5A6B" w:rsidRDefault="009C7CAD" w:rsidP="009C7CAD">
            <w:pPr>
              <w:pStyle w:val="CDIFigure-Table-BodyTextCentre"/>
              <w:rPr>
                <w:b/>
                <w:bCs/>
              </w:rPr>
            </w:pPr>
            <w:r w:rsidRPr="003D5A6B">
              <w:rPr>
                <w:b/>
                <w:bCs/>
              </w:rPr>
              <w:t>0.16</w:t>
            </w:r>
          </w:p>
        </w:tc>
        <w:tc>
          <w:tcPr>
            <w:tcW w:w="1509" w:type="dxa"/>
            <w:tcBorders>
              <w:bottom w:val="single" w:sz="6" w:space="0" w:color="033636" w:themeColor="text2"/>
            </w:tcBorders>
            <w:tcMar>
              <w:top w:w="88" w:type="dxa"/>
              <w:left w:w="113" w:type="dxa"/>
              <w:bottom w:w="88" w:type="dxa"/>
              <w:right w:w="113" w:type="dxa"/>
            </w:tcMar>
            <w:vAlign w:val="center"/>
          </w:tcPr>
          <w:p w14:paraId="251E9E42" w14:textId="77777777" w:rsidR="009C7CAD" w:rsidRPr="003D5A6B" w:rsidRDefault="009C7CAD" w:rsidP="009C7CAD">
            <w:pPr>
              <w:pStyle w:val="CDIFigure-Table-BodyTextCentre"/>
              <w:rPr>
                <w:b/>
                <w:bCs/>
              </w:rPr>
            </w:pPr>
            <w:r w:rsidRPr="003D5A6B">
              <w:rPr>
                <w:b/>
                <w:bCs/>
              </w:rPr>
              <w:t xml:space="preserve"> 0.15–0.16</w:t>
            </w:r>
          </w:p>
        </w:tc>
        <w:tc>
          <w:tcPr>
            <w:tcW w:w="1510" w:type="dxa"/>
            <w:tcBorders>
              <w:bottom w:val="single" w:sz="6" w:space="0" w:color="033636" w:themeColor="text2"/>
            </w:tcBorders>
            <w:tcMar>
              <w:top w:w="88" w:type="dxa"/>
              <w:left w:w="113" w:type="dxa"/>
              <w:bottom w:w="88" w:type="dxa"/>
              <w:right w:w="113" w:type="dxa"/>
            </w:tcMar>
            <w:vAlign w:val="center"/>
          </w:tcPr>
          <w:p w14:paraId="22AA027A" w14:textId="77777777" w:rsidR="009C7CAD" w:rsidRPr="003D5A6B" w:rsidRDefault="009C7CAD" w:rsidP="009C7CAD">
            <w:pPr>
              <w:pStyle w:val="CDIFigure-Table-BodyTextCentre"/>
              <w:rPr>
                <w:b/>
                <w:bCs/>
              </w:rPr>
            </w:pPr>
            <w:r w:rsidRPr="003D5A6B">
              <w:rPr>
                <w:b/>
                <w:bCs/>
              </w:rPr>
              <w:t>0.00</w:t>
            </w:r>
          </w:p>
        </w:tc>
        <w:tc>
          <w:tcPr>
            <w:tcW w:w="1509" w:type="dxa"/>
            <w:tcBorders>
              <w:bottom w:val="single" w:sz="6" w:space="0" w:color="033636" w:themeColor="text2"/>
            </w:tcBorders>
            <w:tcMar>
              <w:top w:w="88" w:type="dxa"/>
              <w:left w:w="113" w:type="dxa"/>
              <w:bottom w:w="88" w:type="dxa"/>
              <w:right w:w="113" w:type="dxa"/>
            </w:tcMar>
            <w:vAlign w:val="center"/>
          </w:tcPr>
          <w:p w14:paraId="6F2DB425" w14:textId="77777777" w:rsidR="009C7CAD" w:rsidRPr="003D5A6B" w:rsidRDefault="009C7CAD" w:rsidP="009C7CAD">
            <w:pPr>
              <w:pStyle w:val="CDIFigure-Table-BodyTextCentre"/>
              <w:rPr>
                <w:b/>
                <w:bCs/>
              </w:rPr>
            </w:pPr>
            <w:r w:rsidRPr="003D5A6B">
              <w:rPr>
                <w:b/>
                <w:bCs/>
              </w:rPr>
              <w:t xml:space="preserve"> 0.00–0.01</w:t>
            </w:r>
          </w:p>
        </w:tc>
      </w:tr>
      <w:tr w:rsidR="006A4AE7" w:rsidRPr="009C7CAD" w14:paraId="2C877F57" w14:textId="77777777" w:rsidTr="003D5A6B">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0516CC74" w14:textId="77777777" w:rsidR="009C7CAD" w:rsidRPr="009C7CAD" w:rsidRDefault="009C7CAD" w:rsidP="009C7CAD">
            <w:pPr>
              <w:pStyle w:val="CDIFigure-Table-BodyTextLeft"/>
            </w:pPr>
            <w:r w:rsidRPr="009C7CAD">
              <w:t>Northern Territory</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6AE441F" w14:textId="77777777" w:rsidR="009C7CAD" w:rsidRPr="009C7CAD" w:rsidRDefault="009C7CAD" w:rsidP="009C7CAD">
            <w:pPr>
              <w:pStyle w:val="CDIFigure-Table-BodyTextCentre"/>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6784C20" w14:textId="77777777" w:rsidR="009C7CAD" w:rsidRPr="009C7CAD" w:rsidRDefault="009C7CAD" w:rsidP="009C7CAD">
            <w:pPr>
              <w:pStyle w:val="CDIFigure-Table-BodyTextCentre"/>
            </w:pPr>
            <w:r w:rsidRPr="009C7CAD">
              <w:t>73.4</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00D52ED" w14:textId="77777777" w:rsidR="009C7CAD" w:rsidRPr="009C7CAD" w:rsidRDefault="009C7CAD" w:rsidP="009C7CAD">
            <w:pPr>
              <w:pStyle w:val="CDIFigure-Table-BodyTextCentre"/>
            </w:pPr>
            <w:r w:rsidRPr="009C7CAD">
              <w:t>5.6</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A3305C6" w14:textId="77777777" w:rsidR="009C7CAD" w:rsidRPr="009C7CAD" w:rsidRDefault="009C7CAD" w:rsidP="009C7CAD">
            <w:pPr>
              <w:pStyle w:val="CDIFigure-Table-BodyTextCentre"/>
            </w:pPr>
            <w:r w:rsidRPr="009C7CAD">
              <w:t>5.7</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2712ED6" w14:textId="77777777" w:rsidR="009C7CAD" w:rsidRPr="009C7CAD" w:rsidRDefault="009C7CAD" w:rsidP="009C7CAD">
            <w:pPr>
              <w:pStyle w:val="CDIFigure-Table-BodyTextCentre"/>
            </w:pPr>
            <w:r w:rsidRPr="009C7CAD">
              <w:t>0.08</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B1E87D3" w14:textId="77777777" w:rsidR="009C7CAD" w:rsidRPr="009C7CAD" w:rsidRDefault="009C7CAD" w:rsidP="009C7CAD">
            <w:pPr>
              <w:pStyle w:val="CDIFigure-Table-BodyTextCentre"/>
            </w:pPr>
            <w:r w:rsidRPr="009C7CAD">
              <w:t xml:space="preserve"> 0.00–0.50</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D4D873D" w14:textId="77777777" w:rsidR="009C7CAD" w:rsidRPr="009C7CAD" w:rsidRDefault="009C7CAD" w:rsidP="009C7CAD">
            <w:pPr>
              <w:pStyle w:val="CDIFigure-Table-BodyTextCentre"/>
            </w:pPr>
            <w:r w:rsidRPr="009C7CAD">
              <w:t>0.08</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24A03FB" w14:textId="77777777" w:rsidR="009C7CAD" w:rsidRPr="009C7CAD" w:rsidRDefault="009C7CAD" w:rsidP="009C7CAD">
            <w:pPr>
              <w:pStyle w:val="CDIFigure-Table-BodyTextCentre"/>
            </w:pPr>
            <w:r w:rsidRPr="009C7CAD">
              <w:t xml:space="preserve"> 0.00–0.50</w:t>
            </w:r>
          </w:p>
        </w:tc>
      </w:tr>
      <w:tr w:rsidR="009C7CAD" w:rsidRPr="009C7CAD" w14:paraId="1CF8C4E5"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652CE733" w14:textId="77777777" w:rsidR="009C7CAD" w:rsidRPr="009C7CAD" w:rsidRDefault="009C7CAD" w:rsidP="009C7CAD">
            <w:pPr>
              <w:pStyle w:val="CDIFigure-Table-BodyTextLeft"/>
            </w:pPr>
          </w:p>
        </w:tc>
        <w:tc>
          <w:tcPr>
            <w:tcW w:w="1509" w:type="dxa"/>
            <w:tcMar>
              <w:top w:w="88" w:type="dxa"/>
              <w:left w:w="113" w:type="dxa"/>
              <w:bottom w:w="88" w:type="dxa"/>
              <w:right w:w="113" w:type="dxa"/>
            </w:tcMar>
            <w:vAlign w:val="center"/>
          </w:tcPr>
          <w:p w14:paraId="06AE6B05" w14:textId="77777777" w:rsidR="009C7CAD" w:rsidRPr="009C7CAD" w:rsidRDefault="009C7CAD" w:rsidP="009C7CAD">
            <w:pPr>
              <w:pStyle w:val="CDIFigure-Table-BodyTextCentre"/>
            </w:pPr>
            <w:r w:rsidRPr="009C7CAD">
              <w:t>5–14</w:t>
            </w:r>
          </w:p>
        </w:tc>
        <w:tc>
          <w:tcPr>
            <w:tcW w:w="1510" w:type="dxa"/>
            <w:tcMar>
              <w:top w:w="88" w:type="dxa"/>
              <w:left w:w="113" w:type="dxa"/>
              <w:bottom w:w="88" w:type="dxa"/>
              <w:right w:w="113" w:type="dxa"/>
            </w:tcMar>
            <w:vAlign w:val="center"/>
          </w:tcPr>
          <w:p w14:paraId="6C4C49F9" w14:textId="77777777" w:rsidR="009C7CAD" w:rsidRPr="009C7CAD" w:rsidRDefault="009C7CAD" w:rsidP="009C7CAD">
            <w:pPr>
              <w:pStyle w:val="CDIFigure-Table-BodyTextCentre"/>
            </w:pPr>
            <w:r w:rsidRPr="009C7CAD">
              <w:t>103.0</w:t>
            </w:r>
          </w:p>
        </w:tc>
        <w:tc>
          <w:tcPr>
            <w:tcW w:w="1509" w:type="dxa"/>
            <w:tcMar>
              <w:top w:w="88" w:type="dxa"/>
              <w:left w:w="113" w:type="dxa"/>
              <w:bottom w:w="88" w:type="dxa"/>
              <w:right w:w="113" w:type="dxa"/>
            </w:tcMar>
            <w:vAlign w:val="center"/>
          </w:tcPr>
          <w:p w14:paraId="45BEC746" w14:textId="77777777" w:rsidR="009C7CAD" w:rsidRPr="009C7CAD" w:rsidRDefault="009C7CAD" w:rsidP="009C7CAD">
            <w:pPr>
              <w:pStyle w:val="CDIFigure-Table-BodyTextCentre"/>
            </w:pPr>
            <w:r w:rsidRPr="009C7CAD">
              <w:t>22.9</w:t>
            </w:r>
          </w:p>
        </w:tc>
        <w:tc>
          <w:tcPr>
            <w:tcW w:w="1510" w:type="dxa"/>
            <w:tcMar>
              <w:top w:w="88" w:type="dxa"/>
              <w:left w:w="113" w:type="dxa"/>
              <w:bottom w:w="88" w:type="dxa"/>
              <w:right w:w="113" w:type="dxa"/>
            </w:tcMar>
            <w:vAlign w:val="center"/>
          </w:tcPr>
          <w:p w14:paraId="42EF9EF9" w14:textId="77777777" w:rsidR="009C7CAD" w:rsidRPr="009C7CAD" w:rsidRDefault="009C7CAD" w:rsidP="009C7CAD">
            <w:pPr>
              <w:pStyle w:val="CDIFigure-Table-BodyTextCentre"/>
            </w:pPr>
            <w:r w:rsidRPr="009C7CAD">
              <w:t>0.0</w:t>
            </w:r>
          </w:p>
        </w:tc>
        <w:tc>
          <w:tcPr>
            <w:tcW w:w="1509" w:type="dxa"/>
            <w:tcMar>
              <w:top w:w="88" w:type="dxa"/>
              <w:left w:w="113" w:type="dxa"/>
              <w:bottom w:w="88" w:type="dxa"/>
              <w:right w:w="113" w:type="dxa"/>
            </w:tcMar>
            <w:vAlign w:val="center"/>
          </w:tcPr>
          <w:p w14:paraId="7DB2886D" w14:textId="77777777" w:rsidR="009C7CAD" w:rsidRPr="009C7CAD" w:rsidRDefault="009C7CAD" w:rsidP="009C7CAD">
            <w:pPr>
              <w:pStyle w:val="CDIFigure-Table-BodyTextCentre"/>
            </w:pPr>
            <w:r w:rsidRPr="009C7CAD">
              <w:t>0.22</w:t>
            </w:r>
          </w:p>
        </w:tc>
        <w:tc>
          <w:tcPr>
            <w:tcW w:w="1509" w:type="dxa"/>
            <w:tcMar>
              <w:top w:w="88" w:type="dxa"/>
              <w:left w:w="113" w:type="dxa"/>
              <w:bottom w:w="88" w:type="dxa"/>
              <w:right w:w="113" w:type="dxa"/>
            </w:tcMar>
            <w:vAlign w:val="center"/>
          </w:tcPr>
          <w:p w14:paraId="4528B2DC" w14:textId="77777777" w:rsidR="009C7CAD" w:rsidRPr="009C7CAD" w:rsidRDefault="009C7CAD" w:rsidP="009C7CAD">
            <w:pPr>
              <w:pStyle w:val="CDIFigure-Table-BodyTextCentre"/>
            </w:pPr>
            <w:r w:rsidRPr="009C7CAD">
              <w:t xml:space="preserve"> 0.09–0.48</w:t>
            </w:r>
          </w:p>
        </w:tc>
        <w:tc>
          <w:tcPr>
            <w:tcW w:w="1510" w:type="dxa"/>
            <w:tcMar>
              <w:top w:w="88" w:type="dxa"/>
              <w:left w:w="113" w:type="dxa"/>
              <w:bottom w:w="88" w:type="dxa"/>
              <w:right w:w="113" w:type="dxa"/>
            </w:tcMar>
            <w:vAlign w:val="center"/>
          </w:tcPr>
          <w:p w14:paraId="4562861A" w14:textId="77777777" w:rsidR="009C7CAD" w:rsidRPr="009C7CAD" w:rsidRDefault="009C7CAD" w:rsidP="009C7CAD">
            <w:pPr>
              <w:pStyle w:val="CDIFigure-Table-BodyTextCentre"/>
            </w:pPr>
            <w:r w:rsidRPr="009C7CAD">
              <w:t>0.00</w:t>
            </w:r>
          </w:p>
        </w:tc>
        <w:tc>
          <w:tcPr>
            <w:tcW w:w="1509" w:type="dxa"/>
            <w:tcMar>
              <w:top w:w="88" w:type="dxa"/>
              <w:left w:w="113" w:type="dxa"/>
              <w:bottom w:w="88" w:type="dxa"/>
              <w:right w:w="113" w:type="dxa"/>
            </w:tcMar>
            <w:vAlign w:val="center"/>
          </w:tcPr>
          <w:p w14:paraId="6FBF67AA" w14:textId="77777777" w:rsidR="009C7CAD" w:rsidRPr="009C7CAD" w:rsidRDefault="009C7CAD" w:rsidP="009C7CAD">
            <w:pPr>
              <w:pStyle w:val="CDIFigure-Table-BodyTextCentre"/>
            </w:pPr>
            <w:r w:rsidRPr="009C7CAD">
              <w:t xml:space="preserve"> 0.00–0.11</w:t>
            </w:r>
          </w:p>
        </w:tc>
      </w:tr>
      <w:tr w:rsidR="009C7CAD" w:rsidRPr="009C7CAD" w14:paraId="6621B394"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0EA63A78" w14:textId="77777777" w:rsidR="009C7CAD" w:rsidRPr="009C7CAD" w:rsidRDefault="009C7CAD" w:rsidP="009C7CAD">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1A1DC6B1" w14:textId="77777777" w:rsidR="009C7CAD" w:rsidRPr="009C7CAD" w:rsidRDefault="009C7CAD" w:rsidP="009C7CAD">
            <w:pPr>
              <w:pStyle w:val="CDIFigure-Table-BodyTextCentre"/>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035C3784" w14:textId="77777777" w:rsidR="009C7CAD" w:rsidRPr="009C7CAD" w:rsidRDefault="009C7CAD" w:rsidP="009C7CAD">
            <w:pPr>
              <w:pStyle w:val="CDIFigure-Table-BodyTextCentre"/>
            </w:pPr>
            <w:r w:rsidRPr="009C7CAD">
              <w:t>28.5</w:t>
            </w:r>
          </w:p>
        </w:tc>
        <w:tc>
          <w:tcPr>
            <w:tcW w:w="1509" w:type="dxa"/>
            <w:shd w:val="clear" w:color="auto" w:fill="F2F2F2" w:themeFill="background1" w:themeFillShade="F2"/>
            <w:tcMar>
              <w:top w:w="88" w:type="dxa"/>
              <w:left w:w="113" w:type="dxa"/>
              <w:bottom w:w="88" w:type="dxa"/>
              <w:right w:w="113" w:type="dxa"/>
            </w:tcMar>
            <w:vAlign w:val="center"/>
          </w:tcPr>
          <w:p w14:paraId="03CA73CF" w14:textId="77777777" w:rsidR="009C7CAD" w:rsidRPr="009C7CAD" w:rsidRDefault="009C7CAD" w:rsidP="009C7CAD">
            <w:pPr>
              <w:pStyle w:val="CDIFigure-Table-BodyTextCentre"/>
            </w:pPr>
            <w:r w:rsidRPr="009C7CAD">
              <w:t>6.1</w:t>
            </w:r>
          </w:p>
        </w:tc>
        <w:tc>
          <w:tcPr>
            <w:tcW w:w="1510" w:type="dxa"/>
            <w:shd w:val="clear" w:color="auto" w:fill="F2F2F2" w:themeFill="background1" w:themeFillShade="F2"/>
            <w:tcMar>
              <w:top w:w="88" w:type="dxa"/>
              <w:left w:w="113" w:type="dxa"/>
              <w:bottom w:w="88" w:type="dxa"/>
              <w:right w:w="113" w:type="dxa"/>
            </w:tcMar>
            <w:vAlign w:val="center"/>
          </w:tcPr>
          <w:p w14:paraId="08C9902A" w14:textId="77777777" w:rsidR="009C7CAD" w:rsidRPr="009C7CAD" w:rsidRDefault="009C7CAD" w:rsidP="009C7CAD">
            <w:pPr>
              <w:pStyle w:val="CDIFigure-Table-BodyTextCentre"/>
            </w:pPr>
            <w:r w:rsidRPr="009C7CAD">
              <w:t>0.0</w:t>
            </w:r>
          </w:p>
        </w:tc>
        <w:tc>
          <w:tcPr>
            <w:tcW w:w="1509" w:type="dxa"/>
            <w:shd w:val="clear" w:color="auto" w:fill="F2F2F2" w:themeFill="background1" w:themeFillShade="F2"/>
            <w:tcMar>
              <w:top w:w="88" w:type="dxa"/>
              <w:left w:w="113" w:type="dxa"/>
              <w:bottom w:w="88" w:type="dxa"/>
              <w:right w:w="113" w:type="dxa"/>
            </w:tcMar>
            <w:vAlign w:val="center"/>
          </w:tcPr>
          <w:p w14:paraId="37AC4512" w14:textId="77777777" w:rsidR="009C7CAD" w:rsidRPr="009C7CAD" w:rsidRDefault="009C7CAD" w:rsidP="009C7CAD">
            <w:pPr>
              <w:pStyle w:val="CDIFigure-Table-BodyTextCentre"/>
            </w:pPr>
            <w:r w:rsidRPr="009C7CAD">
              <w:t>0.20</w:t>
            </w:r>
          </w:p>
        </w:tc>
        <w:tc>
          <w:tcPr>
            <w:tcW w:w="1509" w:type="dxa"/>
            <w:shd w:val="clear" w:color="auto" w:fill="F2F2F2" w:themeFill="background1" w:themeFillShade="F2"/>
            <w:tcMar>
              <w:top w:w="88" w:type="dxa"/>
              <w:left w:w="113" w:type="dxa"/>
              <w:bottom w:w="88" w:type="dxa"/>
              <w:right w:w="113" w:type="dxa"/>
            </w:tcMar>
            <w:vAlign w:val="center"/>
          </w:tcPr>
          <w:p w14:paraId="66E284A6" w14:textId="77777777" w:rsidR="009C7CAD" w:rsidRPr="009C7CAD" w:rsidRDefault="009C7CAD" w:rsidP="009C7CAD">
            <w:pPr>
              <w:pStyle w:val="CDIFigure-Table-BodyTextCentre"/>
            </w:pPr>
            <w:r w:rsidRPr="009C7CAD">
              <w:t xml:space="preserve"> 0.02–0.96</w:t>
            </w:r>
          </w:p>
        </w:tc>
        <w:tc>
          <w:tcPr>
            <w:tcW w:w="1510" w:type="dxa"/>
            <w:shd w:val="clear" w:color="auto" w:fill="F2F2F2" w:themeFill="background1" w:themeFillShade="F2"/>
            <w:tcMar>
              <w:top w:w="88" w:type="dxa"/>
              <w:left w:w="113" w:type="dxa"/>
              <w:bottom w:w="88" w:type="dxa"/>
              <w:right w:w="113" w:type="dxa"/>
            </w:tcMar>
            <w:vAlign w:val="center"/>
          </w:tcPr>
          <w:p w14:paraId="1B07CE97" w14:textId="77777777" w:rsidR="009C7CAD" w:rsidRPr="009C7CAD" w:rsidRDefault="009C7CAD" w:rsidP="009C7CAD">
            <w:pPr>
              <w:pStyle w:val="CDIFigure-Table-BodyTextCentre"/>
            </w:pPr>
            <w:r w:rsidRPr="009C7CAD">
              <w:t>0.00</w:t>
            </w:r>
          </w:p>
        </w:tc>
        <w:tc>
          <w:tcPr>
            <w:tcW w:w="1509" w:type="dxa"/>
            <w:shd w:val="clear" w:color="auto" w:fill="F2F2F2" w:themeFill="background1" w:themeFillShade="F2"/>
            <w:tcMar>
              <w:top w:w="88" w:type="dxa"/>
              <w:left w:w="113" w:type="dxa"/>
              <w:bottom w:w="88" w:type="dxa"/>
              <w:right w:w="113" w:type="dxa"/>
            </w:tcMar>
            <w:vAlign w:val="center"/>
          </w:tcPr>
          <w:p w14:paraId="158D3B1E" w14:textId="77777777" w:rsidR="009C7CAD" w:rsidRPr="009C7CAD" w:rsidRDefault="009C7CAD" w:rsidP="009C7CAD">
            <w:pPr>
              <w:pStyle w:val="CDIFigure-Table-BodyTextCentre"/>
            </w:pPr>
            <w:r w:rsidRPr="009C7CAD">
              <w:t xml:space="preserve"> 0.00–0.46</w:t>
            </w:r>
          </w:p>
        </w:tc>
      </w:tr>
      <w:tr w:rsidR="009C7CAD" w:rsidRPr="009C7CAD" w14:paraId="535FD772"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35F3321F" w14:textId="77777777" w:rsidR="009C7CAD" w:rsidRPr="009C7CAD" w:rsidRDefault="009C7CAD" w:rsidP="009C7CAD">
            <w:pPr>
              <w:pStyle w:val="CDIFigure-Table-BodyTextLeft"/>
            </w:pPr>
          </w:p>
        </w:tc>
        <w:tc>
          <w:tcPr>
            <w:tcW w:w="1509" w:type="dxa"/>
            <w:tcMar>
              <w:top w:w="88" w:type="dxa"/>
              <w:left w:w="113" w:type="dxa"/>
              <w:bottom w:w="88" w:type="dxa"/>
              <w:right w:w="113" w:type="dxa"/>
            </w:tcMar>
            <w:vAlign w:val="center"/>
          </w:tcPr>
          <w:p w14:paraId="4DD6A4AE"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3E7883BF" w14:textId="77777777" w:rsidR="009C7CAD" w:rsidRPr="009C7CAD" w:rsidRDefault="009C7CAD" w:rsidP="009C7CAD">
            <w:pPr>
              <w:pStyle w:val="CDIFigure-Table-BodyTextCentre"/>
            </w:pPr>
            <w:r w:rsidRPr="009C7CAD">
              <w:t>25.5</w:t>
            </w:r>
          </w:p>
        </w:tc>
        <w:tc>
          <w:tcPr>
            <w:tcW w:w="1509" w:type="dxa"/>
            <w:tcMar>
              <w:top w:w="88" w:type="dxa"/>
              <w:left w:w="113" w:type="dxa"/>
              <w:bottom w:w="88" w:type="dxa"/>
              <w:right w:w="113" w:type="dxa"/>
            </w:tcMar>
            <w:vAlign w:val="center"/>
          </w:tcPr>
          <w:p w14:paraId="30631CBD" w14:textId="77777777" w:rsidR="009C7CAD" w:rsidRPr="009C7CAD" w:rsidRDefault="009C7CAD" w:rsidP="009C7CAD">
            <w:pPr>
              <w:pStyle w:val="CDIFigure-Table-BodyTextCentre"/>
            </w:pPr>
            <w:r w:rsidRPr="009C7CAD">
              <w:t>2.6</w:t>
            </w:r>
          </w:p>
        </w:tc>
        <w:tc>
          <w:tcPr>
            <w:tcW w:w="1510" w:type="dxa"/>
            <w:tcMar>
              <w:top w:w="88" w:type="dxa"/>
              <w:left w:w="113" w:type="dxa"/>
              <w:bottom w:w="88" w:type="dxa"/>
              <w:right w:w="113" w:type="dxa"/>
            </w:tcMar>
            <w:vAlign w:val="center"/>
          </w:tcPr>
          <w:p w14:paraId="65525D25" w14:textId="77777777" w:rsidR="009C7CAD" w:rsidRPr="009C7CAD" w:rsidRDefault="009C7CAD" w:rsidP="009C7CAD">
            <w:pPr>
              <w:pStyle w:val="CDIFigure-Table-BodyTextCentre"/>
            </w:pPr>
            <w:r w:rsidRPr="009C7CAD">
              <w:t>2.0</w:t>
            </w:r>
          </w:p>
        </w:tc>
        <w:tc>
          <w:tcPr>
            <w:tcW w:w="1509" w:type="dxa"/>
            <w:tcMar>
              <w:top w:w="88" w:type="dxa"/>
              <w:left w:w="113" w:type="dxa"/>
              <w:bottom w:w="88" w:type="dxa"/>
              <w:right w:w="113" w:type="dxa"/>
            </w:tcMar>
            <w:vAlign w:val="center"/>
          </w:tcPr>
          <w:p w14:paraId="23CC3028" w14:textId="77777777" w:rsidR="009C7CAD" w:rsidRPr="009C7CAD" w:rsidRDefault="009C7CAD" w:rsidP="009C7CAD">
            <w:pPr>
              <w:pStyle w:val="CDIFigure-Table-BodyTextCentre"/>
            </w:pPr>
            <w:r w:rsidRPr="009C7CAD">
              <w:t>0.10</w:t>
            </w:r>
          </w:p>
        </w:tc>
        <w:tc>
          <w:tcPr>
            <w:tcW w:w="1509" w:type="dxa"/>
            <w:tcMar>
              <w:top w:w="88" w:type="dxa"/>
              <w:left w:w="113" w:type="dxa"/>
              <w:bottom w:w="88" w:type="dxa"/>
              <w:right w:w="113" w:type="dxa"/>
            </w:tcMar>
            <w:vAlign w:val="center"/>
          </w:tcPr>
          <w:p w14:paraId="6B602E98" w14:textId="77777777" w:rsidR="009C7CAD" w:rsidRPr="009C7CAD" w:rsidRDefault="009C7CAD" w:rsidP="009C7CAD">
            <w:pPr>
              <w:pStyle w:val="CDIFigure-Table-BodyTextCentre"/>
            </w:pPr>
            <w:r w:rsidRPr="009C7CAD">
              <w:t xml:space="preserve"> 0.03–0.29</w:t>
            </w:r>
          </w:p>
        </w:tc>
        <w:tc>
          <w:tcPr>
            <w:tcW w:w="1510" w:type="dxa"/>
            <w:tcMar>
              <w:top w:w="88" w:type="dxa"/>
              <w:left w:w="113" w:type="dxa"/>
              <w:bottom w:w="88" w:type="dxa"/>
              <w:right w:w="113" w:type="dxa"/>
            </w:tcMar>
            <w:vAlign w:val="center"/>
          </w:tcPr>
          <w:p w14:paraId="63E862AB" w14:textId="77777777" w:rsidR="009C7CAD" w:rsidRPr="009C7CAD" w:rsidRDefault="009C7CAD" w:rsidP="009C7CAD">
            <w:pPr>
              <w:pStyle w:val="CDIFigure-Table-BodyTextCentre"/>
            </w:pPr>
            <w:r w:rsidRPr="009C7CAD">
              <w:t>0.08</w:t>
            </w:r>
          </w:p>
        </w:tc>
        <w:tc>
          <w:tcPr>
            <w:tcW w:w="1509" w:type="dxa"/>
            <w:tcMar>
              <w:top w:w="88" w:type="dxa"/>
              <w:left w:w="113" w:type="dxa"/>
              <w:bottom w:w="88" w:type="dxa"/>
              <w:right w:w="113" w:type="dxa"/>
            </w:tcMar>
            <w:vAlign w:val="center"/>
          </w:tcPr>
          <w:p w14:paraId="651E3839" w14:textId="77777777" w:rsidR="009C7CAD" w:rsidRPr="009C7CAD" w:rsidRDefault="009C7CAD" w:rsidP="009C7CAD">
            <w:pPr>
              <w:pStyle w:val="CDIFigure-Table-BodyTextCentre"/>
            </w:pPr>
            <w:r w:rsidRPr="009C7CAD">
              <w:t xml:space="preserve"> 0.25–0.25</w:t>
            </w:r>
          </w:p>
        </w:tc>
      </w:tr>
      <w:tr w:rsidR="006A4AE7" w:rsidRPr="009C7CAD" w14:paraId="75A32CD4"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1ED90A1B" w14:textId="77777777" w:rsidR="009C7CAD" w:rsidRPr="009C7CAD" w:rsidRDefault="009C7CAD" w:rsidP="009C7CAD">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0765718C"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59C1C320" w14:textId="77777777" w:rsidR="009C7CAD" w:rsidRPr="009C7CAD" w:rsidRDefault="009C7CAD" w:rsidP="009C7CAD">
            <w:pPr>
              <w:pStyle w:val="CDIFigure-Table-BodyTextCentre"/>
            </w:pPr>
            <w:r w:rsidRPr="009C7CAD">
              <w:t>22.6</w:t>
            </w:r>
          </w:p>
        </w:tc>
        <w:tc>
          <w:tcPr>
            <w:tcW w:w="1509" w:type="dxa"/>
            <w:shd w:val="clear" w:color="auto" w:fill="F2F2F2" w:themeFill="background1" w:themeFillShade="F2"/>
            <w:tcMar>
              <w:top w:w="88" w:type="dxa"/>
              <w:left w:w="113" w:type="dxa"/>
              <w:bottom w:w="88" w:type="dxa"/>
              <w:right w:w="113" w:type="dxa"/>
            </w:tcMar>
            <w:vAlign w:val="center"/>
          </w:tcPr>
          <w:p w14:paraId="79679676" w14:textId="77777777" w:rsidR="009C7CAD" w:rsidRPr="009C7CAD" w:rsidRDefault="009C7CAD" w:rsidP="009C7CAD">
            <w:pPr>
              <w:pStyle w:val="CDIFigure-Table-BodyTextCentre"/>
            </w:pPr>
            <w:r w:rsidRPr="009C7CAD">
              <w:t>0.0</w:t>
            </w:r>
          </w:p>
        </w:tc>
        <w:tc>
          <w:tcPr>
            <w:tcW w:w="1510" w:type="dxa"/>
            <w:shd w:val="clear" w:color="auto" w:fill="F2F2F2" w:themeFill="background1" w:themeFillShade="F2"/>
            <w:tcMar>
              <w:top w:w="88" w:type="dxa"/>
              <w:left w:w="113" w:type="dxa"/>
              <w:bottom w:w="88" w:type="dxa"/>
              <w:right w:w="113" w:type="dxa"/>
            </w:tcMar>
            <w:vAlign w:val="center"/>
          </w:tcPr>
          <w:p w14:paraId="16042607" w14:textId="77777777" w:rsidR="009C7CAD" w:rsidRPr="009C7CAD" w:rsidRDefault="009C7CAD" w:rsidP="009C7CAD">
            <w:pPr>
              <w:pStyle w:val="CDIFigure-Table-BodyTextCentre"/>
            </w:pPr>
            <w:r w:rsidRPr="009C7CAD">
              <w:t>0.0</w:t>
            </w:r>
          </w:p>
        </w:tc>
        <w:tc>
          <w:tcPr>
            <w:tcW w:w="1509" w:type="dxa"/>
            <w:shd w:val="clear" w:color="auto" w:fill="F2F2F2" w:themeFill="background1" w:themeFillShade="F2"/>
            <w:tcMar>
              <w:top w:w="88" w:type="dxa"/>
              <w:left w:w="113" w:type="dxa"/>
              <w:bottom w:w="88" w:type="dxa"/>
              <w:right w:w="113" w:type="dxa"/>
            </w:tcMar>
            <w:vAlign w:val="center"/>
          </w:tcPr>
          <w:p w14:paraId="3833A971" w14:textId="77777777" w:rsidR="009C7CAD" w:rsidRPr="009C7CAD" w:rsidRDefault="009C7CAD" w:rsidP="009C7CAD">
            <w:pPr>
              <w:pStyle w:val="CDIFigure-Table-BodyTextCentre"/>
            </w:pPr>
            <w:r w:rsidRPr="009C7CAD">
              <w:t>0.00</w:t>
            </w:r>
          </w:p>
        </w:tc>
        <w:tc>
          <w:tcPr>
            <w:tcW w:w="1509" w:type="dxa"/>
            <w:shd w:val="clear" w:color="auto" w:fill="F2F2F2" w:themeFill="background1" w:themeFillShade="F2"/>
            <w:tcMar>
              <w:top w:w="88" w:type="dxa"/>
              <w:left w:w="113" w:type="dxa"/>
              <w:bottom w:w="88" w:type="dxa"/>
              <w:right w:w="113" w:type="dxa"/>
            </w:tcMar>
            <w:vAlign w:val="center"/>
          </w:tcPr>
          <w:p w14:paraId="30F83828" w14:textId="77777777" w:rsidR="009C7CAD" w:rsidRPr="009C7CAD" w:rsidRDefault="009C7CAD" w:rsidP="009C7CAD">
            <w:pPr>
              <w:pStyle w:val="CDIFigure-Table-BodyTextCentre"/>
            </w:pPr>
            <w:r w:rsidRPr="009C7CAD">
              <w:t xml:space="preserve"> 0.00–0.25</w:t>
            </w:r>
          </w:p>
        </w:tc>
        <w:tc>
          <w:tcPr>
            <w:tcW w:w="1510" w:type="dxa"/>
            <w:shd w:val="clear" w:color="auto" w:fill="F2F2F2" w:themeFill="background1" w:themeFillShade="F2"/>
            <w:tcMar>
              <w:top w:w="88" w:type="dxa"/>
              <w:left w:w="113" w:type="dxa"/>
              <w:bottom w:w="88" w:type="dxa"/>
              <w:right w:w="113" w:type="dxa"/>
            </w:tcMar>
            <w:vAlign w:val="center"/>
          </w:tcPr>
          <w:p w14:paraId="3D8F23C8" w14:textId="77777777" w:rsidR="009C7CAD" w:rsidRPr="009C7CAD" w:rsidRDefault="009C7CAD" w:rsidP="009C7CAD">
            <w:pPr>
              <w:pStyle w:val="CDIFigure-Table-BodyTextCentre"/>
            </w:pPr>
            <w:r w:rsidRPr="009C7CAD">
              <w:t>0.00</w:t>
            </w:r>
          </w:p>
        </w:tc>
        <w:tc>
          <w:tcPr>
            <w:tcW w:w="1509" w:type="dxa"/>
            <w:shd w:val="clear" w:color="auto" w:fill="F2F2F2" w:themeFill="background1" w:themeFillShade="F2"/>
            <w:tcMar>
              <w:top w:w="88" w:type="dxa"/>
              <w:left w:w="113" w:type="dxa"/>
              <w:bottom w:w="88" w:type="dxa"/>
              <w:right w:w="113" w:type="dxa"/>
            </w:tcMar>
            <w:vAlign w:val="center"/>
          </w:tcPr>
          <w:p w14:paraId="375C93E9" w14:textId="77777777" w:rsidR="009C7CAD" w:rsidRPr="009C7CAD" w:rsidRDefault="009C7CAD" w:rsidP="009C7CAD">
            <w:pPr>
              <w:pStyle w:val="CDIFigure-Table-BodyTextCentre"/>
            </w:pPr>
            <w:r w:rsidRPr="009C7CAD">
              <w:t xml:space="preserve"> 0.00–4.12</w:t>
            </w:r>
          </w:p>
        </w:tc>
      </w:tr>
      <w:tr w:rsidR="009C7CAD" w:rsidRPr="009C7CAD" w14:paraId="7E7959C9"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0FFBC365" w14:textId="77777777" w:rsidR="009C7CAD" w:rsidRPr="009C7CAD" w:rsidRDefault="009C7CAD" w:rsidP="009C7CAD">
            <w:pPr>
              <w:pStyle w:val="CDIFigure-Table-BodyTextLeft"/>
            </w:pPr>
          </w:p>
        </w:tc>
        <w:tc>
          <w:tcPr>
            <w:tcW w:w="1509" w:type="dxa"/>
            <w:tcBorders>
              <w:bottom w:val="single" w:sz="6" w:space="0" w:color="033636" w:themeColor="text2"/>
            </w:tcBorders>
            <w:tcMar>
              <w:top w:w="88" w:type="dxa"/>
              <w:left w:w="113" w:type="dxa"/>
              <w:bottom w:w="88" w:type="dxa"/>
              <w:right w:w="113" w:type="dxa"/>
            </w:tcMar>
            <w:vAlign w:val="center"/>
          </w:tcPr>
          <w:p w14:paraId="4883AF44"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7EE798AB" w14:textId="77777777" w:rsidR="009C7CAD" w:rsidRPr="003D5A6B" w:rsidRDefault="009C7CAD" w:rsidP="009C7CAD">
            <w:pPr>
              <w:pStyle w:val="CDIFigure-Table-BodyTextCentre"/>
              <w:rPr>
                <w:b/>
                <w:bCs/>
              </w:rPr>
            </w:pPr>
            <w:r w:rsidRPr="003D5A6B">
              <w:rPr>
                <w:b/>
                <w:bCs/>
              </w:rPr>
              <w:t>40.4</w:t>
            </w:r>
          </w:p>
        </w:tc>
        <w:tc>
          <w:tcPr>
            <w:tcW w:w="1509" w:type="dxa"/>
            <w:tcBorders>
              <w:bottom w:val="single" w:sz="6" w:space="0" w:color="033636" w:themeColor="text2"/>
            </w:tcBorders>
            <w:tcMar>
              <w:top w:w="88" w:type="dxa"/>
              <w:left w:w="113" w:type="dxa"/>
              <w:bottom w:w="88" w:type="dxa"/>
              <w:right w:w="113" w:type="dxa"/>
            </w:tcMar>
            <w:vAlign w:val="center"/>
          </w:tcPr>
          <w:p w14:paraId="15D8D794" w14:textId="77777777" w:rsidR="009C7CAD" w:rsidRPr="003D5A6B" w:rsidRDefault="009C7CAD" w:rsidP="009C7CAD">
            <w:pPr>
              <w:pStyle w:val="CDIFigure-Table-BodyTextCentre"/>
              <w:rPr>
                <w:b/>
                <w:bCs/>
              </w:rPr>
            </w:pPr>
            <w:r w:rsidRPr="003D5A6B">
              <w:rPr>
                <w:b/>
                <w:bCs/>
              </w:rPr>
              <w:t>6.1</w:t>
            </w:r>
          </w:p>
        </w:tc>
        <w:tc>
          <w:tcPr>
            <w:tcW w:w="1510" w:type="dxa"/>
            <w:tcBorders>
              <w:bottom w:val="single" w:sz="6" w:space="0" w:color="033636" w:themeColor="text2"/>
            </w:tcBorders>
            <w:tcMar>
              <w:top w:w="88" w:type="dxa"/>
              <w:left w:w="113" w:type="dxa"/>
              <w:bottom w:w="88" w:type="dxa"/>
              <w:right w:w="113" w:type="dxa"/>
            </w:tcMar>
            <w:vAlign w:val="center"/>
          </w:tcPr>
          <w:p w14:paraId="3AD2FB31" w14:textId="77777777" w:rsidR="009C7CAD" w:rsidRPr="003D5A6B" w:rsidRDefault="009C7CAD" w:rsidP="009C7CAD">
            <w:pPr>
              <w:pStyle w:val="CDIFigure-Table-BodyTextCentre"/>
              <w:rPr>
                <w:b/>
                <w:bCs/>
              </w:rPr>
            </w:pPr>
            <w:r w:rsidRPr="003D5A6B">
              <w:rPr>
                <w:b/>
                <w:bCs/>
              </w:rPr>
              <w:t>1.6</w:t>
            </w:r>
          </w:p>
        </w:tc>
        <w:tc>
          <w:tcPr>
            <w:tcW w:w="1509" w:type="dxa"/>
            <w:tcBorders>
              <w:bottom w:val="single" w:sz="6" w:space="0" w:color="033636" w:themeColor="text2"/>
            </w:tcBorders>
            <w:tcMar>
              <w:top w:w="88" w:type="dxa"/>
              <w:left w:w="113" w:type="dxa"/>
              <w:bottom w:w="88" w:type="dxa"/>
              <w:right w:w="113" w:type="dxa"/>
            </w:tcMar>
            <w:vAlign w:val="center"/>
          </w:tcPr>
          <w:p w14:paraId="4AFB6A01" w14:textId="77777777" w:rsidR="009C7CAD" w:rsidRPr="003D5A6B" w:rsidRDefault="009C7CAD" w:rsidP="009C7CAD">
            <w:pPr>
              <w:pStyle w:val="CDIFigure-Table-BodyTextCentre"/>
              <w:rPr>
                <w:b/>
                <w:bCs/>
              </w:rPr>
            </w:pPr>
            <w:r w:rsidRPr="003D5A6B">
              <w:rPr>
                <w:b/>
                <w:bCs/>
              </w:rPr>
              <w:t>0.15</w:t>
            </w:r>
          </w:p>
        </w:tc>
        <w:tc>
          <w:tcPr>
            <w:tcW w:w="1509" w:type="dxa"/>
            <w:tcBorders>
              <w:bottom w:val="single" w:sz="6" w:space="0" w:color="033636" w:themeColor="text2"/>
            </w:tcBorders>
            <w:tcMar>
              <w:top w:w="88" w:type="dxa"/>
              <w:left w:w="113" w:type="dxa"/>
              <w:bottom w:w="88" w:type="dxa"/>
              <w:right w:w="113" w:type="dxa"/>
            </w:tcMar>
            <w:vAlign w:val="center"/>
          </w:tcPr>
          <w:p w14:paraId="2A1E9516" w14:textId="77777777" w:rsidR="009C7CAD" w:rsidRPr="003D5A6B" w:rsidRDefault="009C7CAD" w:rsidP="009C7CAD">
            <w:pPr>
              <w:pStyle w:val="CDIFigure-Table-BodyTextCentre"/>
              <w:rPr>
                <w:b/>
                <w:bCs/>
              </w:rPr>
            </w:pPr>
            <w:r w:rsidRPr="003D5A6B">
              <w:rPr>
                <w:b/>
                <w:bCs/>
              </w:rPr>
              <w:t xml:space="preserve"> 0.08–0.26</w:t>
            </w:r>
          </w:p>
        </w:tc>
        <w:tc>
          <w:tcPr>
            <w:tcW w:w="1510" w:type="dxa"/>
            <w:tcBorders>
              <w:bottom w:val="single" w:sz="6" w:space="0" w:color="033636" w:themeColor="text2"/>
            </w:tcBorders>
            <w:tcMar>
              <w:top w:w="88" w:type="dxa"/>
              <w:left w:w="113" w:type="dxa"/>
              <w:bottom w:w="88" w:type="dxa"/>
              <w:right w:w="113" w:type="dxa"/>
            </w:tcMar>
            <w:vAlign w:val="center"/>
          </w:tcPr>
          <w:p w14:paraId="724A35F8" w14:textId="77777777" w:rsidR="009C7CAD" w:rsidRPr="003D5A6B" w:rsidRDefault="009C7CAD" w:rsidP="009C7CAD">
            <w:pPr>
              <w:pStyle w:val="CDIFigure-Table-BodyTextCentre"/>
              <w:rPr>
                <w:b/>
                <w:bCs/>
              </w:rPr>
            </w:pPr>
            <w:r w:rsidRPr="003D5A6B">
              <w:rPr>
                <w:b/>
                <w:bCs/>
              </w:rPr>
              <w:t>0.04</w:t>
            </w:r>
          </w:p>
        </w:tc>
        <w:tc>
          <w:tcPr>
            <w:tcW w:w="1509" w:type="dxa"/>
            <w:tcBorders>
              <w:bottom w:val="single" w:sz="6" w:space="0" w:color="033636" w:themeColor="text2"/>
            </w:tcBorders>
            <w:tcMar>
              <w:top w:w="88" w:type="dxa"/>
              <w:left w:w="113" w:type="dxa"/>
              <w:bottom w:w="88" w:type="dxa"/>
              <w:right w:w="113" w:type="dxa"/>
            </w:tcMar>
            <w:vAlign w:val="center"/>
          </w:tcPr>
          <w:p w14:paraId="24056827" w14:textId="77777777" w:rsidR="009C7CAD" w:rsidRPr="003D5A6B" w:rsidRDefault="009C7CAD" w:rsidP="009C7CAD">
            <w:pPr>
              <w:pStyle w:val="CDIFigure-Table-BodyTextCentre"/>
              <w:rPr>
                <w:b/>
                <w:bCs/>
              </w:rPr>
            </w:pPr>
            <w:r w:rsidRPr="003D5A6B">
              <w:rPr>
                <w:b/>
                <w:bCs/>
              </w:rPr>
              <w:t xml:space="preserve"> 0.01–0.11</w:t>
            </w:r>
          </w:p>
        </w:tc>
      </w:tr>
      <w:tr w:rsidR="006A4AE7" w:rsidRPr="009C7CAD" w14:paraId="03CC54FC" w14:textId="77777777" w:rsidTr="003D5A6B">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10766803" w14:textId="77777777" w:rsidR="009C7CAD" w:rsidRPr="009C7CAD" w:rsidRDefault="009C7CAD" w:rsidP="003D5A6B">
            <w:pPr>
              <w:pStyle w:val="CDIFigure-Table-BodyTextLeft"/>
              <w:keepNext/>
            </w:pPr>
            <w:r w:rsidRPr="009C7CAD">
              <w:lastRenderedPageBreak/>
              <w:t>Queensland</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980F576" w14:textId="77777777" w:rsidR="009C7CAD" w:rsidRPr="009C7CAD" w:rsidRDefault="009C7CAD" w:rsidP="003D5A6B">
            <w:pPr>
              <w:pStyle w:val="CDIFigure-Table-BodyTextCentre"/>
              <w:keepNext/>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3557673" w14:textId="77777777" w:rsidR="009C7CAD" w:rsidRPr="009C7CAD" w:rsidRDefault="009C7CAD" w:rsidP="009C7CAD">
            <w:pPr>
              <w:pStyle w:val="CDIFigure-Table-BodyTextCentre"/>
            </w:pPr>
            <w:r w:rsidRPr="009C7CAD">
              <w:t>71.4</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0ADF7AA" w14:textId="77777777" w:rsidR="009C7CAD" w:rsidRPr="009C7CAD" w:rsidRDefault="009C7CAD" w:rsidP="009C7CAD">
            <w:pPr>
              <w:pStyle w:val="CDIFigure-Table-BodyTextCentre"/>
            </w:pPr>
            <w:r w:rsidRPr="009C7CAD">
              <w:t>6.2</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D02FF15" w14:textId="77777777" w:rsidR="009C7CAD" w:rsidRPr="009C7CAD" w:rsidRDefault="009C7CAD" w:rsidP="009C7CAD">
            <w:pPr>
              <w:pStyle w:val="CDIFigure-Table-BodyTextCentre"/>
            </w:pPr>
            <w:r w:rsidRPr="009C7CAD">
              <w:t>5.3</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700D005" w14:textId="77777777" w:rsidR="009C7CAD" w:rsidRPr="009C7CAD" w:rsidRDefault="009C7CAD" w:rsidP="009C7CAD">
            <w:pPr>
              <w:pStyle w:val="CDIFigure-Table-BodyTextCentre"/>
            </w:pPr>
            <w:r w:rsidRPr="009C7CAD">
              <w:t>0.09</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53958B5" w14:textId="77777777" w:rsidR="009C7CAD" w:rsidRPr="009C7CAD" w:rsidRDefault="009C7CAD" w:rsidP="009C7CAD">
            <w:pPr>
              <w:pStyle w:val="CDIFigure-Table-BodyTextCentre"/>
            </w:pPr>
            <w:r w:rsidRPr="009C7CAD">
              <w:t xml:space="preserve"> 0.05–0.14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40D1290" w14:textId="77777777" w:rsidR="009C7CAD" w:rsidRPr="009C7CAD" w:rsidRDefault="009C7CAD" w:rsidP="009C7CAD">
            <w:pPr>
              <w:pStyle w:val="CDIFigure-Table-BodyTextCentre"/>
            </w:pPr>
            <w:r w:rsidRPr="009C7CAD">
              <w:t>0.07</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48DED0F" w14:textId="77777777" w:rsidR="009C7CAD" w:rsidRPr="009C7CAD" w:rsidRDefault="009C7CAD" w:rsidP="009C7CAD">
            <w:pPr>
              <w:pStyle w:val="CDIFigure-Table-BodyTextCentre"/>
            </w:pPr>
            <w:r w:rsidRPr="009C7CAD">
              <w:t xml:space="preserve"> 0.04–0.12</w:t>
            </w:r>
          </w:p>
        </w:tc>
      </w:tr>
      <w:tr w:rsidR="009C7CAD" w:rsidRPr="009C7CAD" w14:paraId="29BA7C23"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50E4F6D3" w14:textId="77777777" w:rsidR="009C7CAD" w:rsidRPr="009C7CAD" w:rsidRDefault="009C7CAD" w:rsidP="003D5A6B">
            <w:pPr>
              <w:keepNext/>
            </w:pPr>
          </w:p>
        </w:tc>
        <w:tc>
          <w:tcPr>
            <w:tcW w:w="1509" w:type="dxa"/>
            <w:tcMar>
              <w:top w:w="88" w:type="dxa"/>
              <w:left w:w="113" w:type="dxa"/>
              <w:bottom w:w="88" w:type="dxa"/>
              <w:right w:w="113" w:type="dxa"/>
            </w:tcMar>
            <w:vAlign w:val="center"/>
          </w:tcPr>
          <w:p w14:paraId="7ADDEE17" w14:textId="77777777" w:rsidR="009C7CAD" w:rsidRPr="009C7CAD" w:rsidRDefault="009C7CAD" w:rsidP="003D5A6B">
            <w:pPr>
              <w:pStyle w:val="CDIFigure-Table-BodyTextCentre"/>
              <w:keepNext/>
            </w:pPr>
            <w:r w:rsidRPr="009C7CAD">
              <w:t>5–14</w:t>
            </w:r>
          </w:p>
        </w:tc>
        <w:tc>
          <w:tcPr>
            <w:tcW w:w="1510" w:type="dxa"/>
            <w:tcMar>
              <w:top w:w="88" w:type="dxa"/>
              <w:left w:w="113" w:type="dxa"/>
              <w:bottom w:w="88" w:type="dxa"/>
              <w:right w:w="113" w:type="dxa"/>
            </w:tcMar>
            <w:vAlign w:val="center"/>
          </w:tcPr>
          <w:p w14:paraId="2F03E8B6" w14:textId="77777777" w:rsidR="009C7CAD" w:rsidRPr="009C7CAD" w:rsidRDefault="009C7CAD" w:rsidP="009C7CAD">
            <w:pPr>
              <w:pStyle w:val="CDIFigure-Table-BodyTextCentre"/>
            </w:pPr>
            <w:r w:rsidRPr="009C7CAD">
              <w:t>125.6</w:t>
            </w:r>
          </w:p>
        </w:tc>
        <w:tc>
          <w:tcPr>
            <w:tcW w:w="1509" w:type="dxa"/>
            <w:tcMar>
              <w:top w:w="88" w:type="dxa"/>
              <w:left w:w="113" w:type="dxa"/>
              <w:bottom w:w="88" w:type="dxa"/>
              <w:right w:w="113" w:type="dxa"/>
            </w:tcMar>
            <w:vAlign w:val="center"/>
          </w:tcPr>
          <w:p w14:paraId="44034770" w14:textId="77777777" w:rsidR="009C7CAD" w:rsidRPr="009C7CAD" w:rsidRDefault="009C7CAD" w:rsidP="009C7CAD">
            <w:pPr>
              <w:pStyle w:val="CDIFigure-Table-BodyTextCentre"/>
            </w:pPr>
            <w:r w:rsidRPr="009C7CAD">
              <w:t>25.7</w:t>
            </w:r>
          </w:p>
        </w:tc>
        <w:tc>
          <w:tcPr>
            <w:tcW w:w="1510" w:type="dxa"/>
            <w:tcMar>
              <w:top w:w="88" w:type="dxa"/>
              <w:left w:w="113" w:type="dxa"/>
              <w:bottom w:w="88" w:type="dxa"/>
              <w:right w:w="113" w:type="dxa"/>
            </w:tcMar>
            <w:vAlign w:val="center"/>
          </w:tcPr>
          <w:p w14:paraId="4CD86BCD" w14:textId="77777777" w:rsidR="009C7CAD" w:rsidRPr="009C7CAD" w:rsidRDefault="009C7CAD" w:rsidP="009C7CAD">
            <w:pPr>
              <w:pStyle w:val="CDIFigure-Table-BodyTextCentre"/>
            </w:pPr>
            <w:r w:rsidRPr="009C7CAD">
              <w:t>4.9</w:t>
            </w:r>
          </w:p>
        </w:tc>
        <w:tc>
          <w:tcPr>
            <w:tcW w:w="1509" w:type="dxa"/>
            <w:tcMar>
              <w:top w:w="88" w:type="dxa"/>
              <w:left w:w="113" w:type="dxa"/>
              <w:bottom w:w="88" w:type="dxa"/>
              <w:right w:w="113" w:type="dxa"/>
            </w:tcMar>
            <w:vAlign w:val="center"/>
          </w:tcPr>
          <w:p w14:paraId="25AC88B1" w14:textId="77777777" w:rsidR="009C7CAD" w:rsidRPr="009C7CAD" w:rsidRDefault="009C7CAD" w:rsidP="009C7CAD">
            <w:pPr>
              <w:pStyle w:val="CDIFigure-Table-BodyTextCentre"/>
            </w:pPr>
            <w:r w:rsidRPr="009C7CAD">
              <w:t>0.20</w:t>
            </w:r>
          </w:p>
        </w:tc>
        <w:tc>
          <w:tcPr>
            <w:tcW w:w="1509" w:type="dxa"/>
            <w:tcMar>
              <w:top w:w="88" w:type="dxa"/>
              <w:left w:w="113" w:type="dxa"/>
              <w:bottom w:w="88" w:type="dxa"/>
              <w:right w:w="113" w:type="dxa"/>
            </w:tcMar>
            <w:vAlign w:val="center"/>
          </w:tcPr>
          <w:p w14:paraId="6704B362" w14:textId="77777777" w:rsidR="009C7CAD" w:rsidRPr="009C7CAD" w:rsidRDefault="009C7CAD" w:rsidP="009C7CAD">
            <w:pPr>
              <w:pStyle w:val="CDIFigure-Table-BodyTextCentre"/>
            </w:pPr>
            <w:r w:rsidRPr="009C7CAD">
              <w:t xml:space="preserve"> 0.17–0.24</w:t>
            </w:r>
          </w:p>
        </w:tc>
        <w:tc>
          <w:tcPr>
            <w:tcW w:w="1510" w:type="dxa"/>
            <w:tcMar>
              <w:top w:w="88" w:type="dxa"/>
              <w:left w:w="113" w:type="dxa"/>
              <w:bottom w:w="88" w:type="dxa"/>
              <w:right w:w="113" w:type="dxa"/>
            </w:tcMar>
            <w:vAlign w:val="center"/>
          </w:tcPr>
          <w:p w14:paraId="3A62A293" w14:textId="77777777" w:rsidR="009C7CAD" w:rsidRPr="009C7CAD" w:rsidRDefault="009C7CAD" w:rsidP="009C7CAD">
            <w:pPr>
              <w:pStyle w:val="CDIFigure-Table-BodyTextCentre"/>
            </w:pPr>
            <w:r w:rsidRPr="009C7CAD">
              <w:t>0.04</w:t>
            </w:r>
          </w:p>
        </w:tc>
        <w:tc>
          <w:tcPr>
            <w:tcW w:w="1509" w:type="dxa"/>
            <w:tcMar>
              <w:top w:w="88" w:type="dxa"/>
              <w:left w:w="113" w:type="dxa"/>
              <w:bottom w:w="88" w:type="dxa"/>
              <w:right w:w="113" w:type="dxa"/>
            </w:tcMar>
            <w:vAlign w:val="center"/>
          </w:tcPr>
          <w:p w14:paraId="7503B16C" w14:textId="77777777" w:rsidR="009C7CAD" w:rsidRPr="009C7CAD" w:rsidRDefault="009C7CAD" w:rsidP="009C7CAD">
            <w:pPr>
              <w:pStyle w:val="CDIFigure-Table-BodyTextCentre"/>
            </w:pPr>
            <w:r w:rsidRPr="009C7CAD">
              <w:t xml:space="preserve"> 0.03–0.06</w:t>
            </w:r>
          </w:p>
        </w:tc>
      </w:tr>
      <w:tr w:rsidR="009C7CAD" w:rsidRPr="009C7CAD" w14:paraId="0DEC6713"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723926F3" w14:textId="77777777" w:rsidR="009C7CAD" w:rsidRPr="009C7CAD" w:rsidRDefault="009C7CAD" w:rsidP="003D5A6B">
            <w:pPr>
              <w:keepNext/>
            </w:pPr>
          </w:p>
        </w:tc>
        <w:tc>
          <w:tcPr>
            <w:tcW w:w="1509" w:type="dxa"/>
            <w:shd w:val="clear" w:color="auto" w:fill="F2F2F2" w:themeFill="background1" w:themeFillShade="F2"/>
            <w:tcMar>
              <w:top w:w="88" w:type="dxa"/>
              <w:left w:w="113" w:type="dxa"/>
              <w:bottom w:w="88" w:type="dxa"/>
              <w:right w:w="113" w:type="dxa"/>
            </w:tcMar>
            <w:vAlign w:val="center"/>
          </w:tcPr>
          <w:p w14:paraId="1598291F" w14:textId="77777777" w:rsidR="009C7CAD" w:rsidRPr="009C7CAD" w:rsidRDefault="009C7CAD" w:rsidP="003D5A6B">
            <w:pPr>
              <w:pStyle w:val="CDIFigure-Table-BodyTextCentre"/>
              <w:keepNext/>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096E5305" w14:textId="77777777" w:rsidR="009C7CAD" w:rsidRPr="009C7CAD" w:rsidRDefault="009C7CAD" w:rsidP="009C7CAD">
            <w:pPr>
              <w:pStyle w:val="CDIFigure-Table-BodyTextCentre"/>
            </w:pPr>
            <w:r w:rsidRPr="009C7CAD">
              <w:t>24.1</w:t>
            </w:r>
          </w:p>
        </w:tc>
        <w:tc>
          <w:tcPr>
            <w:tcW w:w="1509" w:type="dxa"/>
            <w:shd w:val="clear" w:color="auto" w:fill="F2F2F2" w:themeFill="background1" w:themeFillShade="F2"/>
            <w:tcMar>
              <w:top w:w="88" w:type="dxa"/>
              <w:left w:w="113" w:type="dxa"/>
              <w:bottom w:w="88" w:type="dxa"/>
              <w:right w:w="113" w:type="dxa"/>
            </w:tcMar>
            <w:vAlign w:val="center"/>
          </w:tcPr>
          <w:p w14:paraId="6873A89A" w14:textId="77777777" w:rsidR="009C7CAD" w:rsidRPr="009C7CAD" w:rsidRDefault="009C7CAD" w:rsidP="009C7CAD">
            <w:pPr>
              <w:pStyle w:val="CDIFigure-Table-BodyTextCentre"/>
            </w:pPr>
            <w:r w:rsidRPr="009C7CAD">
              <w:t>11.1</w:t>
            </w:r>
          </w:p>
        </w:tc>
        <w:tc>
          <w:tcPr>
            <w:tcW w:w="1510" w:type="dxa"/>
            <w:shd w:val="clear" w:color="auto" w:fill="F2F2F2" w:themeFill="background1" w:themeFillShade="F2"/>
            <w:tcMar>
              <w:top w:w="88" w:type="dxa"/>
              <w:left w:w="113" w:type="dxa"/>
              <w:bottom w:w="88" w:type="dxa"/>
              <w:right w:w="113" w:type="dxa"/>
            </w:tcMar>
            <w:vAlign w:val="center"/>
          </w:tcPr>
          <w:p w14:paraId="38180838" w14:textId="77777777" w:rsidR="009C7CAD" w:rsidRPr="009C7CAD" w:rsidRDefault="009C7CAD" w:rsidP="009C7CAD">
            <w:pPr>
              <w:pStyle w:val="CDIFigure-Table-BodyTextCentre"/>
            </w:pPr>
            <w:r w:rsidRPr="009C7CAD">
              <w:t>1.7</w:t>
            </w:r>
          </w:p>
        </w:tc>
        <w:tc>
          <w:tcPr>
            <w:tcW w:w="1509" w:type="dxa"/>
            <w:shd w:val="clear" w:color="auto" w:fill="F2F2F2" w:themeFill="background1" w:themeFillShade="F2"/>
            <w:tcMar>
              <w:top w:w="88" w:type="dxa"/>
              <w:left w:w="113" w:type="dxa"/>
              <w:bottom w:w="88" w:type="dxa"/>
              <w:right w:w="113" w:type="dxa"/>
            </w:tcMar>
            <w:vAlign w:val="center"/>
          </w:tcPr>
          <w:p w14:paraId="0D0011E1" w14:textId="77777777" w:rsidR="009C7CAD" w:rsidRPr="009C7CAD" w:rsidRDefault="009C7CAD" w:rsidP="009C7CAD">
            <w:pPr>
              <w:pStyle w:val="CDIFigure-Table-BodyTextCentre"/>
            </w:pPr>
            <w:r w:rsidRPr="009C7CAD">
              <w:t>0.46</w:t>
            </w:r>
          </w:p>
        </w:tc>
        <w:tc>
          <w:tcPr>
            <w:tcW w:w="1509" w:type="dxa"/>
            <w:shd w:val="clear" w:color="auto" w:fill="F2F2F2" w:themeFill="background1" w:themeFillShade="F2"/>
            <w:tcMar>
              <w:top w:w="88" w:type="dxa"/>
              <w:left w:w="113" w:type="dxa"/>
              <w:bottom w:w="88" w:type="dxa"/>
              <w:right w:w="113" w:type="dxa"/>
            </w:tcMar>
            <w:vAlign w:val="center"/>
          </w:tcPr>
          <w:p w14:paraId="56BAADCB" w14:textId="77777777" w:rsidR="009C7CAD" w:rsidRPr="009C7CAD" w:rsidRDefault="009C7CAD" w:rsidP="009C7CAD">
            <w:pPr>
              <w:pStyle w:val="CDIFigure-Table-BodyTextCentre"/>
            </w:pPr>
            <w:r w:rsidRPr="009C7CAD">
              <w:t xml:space="preserve"> 0.34–0.61</w:t>
            </w:r>
          </w:p>
        </w:tc>
        <w:tc>
          <w:tcPr>
            <w:tcW w:w="1510" w:type="dxa"/>
            <w:shd w:val="clear" w:color="auto" w:fill="F2F2F2" w:themeFill="background1" w:themeFillShade="F2"/>
            <w:tcMar>
              <w:top w:w="88" w:type="dxa"/>
              <w:left w:w="113" w:type="dxa"/>
              <w:bottom w:w="88" w:type="dxa"/>
              <w:right w:w="113" w:type="dxa"/>
            </w:tcMar>
            <w:vAlign w:val="center"/>
          </w:tcPr>
          <w:p w14:paraId="52AA2268" w14:textId="77777777" w:rsidR="009C7CAD" w:rsidRPr="009C7CAD" w:rsidRDefault="009C7CAD" w:rsidP="009C7CAD">
            <w:pPr>
              <w:pStyle w:val="CDIFigure-Table-BodyTextCentre"/>
            </w:pPr>
            <w:r w:rsidRPr="009C7CAD">
              <w:t>0.07</w:t>
            </w:r>
          </w:p>
        </w:tc>
        <w:tc>
          <w:tcPr>
            <w:tcW w:w="1509" w:type="dxa"/>
            <w:shd w:val="clear" w:color="auto" w:fill="F2F2F2" w:themeFill="background1" w:themeFillShade="F2"/>
            <w:tcMar>
              <w:top w:w="88" w:type="dxa"/>
              <w:left w:w="113" w:type="dxa"/>
              <w:bottom w:w="88" w:type="dxa"/>
              <w:right w:w="113" w:type="dxa"/>
            </w:tcMar>
            <w:vAlign w:val="center"/>
          </w:tcPr>
          <w:p w14:paraId="63F6CB91" w14:textId="77777777" w:rsidR="009C7CAD" w:rsidRPr="009C7CAD" w:rsidRDefault="009C7CAD" w:rsidP="009C7CAD">
            <w:pPr>
              <w:pStyle w:val="CDIFigure-Table-BodyTextCentre"/>
            </w:pPr>
            <w:r w:rsidRPr="009C7CAD">
              <w:t xml:space="preserve"> 0.03–0.13</w:t>
            </w:r>
          </w:p>
        </w:tc>
      </w:tr>
      <w:tr w:rsidR="009C7CAD" w:rsidRPr="009C7CAD" w14:paraId="4F9196A8"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413AFEDF" w14:textId="77777777" w:rsidR="009C7CAD" w:rsidRPr="009C7CAD" w:rsidRDefault="009C7CAD" w:rsidP="009C7CAD"/>
        </w:tc>
        <w:tc>
          <w:tcPr>
            <w:tcW w:w="1509" w:type="dxa"/>
            <w:tcMar>
              <w:top w:w="88" w:type="dxa"/>
              <w:left w:w="113" w:type="dxa"/>
              <w:bottom w:w="88" w:type="dxa"/>
              <w:right w:w="113" w:type="dxa"/>
            </w:tcMar>
            <w:vAlign w:val="center"/>
          </w:tcPr>
          <w:p w14:paraId="0F5088FB"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1FA3C21A" w14:textId="77777777" w:rsidR="009C7CAD" w:rsidRPr="009C7CAD" w:rsidRDefault="009C7CAD" w:rsidP="009C7CAD">
            <w:pPr>
              <w:pStyle w:val="CDIFigure-Table-BodyTextCentre"/>
            </w:pPr>
            <w:r w:rsidRPr="009C7CAD">
              <w:t>18.6</w:t>
            </w:r>
          </w:p>
        </w:tc>
        <w:tc>
          <w:tcPr>
            <w:tcW w:w="1509" w:type="dxa"/>
            <w:tcMar>
              <w:top w:w="88" w:type="dxa"/>
              <w:left w:w="113" w:type="dxa"/>
              <w:bottom w:w="88" w:type="dxa"/>
              <w:right w:w="113" w:type="dxa"/>
            </w:tcMar>
            <w:vAlign w:val="center"/>
          </w:tcPr>
          <w:p w14:paraId="685A2CC5" w14:textId="77777777" w:rsidR="009C7CAD" w:rsidRPr="009C7CAD" w:rsidRDefault="009C7CAD" w:rsidP="009C7CAD">
            <w:pPr>
              <w:pStyle w:val="CDIFigure-Table-BodyTextCentre"/>
            </w:pPr>
            <w:r w:rsidRPr="009C7CAD">
              <w:t>6.4</w:t>
            </w:r>
          </w:p>
        </w:tc>
        <w:tc>
          <w:tcPr>
            <w:tcW w:w="1510" w:type="dxa"/>
            <w:tcMar>
              <w:top w:w="88" w:type="dxa"/>
              <w:left w:w="113" w:type="dxa"/>
              <w:bottom w:w="88" w:type="dxa"/>
              <w:right w:w="113" w:type="dxa"/>
            </w:tcMar>
            <w:vAlign w:val="center"/>
          </w:tcPr>
          <w:p w14:paraId="66746CC9" w14:textId="77777777" w:rsidR="009C7CAD" w:rsidRPr="009C7CAD" w:rsidRDefault="009C7CAD" w:rsidP="009C7CAD">
            <w:pPr>
              <w:pStyle w:val="CDIFigure-Table-BodyTextCentre"/>
            </w:pPr>
            <w:r w:rsidRPr="009C7CAD">
              <w:t>1.1</w:t>
            </w:r>
          </w:p>
        </w:tc>
        <w:tc>
          <w:tcPr>
            <w:tcW w:w="1509" w:type="dxa"/>
            <w:tcMar>
              <w:top w:w="88" w:type="dxa"/>
              <w:left w:w="113" w:type="dxa"/>
              <w:bottom w:w="88" w:type="dxa"/>
              <w:right w:w="113" w:type="dxa"/>
            </w:tcMar>
            <w:vAlign w:val="center"/>
          </w:tcPr>
          <w:p w14:paraId="1B7E5874" w14:textId="77777777" w:rsidR="009C7CAD" w:rsidRPr="009C7CAD" w:rsidRDefault="009C7CAD" w:rsidP="009C7CAD">
            <w:pPr>
              <w:pStyle w:val="CDIFigure-Table-BodyTextCentre"/>
            </w:pPr>
            <w:r w:rsidRPr="009C7CAD">
              <w:t>0.34</w:t>
            </w:r>
          </w:p>
        </w:tc>
        <w:tc>
          <w:tcPr>
            <w:tcW w:w="1509" w:type="dxa"/>
            <w:tcMar>
              <w:top w:w="88" w:type="dxa"/>
              <w:left w:w="113" w:type="dxa"/>
              <w:bottom w:w="88" w:type="dxa"/>
              <w:right w:w="113" w:type="dxa"/>
            </w:tcMar>
            <w:vAlign w:val="center"/>
          </w:tcPr>
          <w:p w14:paraId="5914102A" w14:textId="77777777" w:rsidR="009C7CAD" w:rsidRPr="009C7CAD" w:rsidRDefault="009C7CAD" w:rsidP="009C7CAD">
            <w:pPr>
              <w:pStyle w:val="CDIFigure-Table-BodyTextCentre"/>
            </w:pPr>
            <w:r w:rsidRPr="009C7CAD">
              <w:t xml:space="preserve"> 0.29–0.41</w:t>
            </w:r>
          </w:p>
        </w:tc>
        <w:tc>
          <w:tcPr>
            <w:tcW w:w="1510" w:type="dxa"/>
            <w:tcMar>
              <w:top w:w="88" w:type="dxa"/>
              <w:left w:w="113" w:type="dxa"/>
              <w:bottom w:w="88" w:type="dxa"/>
              <w:right w:w="113" w:type="dxa"/>
            </w:tcMar>
            <w:vAlign w:val="center"/>
          </w:tcPr>
          <w:p w14:paraId="71BCF3AC" w14:textId="77777777" w:rsidR="009C7CAD" w:rsidRPr="009C7CAD" w:rsidRDefault="009C7CAD" w:rsidP="009C7CAD">
            <w:pPr>
              <w:pStyle w:val="CDIFigure-Table-BodyTextCentre"/>
            </w:pPr>
            <w:r w:rsidRPr="009C7CAD">
              <w:t>0.06</w:t>
            </w:r>
          </w:p>
        </w:tc>
        <w:tc>
          <w:tcPr>
            <w:tcW w:w="1509" w:type="dxa"/>
            <w:tcMar>
              <w:top w:w="88" w:type="dxa"/>
              <w:left w:w="113" w:type="dxa"/>
              <w:bottom w:w="88" w:type="dxa"/>
              <w:right w:w="113" w:type="dxa"/>
            </w:tcMar>
            <w:vAlign w:val="center"/>
          </w:tcPr>
          <w:p w14:paraId="78DCF435" w14:textId="77777777" w:rsidR="009C7CAD" w:rsidRPr="009C7CAD" w:rsidRDefault="009C7CAD" w:rsidP="009C7CAD">
            <w:pPr>
              <w:pStyle w:val="CDIFigure-Table-BodyTextCentre"/>
            </w:pPr>
            <w:r w:rsidRPr="009C7CAD">
              <w:t xml:space="preserve"> 0.04–0.08</w:t>
            </w:r>
          </w:p>
        </w:tc>
      </w:tr>
      <w:tr w:rsidR="006A4AE7" w:rsidRPr="009C7CAD" w14:paraId="71DCDDD3"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1F4D792F"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7A2EC4DB"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6F42FC05" w14:textId="77777777" w:rsidR="009C7CAD" w:rsidRPr="009C7CAD" w:rsidRDefault="009C7CAD" w:rsidP="009C7CAD">
            <w:pPr>
              <w:pStyle w:val="CDIFigure-Table-BodyTextCentre"/>
            </w:pPr>
            <w:r w:rsidRPr="009C7CAD">
              <w:t>12.0</w:t>
            </w:r>
          </w:p>
        </w:tc>
        <w:tc>
          <w:tcPr>
            <w:tcW w:w="1509" w:type="dxa"/>
            <w:shd w:val="clear" w:color="auto" w:fill="F2F2F2" w:themeFill="background1" w:themeFillShade="F2"/>
            <w:tcMar>
              <w:top w:w="88" w:type="dxa"/>
              <w:left w:w="113" w:type="dxa"/>
              <w:bottom w:w="88" w:type="dxa"/>
              <w:right w:w="113" w:type="dxa"/>
            </w:tcMar>
            <w:vAlign w:val="center"/>
          </w:tcPr>
          <w:p w14:paraId="77CB2C65" w14:textId="77777777" w:rsidR="009C7CAD" w:rsidRPr="009C7CAD" w:rsidRDefault="009C7CAD" w:rsidP="009C7CAD">
            <w:pPr>
              <w:pStyle w:val="CDIFigure-Table-BodyTextCentre"/>
            </w:pPr>
            <w:r w:rsidRPr="009C7CAD">
              <w:t>5.9</w:t>
            </w:r>
          </w:p>
        </w:tc>
        <w:tc>
          <w:tcPr>
            <w:tcW w:w="1510" w:type="dxa"/>
            <w:shd w:val="clear" w:color="auto" w:fill="F2F2F2" w:themeFill="background1" w:themeFillShade="F2"/>
            <w:tcMar>
              <w:top w:w="88" w:type="dxa"/>
              <w:left w:w="113" w:type="dxa"/>
              <w:bottom w:w="88" w:type="dxa"/>
              <w:right w:w="113" w:type="dxa"/>
            </w:tcMar>
            <w:vAlign w:val="center"/>
          </w:tcPr>
          <w:p w14:paraId="48732423" w14:textId="77777777" w:rsidR="009C7CAD" w:rsidRPr="009C7CAD" w:rsidRDefault="009C7CAD" w:rsidP="009C7CAD">
            <w:pPr>
              <w:pStyle w:val="CDIFigure-Table-BodyTextCentre"/>
            </w:pPr>
            <w:r w:rsidRPr="009C7CAD">
              <w:t>1.0</w:t>
            </w:r>
          </w:p>
        </w:tc>
        <w:tc>
          <w:tcPr>
            <w:tcW w:w="1509" w:type="dxa"/>
            <w:shd w:val="clear" w:color="auto" w:fill="F2F2F2" w:themeFill="background1" w:themeFillShade="F2"/>
            <w:tcMar>
              <w:top w:w="88" w:type="dxa"/>
              <w:left w:w="113" w:type="dxa"/>
              <w:bottom w:w="88" w:type="dxa"/>
              <w:right w:w="113" w:type="dxa"/>
            </w:tcMar>
            <w:vAlign w:val="center"/>
          </w:tcPr>
          <w:p w14:paraId="043E3FE4" w14:textId="77777777" w:rsidR="009C7CAD" w:rsidRPr="009C7CAD" w:rsidRDefault="009C7CAD" w:rsidP="009C7CAD">
            <w:pPr>
              <w:pStyle w:val="CDIFigure-Table-BodyTextCentre"/>
            </w:pPr>
            <w:r w:rsidRPr="009C7CAD">
              <w:t>0.49</w:t>
            </w:r>
          </w:p>
        </w:tc>
        <w:tc>
          <w:tcPr>
            <w:tcW w:w="1509" w:type="dxa"/>
            <w:shd w:val="clear" w:color="auto" w:fill="F2F2F2" w:themeFill="background1" w:themeFillShade="F2"/>
            <w:tcMar>
              <w:top w:w="88" w:type="dxa"/>
              <w:left w:w="113" w:type="dxa"/>
              <w:bottom w:w="88" w:type="dxa"/>
              <w:right w:w="113" w:type="dxa"/>
            </w:tcMar>
            <w:vAlign w:val="center"/>
          </w:tcPr>
          <w:p w14:paraId="6325B3E4" w14:textId="77777777" w:rsidR="009C7CAD" w:rsidRPr="009C7CAD" w:rsidRDefault="009C7CAD" w:rsidP="009C7CAD">
            <w:pPr>
              <w:pStyle w:val="CDIFigure-Table-BodyTextCentre"/>
            </w:pPr>
            <w:r w:rsidRPr="009C7CAD">
              <w:t xml:space="preserve"> 0.31–0.76</w:t>
            </w:r>
          </w:p>
        </w:tc>
        <w:tc>
          <w:tcPr>
            <w:tcW w:w="1510" w:type="dxa"/>
            <w:shd w:val="clear" w:color="auto" w:fill="F2F2F2" w:themeFill="background1" w:themeFillShade="F2"/>
            <w:tcMar>
              <w:top w:w="88" w:type="dxa"/>
              <w:left w:w="113" w:type="dxa"/>
              <w:bottom w:w="88" w:type="dxa"/>
              <w:right w:w="113" w:type="dxa"/>
            </w:tcMar>
            <w:vAlign w:val="center"/>
          </w:tcPr>
          <w:p w14:paraId="38731628" w14:textId="77777777" w:rsidR="009C7CAD" w:rsidRPr="009C7CAD" w:rsidRDefault="009C7CAD" w:rsidP="009C7CAD">
            <w:pPr>
              <w:pStyle w:val="CDIFigure-Table-BodyTextCentre"/>
            </w:pPr>
            <w:r w:rsidRPr="009C7CAD">
              <w:t>0.08</w:t>
            </w:r>
          </w:p>
        </w:tc>
        <w:tc>
          <w:tcPr>
            <w:tcW w:w="1509" w:type="dxa"/>
            <w:shd w:val="clear" w:color="auto" w:fill="F2F2F2" w:themeFill="background1" w:themeFillShade="F2"/>
            <w:tcMar>
              <w:top w:w="88" w:type="dxa"/>
              <w:left w:w="113" w:type="dxa"/>
              <w:bottom w:w="88" w:type="dxa"/>
              <w:right w:w="113" w:type="dxa"/>
            </w:tcMar>
            <w:vAlign w:val="center"/>
          </w:tcPr>
          <w:p w14:paraId="3225DEB0" w14:textId="77777777" w:rsidR="009C7CAD" w:rsidRPr="009C7CAD" w:rsidRDefault="009C7CAD" w:rsidP="009C7CAD">
            <w:pPr>
              <w:pStyle w:val="CDIFigure-Table-BodyTextCentre"/>
            </w:pPr>
            <w:r w:rsidRPr="009C7CAD">
              <w:t xml:space="preserve"> 0.03–0.19</w:t>
            </w:r>
          </w:p>
        </w:tc>
      </w:tr>
      <w:tr w:rsidR="009C7CAD" w:rsidRPr="009C7CAD" w14:paraId="52BF6E9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4136EA54" w14:textId="77777777" w:rsidR="009C7CAD" w:rsidRPr="009C7CAD" w:rsidRDefault="009C7CAD" w:rsidP="009C7CAD"/>
        </w:tc>
        <w:tc>
          <w:tcPr>
            <w:tcW w:w="1509" w:type="dxa"/>
            <w:tcBorders>
              <w:bottom w:val="single" w:sz="6" w:space="0" w:color="033636" w:themeColor="text2"/>
            </w:tcBorders>
            <w:tcMar>
              <w:top w:w="88" w:type="dxa"/>
              <w:left w:w="113" w:type="dxa"/>
              <w:bottom w:w="88" w:type="dxa"/>
              <w:right w:w="113" w:type="dxa"/>
            </w:tcMar>
            <w:vAlign w:val="center"/>
          </w:tcPr>
          <w:p w14:paraId="72C869F6"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0D95ED38" w14:textId="77777777" w:rsidR="009C7CAD" w:rsidRPr="003D5A6B" w:rsidRDefault="009C7CAD" w:rsidP="009C7CAD">
            <w:pPr>
              <w:pStyle w:val="CDIFigure-Table-BodyTextCentre"/>
              <w:rPr>
                <w:b/>
                <w:bCs/>
              </w:rPr>
            </w:pPr>
            <w:r w:rsidRPr="003D5A6B">
              <w:rPr>
                <w:b/>
                <w:bCs/>
              </w:rPr>
              <w:t>36.1</w:t>
            </w:r>
          </w:p>
        </w:tc>
        <w:tc>
          <w:tcPr>
            <w:tcW w:w="1509" w:type="dxa"/>
            <w:tcBorders>
              <w:bottom w:val="single" w:sz="6" w:space="0" w:color="033636" w:themeColor="text2"/>
            </w:tcBorders>
            <w:tcMar>
              <w:top w:w="88" w:type="dxa"/>
              <w:left w:w="113" w:type="dxa"/>
              <w:bottom w:w="88" w:type="dxa"/>
              <w:right w:w="113" w:type="dxa"/>
            </w:tcMar>
            <w:vAlign w:val="center"/>
          </w:tcPr>
          <w:p w14:paraId="4BBA31B8" w14:textId="77777777" w:rsidR="009C7CAD" w:rsidRPr="003D5A6B" w:rsidRDefault="009C7CAD" w:rsidP="009C7CAD">
            <w:pPr>
              <w:pStyle w:val="CDIFigure-Table-BodyTextCentre"/>
              <w:rPr>
                <w:b/>
                <w:bCs/>
              </w:rPr>
            </w:pPr>
            <w:r w:rsidRPr="003D5A6B">
              <w:rPr>
                <w:b/>
                <w:bCs/>
              </w:rPr>
              <w:t>9.5</w:t>
            </w:r>
          </w:p>
        </w:tc>
        <w:tc>
          <w:tcPr>
            <w:tcW w:w="1510" w:type="dxa"/>
            <w:tcBorders>
              <w:bottom w:val="single" w:sz="6" w:space="0" w:color="033636" w:themeColor="text2"/>
            </w:tcBorders>
            <w:tcMar>
              <w:top w:w="88" w:type="dxa"/>
              <w:left w:w="113" w:type="dxa"/>
              <w:bottom w:w="88" w:type="dxa"/>
              <w:right w:w="113" w:type="dxa"/>
            </w:tcMar>
            <w:vAlign w:val="center"/>
          </w:tcPr>
          <w:p w14:paraId="41123869" w14:textId="77777777" w:rsidR="009C7CAD" w:rsidRPr="003D5A6B" w:rsidRDefault="009C7CAD" w:rsidP="009C7CAD">
            <w:pPr>
              <w:pStyle w:val="CDIFigure-Table-BodyTextCentre"/>
              <w:rPr>
                <w:b/>
                <w:bCs/>
              </w:rPr>
            </w:pPr>
            <w:r w:rsidRPr="003D5A6B">
              <w:rPr>
                <w:b/>
                <w:bCs/>
              </w:rPr>
              <w:t>1.9</w:t>
            </w:r>
          </w:p>
        </w:tc>
        <w:tc>
          <w:tcPr>
            <w:tcW w:w="1509" w:type="dxa"/>
            <w:tcBorders>
              <w:bottom w:val="single" w:sz="6" w:space="0" w:color="033636" w:themeColor="text2"/>
            </w:tcBorders>
            <w:tcMar>
              <w:top w:w="88" w:type="dxa"/>
              <w:left w:w="113" w:type="dxa"/>
              <w:bottom w:w="88" w:type="dxa"/>
              <w:right w:w="113" w:type="dxa"/>
            </w:tcMar>
            <w:vAlign w:val="center"/>
          </w:tcPr>
          <w:p w14:paraId="730AE271" w14:textId="77777777" w:rsidR="009C7CAD" w:rsidRPr="003D5A6B" w:rsidRDefault="009C7CAD" w:rsidP="009C7CAD">
            <w:pPr>
              <w:pStyle w:val="CDIFigure-Table-BodyTextCentre"/>
              <w:rPr>
                <w:b/>
                <w:bCs/>
              </w:rPr>
            </w:pPr>
            <w:r w:rsidRPr="003D5A6B">
              <w:rPr>
                <w:b/>
                <w:bCs/>
              </w:rPr>
              <w:t>0.26</w:t>
            </w:r>
          </w:p>
        </w:tc>
        <w:tc>
          <w:tcPr>
            <w:tcW w:w="1509" w:type="dxa"/>
            <w:tcBorders>
              <w:bottom w:val="single" w:sz="6" w:space="0" w:color="033636" w:themeColor="text2"/>
            </w:tcBorders>
            <w:tcMar>
              <w:top w:w="88" w:type="dxa"/>
              <w:left w:w="113" w:type="dxa"/>
              <w:bottom w:w="88" w:type="dxa"/>
              <w:right w:w="113" w:type="dxa"/>
            </w:tcMar>
            <w:vAlign w:val="center"/>
          </w:tcPr>
          <w:p w14:paraId="039E0224" w14:textId="77777777" w:rsidR="009C7CAD" w:rsidRPr="003D5A6B" w:rsidRDefault="009C7CAD" w:rsidP="009C7CAD">
            <w:pPr>
              <w:pStyle w:val="CDIFigure-Table-BodyTextCentre"/>
              <w:rPr>
                <w:b/>
                <w:bCs/>
              </w:rPr>
            </w:pPr>
            <w:r w:rsidRPr="003D5A6B">
              <w:rPr>
                <w:b/>
                <w:bCs/>
              </w:rPr>
              <w:t xml:space="preserve"> 0.24–0.29</w:t>
            </w:r>
          </w:p>
        </w:tc>
        <w:tc>
          <w:tcPr>
            <w:tcW w:w="1510" w:type="dxa"/>
            <w:tcBorders>
              <w:bottom w:val="single" w:sz="6" w:space="0" w:color="033636" w:themeColor="text2"/>
            </w:tcBorders>
            <w:tcMar>
              <w:top w:w="88" w:type="dxa"/>
              <w:left w:w="113" w:type="dxa"/>
              <w:bottom w:w="88" w:type="dxa"/>
              <w:right w:w="113" w:type="dxa"/>
            </w:tcMar>
            <w:vAlign w:val="center"/>
          </w:tcPr>
          <w:p w14:paraId="5FC4C092" w14:textId="77777777" w:rsidR="009C7CAD" w:rsidRPr="003D5A6B" w:rsidRDefault="009C7CAD" w:rsidP="009C7CAD">
            <w:pPr>
              <w:pStyle w:val="CDIFigure-Table-BodyTextCentre"/>
              <w:rPr>
                <w:b/>
                <w:bCs/>
              </w:rPr>
            </w:pPr>
            <w:r w:rsidRPr="003D5A6B">
              <w:rPr>
                <w:b/>
                <w:bCs/>
              </w:rPr>
              <w:t>0.05</w:t>
            </w:r>
          </w:p>
        </w:tc>
        <w:tc>
          <w:tcPr>
            <w:tcW w:w="1509" w:type="dxa"/>
            <w:tcBorders>
              <w:bottom w:val="single" w:sz="6" w:space="0" w:color="033636" w:themeColor="text2"/>
            </w:tcBorders>
            <w:tcMar>
              <w:top w:w="88" w:type="dxa"/>
              <w:left w:w="113" w:type="dxa"/>
              <w:bottom w:w="88" w:type="dxa"/>
              <w:right w:w="113" w:type="dxa"/>
            </w:tcMar>
            <w:vAlign w:val="center"/>
          </w:tcPr>
          <w:p w14:paraId="1A1C824C" w14:textId="77777777" w:rsidR="009C7CAD" w:rsidRPr="003D5A6B" w:rsidRDefault="009C7CAD" w:rsidP="009C7CAD">
            <w:pPr>
              <w:pStyle w:val="CDIFigure-Table-BodyTextCentre"/>
              <w:rPr>
                <w:b/>
                <w:bCs/>
              </w:rPr>
            </w:pPr>
            <w:r w:rsidRPr="003D5A6B">
              <w:rPr>
                <w:b/>
                <w:bCs/>
              </w:rPr>
              <w:t xml:space="preserve"> 0.04–0.06</w:t>
            </w:r>
          </w:p>
        </w:tc>
      </w:tr>
      <w:tr w:rsidR="003D5A6B" w:rsidRPr="009C7CAD" w14:paraId="1B2A6B48" w14:textId="77777777" w:rsidTr="003D5A6B">
        <w:trPr>
          <w:trHeight w:val="20"/>
        </w:trPr>
        <w:tc>
          <w:tcPr>
            <w:tcW w:w="2268" w:type="dxa"/>
            <w:vMerge w:val="restart"/>
            <w:tcBorders>
              <w:top w:val="single" w:sz="6" w:space="0" w:color="033636" w:themeColor="text2"/>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150317B6" w14:textId="1CD4C90C" w:rsidR="003D5A6B" w:rsidRPr="009C7CAD" w:rsidRDefault="003D5A6B" w:rsidP="009C7CAD">
            <w:pPr>
              <w:pStyle w:val="CDIFigure-Table-BodyTextLeft"/>
            </w:pPr>
            <w:r w:rsidRPr="009C7CAD">
              <w:t>South Australia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2B16E12" w14:textId="77777777" w:rsidR="003D5A6B" w:rsidRPr="009C7CAD" w:rsidRDefault="003D5A6B" w:rsidP="009C7CAD">
            <w:pPr>
              <w:pStyle w:val="CDIFigure-Table-BodyTextCentre"/>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BD870EB" w14:textId="77777777" w:rsidR="003D5A6B" w:rsidRPr="009C7CAD" w:rsidRDefault="003D5A6B" w:rsidP="009C7CAD">
            <w:pPr>
              <w:pStyle w:val="CDIFigure-Table-BodyTextCentre"/>
            </w:pPr>
            <w:r w:rsidRPr="009C7CAD">
              <w:t>122.5</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970D30C" w14:textId="77777777" w:rsidR="003D5A6B" w:rsidRPr="009C7CAD" w:rsidRDefault="003D5A6B" w:rsidP="009C7CAD">
            <w:pPr>
              <w:pStyle w:val="CDIFigure-Table-BodyTextCentre"/>
            </w:pPr>
            <w:r w:rsidRPr="009C7CAD">
              <w:t>18.3</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85D2783" w14:textId="77777777" w:rsidR="003D5A6B" w:rsidRPr="009C7CAD" w:rsidRDefault="003D5A6B" w:rsidP="009C7CAD">
            <w:pPr>
              <w:pStyle w:val="CDIFigure-Table-BodyTextCentre"/>
            </w:pPr>
            <w:r w:rsidRPr="009C7CAD">
              <w:t>5.1</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8C19040" w14:textId="77777777" w:rsidR="003D5A6B" w:rsidRPr="009C7CAD" w:rsidRDefault="003D5A6B" w:rsidP="009C7CAD">
            <w:pPr>
              <w:pStyle w:val="CDIFigure-Table-BodyTextCentre"/>
            </w:pPr>
            <w:r w:rsidRPr="009C7CAD">
              <w:t>0.15</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4C7C1EA" w14:textId="77777777" w:rsidR="003D5A6B" w:rsidRPr="009C7CAD" w:rsidRDefault="003D5A6B" w:rsidP="009C7CAD">
            <w:pPr>
              <w:pStyle w:val="CDIFigure-Table-BodyTextCentre"/>
            </w:pPr>
            <w:r w:rsidRPr="009C7CAD">
              <w:t xml:space="preserve"> 0.09–0.24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E66FF9B" w14:textId="77777777" w:rsidR="003D5A6B" w:rsidRPr="009C7CAD" w:rsidRDefault="003D5A6B" w:rsidP="009C7CAD">
            <w:pPr>
              <w:pStyle w:val="CDIFigure-Table-BodyTextCentre"/>
            </w:pPr>
            <w:r w:rsidRPr="009C7CAD">
              <w:t>0.04</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068AFBC" w14:textId="77777777" w:rsidR="003D5A6B" w:rsidRPr="009C7CAD" w:rsidRDefault="003D5A6B" w:rsidP="009C7CAD">
            <w:pPr>
              <w:pStyle w:val="CDIFigure-Table-BodyTextCentre"/>
            </w:pPr>
            <w:r w:rsidRPr="009C7CAD">
              <w:t xml:space="preserve"> 0.01–0.10</w:t>
            </w:r>
          </w:p>
        </w:tc>
      </w:tr>
      <w:tr w:rsidR="003D5A6B" w:rsidRPr="009C7CAD" w14:paraId="2B826B4E" w14:textId="77777777" w:rsidTr="003D5A6B">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45627489" w14:textId="5C53FB19" w:rsidR="003D5A6B" w:rsidRPr="009C7CAD" w:rsidRDefault="003D5A6B" w:rsidP="009C7CAD">
            <w:pPr>
              <w:pStyle w:val="CDIFigure-Table-BodyTextLeft"/>
            </w:pPr>
          </w:p>
        </w:tc>
        <w:tc>
          <w:tcPr>
            <w:tcW w:w="1509" w:type="dxa"/>
            <w:tcMar>
              <w:top w:w="88" w:type="dxa"/>
              <w:left w:w="113" w:type="dxa"/>
              <w:bottom w:w="88" w:type="dxa"/>
              <w:right w:w="113" w:type="dxa"/>
            </w:tcMar>
            <w:vAlign w:val="center"/>
          </w:tcPr>
          <w:p w14:paraId="6D1D7B44" w14:textId="77777777" w:rsidR="003D5A6B" w:rsidRPr="009C7CAD" w:rsidRDefault="003D5A6B" w:rsidP="009C7CAD">
            <w:pPr>
              <w:pStyle w:val="CDIFigure-Table-BodyTextCentre"/>
            </w:pPr>
            <w:r w:rsidRPr="009C7CAD">
              <w:t>5–14</w:t>
            </w:r>
          </w:p>
        </w:tc>
        <w:tc>
          <w:tcPr>
            <w:tcW w:w="1510" w:type="dxa"/>
            <w:tcMar>
              <w:top w:w="88" w:type="dxa"/>
              <w:left w:w="113" w:type="dxa"/>
              <w:bottom w:w="88" w:type="dxa"/>
              <w:right w:w="113" w:type="dxa"/>
            </w:tcMar>
            <w:vAlign w:val="center"/>
          </w:tcPr>
          <w:p w14:paraId="1F0ED531" w14:textId="77777777" w:rsidR="003D5A6B" w:rsidRPr="009C7CAD" w:rsidRDefault="003D5A6B" w:rsidP="009C7CAD">
            <w:pPr>
              <w:pStyle w:val="CDIFigure-Table-BodyTextCentre"/>
            </w:pPr>
            <w:r w:rsidRPr="009C7CAD">
              <w:t>228.4</w:t>
            </w:r>
          </w:p>
        </w:tc>
        <w:tc>
          <w:tcPr>
            <w:tcW w:w="1509" w:type="dxa"/>
            <w:tcMar>
              <w:top w:w="88" w:type="dxa"/>
              <w:left w:w="113" w:type="dxa"/>
              <w:bottom w:w="88" w:type="dxa"/>
              <w:right w:w="113" w:type="dxa"/>
            </w:tcMar>
            <w:vAlign w:val="center"/>
          </w:tcPr>
          <w:p w14:paraId="17158B73" w14:textId="77777777" w:rsidR="003D5A6B" w:rsidRPr="009C7CAD" w:rsidRDefault="003D5A6B" w:rsidP="009C7CAD">
            <w:pPr>
              <w:pStyle w:val="CDIFigure-Table-BodyTextCentre"/>
            </w:pPr>
            <w:r w:rsidRPr="009C7CAD">
              <w:t>21.1</w:t>
            </w:r>
          </w:p>
        </w:tc>
        <w:tc>
          <w:tcPr>
            <w:tcW w:w="1510" w:type="dxa"/>
            <w:tcMar>
              <w:top w:w="88" w:type="dxa"/>
              <w:left w:w="113" w:type="dxa"/>
              <w:bottom w:w="88" w:type="dxa"/>
              <w:right w:w="113" w:type="dxa"/>
            </w:tcMar>
            <w:vAlign w:val="center"/>
          </w:tcPr>
          <w:p w14:paraId="30937BAB" w14:textId="77777777" w:rsidR="003D5A6B" w:rsidRPr="009C7CAD" w:rsidRDefault="003D5A6B" w:rsidP="009C7CAD">
            <w:pPr>
              <w:pStyle w:val="CDIFigure-Table-BodyTextCentre"/>
            </w:pPr>
            <w:r w:rsidRPr="009C7CAD">
              <w:t>0.5</w:t>
            </w:r>
          </w:p>
        </w:tc>
        <w:tc>
          <w:tcPr>
            <w:tcW w:w="1509" w:type="dxa"/>
            <w:tcMar>
              <w:top w:w="88" w:type="dxa"/>
              <w:left w:w="113" w:type="dxa"/>
              <w:bottom w:w="88" w:type="dxa"/>
              <w:right w:w="113" w:type="dxa"/>
            </w:tcMar>
            <w:vAlign w:val="center"/>
          </w:tcPr>
          <w:p w14:paraId="24FC0E23" w14:textId="77777777" w:rsidR="003D5A6B" w:rsidRPr="009C7CAD" w:rsidRDefault="003D5A6B" w:rsidP="009C7CAD">
            <w:pPr>
              <w:pStyle w:val="CDIFigure-Table-BodyTextCentre"/>
            </w:pPr>
            <w:r w:rsidRPr="009C7CAD">
              <w:t>0.09</w:t>
            </w:r>
          </w:p>
        </w:tc>
        <w:tc>
          <w:tcPr>
            <w:tcW w:w="1509" w:type="dxa"/>
            <w:tcMar>
              <w:top w:w="88" w:type="dxa"/>
              <w:left w:w="113" w:type="dxa"/>
              <w:bottom w:w="88" w:type="dxa"/>
              <w:right w:w="113" w:type="dxa"/>
            </w:tcMar>
            <w:vAlign w:val="center"/>
          </w:tcPr>
          <w:p w14:paraId="74B72556" w14:textId="77777777" w:rsidR="003D5A6B" w:rsidRPr="009C7CAD" w:rsidRDefault="003D5A6B" w:rsidP="009C7CAD">
            <w:pPr>
              <w:pStyle w:val="CDIFigure-Table-BodyTextCentre"/>
            </w:pPr>
            <w:r w:rsidRPr="009C7CAD">
              <w:t xml:space="preserve"> 0.07–0.13</w:t>
            </w:r>
          </w:p>
        </w:tc>
        <w:tc>
          <w:tcPr>
            <w:tcW w:w="1510" w:type="dxa"/>
            <w:tcMar>
              <w:top w:w="88" w:type="dxa"/>
              <w:left w:w="113" w:type="dxa"/>
              <w:bottom w:w="88" w:type="dxa"/>
              <w:right w:w="113" w:type="dxa"/>
            </w:tcMar>
            <w:vAlign w:val="center"/>
          </w:tcPr>
          <w:p w14:paraId="31203F2B" w14:textId="77777777" w:rsidR="003D5A6B" w:rsidRPr="009C7CAD" w:rsidRDefault="003D5A6B" w:rsidP="009C7CAD">
            <w:pPr>
              <w:pStyle w:val="CDIFigure-Table-BodyTextCentre"/>
            </w:pPr>
            <w:r w:rsidRPr="009C7CAD">
              <w:t>0.00</w:t>
            </w:r>
          </w:p>
        </w:tc>
        <w:tc>
          <w:tcPr>
            <w:tcW w:w="1509" w:type="dxa"/>
            <w:tcMar>
              <w:top w:w="88" w:type="dxa"/>
              <w:left w:w="113" w:type="dxa"/>
              <w:bottom w:w="88" w:type="dxa"/>
              <w:right w:w="113" w:type="dxa"/>
            </w:tcMar>
            <w:vAlign w:val="center"/>
          </w:tcPr>
          <w:p w14:paraId="3D240FE4" w14:textId="77777777" w:rsidR="003D5A6B" w:rsidRPr="009C7CAD" w:rsidRDefault="003D5A6B" w:rsidP="009C7CAD">
            <w:pPr>
              <w:pStyle w:val="CDIFigure-Table-BodyTextCentre"/>
            </w:pPr>
            <w:r w:rsidRPr="009C7CAD">
              <w:t xml:space="preserve"> 0.00–0.01</w:t>
            </w:r>
          </w:p>
        </w:tc>
      </w:tr>
      <w:tr w:rsidR="003D5A6B" w:rsidRPr="009C7CAD" w14:paraId="132D530A" w14:textId="77777777" w:rsidTr="003D5A6B">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455B6222" w14:textId="77777777" w:rsidR="003D5A6B" w:rsidRPr="009C7CAD" w:rsidRDefault="003D5A6B" w:rsidP="009C7CAD">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5DD0812D" w14:textId="77777777" w:rsidR="003D5A6B" w:rsidRPr="009C7CAD" w:rsidRDefault="003D5A6B" w:rsidP="009C7CAD">
            <w:pPr>
              <w:pStyle w:val="CDIFigure-Table-BodyTextCentre"/>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22F8787C" w14:textId="77777777" w:rsidR="003D5A6B" w:rsidRPr="009C7CAD" w:rsidRDefault="003D5A6B" w:rsidP="009C7CAD">
            <w:pPr>
              <w:pStyle w:val="CDIFigure-Table-BodyTextCentre"/>
            </w:pPr>
            <w:r w:rsidRPr="009C7CAD">
              <w:t>51.4</w:t>
            </w:r>
          </w:p>
        </w:tc>
        <w:tc>
          <w:tcPr>
            <w:tcW w:w="1509" w:type="dxa"/>
            <w:shd w:val="clear" w:color="auto" w:fill="F2F2F2" w:themeFill="background1" w:themeFillShade="F2"/>
            <w:tcMar>
              <w:top w:w="88" w:type="dxa"/>
              <w:left w:w="113" w:type="dxa"/>
              <w:bottom w:w="88" w:type="dxa"/>
              <w:right w:w="113" w:type="dxa"/>
            </w:tcMar>
            <w:vAlign w:val="center"/>
          </w:tcPr>
          <w:p w14:paraId="3132FE6C" w14:textId="77777777" w:rsidR="003D5A6B" w:rsidRPr="009C7CAD" w:rsidRDefault="003D5A6B" w:rsidP="009C7CAD">
            <w:pPr>
              <w:pStyle w:val="CDIFigure-Table-BodyTextCentre"/>
            </w:pPr>
            <w:r w:rsidRPr="009C7CAD">
              <w:t>21.6</w:t>
            </w:r>
          </w:p>
        </w:tc>
        <w:tc>
          <w:tcPr>
            <w:tcW w:w="1510" w:type="dxa"/>
            <w:shd w:val="clear" w:color="auto" w:fill="F2F2F2" w:themeFill="background1" w:themeFillShade="F2"/>
            <w:tcMar>
              <w:top w:w="88" w:type="dxa"/>
              <w:left w:w="113" w:type="dxa"/>
              <w:bottom w:w="88" w:type="dxa"/>
              <w:right w:w="113" w:type="dxa"/>
            </w:tcMar>
            <w:vAlign w:val="center"/>
          </w:tcPr>
          <w:p w14:paraId="0C5732C1" w14:textId="77777777" w:rsidR="003D5A6B" w:rsidRPr="009C7CAD" w:rsidRDefault="003D5A6B" w:rsidP="009C7CAD">
            <w:pPr>
              <w:pStyle w:val="CDIFigure-Table-BodyTextCentre"/>
            </w:pPr>
            <w:r w:rsidRPr="009C7CAD">
              <w:t>0.5</w:t>
            </w:r>
          </w:p>
        </w:tc>
        <w:tc>
          <w:tcPr>
            <w:tcW w:w="1509" w:type="dxa"/>
            <w:shd w:val="clear" w:color="auto" w:fill="F2F2F2" w:themeFill="background1" w:themeFillShade="F2"/>
            <w:tcMar>
              <w:top w:w="88" w:type="dxa"/>
              <w:left w:w="113" w:type="dxa"/>
              <w:bottom w:w="88" w:type="dxa"/>
              <w:right w:w="113" w:type="dxa"/>
            </w:tcMar>
            <w:vAlign w:val="center"/>
          </w:tcPr>
          <w:p w14:paraId="0842CE77" w14:textId="77777777" w:rsidR="003D5A6B" w:rsidRPr="009C7CAD" w:rsidRDefault="003D5A6B" w:rsidP="009C7CAD">
            <w:pPr>
              <w:pStyle w:val="CDIFigure-Table-BodyTextCentre"/>
            </w:pPr>
            <w:r w:rsidRPr="009C7CAD">
              <w:t>0.42</w:t>
            </w:r>
          </w:p>
        </w:tc>
        <w:tc>
          <w:tcPr>
            <w:tcW w:w="1509" w:type="dxa"/>
            <w:shd w:val="clear" w:color="auto" w:fill="F2F2F2" w:themeFill="background1" w:themeFillShade="F2"/>
            <w:tcMar>
              <w:top w:w="88" w:type="dxa"/>
              <w:left w:w="113" w:type="dxa"/>
              <w:bottom w:w="88" w:type="dxa"/>
              <w:right w:w="113" w:type="dxa"/>
            </w:tcMar>
            <w:vAlign w:val="center"/>
          </w:tcPr>
          <w:p w14:paraId="05F74F20" w14:textId="77777777" w:rsidR="003D5A6B" w:rsidRPr="009C7CAD" w:rsidRDefault="003D5A6B" w:rsidP="009C7CAD">
            <w:pPr>
              <w:pStyle w:val="CDIFigure-Table-BodyTextCentre"/>
            </w:pPr>
            <w:r w:rsidRPr="009C7CAD">
              <w:t xml:space="preserve"> 0.29–0.59</w:t>
            </w:r>
          </w:p>
        </w:tc>
        <w:tc>
          <w:tcPr>
            <w:tcW w:w="1510" w:type="dxa"/>
            <w:shd w:val="clear" w:color="auto" w:fill="F2F2F2" w:themeFill="background1" w:themeFillShade="F2"/>
            <w:tcMar>
              <w:top w:w="88" w:type="dxa"/>
              <w:left w:w="113" w:type="dxa"/>
              <w:bottom w:w="88" w:type="dxa"/>
              <w:right w:w="113" w:type="dxa"/>
            </w:tcMar>
            <w:vAlign w:val="center"/>
          </w:tcPr>
          <w:p w14:paraId="7BA33252" w14:textId="77777777" w:rsidR="003D5A6B" w:rsidRPr="009C7CAD" w:rsidRDefault="003D5A6B" w:rsidP="009C7CAD">
            <w:pPr>
              <w:pStyle w:val="CDIFigure-Table-BodyTextCentre"/>
            </w:pPr>
            <w:r w:rsidRPr="009C7CAD">
              <w:t>0.01</w:t>
            </w:r>
          </w:p>
        </w:tc>
        <w:tc>
          <w:tcPr>
            <w:tcW w:w="1509" w:type="dxa"/>
            <w:shd w:val="clear" w:color="auto" w:fill="F2F2F2" w:themeFill="background1" w:themeFillShade="F2"/>
            <w:tcMar>
              <w:top w:w="88" w:type="dxa"/>
              <w:left w:w="113" w:type="dxa"/>
              <w:bottom w:w="88" w:type="dxa"/>
              <w:right w:w="113" w:type="dxa"/>
            </w:tcMar>
            <w:vAlign w:val="center"/>
          </w:tcPr>
          <w:p w14:paraId="3ECE80BB" w14:textId="77777777" w:rsidR="003D5A6B" w:rsidRPr="009C7CAD" w:rsidRDefault="003D5A6B" w:rsidP="009C7CAD">
            <w:pPr>
              <w:pStyle w:val="CDIFigure-Table-BodyTextCentre"/>
            </w:pPr>
            <w:r w:rsidRPr="009C7CAD">
              <w:t xml:space="preserve"> 0.00–0.05</w:t>
            </w:r>
          </w:p>
        </w:tc>
      </w:tr>
      <w:tr w:rsidR="003D5A6B" w:rsidRPr="009C7CAD" w14:paraId="21C8EA77" w14:textId="77777777" w:rsidTr="003D5A6B">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4CD75696" w14:textId="77777777" w:rsidR="003D5A6B" w:rsidRPr="009C7CAD" w:rsidRDefault="003D5A6B" w:rsidP="009C7CAD">
            <w:pPr>
              <w:pStyle w:val="CDIFigure-Table-BodyTextLeft"/>
            </w:pPr>
          </w:p>
        </w:tc>
        <w:tc>
          <w:tcPr>
            <w:tcW w:w="1509" w:type="dxa"/>
            <w:tcMar>
              <w:top w:w="88" w:type="dxa"/>
              <w:left w:w="113" w:type="dxa"/>
              <w:bottom w:w="88" w:type="dxa"/>
              <w:right w:w="113" w:type="dxa"/>
            </w:tcMar>
            <w:vAlign w:val="center"/>
          </w:tcPr>
          <w:p w14:paraId="7C219BEB" w14:textId="77777777" w:rsidR="003D5A6B" w:rsidRPr="009C7CAD" w:rsidRDefault="003D5A6B" w:rsidP="009C7CAD">
            <w:pPr>
              <w:pStyle w:val="CDIFigure-Table-BodyTextCentre"/>
            </w:pPr>
            <w:r w:rsidRPr="009C7CAD">
              <w:t>25–69</w:t>
            </w:r>
          </w:p>
        </w:tc>
        <w:tc>
          <w:tcPr>
            <w:tcW w:w="1510" w:type="dxa"/>
            <w:tcMar>
              <w:top w:w="88" w:type="dxa"/>
              <w:left w:w="113" w:type="dxa"/>
              <w:bottom w:w="88" w:type="dxa"/>
              <w:right w:w="113" w:type="dxa"/>
            </w:tcMar>
            <w:vAlign w:val="center"/>
          </w:tcPr>
          <w:p w14:paraId="30678800" w14:textId="77777777" w:rsidR="003D5A6B" w:rsidRPr="009C7CAD" w:rsidRDefault="003D5A6B" w:rsidP="009C7CAD">
            <w:pPr>
              <w:pStyle w:val="CDIFigure-Table-BodyTextCentre"/>
            </w:pPr>
            <w:r w:rsidRPr="009C7CAD">
              <w:t>43.3</w:t>
            </w:r>
          </w:p>
        </w:tc>
        <w:tc>
          <w:tcPr>
            <w:tcW w:w="1509" w:type="dxa"/>
            <w:tcMar>
              <w:top w:w="88" w:type="dxa"/>
              <w:left w:w="113" w:type="dxa"/>
              <w:bottom w:w="88" w:type="dxa"/>
              <w:right w:w="113" w:type="dxa"/>
            </w:tcMar>
            <w:vAlign w:val="center"/>
          </w:tcPr>
          <w:p w14:paraId="0ED924C5" w14:textId="77777777" w:rsidR="003D5A6B" w:rsidRPr="009C7CAD" w:rsidRDefault="003D5A6B" w:rsidP="009C7CAD">
            <w:pPr>
              <w:pStyle w:val="CDIFigure-Table-BodyTextCentre"/>
            </w:pPr>
            <w:r w:rsidRPr="009C7CAD">
              <w:t>15.8</w:t>
            </w:r>
          </w:p>
        </w:tc>
        <w:tc>
          <w:tcPr>
            <w:tcW w:w="1510" w:type="dxa"/>
            <w:tcMar>
              <w:top w:w="88" w:type="dxa"/>
              <w:left w:w="113" w:type="dxa"/>
              <w:bottom w:w="88" w:type="dxa"/>
              <w:right w:w="113" w:type="dxa"/>
            </w:tcMar>
            <w:vAlign w:val="center"/>
          </w:tcPr>
          <w:p w14:paraId="3B6458F5" w14:textId="77777777" w:rsidR="003D5A6B" w:rsidRPr="009C7CAD" w:rsidRDefault="003D5A6B" w:rsidP="009C7CAD">
            <w:pPr>
              <w:pStyle w:val="CDIFigure-Table-BodyTextCentre"/>
            </w:pPr>
            <w:r w:rsidRPr="009C7CAD">
              <w:t>1.7</w:t>
            </w:r>
          </w:p>
        </w:tc>
        <w:tc>
          <w:tcPr>
            <w:tcW w:w="1509" w:type="dxa"/>
            <w:tcMar>
              <w:top w:w="88" w:type="dxa"/>
              <w:left w:w="113" w:type="dxa"/>
              <w:bottom w:w="88" w:type="dxa"/>
              <w:right w:w="113" w:type="dxa"/>
            </w:tcMar>
            <w:vAlign w:val="center"/>
          </w:tcPr>
          <w:p w14:paraId="13B57C1C" w14:textId="77777777" w:rsidR="003D5A6B" w:rsidRPr="009C7CAD" w:rsidRDefault="003D5A6B" w:rsidP="009C7CAD">
            <w:pPr>
              <w:pStyle w:val="CDIFigure-Table-BodyTextCentre"/>
            </w:pPr>
            <w:r w:rsidRPr="009C7CAD">
              <w:t>0.37</w:t>
            </w:r>
          </w:p>
        </w:tc>
        <w:tc>
          <w:tcPr>
            <w:tcW w:w="1509" w:type="dxa"/>
            <w:tcMar>
              <w:top w:w="88" w:type="dxa"/>
              <w:left w:w="113" w:type="dxa"/>
              <w:bottom w:w="88" w:type="dxa"/>
              <w:right w:w="113" w:type="dxa"/>
            </w:tcMar>
            <w:vAlign w:val="center"/>
          </w:tcPr>
          <w:p w14:paraId="3466EE21" w14:textId="77777777" w:rsidR="003D5A6B" w:rsidRPr="009C7CAD" w:rsidRDefault="003D5A6B" w:rsidP="009C7CAD">
            <w:pPr>
              <w:pStyle w:val="CDIFigure-Table-BodyTextCentre"/>
            </w:pPr>
            <w:r w:rsidRPr="009C7CAD">
              <w:t xml:space="preserve"> 0.30–0.44</w:t>
            </w:r>
          </w:p>
        </w:tc>
        <w:tc>
          <w:tcPr>
            <w:tcW w:w="1510" w:type="dxa"/>
            <w:tcMar>
              <w:top w:w="88" w:type="dxa"/>
              <w:left w:w="113" w:type="dxa"/>
              <w:bottom w:w="88" w:type="dxa"/>
              <w:right w:w="113" w:type="dxa"/>
            </w:tcMar>
            <w:vAlign w:val="center"/>
          </w:tcPr>
          <w:p w14:paraId="6BCA250D" w14:textId="77777777" w:rsidR="003D5A6B" w:rsidRPr="009C7CAD" w:rsidRDefault="003D5A6B" w:rsidP="009C7CAD">
            <w:pPr>
              <w:pStyle w:val="CDIFigure-Table-BodyTextCentre"/>
            </w:pPr>
            <w:r w:rsidRPr="009C7CAD">
              <w:t>0.04</w:t>
            </w:r>
          </w:p>
        </w:tc>
        <w:tc>
          <w:tcPr>
            <w:tcW w:w="1509" w:type="dxa"/>
            <w:tcMar>
              <w:top w:w="88" w:type="dxa"/>
              <w:left w:w="113" w:type="dxa"/>
              <w:bottom w:w="88" w:type="dxa"/>
              <w:right w:w="113" w:type="dxa"/>
            </w:tcMar>
            <w:vAlign w:val="center"/>
          </w:tcPr>
          <w:p w14:paraId="44FC6559" w14:textId="77777777" w:rsidR="003D5A6B" w:rsidRPr="009C7CAD" w:rsidRDefault="003D5A6B" w:rsidP="009C7CAD">
            <w:pPr>
              <w:pStyle w:val="CDIFigure-Table-BodyTextCentre"/>
            </w:pPr>
            <w:r w:rsidRPr="009C7CAD">
              <w:t xml:space="preserve"> 0.02–0.06</w:t>
            </w:r>
          </w:p>
        </w:tc>
      </w:tr>
      <w:tr w:rsidR="003D5A6B" w:rsidRPr="009C7CAD" w14:paraId="0C0FD6DA" w14:textId="77777777" w:rsidTr="003D5A6B">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33D7969F" w14:textId="77777777" w:rsidR="003D5A6B" w:rsidRPr="009C7CAD" w:rsidRDefault="003D5A6B" w:rsidP="009C7CAD">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70BA1EDC" w14:textId="77777777" w:rsidR="003D5A6B" w:rsidRPr="009C7CAD" w:rsidRDefault="003D5A6B"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2F3EDA9B" w14:textId="77777777" w:rsidR="003D5A6B" w:rsidRPr="009C7CAD" w:rsidRDefault="003D5A6B" w:rsidP="009C7CAD">
            <w:pPr>
              <w:pStyle w:val="CDIFigure-Table-BodyTextCentre"/>
            </w:pPr>
            <w:r w:rsidRPr="009C7CAD">
              <w:t>36.2</w:t>
            </w:r>
          </w:p>
        </w:tc>
        <w:tc>
          <w:tcPr>
            <w:tcW w:w="1509" w:type="dxa"/>
            <w:shd w:val="clear" w:color="auto" w:fill="F2F2F2" w:themeFill="background1" w:themeFillShade="F2"/>
            <w:tcMar>
              <w:top w:w="88" w:type="dxa"/>
              <w:left w:w="113" w:type="dxa"/>
              <w:bottom w:w="88" w:type="dxa"/>
              <w:right w:w="113" w:type="dxa"/>
            </w:tcMar>
            <w:vAlign w:val="center"/>
          </w:tcPr>
          <w:p w14:paraId="19552961" w14:textId="77777777" w:rsidR="003D5A6B" w:rsidRPr="009C7CAD" w:rsidRDefault="003D5A6B" w:rsidP="009C7CAD">
            <w:pPr>
              <w:pStyle w:val="CDIFigure-Table-BodyTextCentre"/>
            </w:pPr>
            <w:r w:rsidRPr="009C7CAD">
              <w:t>6.6</w:t>
            </w:r>
          </w:p>
        </w:tc>
        <w:tc>
          <w:tcPr>
            <w:tcW w:w="1510" w:type="dxa"/>
            <w:shd w:val="clear" w:color="auto" w:fill="F2F2F2" w:themeFill="background1" w:themeFillShade="F2"/>
            <w:tcMar>
              <w:top w:w="88" w:type="dxa"/>
              <w:left w:w="113" w:type="dxa"/>
              <w:bottom w:w="88" w:type="dxa"/>
              <w:right w:w="113" w:type="dxa"/>
            </w:tcMar>
            <w:vAlign w:val="center"/>
          </w:tcPr>
          <w:p w14:paraId="73212323" w14:textId="77777777" w:rsidR="003D5A6B" w:rsidRPr="009C7CAD" w:rsidRDefault="003D5A6B" w:rsidP="009C7CAD">
            <w:pPr>
              <w:pStyle w:val="CDIFigure-Table-BodyTextCentre"/>
            </w:pPr>
            <w:r w:rsidRPr="009C7CAD">
              <w:t>3.2</w:t>
            </w:r>
          </w:p>
        </w:tc>
        <w:tc>
          <w:tcPr>
            <w:tcW w:w="1509" w:type="dxa"/>
            <w:shd w:val="clear" w:color="auto" w:fill="F2F2F2" w:themeFill="background1" w:themeFillShade="F2"/>
            <w:tcMar>
              <w:top w:w="88" w:type="dxa"/>
              <w:left w:w="113" w:type="dxa"/>
              <w:bottom w:w="88" w:type="dxa"/>
              <w:right w:w="113" w:type="dxa"/>
            </w:tcMar>
            <w:vAlign w:val="center"/>
          </w:tcPr>
          <w:p w14:paraId="594DD8B2" w14:textId="77777777" w:rsidR="003D5A6B" w:rsidRPr="009C7CAD" w:rsidRDefault="003D5A6B" w:rsidP="009C7CAD">
            <w:pPr>
              <w:pStyle w:val="CDIFigure-Table-BodyTextCentre"/>
            </w:pPr>
            <w:r w:rsidRPr="009C7CAD">
              <w:t>0.19</w:t>
            </w:r>
          </w:p>
        </w:tc>
        <w:tc>
          <w:tcPr>
            <w:tcW w:w="1509" w:type="dxa"/>
            <w:shd w:val="clear" w:color="auto" w:fill="F2F2F2" w:themeFill="background1" w:themeFillShade="F2"/>
            <w:tcMar>
              <w:top w:w="88" w:type="dxa"/>
              <w:left w:w="113" w:type="dxa"/>
              <w:bottom w:w="88" w:type="dxa"/>
              <w:right w:w="113" w:type="dxa"/>
            </w:tcMar>
            <w:vAlign w:val="center"/>
          </w:tcPr>
          <w:p w14:paraId="1A7EFC8F" w14:textId="77777777" w:rsidR="003D5A6B" w:rsidRPr="009C7CAD" w:rsidRDefault="003D5A6B" w:rsidP="009C7CAD">
            <w:pPr>
              <w:pStyle w:val="CDIFigure-Table-BodyTextCentre"/>
            </w:pPr>
            <w:r w:rsidRPr="009C7CAD">
              <w:t xml:space="preserve"> 0.10–0.32</w:t>
            </w:r>
          </w:p>
        </w:tc>
        <w:tc>
          <w:tcPr>
            <w:tcW w:w="1510" w:type="dxa"/>
            <w:shd w:val="clear" w:color="auto" w:fill="F2F2F2" w:themeFill="background1" w:themeFillShade="F2"/>
            <w:tcMar>
              <w:top w:w="88" w:type="dxa"/>
              <w:left w:w="113" w:type="dxa"/>
              <w:bottom w:w="88" w:type="dxa"/>
              <w:right w:w="113" w:type="dxa"/>
            </w:tcMar>
            <w:vAlign w:val="center"/>
          </w:tcPr>
          <w:p w14:paraId="14ABAFE7" w14:textId="77777777" w:rsidR="003D5A6B" w:rsidRPr="009C7CAD" w:rsidRDefault="003D5A6B" w:rsidP="009C7CAD">
            <w:pPr>
              <w:pStyle w:val="CDIFigure-Table-BodyTextCentre"/>
            </w:pPr>
            <w:r w:rsidRPr="009C7CAD">
              <w:t>0.09</w:t>
            </w:r>
          </w:p>
        </w:tc>
        <w:tc>
          <w:tcPr>
            <w:tcW w:w="1509" w:type="dxa"/>
            <w:shd w:val="clear" w:color="auto" w:fill="F2F2F2" w:themeFill="background1" w:themeFillShade="F2"/>
            <w:tcMar>
              <w:top w:w="88" w:type="dxa"/>
              <w:left w:w="113" w:type="dxa"/>
              <w:bottom w:w="88" w:type="dxa"/>
              <w:right w:w="113" w:type="dxa"/>
            </w:tcMar>
            <w:vAlign w:val="center"/>
          </w:tcPr>
          <w:p w14:paraId="1987DC01" w14:textId="77777777" w:rsidR="003D5A6B" w:rsidRPr="009C7CAD" w:rsidRDefault="003D5A6B" w:rsidP="009C7CAD">
            <w:pPr>
              <w:pStyle w:val="CDIFigure-Table-BodyTextCentre"/>
            </w:pPr>
            <w:r w:rsidRPr="009C7CAD">
              <w:t xml:space="preserve"> 0.04–0.19</w:t>
            </w:r>
          </w:p>
        </w:tc>
      </w:tr>
      <w:tr w:rsidR="003D5A6B" w:rsidRPr="009C7CAD" w14:paraId="3C81C61F" w14:textId="77777777" w:rsidTr="003D5A6B">
        <w:trPr>
          <w:trHeight w:val="20"/>
        </w:trPr>
        <w:tc>
          <w:tcPr>
            <w:tcW w:w="2268" w:type="dxa"/>
            <w:vMerge/>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56B21D6B" w14:textId="77777777" w:rsidR="003D5A6B" w:rsidRPr="009C7CAD" w:rsidRDefault="003D5A6B" w:rsidP="009C7CAD">
            <w:pPr>
              <w:pStyle w:val="CDIFigure-Table-BodyTextLeft"/>
            </w:pPr>
          </w:p>
        </w:tc>
        <w:tc>
          <w:tcPr>
            <w:tcW w:w="1509" w:type="dxa"/>
            <w:tcBorders>
              <w:bottom w:val="single" w:sz="6" w:space="0" w:color="033636" w:themeColor="text2"/>
            </w:tcBorders>
            <w:tcMar>
              <w:top w:w="88" w:type="dxa"/>
              <w:left w:w="113" w:type="dxa"/>
              <w:bottom w:w="88" w:type="dxa"/>
              <w:right w:w="113" w:type="dxa"/>
            </w:tcMar>
            <w:vAlign w:val="center"/>
          </w:tcPr>
          <w:p w14:paraId="0A1F82DE" w14:textId="77777777" w:rsidR="003D5A6B" w:rsidRPr="003D5A6B" w:rsidRDefault="003D5A6B"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75EC2ED3" w14:textId="77777777" w:rsidR="003D5A6B" w:rsidRPr="003D5A6B" w:rsidRDefault="003D5A6B" w:rsidP="009C7CAD">
            <w:pPr>
              <w:pStyle w:val="CDIFigure-Table-BodyTextCentre"/>
              <w:rPr>
                <w:b/>
                <w:bCs/>
              </w:rPr>
            </w:pPr>
            <w:r w:rsidRPr="003D5A6B">
              <w:rPr>
                <w:b/>
                <w:bCs/>
              </w:rPr>
              <w:t>70.1</w:t>
            </w:r>
          </w:p>
        </w:tc>
        <w:tc>
          <w:tcPr>
            <w:tcW w:w="1509" w:type="dxa"/>
            <w:tcBorders>
              <w:bottom w:val="single" w:sz="6" w:space="0" w:color="033636" w:themeColor="text2"/>
            </w:tcBorders>
            <w:tcMar>
              <w:top w:w="88" w:type="dxa"/>
              <w:left w:w="113" w:type="dxa"/>
              <w:bottom w:w="88" w:type="dxa"/>
              <w:right w:w="113" w:type="dxa"/>
            </w:tcMar>
            <w:vAlign w:val="center"/>
          </w:tcPr>
          <w:p w14:paraId="00CD4CFE" w14:textId="77777777" w:rsidR="003D5A6B" w:rsidRPr="003D5A6B" w:rsidRDefault="003D5A6B" w:rsidP="009C7CAD">
            <w:pPr>
              <w:pStyle w:val="CDIFigure-Table-BodyTextCentre"/>
              <w:rPr>
                <w:b/>
                <w:bCs/>
              </w:rPr>
            </w:pPr>
            <w:r w:rsidRPr="003D5A6B">
              <w:rPr>
                <w:b/>
                <w:bCs/>
              </w:rPr>
              <w:t>16.2</w:t>
            </w:r>
          </w:p>
        </w:tc>
        <w:tc>
          <w:tcPr>
            <w:tcW w:w="1510" w:type="dxa"/>
            <w:tcBorders>
              <w:bottom w:val="single" w:sz="6" w:space="0" w:color="033636" w:themeColor="text2"/>
            </w:tcBorders>
            <w:tcMar>
              <w:top w:w="88" w:type="dxa"/>
              <w:left w:w="113" w:type="dxa"/>
              <w:bottom w:w="88" w:type="dxa"/>
              <w:right w:w="113" w:type="dxa"/>
            </w:tcMar>
            <w:vAlign w:val="center"/>
          </w:tcPr>
          <w:p w14:paraId="5F0F54F5" w14:textId="77777777" w:rsidR="003D5A6B" w:rsidRPr="003D5A6B" w:rsidRDefault="003D5A6B" w:rsidP="009C7CAD">
            <w:pPr>
              <w:pStyle w:val="CDIFigure-Table-BodyTextCentre"/>
              <w:rPr>
                <w:b/>
                <w:bCs/>
              </w:rPr>
            </w:pPr>
            <w:r w:rsidRPr="003D5A6B">
              <w:rPr>
                <w:b/>
                <w:bCs/>
              </w:rPr>
              <w:t>1.8</w:t>
            </w:r>
          </w:p>
        </w:tc>
        <w:tc>
          <w:tcPr>
            <w:tcW w:w="1509" w:type="dxa"/>
            <w:tcBorders>
              <w:bottom w:val="single" w:sz="6" w:space="0" w:color="033636" w:themeColor="text2"/>
            </w:tcBorders>
            <w:tcMar>
              <w:top w:w="88" w:type="dxa"/>
              <w:left w:w="113" w:type="dxa"/>
              <w:bottom w:w="88" w:type="dxa"/>
              <w:right w:w="113" w:type="dxa"/>
            </w:tcMar>
            <w:vAlign w:val="center"/>
          </w:tcPr>
          <w:p w14:paraId="6A3B2D0B" w14:textId="77777777" w:rsidR="003D5A6B" w:rsidRPr="003D5A6B" w:rsidRDefault="003D5A6B" w:rsidP="009C7CAD">
            <w:pPr>
              <w:pStyle w:val="CDIFigure-Table-BodyTextCentre"/>
              <w:rPr>
                <w:b/>
                <w:bCs/>
              </w:rPr>
            </w:pPr>
            <w:r w:rsidRPr="003D5A6B">
              <w:rPr>
                <w:b/>
                <w:bCs/>
              </w:rPr>
              <w:t>0.23</w:t>
            </w:r>
          </w:p>
        </w:tc>
        <w:tc>
          <w:tcPr>
            <w:tcW w:w="1509" w:type="dxa"/>
            <w:tcBorders>
              <w:bottom w:val="single" w:sz="6" w:space="0" w:color="033636" w:themeColor="text2"/>
            </w:tcBorders>
            <w:tcMar>
              <w:top w:w="88" w:type="dxa"/>
              <w:left w:w="113" w:type="dxa"/>
              <w:bottom w:w="88" w:type="dxa"/>
              <w:right w:w="113" w:type="dxa"/>
            </w:tcMar>
            <w:vAlign w:val="center"/>
          </w:tcPr>
          <w:p w14:paraId="7B3BF5D4" w14:textId="77777777" w:rsidR="003D5A6B" w:rsidRPr="003D5A6B" w:rsidRDefault="003D5A6B" w:rsidP="009C7CAD">
            <w:pPr>
              <w:pStyle w:val="CDIFigure-Table-BodyTextCentre"/>
              <w:rPr>
                <w:b/>
                <w:bCs/>
              </w:rPr>
            </w:pPr>
            <w:r w:rsidRPr="003D5A6B">
              <w:rPr>
                <w:b/>
                <w:bCs/>
              </w:rPr>
              <w:t xml:space="preserve"> 0.20–0.26</w:t>
            </w:r>
          </w:p>
        </w:tc>
        <w:tc>
          <w:tcPr>
            <w:tcW w:w="1510" w:type="dxa"/>
            <w:tcBorders>
              <w:bottom w:val="single" w:sz="6" w:space="0" w:color="033636" w:themeColor="text2"/>
            </w:tcBorders>
            <w:tcMar>
              <w:top w:w="88" w:type="dxa"/>
              <w:left w:w="113" w:type="dxa"/>
              <w:bottom w:w="88" w:type="dxa"/>
              <w:right w:w="113" w:type="dxa"/>
            </w:tcMar>
            <w:vAlign w:val="center"/>
          </w:tcPr>
          <w:p w14:paraId="4652C95D" w14:textId="77777777" w:rsidR="003D5A6B" w:rsidRPr="003D5A6B" w:rsidRDefault="003D5A6B" w:rsidP="009C7CAD">
            <w:pPr>
              <w:pStyle w:val="CDIFigure-Table-BodyTextCentre"/>
              <w:rPr>
                <w:b/>
                <w:bCs/>
              </w:rPr>
            </w:pPr>
            <w:r w:rsidRPr="003D5A6B">
              <w:rPr>
                <w:b/>
                <w:bCs/>
              </w:rPr>
              <w:t>0.03</w:t>
            </w:r>
          </w:p>
        </w:tc>
        <w:tc>
          <w:tcPr>
            <w:tcW w:w="1509" w:type="dxa"/>
            <w:tcBorders>
              <w:bottom w:val="single" w:sz="6" w:space="0" w:color="033636" w:themeColor="text2"/>
            </w:tcBorders>
            <w:tcMar>
              <w:top w:w="88" w:type="dxa"/>
              <w:left w:w="113" w:type="dxa"/>
              <w:bottom w:w="88" w:type="dxa"/>
              <w:right w:w="113" w:type="dxa"/>
            </w:tcMar>
            <w:vAlign w:val="center"/>
          </w:tcPr>
          <w:p w14:paraId="7103DEA8" w14:textId="77777777" w:rsidR="003D5A6B" w:rsidRPr="003D5A6B" w:rsidRDefault="003D5A6B" w:rsidP="009C7CAD">
            <w:pPr>
              <w:pStyle w:val="CDIFigure-Table-BodyTextCentre"/>
              <w:rPr>
                <w:b/>
                <w:bCs/>
              </w:rPr>
            </w:pPr>
            <w:r w:rsidRPr="003D5A6B">
              <w:rPr>
                <w:b/>
                <w:bCs/>
              </w:rPr>
              <w:t xml:space="preserve"> 0.02–0.04</w:t>
            </w:r>
          </w:p>
        </w:tc>
      </w:tr>
      <w:tr w:rsidR="003D5A6B" w:rsidRPr="009C7CAD" w14:paraId="5B317443" w14:textId="77777777" w:rsidTr="003D5A6B">
        <w:trPr>
          <w:trHeight w:val="20"/>
        </w:trPr>
        <w:tc>
          <w:tcPr>
            <w:tcW w:w="2268" w:type="dxa"/>
            <w:vMerge w:val="restart"/>
            <w:tcBorders>
              <w:top w:val="single" w:sz="6" w:space="0" w:color="033636" w:themeColor="text2"/>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599A6D19" w14:textId="77777777" w:rsidR="009C7CAD" w:rsidRPr="009C7CAD" w:rsidRDefault="009C7CAD" w:rsidP="009C7CAD">
            <w:pPr>
              <w:pStyle w:val="CDIFigure-Table-BodyTextLeft"/>
            </w:pPr>
            <w:r w:rsidRPr="009C7CAD">
              <w:t>Tasmania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458501F" w14:textId="77777777" w:rsidR="009C7CAD" w:rsidRPr="009C7CAD" w:rsidRDefault="009C7CAD" w:rsidP="009C7CAD">
            <w:pPr>
              <w:pStyle w:val="CDIFigure-Table-BodyTextCentre"/>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B06684A" w14:textId="77777777" w:rsidR="009C7CAD" w:rsidRPr="009C7CAD" w:rsidRDefault="009C7CAD" w:rsidP="009C7CAD">
            <w:pPr>
              <w:pStyle w:val="CDIFigure-Table-BodyTextCentre"/>
            </w:pPr>
            <w:r w:rsidRPr="009C7CAD">
              <w:t>79.4</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FDBAD1B" w14:textId="77777777" w:rsidR="009C7CAD" w:rsidRPr="009C7CAD" w:rsidRDefault="009C7CAD" w:rsidP="009C7CAD">
            <w:pPr>
              <w:pStyle w:val="CDIFigure-Table-BodyTextCentre"/>
            </w:pPr>
            <w:r w:rsidRPr="009C7CAD">
              <w:t>40.5</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98CD6EE" w14:textId="77777777" w:rsidR="009C7CAD" w:rsidRPr="009C7CAD" w:rsidRDefault="009C7CAD" w:rsidP="009C7CAD">
            <w:pPr>
              <w:pStyle w:val="CDIFigure-Table-BodyTextCentre"/>
            </w:pPr>
            <w:r w:rsidRPr="009C7CAD">
              <w:t>0.0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B1E0E12" w14:textId="77777777" w:rsidR="009C7CAD" w:rsidRPr="009C7CAD" w:rsidRDefault="009C7CAD" w:rsidP="009C7CAD">
            <w:pPr>
              <w:pStyle w:val="CDIFigure-Table-BodyTextCentre"/>
            </w:pPr>
            <w:r w:rsidRPr="009C7CAD">
              <w:t>0.51</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B0ECFC9" w14:textId="77777777" w:rsidR="009C7CAD" w:rsidRPr="009C7CAD" w:rsidRDefault="009C7CAD" w:rsidP="009C7CAD">
            <w:pPr>
              <w:pStyle w:val="CDIFigure-Table-BodyTextCentre"/>
            </w:pPr>
            <w:r w:rsidRPr="009C7CAD">
              <w:t xml:space="preserve"> 0.23–1.05</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246269E" w14:textId="77777777" w:rsidR="009C7CAD" w:rsidRPr="009C7CAD" w:rsidRDefault="009C7CAD" w:rsidP="009C7CAD">
            <w:pPr>
              <w:pStyle w:val="CDIFigure-Table-BodyTextCentre"/>
            </w:pPr>
            <w:r w:rsidRPr="009C7CAD">
              <w:t>0.00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84431A6" w14:textId="77777777" w:rsidR="009C7CAD" w:rsidRPr="009C7CAD" w:rsidRDefault="009C7CAD" w:rsidP="009C7CAD">
            <w:pPr>
              <w:pStyle w:val="CDIFigure-Table-BodyTextCentre"/>
            </w:pPr>
            <w:r w:rsidRPr="009C7CAD">
              <w:t xml:space="preserve"> 0.00–0.17</w:t>
            </w:r>
          </w:p>
        </w:tc>
      </w:tr>
      <w:tr w:rsidR="009C7CAD" w:rsidRPr="009C7CAD" w14:paraId="47A8ECE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134608B5" w14:textId="77777777" w:rsidR="009C7CAD" w:rsidRPr="009C7CAD" w:rsidRDefault="009C7CAD" w:rsidP="009C7CAD"/>
        </w:tc>
        <w:tc>
          <w:tcPr>
            <w:tcW w:w="1509" w:type="dxa"/>
            <w:tcMar>
              <w:top w:w="88" w:type="dxa"/>
              <w:left w:w="113" w:type="dxa"/>
              <w:bottom w:w="88" w:type="dxa"/>
              <w:right w:w="113" w:type="dxa"/>
            </w:tcMar>
            <w:vAlign w:val="center"/>
          </w:tcPr>
          <w:p w14:paraId="00C8BD7B" w14:textId="77777777" w:rsidR="009C7CAD" w:rsidRPr="009C7CAD" w:rsidRDefault="009C7CAD" w:rsidP="009C7CAD">
            <w:pPr>
              <w:pStyle w:val="CDIFigure-Table-BodyTextCentre"/>
            </w:pPr>
            <w:r w:rsidRPr="009C7CAD">
              <w:t>5–14</w:t>
            </w:r>
          </w:p>
        </w:tc>
        <w:tc>
          <w:tcPr>
            <w:tcW w:w="1510" w:type="dxa"/>
            <w:tcMar>
              <w:top w:w="88" w:type="dxa"/>
              <w:left w:w="113" w:type="dxa"/>
              <w:bottom w:w="88" w:type="dxa"/>
              <w:right w:w="113" w:type="dxa"/>
            </w:tcMar>
            <w:vAlign w:val="center"/>
          </w:tcPr>
          <w:p w14:paraId="3019D43A" w14:textId="77777777" w:rsidR="009C7CAD" w:rsidRPr="009C7CAD" w:rsidRDefault="009C7CAD" w:rsidP="009C7CAD">
            <w:pPr>
              <w:pStyle w:val="CDIFigure-Table-BodyTextCentre"/>
            </w:pPr>
            <w:r w:rsidRPr="009C7CAD">
              <w:t>157.8</w:t>
            </w:r>
          </w:p>
        </w:tc>
        <w:tc>
          <w:tcPr>
            <w:tcW w:w="1509" w:type="dxa"/>
            <w:tcMar>
              <w:top w:w="88" w:type="dxa"/>
              <w:left w:w="113" w:type="dxa"/>
              <w:bottom w:w="88" w:type="dxa"/>
              <w:right w:w="113" w:type="dxa"/>
            </w:tcMar>
            <w:vAlign w:val="center"/>
          </w:tcPr>
          <w:p w14:paraId="69EF85EB" w14:textId="77777777" w:rsidR="009C7CAD" w:rsidRPr="009C7CAD" w:rsidRDefault="009C7CAD" w:rsidP="009C7CAD">
            <w:pPr>
              <w:pStyle w:val="CDIFigure-Table-BodyTextCentre"/>
            </w:pPr>
            <w:r w:rsidRPr="009C7CAD">
              <w:t>28.6</w:t>
            </w:r>
          </w:p>
        </w:tc>
        <w:tc>
          <w:tcPr>
            <w:tcW w:w="1510" w:type="dxa"/>
            <w:tcMar>
              <w:top w:w="88" w:type="dxa"/>
              <w:left w:w="113" w:type="dxa"/>
              <w:bottom w:w="88" w:type="dxa"/>
              <w:right w:w="113" w:type="dxa"/>
            </w:tcMar>
            <w:vAlign w:val="center"/>
          </w:tcPr>
          <w:p w14:paraId="24F16D57" w14:textId="77777777" w:rsidR="009C7CAD" w:rsidRPr="009C7CAD" w:rsidRDefault="009C7CAD" w:rsidP="009C7CAD">
            <w:pPr>
              <w:pStyle w:val="CDIFigure-Table-BodyTextCentre"/>
            </w:pPr>
            <w:r w:rsidRPr="009C7CAD">
              <w:t>0.0</w:t>
            </w:r>
          </w:p>
        </w:tc>
        <w:tc>
          <w:tcPr>
            <w:tcW w:w="1509" w:type="dxa"/>
            <w:tcMar>
              <w:top w:w="88" w:type="dxa"/>
              <w:left w:w="113" w:type="dxa"/>
              <w:bottom w:w="88" w:type="dxa"/>
              <w:right w:w="113" w:type="dxa"/>
            </w:tcMar>
            <w:vAlign w:val="center"/>
          </w:tcPr>
          <w:p w14:paraId="5CFC600C" w14:textId="77777777" w:rsidR="009C7CAD" w:rsidRPr="009C7CAD" w:rsidRDefault="009C7CAD" w:rsidP="009C7CAD">
            <w:pPr>
              <w:pStyle w:val="CDIFigure-Table-BodyTextCentre"/>
            </w:pPr>
            <w:r w:rsidRPr="009C7CAD">
              <w:t>0.18</w:t>
            </w:r>
          </w:p>
        </w:tc>
        <w:tc>
          <w:tcPr>
            <w:tcW w:w="1509" w:type="dxa"/>
            <w:tcMar>
              <w:top w:w="88" w:type="dxa"/>
              <w:left w:w="113" w:type="dxa"/>
              <w:bottom w:w="88" w:type="dxa"/>
              <w:right w:w="113" w:type="dxa"/>
            </w:tcMar>
            <w:vAlign w:val="center"/>
          </w:tcPr>
          <w:p w14:paraId="58FD8419" w14:textId="77777777" w:rsidR="009C7CAD" w:rsidRPr="009C7CAD" w:rsidRDefault="009C7CAD" w:rsidP="009C7CAD">
            <w:pPr>
              <w:pStyle w:val="CDIFigure-Table-BodyTextCentre"/>
            </w:pPr>
            <w:r w:rsidRPr="009C7CAD">
              <w:t xml:space="preserve"> 0.10–0.29</w:t>
            </w:r>
          </w:p>
        </w:tc>
        <w:tc>
          <w:tcPr>
            <w:tcW w:w="1510" w:type="dxa"/>
            <w:tcMar>
              <w:top w:w="88" w:type="dxa"/>
              <w:left w:w="113" w:type="dxa"/>
              <w:bottom w:w="88" w:type="dxa"/>
              <w:right w:w="113" w:type="dxa"/>
            </w:tcMar>
            <w:vAlign w:val="center"/>
          </w:tcPr>
          <w:p w14:paraId="10C1A7D3" w14:textId="77777777" w:rsidR="009C7CAD" w:rsidRPr="009C7CAD" w:rsidRDefault="009C7CAD" w:rsidP="009C7CAD">
            <w:pPr>
              <w:pStyle w:val="CDIFigure-Table-BodyTextCentre"/>
            </w:pPr>
            <w:r w:rsidRPr="009C7CAD">
              <w:t>0.00</w:t>
            </w:r>
          </w:p>
        </w:tc>
        <w:tc>
          <w:tcPr>
            <w:tcW w:w="1509" w:type="dxa"/>
            <w:tcMar>
              <w:top w:w="88" w:type="dxa"/>
              <w:left w:w="113" w:type="dxa"/>
              <w:bottom w:w="88" w:type="dxa"/>
              <w:right w:w="113" w:type="dxa"/>
            </w:tcMar>
            <w:vAlign w:val="center"/>
          </w:tcPr>
          <w:p w14:paraId="704FFCFA" w14:textId="77777777" w:rsidR="009C7CAD" w:rsidRPr="009C7CAD" w:rsidRDefault="009C7CAD" w:rsidP="009C7CAD">
            <w:pPr>
              <w:pStyle w:val="CDIFigure-Table-BodyTextCentre"/>
            </w:pPr>
            <w:r w:rsidRPr="009C7CAD">
              <w:t xml:space="preserve"> 0.00–0.04</w:t>
            </w:r>
          </w:p>
        </w:tc>
      </w:tr>
      <w:tr w:rsidR="009C7CAD" w:rsidRPr="009C7CAD" w14:paraId="2598495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3695D501"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2D1954D7" w14:textId="77777777" w:rsidR="009C7CAD" w:rsidRPr="009C7CAD" w:rsidRDefault="009C7CAD" w:rsidP="009C7CAD">
            <w:pPr>
              <w:pStyle w:val="CDIFigure-Table-BodyTextCentre"/>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3FD88EE7" w14:textId="77777777" w:rsidR="009C7CAD" w:rsidRPr="009C7CAD" w:rsidRDefault="009C7CAD" w:rsidP="009C7CAD">
            <w:pPr>
              <w:pStyle w:val="CDIFigure-Table-BodyTextCentre"/>
            </w:pPr>
            <w:r w:rsidRPr="009C7CAD">
              <w:t>33.6</w:t>
            </w:r>
          </w:p>
        </w:tc>
        <w:tc>
          <w:tcPr>
            <w:tcW w:w="1509" w:type="dxa"/>
            <w:shd w:val="clear" w:color="auto" w:fill="F2F2F2" w:themeFill="background1" w:themeFillShade="F2"/>
            <w:tcMar>
              <w:top w:w="88" w:type="dxa"/>
              <w:left w:w="113" w:type="dxa"/>
              <w:bottom w:w="88" w:type="dxa"/>
              <w:right w:w="113" w:type="dxa"/>
            </w:tcMar>
            <w:vAlign w:val="center"/>
          </w:tcPr>
          <w:p w14:paraId="71EF02BD" w14:textId="77777777" w:rsidR="009C7CAD" w:rsidRPr="009C7CAD" w:rsidRDefault="009C7CAD" w:rsidP="009C7CAD">
            <w:pPr>
              <w:pStyle w:val="CDIFigure-Table-BodyTextCentre"/>
            </w:pPr>
            <w:r w:rsidRPr="009C7CAD">
              <w:t>1.6</w:t>
            </w:r>
          </w:p>
        </w:tc>
        <w:tc>
          <w:tcPr>
            <w:tcW w:w="1510" w:type="dxa"/>
            <w:shd w:val="clear" w:color="auto" w:fill="F2F2F2" w:themeFill="background1" w:themeFillShade="F2"/>
            <w:tcMar>
              <w:top w:w="88" w:type="dxa"/>
              <w:left w:w="113" w:type="dxa"/>
              <w:bottom w:w="88" w:type="dxa"/>
              <w:right w:w="113" w:type="dxa"/>
            </w:tcMar>
            <w:vAlign w:val="center"/>
          </w:tcPr>
          <w:p w14:paraId="79491028" w14:textId="77777777" w:rsidR="009C7CAD" w:rsidRPr="009C7CAD" w:rsidRDefault="009C7CAD" w:rsidP="009C7CAD">
            <w:pPr>
              <w:pStyle w:val="CDIFigure-Table-BodyTextCentre"/>
            </w:pPr>
            <w:r w:rsidRPr="009C7CAD">
              <w:t>0.0</w:t>
            </w:r>
          </w:p>
        </w:tc>
        <w:tc>
          <w:tcPr>
            <w:tcW w:w="1509" w:type="dxa"/>
            <w:shd w:val="clear" w:color="auto" w:fill="F2F2F2" w:themeFill="background1" w:themeFillShade="F2"/>
            <w:tcMar>
              <w:top w:w="88" w:type="dxa"/>
              <w:left w:w="113" w:type="dxa"/>
              <w:bottom w:w="88" w:type="dxa"/>
              <w:right w:w="113" w:type="dxa"/>
            </w:tcMar>
            <w:vAlign w:val="center"/>
          </w:tcPr>
          <w:p w14:paraId="02FDC658" w14:textId="77777777" w:rsidR="009C7CAD" w:rsidRPr="009C7CAD" w:rsidRDefault="009C7CAD" w:rsidP="009C7CAD">
            <w:pPr>
              <w:pStyle w:val="CDIFigure-Table-BodyTextCentre"/>
            </w:pPr>
            <w:r w:rsidRPr="009C7CAD">
              <w:t>0.05</w:t>
            </w:r>
          </w:p>
        </w:tc>
        <w:tc>
          <w:tcPr>
            <w:tcW w:w="1509" w:type="dxa"/>
            <w:shd w:val="clear" w:color="auto" w:fill="F2F2F2" w:themeFill="background1" w:themeFillShade="F2"/>
            <w:tcMar>
              <w:top w:w="88" w:type="dxa"/>
              <w:left w:w="113" w:type="dxa"/>
              <w:bottom w:w="88" w:type="dxa"/>
              <w:right w:w="113" w:type="dxa"/>
            </w:tcMar>
            <w:vAlign w:val="center"/>
          </w:tcPr>
          <w:p w14:paraId="5CAEE287" w14:textId="77777777" w:rsidR="009C7CAD" w:rsidRPr="009C7CAD" w:rsidRDefault="009C7CAD" w:rsidP="009C7CAD">
            <w:pPr>
              <w:pStyle w:val="CDIFigure-Table-BodyTextCentre"/>
            </w:pPr>
            <w:r w:rsidRPr="009C7CAD">
              <w:t xml:space="preserve"> 0.00–0.28</w:t>
            </w:r>
          </w:p>
        </w:tc>
        <w:tc>
          <w:tcPr>
            <w:tcW w:w="1510" w:type="dxa"/>
            <w:shd w:val="clear" w:color="auto" w:fill="F2F2F2" w:themeFill="background1" w:themeFillShade="F2"/>
            <w:tcMar>
              <w:top w:w="88" w:type="dxa"/>
              <w:left w:w="113" w:type="dxa"/>
              <w:bottom w:w="88" w:type="dxa"/>
              <w:right w:w="113" w:type="dxa"/>
            </w:tcMar>
            <w:vAlign w:val="center"/>
          </w:tcPr>
          <w:p w14:paraId="3C35369A" w14:textId="77777777" w:rsidR="009C7CAD" w:rsidRPr="009C7CAD" w:rsidRDefault="009C7CAD" w:rsidP="009C7CAD">
            <w:pPr>
              <w:pStyle w:val="CDIFigure-Table-BodyTextCentre"/>
            </w:pPr>
            <w:r w:rsidRPr="009C7CAD">
              <w:t>0.00</w:t>
            </w:r>
          </w:p>
        </w:tc>
        <w:tc>
          <w:tcPr>
            <w:tcW w:w="1509" w:type="dxa"/>
            <w:shd w:val="clear" w:color="auto" w:fill="F2F2F2" w:themeFill="background1" w:themeFillShade="F2"/>
            <w:tcMar>
              <w:top w:w="88" w:type="dxa"/>
              <w:left w:w="113" w:type="dxa"/>
              <w:bottom w:w="88" w:type="dxa"/>
              <w:right w:w="113" w:type="dxa"/>
            </w:tcMar>
            <w:vAlign w:val="center"/>
          </w:tcPr>
          <w:p w14:paraId="607C8F74" w14:textId="77777777" w:rsidR="009C7CAD" w:rsidRPr="009C7CAD" w:rsidRDefault="009C7CAD" w:rsidP="009C7CAD">
            <w:pPr>
              <w:pStyle w:val="CDIFigure-Table-BodyTextCentre"/>
            </w:pPr>
            <w:r w:rsidRPr="009C7CAD">
              <w:t xml:space="preserve"> 0.00–0.19</w:t>
            </w:r>
          </w:p>
        </w:tc>
      </w:tr>
      <w:tr w:rsidR="009C7CAD" w:rsidRPr="009C7CAD" w14:paraId="3DAF75D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5E42F755" w14:textId="77777777" w:rsidR="009C7CAD" w:rsidRPr="009C7CAD" w:rsidRDefault="009C7CAD" w:rsidP="009C7CAD"/>
        </w:tc>
        <w:tc>
          <w:tcPr>
            <w:tcW w:w="1509" w:type="dxa"/>
            <w:tcMar>
              <w:top w:w="88" w:type="dxa"/>
              <w:left w:w="113" w:type="dxa"/>
              <w:bottom w:w="88" w:type="dxa"/>
              <w:right w:w="113" w:type="dxa"/>
            </w:tcMar>
            <w:vAlign w:val="center"/>
          </w:tcPr>
          <w:p w14:paraId="4A175876"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7CA985DF" w14:textId="77777777" w:rsidR="009C7CAD" w:rsidRPr="009C7CAD" w:rsidRDefault="009C7CAD" w:rsidP="009C7CAD">
            <w:pPr>
              <w:pStyle w:val="CDIFigure-Table-BodyTextCentre"/>
            </w:pPr>
            <w:r w:rsidRPr="009C7CAD">
              <w:t>19.6</w:t>
            </w:r>
          </w:p>
        </w:tc>
        <w:tc>
          <w:tcPr>
            <w:tcW w:w="1509" w:type="dxa"/>
            <w:tcMar>
              <w:top w:w="88" w:type="dxa"/>
              <w:left w:w="113" w:type="dxa"/>
              <w:bottom w:w="88" w:type="dxa"/>
              <w:right w:w="113" w:type="dxa"/>
            </w:tcMar>
            <w:vAlign w:val="center"/>
          </w:tcPr>
          <w:p w14:paraId="0E81C881" w14:textId="77777777" w:rsidR="009C7CAD" w:rsidRPr="009C7CAD" w:rsidRDefault="009C7CAD" w:rsidP="009C7CAD">
            <w:pPr>
              <w:pStyle w:val="CDIFigure-Table-BodyTextCentre"/>
            </w:pPr>
            <w:r w:rsidRPr="009C7CAD">
              <w:t>9.5</w:t>
            </w:r>
          </w:p>
        </w:tc>
        <w:tc>
          <w:tcPr>
            <w:tcW w:w="1510" w:type="dxa"/>
            <w:tcMar>
              <w:top w:w="88" w:type="dxa"/>
              <w:left w:w="113" w:type="dxa"/>
              <w:bottom w:w="88" w:type="dxa"/>
              <w:right w:w="113" w:type="dxa"/>
            </w:tcMar>
            <w:vAlign w:val="center"/>
          </w:tcPr>
          <w:p w14:paraId="23F5C685" w14:textId="77777777" w:rsidR="009C7CAD" w:rsidRPr="009C7CAD" w:rsidRDefault="009C7CAD" w:rsidP="009C7CAD">
            <w:pPr>
              <w:pStyle w:val="CDIFigure-Table-BodyTextCentre"/>
            </w:pPr>
            <w:r w:rsidRPr="009C7CAD">
              <w:t>1.5</w:t>
            </w:r>
          </w:p>
        </w:tc>
        <w:tc>
          <w:tcPr>
            <w:tcW w:w="1509" w:type="dxa"/>
            <w:tcMar>
              <w:top w:w="88" w:type="dxa"/>
              <w:left w:w="113" w:type="dxa"/>
              <w:bottom w:w="88" w:type="dxa"/>
              <w:right w:w="113" w:type="dxa"/>
            </w:tcMar>
            <w:vAlign w:val="center"/>
          </w:tcPr>
          <w:p w14:paraId="26CDA500" w14:textId="77777777" w:rsidR="009C7CAD" w:rsidRPr="009C7CAD" w:rsidRDefault="009C7CAD" w:rsidP="009C7CAD">
            <w:pPr>
              <w:pStyle w:val="CDIFigure-Table-BodyTextCentre"/>
            </w:pPr>
            <w:r w:rsidRPr="009C7CAD">
              <w:t>0.47</w:t>
            </w:r>
          </w:p>
        </w:tc>
        <w:tc>
          <w:tcPr>
            <w:tcW w:w="1509" w:type="dxa"/>
            <w:tcMar>
              <w:top w:w="88" w:type="dxa"/>
              <w:left w:w="113" w:type="dxa"/>
              <w:bottom w:w="88" w:type="dxa"/>
              <w:right w:w="113" w:type="dxa"/>
            </w:tcMar>
            <w:vAlign w:val="center"/>
          </w:tcPr>
          <w:p w14:paraId="3A3FABD2" w14:textId="77777777" w:rsidR="009C7CAD" w:rsidRPr="009C7CAD" w:rsidRDefault="009C7CAD" w:rsidP="009C7CAD">
            <w:pPr>
              <w:pStyle w:val="CDIFigure-Table-BodyTextCentre"/>
            </w:pPr>
            <w:r w:rsidRPr="009C7CAD">
              <w:t xml:space="preserve"> 0.30–0.74</w:t>
            </w:r>
          </w:p>
        </w:tc>
        <w:tc>
          <w:tcPr>
            <w:tcW w:w="1510" w:type="dxa"/>
            <w:tcMar>
              <w:top w:w="88" w:type="dxa"/>
              <w:left w:w="113" w:type="dxa"/>
              <w:bottom w:w="88" w:type="dxa"/>
              <w:right w:w="113" w:type="dxa"/>
            </w:tcMar>
            <w:vAlign w:val="center"/>
          </w:tcPr>
          <w:p w14:paraId="37AF6152" w14:textId="77777777" w:rsidR="009C7CAD" w:rsidRPr="009C7CAD" w:rsidRDefault="009C7CAD" w:rsidP="009C7CAD">
            <w:pPr>
              <w:pStyle w:val="CDIFigure-Table-BodyTextCentre"/>
            </w:pPr>
            <w:r w:rsidRPr="009C7CAD">
              <w:t>0.08</w:t>
            </w:r>
          </w:p>
        </w:tc>
        <w:tc>
          <w:tcPr>
            <w:tcW w:w="1509" w:type="dxa"/>
            <w:tcMar>
              <w:top w:w="88" w:type="dxa"/>
              <w:left w:w="113" w:type="dxa"/>
              <w:bottom w:w="88" w:type="dxa"/>
              <w:right w:w="113" w:type="dxa"/>
            </w:tcMar>
            <w:vAlign w:val="center"/>
          </w:tcPr>
          <w:p w14:paraId="5E354BF2" w14:textId="77777777" w:rsidR="009C7CAD" w:rsidRPr="009C7CAD" w:rsidRDefault="009C7CAD" w:rsidP="009C7CAD">
            <w:pPr>
              <w:pStyle w:val="CDIFigure-Table-BodyTextCentre"/>
            </w:pPr>
            <w:r w:rsidRPr="009C7CAD">
              <w:t xml:space="preserve"> 0.02–0.19</w:t>
            </w:r>
          </w:p>
        </w:tc>
      </w:tr>
      <w:tr w:rsidR="006A4AE7" w:rsidRPr="009C7CAD" w14:paraId="47073E55"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0F491E77"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03226EC9"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5B00C74C" w14:textId="77777777" w:rsidR="009C7CAD" w:rsidRPr="009C7CAD" w:rsidRDefault="009C7CAD" w:rsidP="009C7CAD">
            <w:pPr>
              <w:pStyle w:val="CDIFigure-Table-BodyTextCentre"/>
            </w:pPr>
            <w:r w:rsidRPr="009C7CAD">
              <w:t>10.8</w:t>
            </w:r>
          </w:p>
        </w:tc>
        <w:tc>
          <w:tcPr>
            <w:tcW w:w="1509" w:type="dxa"/>
            <w:shd w:val="clear" w:color="auto" w:fill="F2F2F2" w:themeFill="background1" w:themeFillShade="F2"/>
            <w:tcMar>
              <w:top w:w="88" w:type="dxa"/>
              <w:left w:w="113" w:type="dxa"/>
              <w:bottom w:w="88" w:type="dxa"/>
              <w:right w:w="113" w:type="dxa"/>
            </w:tcMar>
            <w:vAlign w:val="center"/>
          </w:tcPr>
          <w:p w14:paraId="47EA83E1" w14:textId="77777777" w:rsidR="009C7CAD" w:rsidRPr="009C7CAD" w:rsidRDefault="009C7CAD" w:rsidP="009C7CAD">
            <w:pPr>
              <w:pStyle w:val="CDIFigure-Table-BodyTextCentre"/>
            </w:pPr>
            <w:r w:rsidRPr="009C7CAD">
              <w:t>2.6</w:t>
            </w:r>
          </w:p>
        </w:tc>
        <w:tc>
          <w:tcPr>
            <w:tcW w:w="1510" w:type="dxa"/>
            <w:shd w:val="clear" w:color="auto" w:fill="F2F2F2" w:themeFill="background1" w:themeFillShade="F2"/>
            <w:tcMar>
              <w:top w:w="88" w:type="dxa"/>
              <w:left w:w="113" w:type="dxa"/>
              <w:bottom w:w="88" w:type="dxa"/>
              <w:right w:w="113" w:type="dxa"/>
            </w:tcMar>
            <w:vAlign w:val="center"/>
          </w:tcPr>
          <w:p w14:paraId="0AD23458" w14:textId="77777777" w:rsidR="009C7CAD" w:rsidRPr="009C7CAD" w:rsidRDefault="009C7CAD" w:rsidP="009C7CAD">
            <w:pPr>
              <w:pStyle w:val="CDIFigure-Table-BodyTextCentre"/>
            </w:pPr>
            <w:r w:rsidRPr="009C7CAD">
              <w:t>1.2</w:t>
            </w:r>
          </w:p>
        </w:tc>
        <w:tc>
          <w:tcPr>
            <w:tcW w:w="1509" w:type="dxa"/>
            <w:shd w:val="clear" w:color="auto" w:fill="F2F2F2" w:themeFill="background1" w:themeFillShade="F2"/>
            <w:tcMar>
              <w:top w:w="88" w:type="dxa"/>
              <w:left w:w="113" w:type="dxa"/>
              <w:bottom w:w="88" w:type="dxa"/>
              <w:right w:w="113" w:type="dxa"/>
            </w:tcMar>
            <w:vAlign w:val="center"/>
          </w:tcPr>
          <w:p w14:paraId="3D2ED322" w14:textId="77777777" w:rsidR="009C7CAD" w:rsidRPr="009C7CAD" w:rsidRDefault="009C7CAD" w:rsidP="009C7CAD">
            <w:pPr>
              <w:pStyle w:val="CDIFigure-Table-BodyTextCentre"/>
            </w:pPr>
            <w:r w:rsidRPr="009C7CAD">
              <w:t>0.22</w:t>
            </w:r>
          </w:p>
        </w:tc>
        <w:tc>
          <w:tcPr>
            <w:tcW w:w="1509" w:type="dxa"/>
            <w:shd w:val="clear" w:color="auto" w:fill="F2F2F2" w:themeFill="background1" w:themeFillShade="F2"/>
            <w:tcMar>
              <w:top w:w="88" w:type="dxa"/>
              <w:left w:w="113" w:type="dxa"/>
              <w:bottom w:w="88" w:type="dxa"/>
              <w:right w:w="113" w:type="dxa"/>
            </w:tcMar>
            <w:vAlign w:val="center"/>
          </w:tcPr>
          <w:p w14:paraId="48669DE9" w14:textId="77777777" w:rsidR="009C7CAD" w:rsidRPr="009C7CAD" w:rsidRDefault="009C7CAD" w:rsidP="009C7CAD">
            <w:pPr>
              <w:pStyle w:val="CDIFigure-Table-BodyTextCentre"/>
            </w:pPr>
            <w:r w:rsidRPr="009C7CAD">
              <w:t xml:space="preserve"> 0.02–1.10</w:t>
            </w:r>
          </w:p>
        </w:tc>
        <w:tc>
          <w:tcPr>
            <w:tcW w:w="1510" w:type="dxa"/>
            <w:shd w:val="clear" w:color="auto" w:fill="F2F2F2" w:themeFill="background1" w:themeFillShade="F2"/>
            <w:tcMar>
              <w:top w:w="88" w:type="dxa"/>
              <w:left w:w="113" w:type="dxa"/>
              <w:bottom w:w="88" w:type="dxa"/>
              <w:right w:w="113" w:type="dxa"/>
            </w:tcMar>
            <w:vAlign w:val="center"/>
          </w:tcPr>
          <w:p w14:paraId="23C4D654" w14:textId="77777777" w:rsidR="009C7CAD" w:rsidRPr="009C7CAD" w:rsidRDefault="009C7CAD" w:rsidP="009C7CAD">
            <w:pPr>
              <w:pStyle w:val="CDIFigure-Table-BodyTextCentre"/>
            </w:pPr>
            <w:r w:rsidRPr="009C7CAD">
              <w:t>0.11</w:t>
            </w:r>
          </w:p>
        </w:tc>
        <w:tc>
          <w:tcPr>
            <w:tcW w:w="1509" w:type="dxa"/>
            <w:shd w:val="clear" w:color="auto" w:fill="F2F2F2" w:themeFill="background1" w:themeFillShade="F2"/>
            <w:tcMar>
              <w:top w:w="88" w:type="dxa"/>
              <w:left w:w="113" w:type="dxa"/>
              <w:bottom w:w="88" w:type="dxa"/>
              <w:right w:w="113" w:type="dxa"/>
            </w:tcMar>
            <w:vAlign w:val="center"/>
          </w:tcPr>
          <w:p w14:paraId="515F1075" w14:textId="77777777" w:rsidR="009C7CAD" w:rsidRPr="009C7CAD" w:rsidRDefault="009C7CAD" w:rsidP="009C7CAD">
            <w:pPr>
              <w:pStyle w:val="CDIFigure-Table-BodyTextCentre"/>
            </w:pPr>
            <w:r w:rsidRPr="009C7CAD">
              <w:t xml:space="preserve"> 0.00–0.79</w:t>
            </w:r>
          </w:p>
        </w:tc>
      </w:tr>
      <w:tr w:rsidR="009C7CAD" w:rsidRPr="009C7CAD" w14:paraId="6AC7C6D5"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7BEF16F2" w14:textId="77777777" w:rsidR="009C7CAD" w:rsidRPr="009C7CAD" w:rsidRDefault="009C7CAD" w:rsidP="009C7CAD"/>
        </w:tc>
        <w:tc>
          <w:tcPr>
            <w:tcW w:w="1509" w:type="dxa"/>
            <w:tcBorders>
              <w:bottom w:val="single" w:sz="6" w:space="0" w:color="033636" w:themeColor="text2"/>
            </w:tcBorders>
            <w:tcMar>
              <w:top w:w="88" w:type="dxa"/>
              <w:left w:w="113" w:type="dxa"/>
              <w:bottom w:w="88" w:type="dxa"/>
              <w:right w:w="113" w:type="dxa"/>
            </w:tcMar>
            <w:vAlign w:val="center"/>
          </w:tcPr>
          <w:p w14:paraId="1E503A7A"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06E017D7" w14:textId="77777777" w:rsidR="009C7CAD" w:rsidRPr="003D5A6B" w:rsidRDefault="009C7CAD" w:rsidP="009C7CAD">
            <w:pPr>
              <w:pStyle w:val="CDIFigure-Table-BodyTextCentre"/>
              <w:rPr>
                <w:b/>
                <w:bCs/>
              </w:rPr>
            </w:pPr>
            <w:r w:rsidRPr="003D5A6B">
              <w:rPr>
                <w:b/>
                <w:bCs/>
              </w:rPr>
              <w:t>40.9</w:t>
            </w:r>
          </w:p>
        </w:tc>
        <w:tc>
          <w:tcPr>
            <w:tcW w:w="1509" w:type="dxa"/>
            <w:tcBorders>
              <w:bottom w:val="single" w:sz="6" w:space="0" w:color="033636" w:themeColor="text2"/>
            </w:tcBorders>
            <w:tcMar>
              <w:top w:w="88" w:type="dxa"/>
              <w:left w:w="113" w:type="dxa"/>
              <w:bottom w:w="88" w:type="dxa"/>
              <w:right w:w="113" w:type="dxa"/>
            </w:tcMar>
            <w:vAlign w:val="center"/>
          </w:tcPr>
          <w:p w14:paraId="5DFF4B73" w14:textId="77777777" w:rsidR="009C7CAD" w:rsidRPr="003D5A6B" w:rsidRDefault="009C7CAD" w:rsidP="009C7CAD">
            <w:pPr>
              <w:pStyle w:val="CDIFigure-Table-BodyTextCentre"/>
              <w:rPr>
                <w:b/>
                <w:bCs/>
              </w:rPr>
            </w:pPr>
            <w:r w:rsidRPr="003D5A6B">
              <w:rPr>
                <w:b/>
                <w:bCs/>
              </w:rPr>
              <w:t>12.0</w:t>
            </w:r>
          </w:p>
        </w:tc>
        <w:tc>
          <w:tcPr>
            <w:tcW w:w="1510" w:type="dxa"/>
            <w:tcBorders>
              <w:bottom w:val="single" w:sz="6" w:space="0" w:color="033636" w:themeColor="text2"/>
            </w:tcBorders>
            <w:tcMar>
              <w:top w:w="88" w:type="dxa"/>
              <w:left w:w="113" w:type="dxa"/>
              <w:bottom w:w="88" w:type="dxa"/>
              <w:right w:w="113" w:type="dxa"/>
            </w:tcMar>
            <w:vAlign w:val="center"/>
          </w:tcPr>
          <w:p w14:paraId="25FE6B65" w14:textId="77777777" w:rsidR="009C7CAD" w:rsidRPr="003D5A6B" w:rsidRDefault="009C7CAD" w:rsidP="009C7CAD">
            <w:pPr>
              <w:pStyle w:val="CDIFigure-Table-BodyTextCentre"/>
              <w:rPr>
                <w:b/>
                <w:bCs/>
              </w:rPr>
            </w:pPr>
            <w:r w:rsidRPr="003D5A6B">
              <w:rPr>
                <w:b/>
                <w:bCs/>
              </w:rPr>
              <w:t>1.1</w:t>
            </w:r>
          </w:p>
        </w:tc>
        <w:tc>
          <w:tcPr>
            <w:tcW w:w="1509" w:type="dxa"/>
            <w:tcBorders>
              <w:bottom w:val="single" w:sz="6" w:space="0" w:color="033636" w:themeColor="text2"/>
            </w:tcBorders>
            <w:tcMar>
              <w:top w:w="88" w:type="dxa"/>
              <w:left w:w="113" w:type="dxa"/>
              <w:bottom w:w="88" w:type="dxa"/>
              <w:right w:w="113" w:type="dxa"/>
            </w:tcMar>
            <w:vAlign w:val="center"/>
          </w:tcPr>
          <w:p w14:paraId="2C6ADBC2" w14:textId="77777777" w:rsidR="009C7CAD" w:rsidRPr="003D5A6B" w:rsidRDefault="009C7CAD" w:rsidP="009C7CAD">
            <w:pPr>
              <w:pStyle w:val="CDIFigure-Table-BodyTextCentre"/>
              <w:rPr>
                <w:b/>
                <w:bCs/>
              </w:rPr>
            </w:pPr>
            <w:r w:rsidRPr="003D5A6B">
              <w:rPr>
                <w:b/>
                <w:bCs/>
              </w:rPr>
              <w:t>0.29</w:t>
            </w:r>
          </w:p>
        </w:tc>
        <w:tc>
          <w:tcPr>
            <w:tcW w:w="1509" w:type="dxa"/>
            <w:tcBorders>
              <w:bottom w:val="single" w:sz="6" w:space="0" w:color="033636" w:themeColor="text2"/>
            </w:tcBorders>
            <w:tcMar>
              <w:top w:w="88" w:type="dxa"/>
              <w:left w:w="113" w:type="dxa"/>
              <w:bottom w:w="88" w:type="dxa"/>
              <w:right w:w="113" w:type="dxa"/>
            </w:tcMar>
            <w:vAlign w:val="center"/>
          </w:tcPr>
          <w:p w14:paraId="1A7D61B1" w14:textId="77777777" w:rsidR="009C7CAD" w:rsidRPr="003D5A6B" w:rsidRDefault="009C7CAD" w:rsidP="009C7CAD">
            <w:pPr>
              <w:pStyle w:val="CDIFigure-Table-BodyTextCentre"/>
              <w:rPr>
                <w:b/>
                <w:bCs/>
              </w:rPr>
            </w:pPr>
            <w:r w:rsidRPr="003D5A6B">
              <w:rPr>
                <w:b/>
                <w:bCs/>
              </w:rPr>
              <w:t xml:space="preserve"> 0.22–0.38</w:t>
            </w:r>
          </w:p>
        </w:tc>
        <w:tc>
          <w:tcPr>
            <w:tcW w:w="1510" w:type="dxa"/>
            <w:tcBorders>
              <w:bottom w:val="single" w:sz="6" w:space="0" w:color="033636" w:themeColor="text2"/>
            </w:tcBorders>
            <w:tcMar>
              <w:top w:w="88" w:type="dxa"/>
              <w:left w:w="113" w:type="dxa"/>
              <w:bottom w:w="88" w:type="dxa"/>
              <w:right w:w="113" w:type="dxa"/>
            </w:tcMar>
            <w:vAlign w:val="center"/>
          </w:tcPr>
          <w:p w14:paraId="57199053" w14:textId="77777777" w:rsidR="009C7CAD" w:rsidRPr="003D5A6B" w:rsidRDefault="009C7CAD" w:rsidP="009C7CAD">
            <w:pPr>
              <w:pStyle w:val="CDIFigure-Table-BodyTextCentre"/>
              <w:rPr>
                <w:b/>
                <w:bCs/>
              </w:rPr>
            </w:pPr>
            <w:r w:rsidRPr="003D5A6B">
              <w:rPr>
                <w:b/>
                <w:bCs/>
              </w:rPr>
              <w:t>0.03</w:t>
            </w:r>
          </w:p>
        </w:tc>
        <w:tc>
          <w:tcPr>
            <w:tcW w:w="1509" w:type="dxa"/>
            <w:tcBorders>
              <w:bottom w:val="single" w:sz="6" w:space="0" w:color="033636" w:themeColor="text2"/>
            </w:tcBorders>
            <w:tcMar>
              <w:top w:w="88" w:type="dxa"/>
              <w:left w:w="113" w:type="dxa"/>
              <w:bottom w:w="88" w:type="dxa"/>
              <w:right w:w="113" w:type="dxa"/>
            </w:tcMar>
            <w:vAlign w:val="center"/>
          </w:tcPr>
          <w:p w14:paraId="0AC2B5DE" w14:textId="77777777" w:rsidR="009C7CAD" w:rsidRPr="003D5A6B" w:rsidRDefault="009C7CAD" w:rsidP="009C7CAD">
            <w:pPr>
              <w:pStyle w:val="CDIFigure-Table-BodyTextCentre"/>
              <w:rPr>
                <w:b/>
                <w:bCs/>
              </w:rPr>
            </w:pPr>
            <w:r w:rsidRPr="003D5A6B">
              <w:rPr>
                <w:b/>
                <w:bCs/>
              </w:rPr>
              <w:t xml:space="preserve"> 0.01–0.06</w:t>
            </w:r>
          </w:p>
        </w:tc>
      </w:tr>
      <w:tr w:rsidR="003D5A6B" w:rsidRPr="009C7CAD" w14:paraId="26591EE3" w14:textId="77777777" w:rsidTr="003D5A6B">
        <w:trPr>
          <w:trHeight w:val="20"/>
        </w:trPr>
        <w:tc>
          <w:tcPr>
            <w:tcW w:w="2268" w:type="dxa"/>
            <w:vMerge w:val="restart"/>
            <w:tcBorders>
              <w:top w:val="single" w:sz="6" w:space="0" w:color="033636" w:themeColor="text2"/>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0D23DAA2" w14:textId="77777777" w:rsidR="009C7CAD" w:rsidRPr="009C7CAD" w:rsidRDefault="009C7CAD" w:rsidP="003D5A6B">
            <w:pPr>
              <w:pStyle w:val="CDIFigure-Table-BodyTextLeft"/>
              <w:keepNext/>
            </w:pPr>
            <w:r w:rsidRPr="009C7CAD">
              <w:lastRenderedPageBreak/>
              <w:t>Victoria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3873911" w14:textId="77777777" w:rsidR="009C7CAD" w:rsidRPr="009C7CAD" w:rsidRDefault="009C7CAD" w:rsidP="003D5A6B">
            <w:pPr>
              <w:pStyle w:val="CDIFigure-Table-BodyTextCentre"/>
              <w:keepNext/>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65A50E33" w14:textId="77777777" w:rsidR="009C7CAD" w:rsidRPr="009C7CAD" w:rsidRDefault="009C7CAD" w:rsidP="009C7CAD">
            <w:pPr>
              <w:pStyle w:val="CDIFigure-Table-BodyTextCentre"/>
            </w:pPr>
            <w:r w:rsidRPr="009C7CAD">
              <w:t>53.3</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81EB03E" w14:textId="77777777" w:rsidR="009C7CAD" w:rsidRPr="009C7CAD" w:rsidRDefault="009C7CAD" w:rsidP="009C7CAD">
            <w:pPr>
              <w:pStyle w:val="CDIFigure-Table-BodyTextCentre"/>
            </w:pPr>
            <w:r w:rsidRPr="009C7CAD">
              <w:t>25.6</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C5BFBB7" w14:textId="77777777" w:rsidR="009C7CAD" w:rsidRPr="009C7CAD" w:rsidRDefault="009C7CAD" w:rsidP="009C7CAD">
            <w:pPr>
              <w:pStyle w:val="CDIFigure-Table-BodyTextCentre"/>
            </w:pPr>
            <w:r w:rsidRPr="009C7CAD">
              <w:t>3.9</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0FD45002" w14:textId="77777777" w:rsidR="009C7CAD" w:rsidRPr="009C7CAD" w:rsidRDefault="009C7CAD" w:rsidP="009C7CAD">
            <w:pPr>
              <w:pStyle w:val="CDIFigure-Table-BodyTextCentre"/>
            </w:pPr>
            <w:r w:rsidRPr="009C7CAD">
              <w:t>0.48</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F0E1CDD" w14:textId="77777777" w:rsidR="009C7CAD" w:rsidRPr="009C7CAD" w:rsidRDefault="009C7CAD" w:rsidP="009C7CAD">
            <w:pPr>
              <w:pStyle w:val="CDIFigure-Table-BodyTextCentre"/>
            </w:pPr>
            <w:r w:rsidRPr="009C7CAD">
              <w:t xml:space="preserve"> 0.38–0.62</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B7636B5" w14:textId="77777777" w:rsidR="009C7CAD" w:rsidRPr="009C7CAD" w:rsidRDefault="009C7CAD" w:rsidP="009C7CAD">
            <w:pPr>
              <w:pStyle w:val="CDIFigure-Table-BodyTextCentre"/>
            </w:pPr>
            <w:r w:rsidRPr="009C7CAD">
              <w:t>0.07</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11D9139" w14:textId="77777777" w:rsidR="009C7CAD" w:rsidRPr="009C7CAD" w:rsidRDefault="009C7CAD" w:rsidP="009C7CAD">
            <w:pPr>
              <w:pStyle w:val="CDIFigure-Table-BodyTextCentre"/>
            </w:pPr>
            <w:r w:rsidRPr="009C7CAD">
              <w:t xml:space="preserve"> 0.04–0.12</w:t>
            </w:r>
          </w:p>
        </w:tc>
      </w:tr>
      <w:tr w:rsidR="009C7CAD" w:rsidRPr="009C7CAD" w14:paraId="32AE5EA1"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4402A283" w14:textId="77777777" w:rsidR="009C7CAD" w:rsidRPr="009C7CAD" w:rsidRDefault="009C7CAD" w:rsidP="003D5A6B">
            <w:pPr>
              <w:pStyle w:val="CDIFigure-Table-BodyTextLeft"/>
              <w:keepNext/>
            </w:pPr>
          </w:p>
        </w:tc>
        <w:tc>
          <w:tcPr>
            <w:tcW w:w="1509" w:type="dxa"/>
            <w:tcMar>
              <w:top w:w="88" w:type="dxa"/>
              <w:left w:w="113" w:type="dxa"/>
              <w:bottom w:w="88" w:type="dxa"/>
              <w:right w:w="113" w:type="dxa"/>
            </w:tcMar>
            <w:vAlign w:val="center"/>
          </w:tcPr>
          <w:p w14:paraId="34215056" w14:textId="77777777" w:rsidR="009C7CAD" w:rsidRPr="009C7CAD" w:rsidRDefault="009C7CAD" w:rsidP="003D5A6B">
            <w:pPr>
              <w:pStyle w:val="CDIFigure-Table-BodyTextCentre"/>
              <w:keepNext/>
            </w:pPr>
            <w:r w:rsidRPr="009C7CAD">
              <w:t>5–14</w:t>
            </w:r>
          </w:p>
        </w:tc>
        <w:tc>
          <w:tcPr>
            <w:tcW w:w="1510" w:type="dxa"/>
            <w:tcMar>
              <w:top w:w="88" w:type="dxa"/>
              <w:left w:w="113" w:type="dxa"/>
              <w:bottom w:w="88" w:type="dxa"/>
              <w:right w:w="113" w:type="dxa"/>
            </w:tcMar>
            <w:vAlign w:val="center"/>
          </w:tcPr>
          <w:p w14:paraId="7D13B76C" w14:textId="77777777" w:rsidR="009C7CAD" w:rsidRPr="009C7CAD" w:rsidRDefault="009C7CAD" w:rsidP="009C7CAD">
            <w:pPr>
              <w:pStyle w:val="CDIFigure-Table-BodyTextCentre"/>
            </w:pPr>
            <w:r w:rsidRPr="009C7CAD">
              <w:t>80.4</w:t>
            </w:r>
          </w:p>
        </w:tc>
        <w:tc>
          <w:tcPr>
            <w:tcW w:w="1509" w:type="dxa"/>
            <w:tcMar>
              <w:top w:w="88" w:type="dxa"/>
              <w:left w:w="113" w:type="dxa"/>
              <w:bottom w:w="88" w:type="dxa"/>
              <w:right w:w="113" w:type="dxa"/>
            </w:tcMar>
            <w:vAlign w:val="center"/>
          </w:tcPr>
          <w:p w14:paraId="7870B5AC" w14:textId="77777777" w:rsidR="009C7CAD" w:rsidRPr="009C7CAD" w:rsidRDefault="009C7CAD" w:rsidP="009C7CAD">
            <w:pPr>
              <w:pStyle w:val="CDIFigure-Table-BodyTextCentre"/>
            </w:pPr>
            <w:r w:rsidRPr="009C7CAD">
              <w:t>29.2</w:t>
            </w:r>
          </w:p>
        </w:tc>
        <w:tc>
          <w:tcPr>
            <w:tcW w:w="1510" w:type="dxa"/>
            <w:tcMar>
              <w:top w:w="88" w:type="dxa"/>
              <w:left w:w="113" w:type="dxa"/>
              <w:bottom w:w="88" w:type="dxa"/>
              <w:right w:w="113" w:type="dxa"/>
            </w:tcMar>
            <w:vAlign w:val="center"/>
          </w:tcPr>
          <w:p w14:paraId="16F6890A" w14:textId="77777777" w:rsidR="009C7CAD" w:rsidRPr="009C7CAD" w:rsidRDefault="009C7CAD" w:rsidP="009C7CAD">
            <w:pPr>
              <w:pStyle w:val="CDIFigure-Table-BodyTextCentre"/>
            </w:pPr>
            <w:r w:rsidRPr="009C7CAD">
              <w:t>1.7</w:t>
            </w:r>
          </w:p>
        </w:tc>
        <w:tc>
          <w:tcPr>
            <w:tcW w:w="1509" w:type="dxa"/>
            <w:tcMar>
              <w:top w:w="88" w:type="dxa"/>
              <w:left w:w="113" w:type="dxa"/>
              <w:bottom w:w="88" w:type="dxa"/>
              <w:right w:w="113" w:type="dxa"/>
            </w:tcMar>
            <w:vAlign w:val="center"/>
          </w:tcPr>
          <w:p w14:paraId="0AF3FA5C" w14:textId="77777777" w:rsidR="009C7CAD" w:rsidRPr="009C7CAD" w:rsidRDefault="009C7CAD" w:rsidP="009C7CAD">
            <w:pPr>
              <w:pStyle w:val="CDIFigure-Table-BodyTextCentre"/>
            </w:pPr>
            <w:r w:rsidRPr="009C7CAD">
              <w:t>0.37</w:t>
            </w:r>
          </w:p>
        </w:tc>
        <w:tc>
          <w:tcPr>
            <w:tcW w:w="1509" w:type="dxa"/>
            <w:tcMar>
              <w:top w:w="88" w:type="dxa"/>
              <w:left w:w="113" w:type="dxa"/>
              <w:bottom w:w="88" w:type="dxa"/>
              <w:right w:w="113" w:type="dxa"/>
            </w:tcMar>
            <w:vAlign w:val="center"/>
          </w:tcPr>
          <w:p w14:paraId="4CD857F7" w14:textId="77777777" w:rsidR="009C7CAD" w:rsidRPr="009C7CAD" w:rsidRDefault="009C7CAD" w:rsidP="009C7CAD">
            <w:pPr>
              <w:pStyle w:val="CDIFigure-Table-BodyTextCentre"/>
            </w:pPr>
            <w:r w:rsidRPr="009C7CAD">
              <w:t xml:space="preserve"> 0.31–0.43</w:t>
            </w:r>
          </w:p>
        </w:tc>
        <w:tc>
          <w:tcPr>
            <w:tcW w:w="1510" w:type="dxa"/>
            <w:tcMar>
              <w:top w:w="88" w:type="dxa"/>
              <w:left w:w="113" w:type="dxa"/>
              <w:bottom w:w="88" w:type="dxa"/>
              <w:right w:w="113" w:type="dxa"/>
            </w:tcMar>
            <w:vAlign w:val="center"/>
          </w:tcPr>
          <w:p w14:paraId="22B36F95" w14:textId="77777777" w:rsidR="009C7CAD" w:rsidRPr="009C7CAD" w:rsidRDefault="009C7CAD" w:rsidP="009C7CAD">
            <w:pPr>
              <w:pStyle w:val="CDIFigure-Table-BodyTextCentre"/>
            </w:pPr>
            <w:r w:rsidRPr="009C7CAD">
              <w:t>0.02</w:t>
            </w:r>
          </w:p>
        </w:tc>
        <w:tc>
          <w:tcPr>
            <w:tcW w:w="1509" w:type="dxa"/>
            <w:tcMar>
              <w:top w:w="88" w:type="dxa"/>
              <w:left w:w="113" w:type="dxa"/>
              <w:bottom w:w="88" w:type="dxa"/>
              <w:right w:w="113" w:type="dxa"/>
            </w:tcMar>
            <w:vAlign w:val="center"/>
          </w:tcPr>
          <w:p w14:paraId="58CC5A3B" w14:textId="77777777" w:rsidR="009C7CAD" w:rsidRPr="009C7CAD" w:rsidRDefault="009C7CAD" w:rsidP="009C7CAD">
            <w:pPr>
              <w:pStyle w:val="CDIFigure-Table-BodyTextCentre"/>
            </w:pPr>
            <w:r w:rsidRPr="009C7CAD">
              <w:t xml:space="preserve"> 0.01–0.04</w:t>
            </w:r>
          </w:p>
        </w:tc>
      </w:tr>
      <w:tr w:rsidR="009C7CAD" w:rsidRPr="009C7CAD" w14:paraId="2B88C60A"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66710E1E" w14:textId="77777777" w:rsidR="009C7CAD" w:rsidRPr="009C7CAD" w:rsidRDefault="009C7CAD" w:rsidP="003D5A6B">
            <w:pPr>
              <w:pStyle w:val="CDIFigure-Table-BodyTextLeft"/>
              <w:keepNext/>
            </w:pPr>
          </w:p>
        </w:tc>
        <w:tc>
          <w:tcPr>
            <w:tcW w:w="1509" w:type="dxa"/>
            <w:shd w:val="clear" w:color="auto" w:fill="F2F2F2" w:themeFill="background1" w:themeFillShade="F2"/>
            <w:tcMar>
              <w:top w:w="88" w:type="dxa"/>
              <w:left w:w="113" w:type="dxa"/>
              <w:bottom w:w="88" w:type="dxa"/>
              <w:right w:w="113" w:type="dxa"/>
            </w:tcMar>
            <w:vAlign w:val="center"/>
          </w:tcPr>
          <w:p w14:paraId="1A37879E" w14:textId="77777777" w:rsidR="009C7CAD" w:rsidRPr="009C7CAD" w:rsidRDefault="009C7CAD" w:rsidP="003D5A6B">
            <w:pPr>
              <w:pStyle w:val="CDIFigure-Table-BodyTextCentre"/>
              <w:keepNext/>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5F5A6F65" w14:textId="77777777" w:rsidR="009C7CAD" w:rsidRPr="009C7CAD" w:rsidRDefault="009C7CAD" w:rsidP="009C7CAD">
            <w:pPr>
              <w:pStyle w:val="CDIFigure-Table-BodyTextCentre"/>
            </w:pPr>
            <w:r w:rsidRPr="009C7CAD">
              <w:t>25.7</w:t>
            </w:r>
          </w:p>
        </w:tc>
        <w:tc>
          <w:tcPr>
            <w:tcW w:w="1509" w:type="dxa"/>
            <w:shd w:val="clear" w:color="auto" w:fill="F2F2F2" w:themeFill="background1" w:themeFillShade="F2"/>
            <w:tcMar>
              <w:top w:w="88" w:type="dxa"/>
              <w:left w:w="113" w:type="dxa"/>
              <w:bottom w:w="88" w:type="dxa"/>
              <w:right w:w="113" w:type="dxa"/>
            </w:tcMar>
            <w:vAlign w:val="center"/>
          </w:tcPr>
          <w:p w14:paraId="2B705BF8" w14:textId="77777777" w:rsidR="009C7CAD" w:rsidRPr="009C7CAD" w:rsidRDefault="009C7CAD" w:rsidP="009C7CAD">
            <w:pPr>
              <w:pStyle w:val="CDIFigure-Table-BodyTextCentre"/>
            </w:pPr>
            <w:r w:rsidRPr="009C7CAD">
              <w:t>15.1</w:t>
            </w:r>
          </w:p>
        </w:tc>
        <w:tc>
          <w:tcPr>
            <w:tcW w:w="1510" w:type="dxa"/>
            <w:shd w:val="clear" w:color="auto" w:fill="F2F2F2" w:themeFill="background1" w:themeFillShade="F2"/>
            <w:tcMar>
              <w:top w:w="88" w:type="dxa"/>
              <w:left w:w="113" w:type="dxa"/>
              <w:bottom w:w="88" w:type="dxa"/>
              <w:right w:w="113" w:type="dxa"/>
            </w:tcMar>
            <w:vAlign w:val="center"/>
          </w:tcPr>
          <w:p w14:paraId="1085109D" w14:textId="77777777" w:rsidR="009C7CAD" w:rsidRPr="009C7CAD" w:rsidRDefault="009C7CAD" w:rsidP="009C7CAD">
            <w:pPr>
              <w:pStyle w:val="CDIFigure-Table-BodyTextCentre"/>
            </w:pPr>
            <w:r w:rsidRPr="009C7CAD">
              <w:t>4.6</w:t>
            </w:r>
          </w:p>
        </w:tc>
        <w:tc>
          <w:tcPr>
            <w:tcW w:w="1509" w:type="dxa"/>
            <w:shd w:val="clear" w:color="auto" w:fill="F2F2F2" w:themeFill="background1" w:themeFillShade="F2"/>
            <w:tcMar>
              <w:top w:w="88" w:type="dxa"/>
              <w:left w:w="113" w:type="dxa"/>
              <w:bottom w:w="88" w:type="dxa"/>
              <w:right w:w="113" w:type="dxa"/>
            </w:tcMar>
            <w:vAlign w:val="center"/>
          </w:tcPr>
          <w:p w14:paraId="5BDB1081" w14:textId="77777777" w:rsidR="009C7CAD" w:rsidRPr="009C7CAD" w:rsidRDefault="009C7CAD" w:rsidP="009C7CAD">
            <w:pPr>
              <w:pStyle w:val="CDIFigure-Table-BodyTextCentre"/>
            </w:pPr>
            <w:r w:rsidRPr="009C7CAD">
              <w:t>0.59</w:t>
            </w:r>
          </w:p>
        </w:tc>
        <w:tc>
          <w:tcPr>
            <w:tcW w:w="1509" w:type="dxa"/>
            <w:shd w:val="clear" w:color="auto" w:fill="F2F2F2" w:themeFill="background1" w:themeFillShade="F2"/>
            <w:tcMar>
              <w:top w:w="88" w:type="dxa"/>
              <w:left w:w="113" w:type="dxa"/>
              <w:bottom w:w="88" w:type="dxa"/>
              <w:right w:w="113" w:type="dxa"/>
            </w:tcMar>
            <w:vAlign w:val="center"/>
          </w:tcPr>
          <w:p w14:paraId="7E150AEA" w14:textId="77777777" w:rsidR="009C7CAD" w:rsidRPr="009C7CAD" w:rsidRDefault="009C7CAD" w:rsidP="009C7CAD">
            <w:pPr>
              <w:pStyle w:val="CDIFigure-Table-BodyTextCentre"/>
            </w:pPr>
            <w:r w:rsidRPr="009C7CAD">
              <w:t xml:space="preserve"> 0.47–0.74</w:t>
            </w:r>
          </w:p>
        </w:tc>
        <w:tc>
          <w:tcPr>
            <w:tcW w:w="1510" w:type="dxa"/>
            <w:shd w:val="clear" w:color="auto" w:fill="F2F2F2" w:themeFill="background1" w:themeFillShade="F2"/>
            <w:tcMar>
              <w:top w:w="88" w:type="dxa"/>
              <w:left w:w="113" w:type="dxa"/>
              <w:bottom w:w="88" w:type="dxa"/>
              <w:right w:w="113" w:type="dxa"/>
            </w:tcMar>
            <w:vAlign w:val="center"/>
          </w:tcPr>
          <w:p w14:paraId="08509BFC" w14:textId="77777777" w:rsidR="009C7CAD" w:rsidRPr="009C7CAD" w:rsidRDefault="009C7CAD" w:rsidP="009C7CAD">
            <w:pPr>
              <w:pStyle w:val="CDIFigure-Table-BodyTextCentre"/>
            </w:pPr>
            <w:r w:rsidRPr="009C7CAD">
              <w:t>0.18</w:t>
            </w:r>
          </w:p>
        </w:tc>
        <w:tc>
          <w:tcPr>
            <w:tcW w:w="1509" w:type="dxa"/>
            <w:shd w:val="clear" w:color="auto" w:fill="F2F2F2" w:themeFill="background1" w:themeFillShade="F2"/>
            <w:tcMar>
              <w:top w:w="88" w:type="dxa"/>
              <w:left w:w="113" w:type="dxa"/>
              <w:bottom w:w="88" w:type="dxa"/>
              <w:right w:w="113" w:type="dxa"/>
            </w:tcMar>
            <w:vAlign w:val="center"/>
          </w:tcPr>
          <w:p w14:paraId="177CD875" w14:textId="77777777" w:rsidR="009C7CAD" w:rsidRPr="009C7CAD" w:rsidRDefault="009C7CAD" w:rsidP="009C7CAD">
            <w:pPr>
              <w:pStyle w:val="CDIFigure-Table-BodyTextCentre"/>
            </w:pPr>
            <w:r w:rsidRPr="009C7CAD">
              <w:t xml:space="preserve"> 0.12–0.26</w:t>
            </w:r>
          </w:p>
        </w:tc>
      </w:tr>
      <w:tr w:rsidR="009C7CAD" w:rsidRPr="009C7CAD" w14:paraId="2702C84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392236B0" w14:textId="77777777" w:rsidR="009C7CAD" w:rsidRPr="009C7CAD" w:rsidRDefault="009C7CAD" w:rsidP="009C7CAD">
            <w:pPr>
              <w:pStyle w:val="CDIFigure-Table-BodyTextLeft"/>
            </w:pPr>
          </w:p>
        </w:tc>
        <w:tc>
          <w:tcPr>
            <w:tcW w:w="1509" w:type="dxa"/>
            <w:tcMar>
              <w:top w:w="88" w:type="dxa"/>
              <w:left w:w="113" w:type="dxa"/>
              <w:bottom w:w="88" w:type="dxa"/>
              <w:right w:w="113" w:type="dxa"/>
            </w:tcMar>
            <w:vAlign w:val="center"/>
          </w:tcPr>
          <w:p w14:paraId="7098DB98"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332D585F" w14:textId="77777777" w:rsidR="009C7CAD" w:rsidRPr="009C7CAD" w:rsidRDefault="009C7CAD" w:rsidP="009C7CAD">
            <w:pPr>
              <w:pStyle w:val="CDIFigure-Table-BodyTextCentre"/>
            </w:pPr>
            <w:r w:rsidRPr="009C7CAD">
              <w:t>38.3</w:t>
            </w:r>
          </w:p>
        </w:tc>
        <w:tc>
          <w:tcPr>
            <w:tcW w:w="1509" w:type="dxa"/>
            <w:tcMar>
              <w:top w:w="88" w:type="dxa"/>
              <w:left w:w="113" w:type="dxa"/>
              <w:bottom w:w="88" w:type="dxa"/>
              <w:right w:w="113" w:type="dxa"/>
            </w:tcMar>
            <w:vAlign w:val="center"/>
          </w:tcPr>
          <w:p w14:paraId="6DA3FB9E" w14:textId="77777777" w:rsidR="009C7CAD" w:rsidRPr="009C7CAD" w:rsidRDefault="009C7CAD" w:rsidP="009C7CAD">
            <w:pPr>
              <w:pStyle w:val="CDIFigure-Table-BodyTextCentre"/>
            </w:pPr>
            <w:r w:rsidRPr="009C7CAD">
              <w:t>13.9</w:t>
            </w:r>
          </w:p>
        </w:tc>
        <w:tc>
          <w:tcPr>
            <w:tcW w:w="1510" w:type="dxa"/>
            <w:tcMar>
              <w:top w:w="88" w:type="dxa"/>
              <w:left w:w="113" w:type="dxa"/>
              <w:bottom w:w="88" w:type="dxa"/>
              <w:right w:w="113" w:type="dxa"/>
            </w:tcMar>
            <w:vAlign w:val="center"/>
          </w:tcPr>
          <w:p w14:paraId="46F8C4B3" w14:textId="77777777" w:rsidR="009C7CAD" w:rsidRPr="009C7CAD" w:rsidRDefault="009C7CAD" w:rsidP="009C7CAD">
            <w:pPr>
              <w:pStyle w:val="CDIFigure-Table-BodyTextCentre"/>
            </w:pPr>
            <w:r w:rsidRPr="009C7CAD">
              <w:t>5.7</w:t>
            </w:r>
          </w:p>
        </w:tc>
        <w:tc>
          <w:tcPr>
            <w:tcW w:w="1509" w:type="dxa"/>
            <w:tcMar>
              <w:top w:w="88" w:type="dxa"/>
              <w:left w:w="113" w:type="dxa"/>
              <w:bottom w:w="88" w:type="dxa"/>
              <w:right w:w="113" w:type="dxa"/>
            </w:tcMar>
            <w:vAlign w:val="center"/>
          </w:tcPr>
          <w:p w14:paraId="509EDADF" w14:textId="77777777" w:rsidR="009C7CAD" w:rsidRPr="009C7CAD" w:rsidRDefault="009C7CAD" w:rsidP="009C7CAD">
            <w:pPr>
              <w:pStyle w:val="CDIFigure-Table-BodyTextCentre"/>
            </w:pPr>
            <w:r w:rsidRPr="009C7CAD">
              <w:t>0.37</w:t>
            </w:r>
          </w:p>
        </w:tc>
        <w:tc>
          <w:tcPr>
            <w:tcW w:w="1509" w:type="dxa"/>
            <w:tcMar>
              <w:top w:w="88" w:type="dxa"/>
              <w:left w:w="113" w:type="dxa"/>
              <w:bottom w:w="88" w:type="dxa"/>
              <w:right w:w="113" w:type="dxa"/>
            </w:tcMar>
            <w:vAlign w:val="center"/>
          </w:tcPr>
          <w:p w14:paraId="793F80AA" w14:textId="77777777" w:rsidR="009C7CAD" w:rsidRPr="009C7CAD" w:rsidRDefault="009C7CAD" w:rsidP="009C7CAD">
            <w:pPr>
              <w:pStyle w:val="CDIFigure-Table-BodyTextCentre"/>
            </w:pPr>
            <w:r w:rsidRPr="009C7CAD">
              <w:t xml:space="preserve"> 0.33–0.41</w:t>
            </w:r>
          </w:p>
        </w:tc>
        <w:tc>
          <w:tcPr>
            <w:tcW w:w="1510" w:type="dxa"/>
            <w:tcMar>
              <w:top w:w="88" w:type="dxa"/>
              <w:left w:w="113" w:type="dxa"/>
              <w:bottom w:w="88" w:type="dxa"/>
              <w:right w:w="113" w:type="dxa"/>
            </w:tcMar>
            <w:vAlign w:val="center"/>
          </w:tcPr>
          <w:p w14:paraId="1437E9EE" w14:textId="77777777" w:rsidR="009C7CAD" w:rsidRPr="009C7CAD" w:rsidRDefault="009C7CAD" w:rsidP="009C7CAD">
            <w:pPr>
              <w:pStyle w:val="CDIFigure-Table-BodyTextCentre"/>
            </w:pPr>
            <w:r w:rsidRPr="009C7CAD">
              <w:t>0.15</w:t>
            </w:r>
          </w:p>
        </w:tc>
        <w:tc>
          <w:tcPr>
            <w:tcW w:w="1509" w:type="dxa"/>
            <w:tcMar>
              <w:top w:w="88" w:type="dxa"/>
              <w:left w:w="113" w:type="dxa"/>
              <w:bottom w:w="88" w:type="dxa"/>
              <w:right w:w="113" w:type="dxa"/>
            </w:tcMar>
            <w:vAlign w:val="center"/>
          </w:tcPr>
          <w:p w14:paraId="4015FFCA" w14:textId="77777777" w:rsidR="009C7CAD" w:rsidRPr="009C7CAD" w:rsidRDefault="009C7CAD" w:rsidP="009C7CAD">
            <w:pPr>
              <w:pStyle w:val="CDIFigure-Table-BodyTextCentre"/>
            </w:pPr>
            <w:r w:rsidRPr="009C7CAD">
              <w:t xml:space="preserve"> 0.13–0.17</w:t>
            </w:r>
          </w:p>
        </w:tc>
      </w:tr>
      <w:tr w:rsidR="006A4AE7" w:rsidRPr="009C7CAD" w14:paraId="617EA29A"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30CAABE8" w14:textId="77777777" w:rsidR="009C7CAD" w:rsidRPr="009C7CAD" w:rsidRDefault="009C7CAD" w:rsidP="009C7CAD">
            <w:pPr>
              <w:pStyle w:val="CDIFigure-Table-BodyTextLeft"/>
            </w:pPr>
          </w:p>
        </w:tc>
        <w:tc>
          <w:tcPr>
            <w:tcW w:w="1509" w:type="dxa"/>
            <w:shd w:val="clear" w:color="auto" w:fill="F2F2F2" w:themeFill="background1" w:themeFillShade="F2"/>
            <w:tcMar>
              <w:top w:w="88" w:type="dxa"/>
              <w:left w:w="113" w:type="dxa"/>
              <w:bottom w:w="88" w:type="dxa"/>
              <w:right w:w="113" w:type="dxa"/>
            </w:tcMar>
            <w:vAlign w:val="center"/>
          </w:tcPr>
          <w:p w14:paraId="6A31A1C5"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0D17EF24" w14:textId="77777777" w:rsidR="009C7CAD" w:rsidRPr="009C7CAD" w:rsidRDefault="009C7CAD" w:rsidP="009C7CAD">
            <w:pPr>
              <w:pStyle w:val="CDIFigure-Table-BodyTextCentre"/>
            </w:pPr>
            <w:r w:rsidRPr="009C7CAD">
              <w:t>43.6</w:t>
            </w:r>
          </w:p>
        </w:tc>
        <w:tc>
          <w:tcPr>
            <w:tcW w:w="1509" w:type="dxa"/>
            <w:shd w:val="clear" w:color="auto" w:fill="F2F2F2" w:themeFill="background1" w:themeFillShade="F2"/>
            <w:tcMar>
              <w:top w:w="88" w:type="dxa"/>
              <w:left w:w="113" w:type="dxa"/>
              <w:bottom w:w="88" w:type="dxa"/>
              <w:right w:w="113" w:type="dxa"/>
            </w:tcMar>
            <w:vAlign w:val="center"/>
          </w:tcPr>
          <w:p w14:paraId="6A3DF31F" w14:textId="77777777" w:rsidR="009C7CAD" w:rsidRPr="009C7CAD" w:rsidRDefault="009C7CAD" w:rsidP="009C7CAD">
            <w:pPr>
              <w:pStyle w:val="CDIFigure-Table-BodyTextCentre"/>
            </w:pPr>
            <w:r w:rsidRPr="009C7CAD">
              <w:t>14.1</w:t>
            </w:r>
          </w:p>
        </w:tc>
        <w:tc>
          <w:tcPr>
            <w:tcW w:w="1510" w:type="dxa"/>
            <w:shd w:val="clear" w:color="auto" w:fill="F2F2F2" w:themeFill="background1" w:themeFillShade="F2"/>
            <w:tcMar>
              <w:top w:w="88" w:type="dxa"/>
              <w:left w:w="113" w:type="dxa"/>
              <w:bottom w:w="88" w:type="dxa"/>
              <w:right w:w="113" w:type="dxa"/>
            </w:tcMar>
            <w:vAlign w:val="center"/>
          </w:tcPr>
          <w:p w14:paraId="65A4CB32" w14:textId="77777777" w:rsidR="009C7CAD" w:rsidRPr="009C7CAD" w:rsidRDefault="009C7CAD" w:rsidP="009C7CAD">
            <w:pPr>
              <w:pStyle w:val="CDIFigure-Table-BodyTextCentre"/>
            </w:pPr>
            <w:r w:rsidRPr="009C7CAD">
              <w:t>3.7</w:t>
            </w:r>
          </w:p>
        </w:tc>
        <w:tc>
          <w:tcPr>
            <w:tcW w:w="1509" w:type="dxa"/>
            <w:shd w:val="clear" w:color="auto" w:fill="F2F2F2" w:themeFill="background1" w:themeFillShade="F2"/>
            <w:tcMar>
              <w:top w:w="88" w:type="dxa"/>
              <w:left w:w="113" w:type="dxa"/>
              <w:bottom w:w="88" w:type="dxa"/>
              <w:right w:w="113" w:type="dxa"/>
            </w:tcMar>
            <w:vAlign w:val="center"/>
          </w:tcPr>
          <w:p w14:paraId="7E141C52" w14:textId="77777777" w:rsidR="009C7CAD" w:rsidRPr="009C7CAD" w:rsidRDefault="009C7CAD" w:rsidP="009C7CAD">
            <w:pPr>
              <w:pStyle w:val="CDIFigure-Table-BodyTextCentre"/>
            </w:pPr>
            <w:r w:rsidRPr="009C7CAD">
              <w:t>0.33</w:t>
            </w:r>
          </w:p>
        </w:tc>
        <w:tc>
          <w:tcPr>
            <w:tcW w:w="1509" w:type="dxa"/>
            <w:shd w:val="clear" w:color="auto" w:fill="F2F2F2" w:themeFill="background1" w:themeFillShade="F2"/>
            <w:tcMar>
              <w:top w:w="88" w:type="dxa"/>
              <w:left w:w="113" w:type="dxa"/>
              <w:bottom w:w="88" w:type="dxa"/>
              <w:right w:w="113" w:type="dxa"/>
            </w:tcMar>
            <w:vAlign w:val="center"/>
          </w:tcPr>
          <w:p w14:paraId="648F69DA" w14:textId="77777777" w:rsidR="009C7CAD" w:rsidRPr="009C7CAD" w:rsidRDefault="009C7CAD" w:rsidP="009C7CAD">
            <w:pPr>
              <w:pStyle w:val="CDIFigure-Table-BodyTextCentre"/>
            </w:pPr>
            <w:r w:rsidRPr="009C7CAD">
              <w:t xml:space="preserve"> 0.26–0.42</w:t>
            </w:r>
          </w:p>
        </w:tc>
        <w:tc>
          <w:tcPr>
            <w:tcW w:w="1510" w:type="dxa"/>
            <w:shd w:val="clear" w:color="auto" w:fill="F2F2F2" w:themeFill="background1" w:themeFillShade="F2"/>
            <w:tcMar>
              <w:top w:w="88" w:type="dxa"/>
              <w:left w:w="113" w:type="dxa"/>
              <w:bottom w:w="88" w:type="dxa"/>
              <w:right w:w="113" w:type="dxa"/>
            </w:tcMar>
            <w:vAlign w:val="center"/>
          </w:tcPr>
          <w:p w14:paraId="6CDCB7F8" w14:textId="77777777" w:rsidR="009C7CAD" w:rsidRPr="009C7CAD" w:rsidRDefault="009C7CAD" w:rsidP="009C7CAD">
            <w:pPr>
              <w:pStyle w:val="CDIFigure-Table-BodyTextCentre"/>
            </w:pPr>
            <w:r w:rsidRPr="009C7CAD">
              <w:t>0.09</w:t>
            </w:r>
          </w:p>
        </w:tc>
        <w:tc>
          <w:tcPr>
            <w:tcW w:w="1509" w:type="dxa"/>
            <w:shd w:val="clear" w:color="auto" w:fill="F2F2F2" w:themeFill="background1" w:themeFillShade="F2"/>
            <w:tcMar>
              <w:top w:w="88" w:type="dxa"/>
              <w:left w:w="113" w:type="dxa"/>
              <w:bottom w:w="88" w:type="dxa"/>
              <w:right w:w="113" w:type="dxa"/>
            </w:tcMar>
            <w:vAlign w:val="center"/>
          </w:tcPr>
          <w:p w14:paraId="6A8A94E2" w14:textId="77777777" w:rsidR="009C7CAD" w:rsidRPr="009C7CAD" w:rsidRDefault="009C7CAD" w:rsidP="009C7CAD">
            <w:pPr>
              <w:pStyle w:val="CDIFigure-Table-BodyTextCentre"/>
            </w:pPr>
            <w:r w:rsidRPr="009C7CAD">
              <w:t xml:space="preserve"> 0.06–0.13</w:t>
            </w:r>
          </w:p>
        </w:tc>
      </w:tr>
      <w:tr w:rsidR="009C7CAD" w:rsidRPr="009C7CAD" w14:paraId="4AC14ADA"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5230DB7D" w14:textId="77777777" w:rsidR="009C7CAD" w:rsidRPr="009C7CAD" w:rsidRDefault="009C7CAD" w:rsidP="009C7CAD">
            <w:pPr>
              <w:pStyle w:val="CDIFigure-Table-BodyTextLeft"/>
            </w:pPr>
          </w:p>
        </w:tc>
        <w:tc>
          <w:tcPr>
            <w:tcW w:w="1509" w:type="dxa"/>
            <w:tcBorders>
              <w:bottom w:val="single" w:sz="6" w:space="0" w:color="033636" w:themeColor="text2"/>
            </w:tcBorders>
            <w:tcMar>
              <w:top w:w="88" w:type="dxa"/>
              <w:left w:w="113" w:type="dxa"/>
              <w:bottom w:w="88" w:type="dxa"/>
              <w:right w:w="113" w:type="dxa"/>
            </w:tcMar>
            <w:vAlign w:val="center"/>
          </w:tcPr>
          <w:p w14:paraId="376139AE"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27EE97F0" w14:textId="77777777" w:rsidR="009C7CAD" w:rsidRPr="003D5A6B" w:rsidRDefault="009C7CAD" w:rsidP="009C7CAD">
            <w:pPr>
              <w:pStyle w:val="CDIFigure-Table-BodyTextCentre"/>
              <w:rPr>
                <w:b/>
                <w:bCs/>
              </w:rPr>
            </w:pPr>
            <w:r w:rsidRPr="003D5A6B">
              <w:rPr>
                <w:b/>
                <w:bCs/>
              </w:rPr>
              <w:t>43.1</w:t>
            </w:r>
          </w:p>
        </w:tc>
        <w:tc>
          <w:tcPr>
            <w:tcW w:w="1509" w:type="dxa"/>
            <w:tcBorders>
              <w:bottom w:val="single" w:sz="6" w:space="0" w:color="033636" w:themeColor="text2"/>
            </w:tcBorders>
            <w:tcMar>
              <w:top w:w="88" w:type="dxa"/>
              <w:left w:w="113" w:type="dxa"/>
              <w:bottom w:w="88" w:type="dxa"/>
              <w:right w:w="113" w:type="dxa"/>
            </w:tcMar>
            <w:vAlign w:val="center"/>
          </w:tcPr>
          <w:p w14:paraId="07478FDB" w14:textId="77777777" w:rsidR="009C7CAD" w:rsidRPr="003D5A6B" w:rsidRDefault="009C7CAD" w:rsidP="009C7CAD">
            <w:pPr>
              <w:pStyle w:val="CDIFigure-Table-BodyTextCentre"/>
              <w:rPr>
                <w:b/>
                <w:bCs/>
              </w:rPr>
            </w:pPr>
            <w:r w:rsidRPr="003D5A6B">
              <w:rPr>
                <w:b/>
                <w:bCs/>
              </w:rPr>
              <w:t>16.4</w:t>
            </w:r>
          </w:p>
        </w:tc>
        <w:tc>
          <w:tcPr>
            <w:tcW w:w="1510" w:type="dxa"/>
            <w:tcBorders>
              <w:bottom w:val="single" w:sz="6" w:space="0" w:color="033636" w:themeColor="text2"/>
            </w:tcBorders>
            <w:tcMar>
              <w:top w:w="88" w:type="dxa"/>
              <w:left w:w="113" w:type="dxa"/>
              <w:bottom w:w="88" w:type="dxa"/>
              <w:right w:w="113" w:type="dxa"/>
            </w:tcMar>
            <w:vAlign w:val="center"/>
          </w:tcPr>
          <w:p w14:paraId="5F668AD7" w14:textId="77777777" w:rsidR="009C7CAD" w:rsidRPr="003D5A6B" w:rsidRDefault="009C7CAD" w:rsidP="009C7CAD">
            <w:pPr>
              <w:pStyle w:val="CDIFigure-Table-BodyTextCentre"/>
              <w:rPr>
                <w:b/>
                <w:bCs/>
              </w:rPr>
            </w:pPr>
            <w:r w:rsidRPr="003D5A6B">
              <w:rPr>
                <w:b/>
                <w:bCs/>
              </w:rPr>
              <w:t>4.7</w:t>
            </w:r>
          </w:p>
        </w:tc>
        <w:tc>
          <w:tcPr>
            <w:tcW w:w="1509" w:type="dxa"/>
            <w:tcBorders>
              <w:bottom w:val="single" w:sz="6" w:space="0" w:color="033636" w:themeColor="text2"/>
            </w:tcBorders>
            <w:tcMar>
              <w:top w:w="88" w:type="dxa"/>
              <w:left w:w="113" w:type="dxa"/>
              <w:bottom w:w="88" w:type="dxa"/>
              <w:right w:w="113" w:type="dxa"/>
            </w:tcMar>
            <w:vAlign w:val="center"/>
          </w:tcPr>
          <w:p w14:paraId="7BE9427A" w14:textId="77777777" w:rsidR="009C7CAD" w:rsidRPr="003D5A6B" w:rsidRDefault="009C7CAD" w:rsidP="009C7CAD">
            <w:pPr>
              <w:pStyle w:val="CDIFigure-Table-BodyTextCentre"/>
              <w:rPr>
                <w:b/>
                <w:bCs/>
              </w:rPr>
            </w:pPr>
            <w:r w:rsidRPr="003D5A6B">
              <w:rPr>
                <w:b/>
                <w:bCs/>
              </w:rPr>
              <w:t>0.39</w:t>
            </w:r>
          </w:p>
        </w:tc>
        <w:tc>
          <w:tcPr>
            <w:tcW w:w="1509" w:type="dxa"/>
            <w:tcBorders>
              <w:bottom w:val="single" w:sz="6" w:space="0" w:color="033636" w:themeColor="text2"/>
            </w:tcBorders>
            <w:tcMar>
              <w:top w:w="88" w:type="dxa"/>
              <w:left w:w="113" w:type="dxa"/>
              <w:bottom w:w="88" w:type="dxa"/>
              <w:right w:w="113" w:type="dxa"/>
            </w:tcMar>
            <w:vAlign w:val="center"/>
          </w:tcPr>
          <w:p w14:paraId="3EA8437F" w14:textId="77777777" w:rsidR="009C7CAD" w:rsidRPr="003D5A6B" w:rsidRDefault="009C7CAD" w:rsidP="009C7CAD">
            <w:pPr>
              <w:pStyle w:val="CDIFigure-Table-BodyTextCentre"/>
              <w:rPr>
                <w:b/>
                <w:bCs/>
              </w:rPr>
            </w:pPr>
            <w:r w:rsidRPr="003D5A6B">
              <w:rPr>
                <w:b/>
                <w:bCs/>
              </w:rPr>
              <w:t xml:space="preserve"> 0.36–0.41</w:t>
            </w:r>
          </w:p>
        </w:tc>
        <w:tc>
          <w:tcPr>
            <w:tcW w:w="1510" w:type="dxa"/>
            <w:tcBorders>
              <w:bottom w:val="single" w:sz="6" w:space="0" w:color="033636" w:themeColor="text2"/>
            </w:tcBorders>
            <w:tcMar>
              <w:top w:w="88" w:type="dxa"/>
              <w:left w:w="113" w:type="dxa"/>
              <w:bottom w:w="88" w:type="dxa"/>
              <w:right w:w="113" w:type="dxa"/>
            </w:tcMar>
            <w:vAlign w:val="center"/>
          </w:tcPr>
          <w:p w14:paraId="58323EAB" w14:textId="77777777" w:rsidR="009C7CAD" w:rsidRPr="003D5A6B" w:rsidRDefault="009C7CAD" w:rsidP="009C7CAD">
            <w:pPr>
              <w:pStyle w:val="CDIFigure-Table-BodyTextCentre"/>
              <w:rPr>
                <w:b/>
                <w:bCs/>
              </w:rPr>
            </w:pPr>
            <w:r w:rsidRPr="003D5A6B">
              <w:rPr>
                <w:b/>
                <w:bCs/>
              </w:rPr>
              <w:t>0.11</w:t>
            </w:r>
          </w:p>
        </w:tc>
        <w:tc>
          <w:tcPr>
            <w:tcW w:w="1509" w:type="dxa"/>
            <w:tcBorders>
              <w:bottom w:val="single" w:sz="6" w:space="0" w:color="033636" w:themeColor="text2"/>
            </w:tcBorders>
            <w:tcMar>
              <w:top w:w="88" w:type="dxa"/>
              <w:left w:w="113" w:type="dxa"/>
              <w:bottom w:w="88" w:type="dxa"/>
              <w:right w:w="113" w:type="dxa"/>
            </w:tcMar>
            <w:vAlign w:val="center"/>
          </w:tcPr>
          <w:p w14:paraId="1A9B16AA" w14:textId="77777777" w:rsidR="009C7CAD" w:rsidRPr="003D5A6B" w:rsidRDefault="009C7CAD" w:rsidP="009C7CAD">
            <w:pPr>
              <w:pStyle w:val="CDIFigure-Table-BodyTextCentre"/>
              <w:rPr>
                <w:b/>
                <w:bCs/>
              </w:rPr>
            </w:pPr>
            <w:r w:rsidRPr="003D5A6B">
              <w:rPr>
                <w:b/>
                <w:bCs/>
              </w:rPr>
              <w:t xml:space="preserve"> 0.10–0.12</w:t>
            </w:r>
          </w:p>
        </w:tc>
      </w:tr>
      <w:tr w:rsidR="006A4AE7" w:rsidRPr="009C7CAD" w14:paraId="61DD3754" w14:textId="77777777" w:rsidTr="003D5A6B">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746177E4" w14:textId="77777777" w:rsidR="009C7CAD" w:rsidRPr="009C7CAD" w:rsidRDefault="009C7CAD" w:rsidP="009C7CAD">
            <w:pPr>
              <w:pStyle w:val="CDIFigure-Table-BodyTextLeft"/>
            </w:pPr>
            <w:r w:rsidRPr="009C7CAD">
              <w:t>Western Australia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A4158D7" w14:textId="77777777" w:rsidR="009C7CAD" w:rsidRPr="009C7CAD" w:rsidRDefault="009C7CAD" w:rsidP="009C7CAD">
            <w:pPr>
              <w:pStyle w:val="CDIFigure-Table-BodyTextCentre"/>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7FA296B" w14:textId="77777777" w:rsidR="009C7CAD" w:rsidRPr="009C7CAD" w:rsidRDefault="009C7CAD" w:rsidP="009C7CAD">
            <w:pPr>
              <w:pStyle w:val="CDIFigure-Table-BodyTextCentre"/>
            </w:pPr>
            <w:r w:rsidRPr="009C7CAD">
              <w:t>90.7</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313A444" w14:textId="77777777" w:rsidR="009C7CAD" w:rsidRPr="009C7CAD" w:rsidRDefault="009C7CAD" w:rsidP="009C7CAD">
            <w:pPr>
              <w:pStyle w:val="CDIFigure-Table-BodyTextCentre"/>
            </w:pPr>
            <w:r w:rsidRPr="009C7CAD">
              <w:t>5.8</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391BFF6" w14:textId="77777777" w:rsidR="009C7CAD" w:rsidRPr="009C7CAD" w:rsidRDefault="009C7CAD" w:rsidP="009C7CAD">
            <w:pPr>
              <w:pStyle w:val="CDIFigure-Table-BodyTextCentre"/>
            </w:pPr>
            <w:r w:rsidRPr="009C7CAD">
              <w:t>0.0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97E1291" w14:textId="77777777" w:rsidR="009C7CAD" w:rsidRPr="009C7CAD" w:rsidRDefault="009C7CAD" w:rsidP="009C7CAD">
            <w:pPr>
              <w:pStyle w:val="CDIFigure-Table-BodyTextCentre"/>
            </w:pPr>
            <w:r w:rsidRPr="009C7CAD">
              <w:t>0.06</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49B021F" w14:textId="77777777" w:rsidR="009C7CAD" w:rsidRPr="009C7CAD" w:rsidRDefault="009C7CAD" w:rsidP="009C7CAD">
            <w:pPr>
              <w:pStyle w:val="CDIFigure-Table-BodyTextCentre"/>
            </w:pPr>
            <w:r w:rsidRPr="009C7CAD">
              <w:t xml:space="preserve"> 0.03–0.12</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9AD10A4" w14:textId="77777777" w:rsidR="009C7CAD" w:rsidRPr="009C7CAD" w:rsidRDefault="009C7CAD" w:rsidP="009C7CAD">
            <w:pPr>
              <w:pStyle w:val="CDIFigure-Table-BodyTextCentre"/>
            </w:pPr>
            <w:r w:rsidRPr="009C7CAD">
              <w:t>0.00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F6431F5" w14:textId="77777777" w:rsidR="009C7CAD" w:rsidRPr="009C7CAD" w:rsidRDefault="009C7CAD" w:rsidP="009C7CAD">
            <w:pPr>
              <w:pStyle w:val="CDIFigure-Table-BodyTextCentre"/>
            </w:pPr>
            <w:r w:rsidRPr="009C7CAD">
              <w:t xml:space="preserve"> 0.00–0.02</w:t>
            </w:r>
          </w:p>
        </w:tc>
      </w:tr>
      <w:tr w:rsidR="009C7CAD" w:rsidRPr="009C7CAD" w14:paraId="51CE8880"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7EA07B9C" w14:textId="77777777" w:rsidR="009C7CAD" w:rsidRPr="009C7CAD" w:rsidRDefault="009C7CAD" w:rsidP="009C7CAD"/>
        </w:tc>
        <w:tc>
          <w:tcPr>
            <w:tcW w:w="1509" w:type="dxa"/>
            <w:tcMar>
              <w:top w:w="88" w:type="dxa"/>
              <w:left w:w="113" w:type="dxa"/>
              <w:bottom w:w="88" w:type="dxa"/>
              <w:right w:w="113" w:type="dxa"/>
            </w:tcMar>
            <w:vAlign w:val="center"/>
          </w:tcPr>
          <w:p w14:paraId="6DB317AA" w14:textId="77777777" w:rsidR="009C7CAD" w:rsidRPr="009C7CAD" w:rsidRDefault="009C7CAD" w:rsidP="009C7CAD">
            <w:pPr>
              <w:pStyle w:val="CDIFigure-Table-BodyTextCentre"/>
            </w:pPr>
            <w:r w:rsidRPr="009C7CAD">
              <w:t>5–14</w:t>
            </w:r>
          </w:p>
        </w:tc>
        <w:tc>
          <w:tcPr>
            <w:tcW w:w="1510" w:type="dxa"/>
            <w:tcMar>
              <w:top w:w="88" w:type="dxa"/>
              <w:left w:w="113" w:type="dxa"/>
              <w:bottom w:w="88" w:type="dxa"/>
              <w:right w:w="113" w:type="dxa"/>
            </w:tcMar>
            <w:vAlign w:val="center"/>
          </w:tcPr>
          <w:p w14:paraId="0A9FC8AD" w14:textId="77777777" w:rsidR="009C7CAD" w:rsidRPr="009C7CAD" w:rsidRDefault="009C7CAD" w:rsidP="009C7CAD">
            <w:pPr>
              <w:pStyle w:val="CDIFigure-Table-BodyTextCentre"/>
            </w:pPr>
            <w:r w:rsidRPr="009C7CAD">
              <w:t>102.1</w:t>
            </w:r>
          </w:p>
        </w:tc>
        <w:tc>
          <w:tcPr>
            <w:tcW w:w="1509" w:type="dxa"/>
            <w:tcMar>
              <w:top w:w="88" w:type="dxa"/>
              <w:left w:w="113" w:type="dxa"/>
              <w:bottom w:w="88" w:type="dxa"/>
              <w:right w:w="113" w:type="dxa"/>
            </w:tcMar>
            <w:vAlign w:val="center"/>
          </w:tcPr>
          <w:p w14:paraId="2EE24853" w14:textId="77777777" w:rsidR="009C7CAD" w:rsidRPr="009C7CAD" w:rsidRDefault="009C7CAD" w:rsidP="009C7CAD">
            <w:pPr>
              <w:pStyle w:val="CDIFigure-Table-BodyTextCentre"/>
            </w:pPr>
            <w:r w:rsidRPr="009C7CAD">
              <w:t>7.6</w:t>
            </w:r>
          </w:p>
        </w:tc>
        <w:tc>
          <w:tcPr>
            <w:tcW w:w="1510" w:type="dxa"/>
            <w:tcMar>
              <w:top w:w="88" w:type="dxa"/>
              <w:left w:w="113" w:type="dxa"/>
              <w:bottom w:w="88" w:type="dxa"/>
              <w:right w:w="113" w:type="dxa"/>
            </w:tcMar>
            <w:vAlign w:val="center"/>
          </w:tcPr>
          <w:p w14:paraId="39FD69D3" w14:textId="77777777" w:rsidR="009C7CAD" w:rsidRPr="009C7CAD" w:rsidRDefault="009C7CAD" w:rsidP="009C7CAD">
            <w:pPr>
              <w:pStyle w:val="CDIFigure-Table-BodyTextCentre"/>
            </w:pPr>
            <w:r w:rsidRPr="009C7CAD">
              <w:t>0.3</w:t>
            </w:r>
          </w:p>
        </w:tc>
        <w:tc>
          <w:tcPr>
            <w:tcW w:w="1509" w:type="dxa"/>
            <w:tcMar>
              <w:top w:w="88" w:type="dxa"/>
              <w:left w:w="113" w:type="dxa"/>
              <w:bottom w:w="88" w:type="dxa"/>
              <w:right w:w="113" w:type="dxa"/>
            </w:tcMar>
            <w:vAlign w:val="center"/>
          </w:tcPr>
          <w:p w14:paraId="49D19D0B" w14:textId="77777777" w:rsidR="009C7CAD" w:rsidRPr="009C7CAD" w:rsidRDefault="009C7CAD" w:rsidP="009C7CAD">
            <w:pPr>
              <w:pStyle w:val="CDIFigure-Table-BodyTextCentre"/>
            </w:pPr>
            <w:r w:rsidRPr="009C7CAD">
              <w:t>0.08</w:t>
            </w:r>
          </w:p>
        </w:tc>
        <w:tc>
          <w:tcPr>
            <w:tcW w:w="1509" w:type="dxa"/>
            <w:tcMar>
              <w:top w:w="88" w:type="dxa"/>
              <w:left w:w="113" w:type="dxa"/>
              <w:bottom w:w="88" w:type="dxa"/>
              <w:right w:w="113" w:type="dxa"/>
            </w:tcMar>
            <w:vAlign w:val="center"/>
          </w:tcPr>
          <w:p w14:paraId="09827D3A" w14:textId="77777777" w:rsidR="009C7CAD" w:rsidRPr="009C7CAD" w:rsidRDefault="009C7CAD" w:rsidP="009C7CAD">
            <w:pPr>
              <w:pStyle w:val="CDIFigure-Table-BodyTextCentre"/>
            </w:pPr>
            <w:r w:rsidRPr="009C7CAD">
              <w:t xml:space="preserve"> 0.05–0.11</w:t>
            </w:r>
          </w:p>
        </w:tc>
        <w:tc>
          <w:tcPr>
            <w:tcW w:w="1510" w:type="dxa"/>
            <w:tcMar>
              <w:top w:w="88" w:type="dxa"/>
              <w:left w:w="113" w:type="dxa"/>
              <w:bottom w:w="88" w:type="dxa"/>
              <w:right w:w="113" w:type="dxa"/>
            </w:tcMar>
            <w:vAlign w:val="center"/>
          </w:tcPr>
          <w:p w14:paraId="6E0ABF75" w14:textId="77777777" w:rsidR="009C7CAD" w:rsidRPr="009C7CAD" w:rsidRDefault="009C7CAD" w:rsidP="009C7CAD">
            <w:pPr>
              <w:pStyle w:val="CDIFigure-Table-BodyTextCentre"/>
            </w:pPr>
            <w:r w:rsidRPr="009C7CAD">
              <w:t>0.00</w:t>
            </w:r>
          </w:p>
        </w:tc>
        <w:tc>
          <w:tcPr>
            <w:tcW w:w="1509" w:type="dxa"/>
            <w:tcMar>
              <w:top w:w="88" w:type="dxa"/>
              <w:left w:w="113" w:type="dxa"/>
              <w:bottom w:w="88" w:type="dxa"/>
              <w:right w:w="113" w:type="dxa"/>
            </w:tcMar>
            <w:vAlign w:val="center"/>
          </w:tcPr>
          <w:p w14:paraId="2D5FDDD9" w14:textId="77777777" w:rsidR="009C7CAD" w:rsidRPr="009C7CAD" w:rsidRDefault="009C7CAD" w:rsidP="009C7CAD">
            <w:pPr>
              <w:pStyle w:val="CDIFigure-Table-BodyTextCentre"/>
            </w:pPr>
            <w:r w:rsidRPr="009C7CAD">
              <w:t xml:space="preserve"> 0.00–0.02</w:t>
            </w:r>
          </w:p>
        </w:tc>
      </w:tr>
      <w:tr w:rsidR="009C7CAD" w:rsidRPr="009C7CAD" w14:paraId="2D4D5EC1"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7B5778F4"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65C81C67" w14:textId="77777777" w:rsidR="009C7CAD" w:rsidRPr="009C7CAD" w:rsidRDefault="009C7CAD" w:rsidP="009C7CAD">
            <w:pPr>
              <w:pStyle w:val="CDIFigure-Table-BodyTextCentre"/>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48F68DAF" w14:textId="77777777" w:rsidR="009C7CAD" w:rsidRPr="009C7CAD" w:rsidRDefault="009C7CAD" w:rsidP="009C7CAD">
            <w:pPr>
              <w:pStyle w:val="CDIFigure-Table-BodyTextCentre"/>
            </w:pPr>
            <w:r w:rsidRPr="009C7CAD">
              <w:t>35.3</w:t>
            </w:r>
          </w:p>
        </w:tc>
        <w:tc>
          <w:tcPr>
            <w:tcW w:w="1509" w:type="dxa"/>
            <w:shd w:val="clear" w:color="auto" w:fill="F2F2F2" w:themeFill="background1" w:themeFillShade="F2"/>
            <w:tcMar>
              <w:top w:w="88" w:type="dxa"/>
              <w:left w:w="113" w:type="dxa"/>
              <w:bottom w:w="88" w:type="dxa"/>
              <w:right w:w="113" w:type="dxa"/>
            </w:tcMar>
            <w:vAlign w:val="center"/>
          </w:tcPr>
          <w:p w14:paraId="35A64C7D" w14:textId="77777777" w:rsidR="009C7CAD" w:rsidRPr="009C7CAD" w:rsidRDefault="009C7CAD" w:rsidP="009C7CAD">
            <w:pPr>
              <w:pStyle w:val="CDIFigure-Table-BodyTextCentre"/>
            </w:pPr>
            <w:r w:rsidRPr="009C7CAD">
              <w:t>4.3</w:t>
            </w:r>
          </w:p>
        </w:tc>
        <w:tc>
          <w:tcPr>
            <w:tcW w:w="1510" w:type="dxa"/>
            <w:shd w:val="clear" w:color="auto" w:fill="F2F2F2" w:themeFill="background1" w:themeFillShade="F2"/>
            <w:tcMar>
              <w:top w:w="88" w:type="dxa"/>
              <w:left w:w="113" w:type="dxa"/>
              <w:bottom w:w="88" w:type="dxa"/>
              <w:right w:w="113" w:type="dxa"/>
            </w:tcMar>
            <w:vAlign w:val="center"/>
          </w:tcPr>
          <w:p w14:paraId="47D1300D" w14:textId="77777777" w:rsidR="009C7CAD" w:rsidRPr="009C7CAD" w:rsidRDefault="009C7CAD" w:rsidP="009C7CAD">
            <w:pPr>
              <w:pStyle w:val="CDIFigure-Table-BodyTextCentre"/>
            </w:pPr>
            <w:r w:rsidRPr="009C7CAD">
              <w:t>0.6</w:t>
            </w:r>
          </w:p>
        </w:tc>
        <w:tc>
          <w:tcPr>
            <w:tcW w:w="1509" w:type="dxa"/>
            <w:shd w:val="clear" w:color="auto" w:fill="F2F2F2" w:themeFill="background1" w:themeFillShade="F2"/>
            <w:tcMar>
              <w:top w:w="88" w:type="dxa"/>
              <w:left w:w="113" w:type="dxa"/>
              <w:bottom w:w="88" w:type="dxa"/>
              <w:right w:w="113" w:type="dxa"/>
            </w:tcMar>
            <w:vAlign w:val="center"/>
          </w:tcPr>
          <w:p w14:paraId="3F2D37FE" w14:textId="77777777" w:rsidR="009C7CAD" w:rsidRPr="009C7CAD" w:rsidRDefault="009C7CAD" w:rsidP="009C7CAD">
            <w:pPr>
              <w:pStyle w:val="CDIFigure-Table-BodyTextCentre"/>
            </w:pPr>
            <w:r w:rsidRPr="009C7CAD">
              <w:t>0.12</w:t>
            </w:r>
          </w:p>
        </w:tc>
        <w:tc>
          <w:tcPr>
            <w:tcW w:w="1509" w:type="dxa"/>
            <w:shd w:val="clear" w:color="auto" w:fill="F2F2F2" w:themeFill="background1" w:themeFillShade="F2"/>
            <w:tcMar>
              <w:top w:w="88" w:type="dxa"/>
              <w:left w:w="113" w:type="dxa"/>
              <w:bottom w:w="88" w:type="dxa"/>
              <w:right w:w="113" w:type="dxa"/>
            </w:tcMar>
            <w:vAlign w:val="center"/>
          </w:tcPr>
          <w:p w14:paraId="44C9D9E0" w14:textId="77777777" w:rsidR="009C7CAD" w:rsidRPr="009C7CAD" w:rsidRDefault="009C7CAD" w:rsidP="009C7CAD">
            <w:pPr>
              <w:pStyle w:val="CDIFigure-Table-BodyTextCentre"/>
            </w:pPr>
            <w:r w:rsidRPr="009C7CAD">
              <w:t xml:space="preserve"> 0.06–0.21</w:t>
            </w:r>
          </w:p>
        </w:tc>
        <w:tc>
          <w:tcPr>
            <w:tcW w:w="1510" w:type="dxa"/>
            <w:shd w:val="clear" w:color="auto" w:fill="F2F2F2" w:themeFill="background1" w:themeFillShade="F2"/>
            <w:tcMar>
              <w:top w:w="88" w:type="dxa"/>
              <w:left w:w="113" w:type="dxa"/>
              <w:bottom w:w="88" w:type="dxa"/>
              <w:right w:w="113" w:type="dxa"/>
            </w:tcMar>
            <w:vAlign w:val="center"/>
          </w:tcPr>
          <w:p w14:paraId="0EB82E9C" w14:textId="77777777" w:rsidR="009C7CAD" w:rsidRPr="009C7CAD" w:rsidRDefault="009C7CAD" w:rsidP="009C7CAD">
            <w:pPr>
              <w:pStyle w:val="CDIFigure-Table-BodyTextCentre"/>
            </w:pPr>
            <w:r w:rsidRPr="009C7CAD">
              <w:t>0.02</w:t>
            </w:r>
          </w:p>
        </w:tc>
        <w:tc>
          <w:tcPr>
            <w:tcW w:w="1509" w:type="dxa"/>
            <w:shd w:val="clear" w:color="auto" w:fill="F2F2F2" w:themeFill="background1" w:themeFillShade="F2"/>
            <w:tcMar>
              <w:top w:w="88" w:type="dxa"/>
              <w:left w:w="113" w:type="dxa"/>
              <w:bottom w:w="88" w:type="dxa"/>
              <w:right w:w="113" w:type="dxa"/>
            </w:tcMar>
            <w:vAlign w:val="center"/>
          </w:tcPr>
          <w:p w14:paraId="4AE0CE0B" w14:textId="77777777" w:rsidR="009C7CAD" w:rsidRPr="009C7CAD" w:rsidRDefault="009C7CAD" w:rsidP="009C7CAD">
            <w:pPr>
              <w:pStyle w:val="CDIFigure-Table-BodyTextCentre"/>
            </w:pPr>
            <w:r w:rsidRPr="009C7CAD">
              <w:t xml:space="preserve"> 0.00–0.06</w:t>
            </w:r>
          </w:p>
        </w:tc>
      </w:tr>
      <w:tr w:rsidR="009C7CAD" w:rsidRPr="009C7CAD" w14:paraId="4DDD648C"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0C38D507" w14:textId="77777777" w:rsidR="009C7CAD" w:rsidRPr="009C7CAD" w:rsidRDefault="009C7CAD" w:rsidP="009C7CAD"/>
        </w:tc>
        <w:tc>
          <w:tcPr>
            <w:tcW w:w="1509" w:type="dxa"/>
            <w:tcMar>
              <w:top w:w="88" w:type="dxa"/>
              <w:left w:w="113" w:type="dxa"/>
              <w:bottom w:w="88" w:type="dxa"/>
              <w:right w:w="113" w:type="dxa"/>
            </w:tcMar>
            <w:vAlign w:val="center"/>
          </w:tcPr>
          <w:p w14:paraId="7B5128E2"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739A60E8" w14:textId="77777777" w:rsidR="009C7CAD" w:rsidRPr="009C7CAD" w:rsidRDefault="009C7CAD" w:rsidP="009C7CAD">
            <w:pPr>
              <w:pStyle w:val="CDIFigure-Table-BodyTextCentre"/>
            </w:pPr>
            <w:r w:rsidRPr="009C7CAD">
              <w:t>39.7</w:t>
            </w:r>
          </w:p>
        </w:tc>
        <w:tc>
          <w:tcPr>
            <w:tcW w:w="1509" w:type="dxa"/>
            <w:tcMar>
              <w:top w:w="88" w:type="dxa"/>
              <w:left w:w="113" w:type="dxa"/>
              <w:bottom w:w="88" w:type="dxa"/>
              <w:right w:w="113" w:type="dxa"/>
            </w:tcMar>
            <w:vAlign w:val="center"/>
          </w:tcPr>
          <w:p w14:paraId="04849966" w14:textId="77777777" w:rsidR="009C7CAD" w:rsidRPr="009C7CAD" w:rsidRDefault="009C7CAD" w:rsidP="009C7CAD">
            <w:pPr>
              <w:pStyle w:val="CDIFigure-Table-BodyTextCentre"/>
            </w:pPr>
            <w:r w:rsidRPr="009C7CAD">
              <w:t>3.9</w:t>
            </w:r>
          </w:p>
        </w:tc>
        <w:tc>
          <w:tcPr>
            <w:tcW w:w="1510" w:type="dxa"/>
            <w:tcMar>
              <w:top w:w="88" w:type="dxa"/>
              <w:left w:w="113" w:type="dxa"/>
              <w:bottom w:w="88" w:type="dxa"/>
              <w:right w:w="113" w:type="dxa"/>
            </w:tcMar>
            <w:vAlign w:val="center"/>
          </w:tcPr>
          <w:p w14:paraId="6DFD8DEE" w14:textId="77777777" w:rsidR="009C7CAD" w:rsidRPr="009C7CAD" w:rsidRDefault="009C7CAD" w:rsidP="009C7CAD">
            <w:pPr>
              <w:pStyle w:val="CDIFigure-Table-BodyTextCentre"/>
            </w:pPr>
            <w:r w:rsidRPr="009C7CAD">
              <w:t>2.3</w:t>
            </w:r>
          </w:p>
        </w:tc>
        <w:tc>
          <w:tcPr>
            <w:tcW w:w="1509" w:type="dxa"/>
            <w:tcMar>
              <w:top w:w="88" w:type="dxa"/>
              <w:left w:w="113" w:type="dxa"/>
              <w:bottom w:w="88" w:type="dxa"/>
              <w:right w:w="113" w:type="dxa"/>
            </w:tcMar>
            <w:vAlign w:val="center"/>
          </w:tcPr>
          <w:p w14:paraId="333AE649" w14:textId="77777777" w:rsidR="009C7CAD" w:rsidRPr="009C7CAD" w:rsidRDefault="009C7CAD" w:rsidP="009C7CAD">
            <w:pPr>
              <w:pStyle w:val="CDIFigure-Table-BodyTextCentre"/>
            </w:pPr>
            <w:r w:rsidRPr="009C7CAD">
              <w:t>0.10</w:t>
            </w:r>
          </w:p>
        </w:tc>
        <w:tc>
          <w:tcPr>
            <w:tcW w:w="1509" w:type="dxa"/>
            <w:tcMar>
              <w:top w:w="88" w:type="dxa"/>
              <w:left w:w="113" w:type="dxa"/>
              <w:bottom w:w="88" w:type="dxa"/>
              <w:right w:w="113" w:type="dxa"/>
            </w:tcMar>
            <w:vAlign w:val="center"/>
          </w:tcPr>
          <w:p w14:paraId="75A15E0D" w14:textId="77777777" w:rsidR="009C7CAD" w:rsidRPr="009C7CAD" w:rsidRDefault="009C7CAD" w:rsidP="009C7CAD">
            <w:pPr>
              <w:pStyle w:val="CDIFigure-Table-BodyTextCentre"/>
            </w:pPr>
            <w:r w:rsidRPr="009C7CAD">
              <w:t xml:space="preserve"> 0.08–0.13</w:t>
            </w:r>
          </w:p>
        </w:tc>
        <w:tc>
          <w:tcPr>
            <w:tcW w:w="1510" w:type="dxa"/>
            <w:tcMar>
              <w:top w:w="88" w:type="dxa"/>
              <w:left w:w="113" w:type="dxa"/>
              <w:bottom w:w="88" w:type="dxa"/>
              <w:right w:w="113" w:type="dxa"/>
            </w:tcMar>
            <w:vAlign w:val="center"/>
          </w:tcPr>
          <w:p w14:paraId="4AA20944" w14:textId="77777777" w:rsidR="009C7CAD" w:rsidRPr="009C7CAD" w:rsidRDefault="009C7CAD" w:rsidP="009C7CAD">
            <w:pPr>
              <w:pStyle w:val="CDIFigure-Table-BodyTextCentre"/>
            </w:pPr>
            <w:r w:rsidRPr="009C7CAD">
              <w:t>0.06</w:t>
            </w:r>
          </w:p>
        </w:tc>
        <w:tc>
          <w:tcPr>
            <w:tcW w:w="1509" w:type="dxa"/>
            <w:tcMar>
              <w:top w:w="88" w:type="dxa"/>
              <w:left w:w="113" w:type="dxa"/>
              <w:bottom w:w="88" w:type="dxa"/>
              <w:right w:w="113" w:type="dxa"/>
            </w:tcMar>
            <w:vAlign w:val="center"/>
          </w:tcPr>
          <w:p w14:paraId="454A48F3" w14:textId="77777777" w:rsidR="009C7CAD" w:rsidRPr="009C7CAD" w:rsidRDefault="009C7CAD" w:rsidP="009C7CAD">
            <w:pPr>
              <w:pStyle w:val="CDIFigure-Table-BodyTextCentre"/>
            </w:pPr>
            <w:r w:rsidRPr="009C7CAD">
              <w:t xml:space="preserve"> 0.04–0.08</w:t>
            </w:r>
          </w:p>
        </w:tc>
      </w:tr>
      <w:tr w:rsidR="006A4AE7" w:rsidRPr="009C7CAD" w14:paraId="26A2FF86"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416739A2"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301ACF79"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0F9623B6" w14:textId="77777777" w:rsidR="009C7CAD" w:rsidRPr="009C7CAD" w:rsidRDefault="009C7CAD" w:rsidP="009C7CAD">
            <w:pPr>
              <w:pStyle w:val="CDIFigure-Table-BodyTextCentre"/>
            </w:pPr>
            <w:r w:rsidRPr="009C7CAD">
              <w:t>51.1</w:t>
            </w:r>
          </w:p>
        </w:tc>
        <w:tc>
          <w:tcPr>
            <w:tcW w:w="1509" w:type="dxa"/>
            <w:shd w:val="clear" w:color="auto" w:fill="F2F2F2" w:themeFill="background1" w:themeFillShade="F2"/>
            <w:tcMar>
              <w:top w:w="88" w:type="dxa"/>
              <w:left w:w="113" w:type="dxa"/>
              <w:bottom w:w="88" w:type="dxa"/>
              <w:right w:w="113" w:type="dxa"/>
            </w:tcMar>
            <w:vAlign w:val="center"/>
          </w:tcPr>
          <w:p w14:paraId="0DE4ACED" w14:textId="77777777" w:rsidR="009C7CAD" w:rsidRPr="009C7CAD" w:rsidRDefault="009C7CAD" w:rsidP="009C7CAD">
            <w:pPr>
              <w:pStyle w:val="CDIFigure-Table-BodyTextCentre"/>
            </w:pPr>
            <w:r w:rsidRPr="009C7CAD">
              <w:t>4.2</w:t>
            </w:r>
          </w:p>
        </w:tc>
        <w:tc>
          <w:tcPr>
            <w:tcW w:w="1510" w:type="dxa"/>
            <w:shd w:val="clear" w:color="auto" w:fill="F2F2F2" w:themeFill="background1" w:themeFillShade="F2"/>
            <w:tcMar>
              <w:top w:w="88" w:type="dxa"/>
              <w:left w:w="113" w:type="dxa"/>
              <w:bottom w:w="88" w:type="dxa"/>
              <w:right w:w="113" w:type="dxa"/>
            </w:tcMar>
            <w:vAlign w:val="center"/>
          </w:tcPr>
          <w:p w14:paraId="18CAAF3B" w14:textId="77777777" w:rsidR="009C7CAD" w:rsidRPr="009C7CAD" w:rsidRDefault="009C7CAD" w:rsidP="009C7CAD">
            <w:pPr>
              <w:pStyle w:val="CDIFigure-Table-BodyTextCentre"/>
            </w:pPr>
            <w:r w:rsidRPr="009C7CAD">
              <w:t>2.3</w:t>
            </w:r>
          </w:p>
        </w:tc>
        <w:tc>
          <w:tcPr>
            <w:tcW w:w="1509" w:type="dxa"/>
            <w:shd w:val="clear" w:color="auto" w:fill="F2F2F2" w:themeFill="background1" w:themeFillShade="F2"/>
            <w:tcMar>
              <w:top w:w="88" w:type="dxa"/>
              <w:left w:w="113" w:type="dxa"/>
              <w:bottom w:w="88" w:type="dxa"/>
              <w:right w:w="113" w:type="dxa"/>
            </w:tcMar>
            <w:vAlign w:val="center"/>
          </w:tcPr>
          <w:p w14:paraId="32B12794" w14:textId="77777777" w:rsidR="009C7CAD" w:rsidRPr="009C7CAD" w:rsidRDefault="009C7CAD" w:rsidP="009C7CAD">
            <w:pPr>
              <w:pStyle w:val="CDIFigure-Table-BodyTextCentre"/>
            </w:pPr>
            <w:r w:rsidRPr="009C7CAD">
              <w:t>0.08</w:t>
            </w:r>
          </w:p>
        </w:tc>
        <w:tc>
          <w:tcPr>
            <w:tcW w:w="1509" w:type="dxa"/>
            <w:shd w:val="clear" w:color="auto" w:fill="F2F2F2" w:themeFill="background1" w:themeFillShade="F2"/>
            <w:tcMar>
              <w:top w:w="88" w:type="dxa"/>
              <w:left w:w="113" w:type="dxa"/>
              <w:bottom w:w="88" w:type="dxa"/>
              <w:right w:w="113" w:type="dxa"/>
            </w:tcMar>
            <w:vAlign w:val="center"/>
          </w:tcPr>
          <w:p w14:paraId="514814A2" w14:textId="77777777" w:rsidR="009C7CAD" w:rsidRPr="009C7CAD" w:rsidRDefault="009C7CAD" w:rsidP="009C7CAD">
            <w:pPr>
              <w:pStyle w:val="CDIFigure-Table-BodyTextCentre"/>
            </w:pPr>
            <w:r w:rsidRPr="009C7CAD">
              <w:t xml:space="preserve"> 0.04–0.15</w:t>
            </w:r>
          </w:p>
        </w:tc>
        <w:tc>
          <w:tcPr>
            <w:tcW w:w="1510" w:type="dxa"/>
            <w:shd w:val="clear" w:color="auto" w:fill="F2F2F2" w:themeFill="background1" w:themeFillShade="F2"/>
            <w:tcMar>
              <w:top w:w="88" w:type="dxa"/>
              <w:left w:w="113" w:type="dxa"/>
              <w:bottom w:w="88" w:type="dxa"/>
              <w:right w:w="113" w:type="dxa"/>
            </w:tcMar>
            <w:vAlign w:val="center"/>
          </w:tcPr>
          <w:p w14:paraId="554C69B6" w14:textId="77777777" w:rsidR="009C7CAD" w:rsidRPr="009C7CAD" w:rsidRDefault="009C7CAD" w:rsidP="009C7CAD">
            <w:pPr>
              <w:pStyle w:val="CDIFigure-Table-BodyTextCentre"/>
            </w:pPr>
            <w:r w:rsidRPr="009C7CAD">
              <w:t>0.05</w:t>
            </w:r>
          </w:p>
        </w:tc>
        <w:tc>
          <w:tcPr>
            <w:tcW w:w="1509" w:type="dxa"/>
            <w:shd w:val="clear" w:color="auto" w:fill="F2F2F2" w:themeFill="background1" w:themeFillShade="F2"/>
            <w:tcMar>
              <w:top w:w="88" w:type="dxa"/>
              <w:left w:w="113" w:type="dxa"/>
              <w:bottom w:w="88" w:type="dxa"/>
              <w:right w:w="113" w:type="dxa"/>
            </w:tcMar>
            <w:vAlign w:val="center"/>
          </w:tcPr>
          <w:p w14:paraId="6F80434E" w14:textId="77777777" w:rsidR="009C7CAD" w:rsidRPr="009C7CAD" w:rsidRDefault="009C7CAD" w:rsidP="009C7CAD">
            <w:pPr>
              <w:pStyle w:val="CDIFigure-Table-BodyTextCentre"/>
            </w:pPr>
            <w:r w:rsidRPr="009C7CAD">
              <w:t xml:space="preserve"> 0.02–0.10</w:t>
            </w:r>
          </w:p>
        </w:tc>
      </w:tr>
      <w:tr w:rsidR="009C7CAD" w:rsidRPr="009C7CAD" w14:paraId="33232CDB"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563178A4" w14:textId="77777777" w:rsidR="009C7CAD" w:rsidRPr="009C7CAD" w:rsidRDefault="009C7CAD" w:rsidP="009C7CAD"/>
        </w:tc>
        <w:tc>
          <w:tcPr>
            <w:tcW w:w="1509" w:type="dxa"/>
            <w:tcBorders>
              <w:bottom w:val="single" w:sz="6" w:space="0" w:color="033636" w:themeColor="text2"/>
            </w:tcBorders>
            <w:tcMar>
              <w:top w:w="88" w:type="dxa"/>
              <w:left w:w="113" w:type="dxa"/>
              <w:bottom w:w="88" w:type="dxa"/>
              <w:right w:w="113" w:type="dxa"/>
            </w:tcMar>
            <w:vAlign w:val="center"/>
          </w:tcPr>
          <w:p w14:paraId="42EE17ED"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4318AB99" w14:textId="77777777" w:rsidR="009C7CAD" w:rsidRPr="003D5A6B" w:rsidRDefault="009C7CAD" w:rsidP="009C7CAD">
            <w:pPr>
              <w:pStyle w:val="CDIFigure-Table-BodyTextCentre"/>
              <w:rPr>
                <w:b/>
                <w:bCs/>
              </w:rPr>
            </w:pPr>
            <w:r w:rsidRPr="003D5A6B">
              <w:rPr>
                <w:b/>
                <w:bCs/>
              </w:rPr>
              <w:t>52.6</w:t>
            </w:r>
          </w:p>
        </w:tc>
        <w:tc>
          <w:tcPr>
            <w:tcW w:w="1509" w:type="dxa"/>
            <w:tcBorders>
              <w:bottom w:val="single" w:sz="6" w:space="0" w:color="033636" w:themeColor="text2"/>
            </w:tcBorders>
            <w:tcMar>
              <w:top w:w="88" w:type="dxa"/>
              <w:left w:w="113" w:type="dxa"/>
              <w:bottom w:w="88" w:type="dxa"/>
              <w:right w:w="113" w:type="dxa"/>
            </w:tcMar>
            <w:vAlign w:val="center"/>
          </w:tcPr>
          <w:p w14:paraId="247BF7E2" w14:textId="77777777" w:rsidR="009C7CAD" w:rsidRPr="003D5A6B" w:rsidRDefault="009C7CAD" w:rsidP="009C7CAD">
            <w:pPr>
              <w:pStyle w:val="CDIFigure-Table-BodyTextCentre"/>
              <w:rPr>
                <w:b/>
                <w:bCs/>
              </w:rPr>
            </w:pPr>
            <w:r w:rsidRPr="003D5A6B">
              <w:rPr>
                <w:b/>
                <w:bCs/>
              </w:rPr>
              <w:t>4.7</w:t>
            </w:r>
          </w:p>
        </w:tc>
        <w:tc>
          <w:tcPr>
            <w:tcW w:w="1510" w:type="dxa"/>
            <w:tcBorders>
              <w:bottom w:val="single" w:sz="6" w:space="0" w:color="033636" w:themeColor="text2"/>
            </w:tcBorders>
            <w:tcMar>
              <w:top w:w="88" w:type="dxa"/>
              <w:left w:w="113" w:type="dxa"/>
              <w:bottom w:w="88" w:type="dxa"/>
              <w:right w:w="113" w:type="dxa"/>
            </w:tcMar>
            <w:vAlign w:val="center"/>
          </w:tcPr>
          <w:p w14:paraId="42E150C6" w14:textId="77777777" w:rsidR="009C7CAD" w:rsidRPr="003D5A6B" w:rsidRDefault="009C7CAD" w:rsidP="009C7CAD">
            <w:pPr>
              <w:pStyle w:val="CDIFigure-Table-BodyTextCentre"/>
              <w:rPr>
                <w:b/>
                <w:bCs/>
              </w:rPr>
            </w:pPr>
            <w:r w:rsidRPr="003D5A6B">
              <w:rPr>
                <w:b/>
                <w:bCs/>
              </w:rPr>
              <w:t>1.8</w:t>
            </w:r>
          </w:p>
        </w:tc>
        <w:tc>
          <w:tcPr>
            <w:tcW w:w="1509" w:type="dxa"/>
            <w:tcBorders>
              <w:bottom w:val="single" w:sz="6" w:space="0" w:color="033636" w:themeColor="text2"/>
            </w:tcBorders>
            <w:tcMar>
              <w:top w:w="88" w:type="dxa"/>
              <w:left w:w="113" w:type="dxa"/>
              <w:bottom w:w="88" w:type="dxa"/>
              <w:right w:w="113" w:type="dxa"/>
            </w:tcMar>
            <w:vAlign w:val="center"/>
          </w:tcPr>
          <w:p w14:paraId="58E49432" w14:textId="77777777" w:rsidR="009C7CAD" w:rsidRPr="003D5A6B" w:rsidRDefault="009C7CAD" w:rsidP="009C7CAD">
            <w:pPr>
              <w:pStyle w:val="CDIFigure-Table-BodyTextCentre"/>
              <w:rPr>
                <w:b/>
                <w:bCs/>
              </w:rPr>
            </w:pPr>
            <w:r w:rsidRPr="003D5A6B">
              <w:rPr>
                <w:b/>
                <w:bCs/>
              </w:rPr>
              <w:t>0.09</w:t>
            </w:r>
          </w:p>
        </w:tc>
        <w:tc>
          <w:tcPr>
            <w:tcW w:w="1509" w:type="dxa"/>
            <w:tcBorders>
              <w:bottom w:val="single" w:sz="6" w:space="0" w:color="033636" w:themeColor="text2"/>
            </w:tcBorders>
            <w:tcMar>
              <w:top w:w="88" w:type="dxa"/>
              <w:left w:w="113" w:type="dxa"/>
              <w:bottom w:w="88" w:type="dxa"/>
              <w:right w:w="113" w:type="dxa"/>
            </w:tcMar>
            <w:vAlign w:val="center"/>
          </w:tcPr>
          <w:p w14:paraId="54161AF4" w14:textId="77777777" w:rsidR="009C7CAD" w:rsidRPr="003D5A6B" w:rsidRDefault="009C7CAD" w:rsidP="009C7CAD">
            <w:pPr>
              <w:pStyle w:val="CDIFigure-Table-BodyTextCentre"/>
              <w:rPr>
                <w:b/>
                <w:bCs/>
              </w:rPr>
            </w:pPr>
            <w:r w:rsidRPr="003D5A6B">
              <w:rPr>
                <w:b/>
                <w:bCs/>
              </w:rPr>
              <w:t xml:space="preserve"> 0.07–0.11</w:t>
            </w:r>
          </w:p>
        </w:tc>
        <w:tc>
          <w:tcPr>
            <w:tcW w:w="1510" w:type="dxa"/>
            <w:tcBorders>
              <w:bottom w:val="single" w:sz="6" w:space="0" w:color="033636" w:themeColor="text2"/>
            </w:tcBorders>
            <w:tcMar>
              <w:top w:w="88" w:type="dxa"/>
              <w:left w:w="113" w:type="dxa"/>
              <w:bottom w:w="88" w:type="dxa"/>
              <w:right w:w="113" w:type="dxa"/>
            </w:tcMar>
            <w:vAlign w:val="center"/>
          </w:tcPr>
          <w:p w14:paraId="6F14E5D8" w14:textId="77777777" w:rsidR="009C7CAD" w:rsidRPr="003D5A6B" w:rsidRDefault="009C7CAD" w:rsidP="009C7CAD">
            <w:pPr>
              <w:pStyle w:val="CDIFigure-Table-BodyTextCentre"/>
              <w:rPr>
                <w:b/>
                <w:bCs/>
              </w:rPr>
            </w:pPr>
            <w:r w:rsidRPr="003D5A6B">
              <w:rPr>
                <w:b/>
                <w:bCs/>
              </w:rPr>
              <w:t>0.03</w:t>
            </w:r>
          </w:p>
        </w:tc>
        <w:tc>
          <w:tcPr>
            <w:tcW w:w="1509" w:type="dxa"/>
            <w:tcBorders>
              <w:bottom w:val="single" w:sz="6" w:space="0" w:color="033636" w:themeColor="text2"/>
            </w:tcBorders>
            <w:tcMar>
              <w:top w:w="88" w:type="dxa"/>
              <w:left w:w="113" w:type="dxa"/>
              <w:bottom w:w="88" w:type="dxa"/>
              <w:right w:w="113" w:type="dxa"/>
            </w:tcMar>
            <w:vAlign w:val="center"/>
          </w:tcPr>
          <w:p w14:paraId="0FC27C31" w14:textId="77777777" w:rsidR="009C7CAD" w:rsidRPr="003D5A6B" w:rsidRDefault="009C7CAD" w:rsidP="009C7CAD">
            <w:pPr>
              <w:pStyle w:val="CDIFigure-Table-BodyTextCentre"/>
              <w:rPr>
                <w:b/>
                <w:bCs/>
              </w:rPr>
            </w:pPr>
            <w:r w:rsidRPr="003D5A6B">
              <w:rPr>
                <w:b/>
                <w:bCs/>
              </w:rPr>
              <w:t xml:space="preserve"> 0.02–0.04</w:t>
            </w:r>
          </w:p>
        </w:tc>
      </w:tr>
      <w:tr w:rsidR="006A4AE7" w:rsidRPr="009C7CAD" w14:paraId="1A72A0A3" w14:textId="77777777" w:rsidTr="003D5A6B">
        <w:trPr>
          <w:trHeight w:val="20"/>
        </w:trPr>
        <w:tc>
          <w:tcPr>
            <w:tcW w:w="2268" w:type="dxa"/>
            <w:vMerge w:val="restart"/>
            <w:tcBorders>
              <w:bottom w:val="single" w:sz="6" w:space="0" w:color="033636" w:themeColor="text2"/>
            </w:tcBorders>
            <w:shd w:val="clear" w:color="auto" w:fill="C5FFEF" w:themeFill="background2" w:themeFillTint="33"/>
            <w:tcMar>
              <w:top w:w="88" w:type="dxa"/>
              <w:left w:w="113" w:type="dxa"/>
              <w:bottom w:w="88" w:type="dxa"/>
              <w:right w:w="113" w:type="dxa"/>
            </w:tcMar>
            <w:vAlign w:val="center"/>
          </w:tcPr>
          <w:p w14:paraId="677CAB38" w14:textId="77777777" w:rsidR="009C7CAD" w:rsidRPr="009C7CAD" w:rsidRDefault="009C7CAD" w:rsidP="009C7CAD">
            <w:pPr>
              <w:pStyle w:val="CDIFigure-Table-BodyTextLeft"/>
            </w:pPr>
            <w:r w:rsidRPr="009C7CAD">
              <w:t>Australia</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34C15F22" w14:textId="77777777" w:rsidR="009C7CAD" w:rsidRPr="009C7CAD" w:rsidRDefault="009C7CAD" w:rsidP="009C7CAD">
            <w:pPr>
              <w:pStyle w:val="CDIFigure-Table-BodyTextCentre"/>
            </w:pPr>
            <w:r w:rsidRPr="009C7CAD">
              <w:t>0–4</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796B6261" w14:textId="77777777" w:rsidR="009C7CAD" w:rsidRPr="009C7CAD" w:rsidRDefault="009C7CAD" w:rsidP="009C7CAD">
            <w:pPr>
              <w:pStyle w:val="CDIFigure-Table-BodyTextCentre"/>
            </w:pPr>
            <w:r w:rsidRPr="009C7CAD">
              <w:t>133.4</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27AA2AEF" w14:textId="77777777" w:rsidR="009C7CAD" w:rsidRPr="009C7CAD" w:rsidRDefault="009C7CAD" w:rsidP="009C7CAD">
            <w:pPr>
              <w:pStyle w:val="CDIFigure-Table-BodyTextCentre"/>
            </w:pPr>
            <w:r w:rsidRPr="009C7CAD">
              <w:t>24.5</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63DEADD" w14:textId="77777777" w:rsidR="009C7CAD" w:rsidRPr="009C7CAD" w:rsidRDefault="009C7CAD" w:rsidP="009C7CAD">
            <w:pPr>
              <w:pStyle w:val="CDIFigure-Table-BodyTextCentre"/>
            </w:pPr>
            <w:r w:rsidRPr="009C7CAD">
              <w:t>3.0</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50680A88" w14:textId="77777777" w:rsidR="009C7CAD" w:rsidRPr="009C7CAD" w:rsidRDefault="009C7CAD" w:rsidP="009C7CAD">
            <w:pPr>
              <w:pStyle w:val="CDIFigure-Table-BodyTextCentre"/>
            </w:pPr>
            <w:r w:rsidRPr="009C7CAD">
              <w:t>0.18</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268F2FA" w14:textId="77777777" w:rsidR="009C7CAD" w:rsidRPr="009C7CAD" w:rsidRDefault="009C7CAD" w:rsidP="009C7CAD">
            <w:pPr>
              <w:pStyle w:val="CDIFigure-Table-BodyTextCentre"/>
            </w:pPr>
            <w:r w:rsidRPr="009C7CAD">
              <w:t xml:space="preserve"> 0.16–0.20</w:t>
            </w:r>
          </w:p>
        </w:tc>
        <w:tc>
          <w:tcPr>
            <w:tcW w:w="1510"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4F3E260E" w14:textId="77777777" w:rsidR="009C7CAD" w:rsidRPr="009C7CAD" w:rsidRDefault="009C7CAD" w:rsidP="009C7CAD">
            <w:pPr>
              <w:pStyle w:val="CDIFigure-Table-BodyTextCentre"/>
            </w:pPr>
            <w:r w:rsidRPr="009C7CAD">
              <w:t>0.02</w:t>
            </w:r>
          </w:p>
        </w:tc>
        <w:tc>
          <w:tcPr>
            <w:tcW w:w="1509" w:type="dxa"/>
            <w:tcBorders>
              <w:top w:val="single" w:sz="6" w:space="0" w:color="033636" w:themeColor="text2"/>
            </w:tcBorders>
            <w:shd w:val="clear" w:color="auto" w:fill="F2F2F2" w:themeFill="background1" w:themeFillShade="F2"/>
            <w:tcMar>
              <w:top w:w="88" w:type="dxa"/>
              <w:left w:w="113" w:type="dxa"/>
              <w:bottom w:w="88" w:type="dxa"/>
              <w:right w:w="113" w:type="dxa"/>
            </w:tcMar>
            <w:vAlign w:val="center"/>
          </w:tcPr>
          <w:p w14:paraId="1E46BAA2" w14:textId="77777777" w:rsidR="009C7CAD" w:rsidRPr="009C7CAD" w:rsidRDefault="009C7CAD" w:rsidP="009C7CAD">
            <w:pPr>
              <w:pStyle w:val="CDIFigure-Table-BodyTextCentre"/>
            </w:pPr>
            <w:r w:rsidRPr="009C7CAD">
              <w:t xml:space="preserve"> 0.02–0.03</w:t>
            </w:r>
          </w:p>
        </w:tc>
      </w:tr>
      <w:tr w:rsidR="009C7CAD" w:rsidRPr="009C7CAD" w14:paraId="4D20BDA8"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3A894124" w14:textId="77777777" w:rsidR="009C7CAD" w:rsidRPr="009C7CAD" w:rsidRDefault="009C7CAD" w:rsidP="009C7CAD"/>
        </w:tc>
        <w:tc>
          <w:tcPr>
            <w:tcW w:w="1509" w:type="dxa"/>
            <w:tcMar>
              <w:top w:w="88" w:type="dxa"/>
              <w:left w:w="113" w:type="dxa"/>
              <w:bottom w:w="88" w:type="dxa"/>
              <w:right w:w="113" w:type="dxa"/>
            </w:tcMar>
            <w:vAlign w:val="center"/>
          </w:tcPr>
          <w:p w14:paraId="3E94D732" w14:textId="77777777" w:rsidR="009C7CAD" w:rsidRPr="009C7CAD" w:rsidRDefault="009C7CAD" w:rsidP="009C7CAD">
            <w:pPr>
              <w:pStyle w:val="CDIFigure-Table-BodyTextCentre"/>
            </w:pPr>
            <w:r w:rsidRPr="009C7CAD">
              <w:t>5–14</w:t>
            </w:r>
          </w:p>
        </w:tc>
        <w:tc>
          <w:tcPr>
            <w:tcW w:w="1510" w:type="dxa"/>
            <w:tcMar>
              <w:top w:w="88" w:type="dxa"/>
              <w:left w:w="113" w:type="dxa"/>
              <w:bottom w:w="88" w:type="dxa"/>
              <w:right w:w="113" w:type="dxa"/>
            </w:tcMar>
            <w:vAlign w:val="center"/>
          </w:tcPr>
          <w:p w14:paraId="6F108030" w14:textId="77777777" w:rsidR="009C7CAD" w:rsidRPr="009C7CAD" w:rsidRDefault="009C7CAD" w:rsidP="009C7CAD">
            <w:pPr>
              <w:pStyle w:val="CDIFigure-Table-BodyTextCentre"/>
            </w:pPr>
            <w:r w:rsidRPr="009C7CAD">
              <w:t>201.2</w:t>
            </w:r>
          </w:p>
        </w:tc>
        <w:tc>
          <w:tcPr>
            <w:tcW w:w="1509" w:type="dxa"/>
            <w:tcMar>
              <w:top w:w="88" w:type="dxa"/>
              <w:left w:w="113" w:type="dxa"/>
              <w:bottom w:w="88" w:type="dxa"/>
              <w:right w:w="113" w:type="dxa"/>
            </w:tcMar>
            <w:vAlign w:val="center"/>
          </w:tcPr>
          <w:p w14:paraId="6712A846" w14:textId="77777777" w:rsidR="009C7CAD" w:rsidRPr="009C7CAD" w:rsidRDefault="009C7CAD" w:rsidP="009C7CAD">
            <w:pPr>
              <w:pStyle w:val="CDIFigure-Table-BodyTextCentre"/>
            </w:pPr>
            <w:r w:rsidRPr="009C7CAD">
              <w:t>30.9</w:t>
            </w:r>
          </w:p>
        </w:tc>
        <w:tc>
          <w:tcPr>
            <w:tcW w:w="1510" w:type="dxa"/>
            <w:tcMar>
              <w:top w:w="88" w:type="dxa"/>
              <w:left w:w="113" w:type="dxa"/>
              <w:bottom w:w="88" w:type="dxa"/>
              <w:right w:w="113" w:type="dxa"/>
            </w:tcMar>
            <w:vAlign w:val="center"/>
          </w:tcPr>
          <w:p w14:paraId="51CE6291" w14:textId="77777777" w:rsidR="009C7CAD" w:rsidRPr="009C7CAD" w:rsidRDefault="009C7CAD" w:rsidP="009C7CAD">
            <w:pPr>
              <w:pStyle w:val="CDIFigure-Table-BodyTextCentre"/>
            </w:pPr>
            <w:r w:rsidRPr="009C7CAD">
              <w:t>1.7</w:t>
            </w:r>
          </w:p>
        </w:tc>
        <w:tc>
          <w:tcPr>
            <w:tcW w:w="1509" w:type="dxa"/>
            <w:tcMar>
              <w:top w:w="88" w:type="dxa"/>
              <w:left w:w="113" w:type="dxa"/>
              <w:bottom w:w="88" w:type="dxa"/>
              <w:right w:w="113" w:type="dxa"/>
            </w:tcMar>
            <w:vAlign w:val="center"/>
          </w:tcPr>
          <w:p w14:paraId="75A8260C" w14:textId="77777777" w:rsidR="009C7CAD" w:rsidRPr="009C7CAD" w:rsidRDefault="009C7CAD" w:rsidP="009C7CAD">
            <w:pPr>
              <w:pStyle w:val="CDIFigure-Table-BodyTextCentre"/>
            </w:pPr>
            <w:r w:rsidRPr="009C7CAD">
              <w:t>0.15</w:t>
            </w:r>
          </w:p>
        </w:tc>
        <w:tc>
          <w:tcPr>
            <w:tcW w:w="1509" w:type="dxa"/>
            <w:tcMar>
              <w:top w:w="88" w:type="dxa"/>
              <w:left w:w="113" w:type="dxa"/>
              <w:bottom w:w="88" w:type="dxa"/>
              <w:right w:w="113" w:type="dxa"/>
            </w:tcMar>
            <w:vAlign w:val="center"/>
          </w:tcPr>
          <w:p w14:paraId="4EC87E3D" w14:textId="77777777" w:rsidR="009C7CAD" w:rsidRPr="009C7CAD" w:rsidRDefault="009C7CAD" w:rsidP="009C7CAD">
            <w:pPr>
              <w:pStyle w:val="CDIFigure-Table-BodyTextCentre"/>
            </w:pPr>
            <w:r w:rsidRPr="009C7CAD">
              <w:t xml:space="preserve"> 0.14–0.16</w:t>
            </w:r>
          </w:p>
        </w:tc>
        <w:tc>
          <w:tcPr>
            <w:tcW w:w="1510" w:type="dxa"/>
            <w:tcMar>
              <w:top w:w="88" w:type="dxa"/>
              <w:left w:w="113" w:type="dxa"/>
              <w:bottom w:w="88" w:type="dxa"/>
              <w:right w:w="113" w:type="dxa"/>
            </w:tcMar>
            <w:vAlign w:val="center"/>
          </w:tcPr>
          <w:p w14:paraId="7C9FC8F1" w14:textId="77777777" w:rsidR="009C7CAD" w:rsidRPr="009C7CAD" w:rsidRDefault="009C7CAD" w:rsidP="009C7CAD">
            <w:pPr>
              <w:pStyle w:val="CDIFigure-Table-BodyTextCentre"/>
            </w:pPr>
            <w:r w:rsidRPr="009C7CAD">
              <w:t>0.01</w:t>
            </w:r>
          </w:p>
        </w:tc>
        <w:tc>
          <w:tcPr>
            <w:tcW w:w="1509" w:type="dxa"/>
            <w:tcMar>
              <w:top w:w="88" w:type="dxa"/>
              <w:left w:w="113" w:type="dxa"/>
              <w:bottom w:w="88" w:type="dxa"/>
              <w:right w:w="113" w:type="dxa"/>
            </w:tcMar>
            <w:vAlign w:val="center"/>
          </w:tcPr>
          <w:p w14:paraId="18ECBD24" w14:textId="77777777" w:rsidR="009C7CAD" w:rsidRPr="009C7CAD" w:rsidRDefault="009C7CAD" w:rsidP="009C7CAD">
            <w:pPr>
              <w:pStyle w:val="CDIFigure-Table-BodyTextCentre"/>
            </w:pPr>
            <w:r w:rsidRPr="009C7CAD">
              <w:t xml:space="preserve"> 0.01–0.01</w:t>
            </w:r>
          </w:p>
        </w:tc>
      </w:tr>
      <w:tr w:rsidR="009C7CAD" w:rsidRPr="009C7CAD" w14:paraId="59BE10AE"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7C18BCFB"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5C16D90D" w14:textId="77777777" w:rsidR="009C7CAD" w:rsidRPr="009C7CAD" w:rsidRDefault="009C7CAD" w:rsidP="009C7CAD">
            <w:pPr>
              <w:pStyle w:val="CDIFigure-Table-BodyTextCentre"/>
            </w:pPr>
            <w:r w:rsidRPr="009C7CAD">
              <w:t>15–24</w:t>
            </w:r>
          </w:p>
        </w:tc>
        <w:tc>
          <w:tcPr>
            <w:tcW w:w="1510" w:type="dxa"/>
            <w:shd w:val="clear" w:color="auto" w:fill="F2F2F2" w:themeFill="background1" w:themeFillShade="F2"/>
            <w:tcMar>
              <w:top w:w="88" w:type="dxa"/>
              <w:left w:w="113" w:type="dxa"/>
              <w:bottom w:w="88" w:type="dxa"/>
              <w:right w:w="113" w:type="dxa"/>
            </w:tcMar>
            <w:vAlign w:val="center"/>
          </w:tcPr>
          <w:p w14:paraId="7391A8E7" w14:textId="77777777" w:rsidR="009C7CAD" w:rsidRPr="009C7CAD" w:rsidRDefault="009C7CAD" w:rsidP="009C7CAD">
            <w:pPr>
              <w:pStyle w:val="CDIFigure-Table-BodyTextCentre"/>
            </w:pPr>
            <w:r w:rsidRPr="009C7CAD">
              <w:t>43.1</w:t>
            </w:r>
          </w:p>
        </w:tc>
        <w:tc>
          <w:tcPr>
            <w:tcW w:w="1509" w:type="dxa"/>
            <w:shd w:val="clear" w:color="auto" w:fill="F2F2F2" w:themeFill="background1" w:themeFillShade="F2"/>
            <w:tcMar>
              <w:top w:w="88" w:type="dxa"/>
              <w:left w:w="113" w:type="dxa"/>
              <w:bottom w:w="88" w:type="dxa"/>
              <w:right w:w="113" w:type="dxa"/>
            </w:tcMar>
            <w:vAlign w:val="center"/>
          </w:tcPr>
          <w:p w14:paraId="36099650" w14:textId="77777777" w:rsidR="009C7CAD" w:rsidRPr="009C7CAD" w:rsidRDefault="009C7CAD" w:rsidP="009C7CAD">
            <w:pPr>
              <w:pStyle w:val="CDIFigure-Table-BodyTextCentre"/>
            </w:pPr>
            <w:r w:rsidRPr="009C7CAD">
              <w:t>13.0</w:t>
            </w:r>
          </w:p>
        </w:tc>
        <w:tc>
          <w:tcPr>
            <w:tcW w:w="1510" w:type="dxa"/>
            <w:shd w:val="clear" w:color="auto" w:fill="F2F2F2" w:themeFill="background1" w:themeFillShade="F2"/>
            <w:tcMar>
              <w:top w:w="88" w:type="dxa"/>
              <w:left w:w="113" w:type="dxa"/>
              <w:bottom w:w="88" w:type="dxa"/>
              <w:right w:w="113" w:type="dxa"/>
            </w:tcMar>
            <w:vAlign w:val="center"/>
          </w:tcPr>
          <w:p w14:paraId="28D84039" w14:textId="77777777" w:rsidR="009C7CAD" w:rsidRPr="009C7CAD" w:rsidRDefault="009C7CAD" w:rsidP="009C7CAD">
            <w:pPr>
              <w:pStyle w:val="CDIFigure-Table-BodyTextCentre"/>
            </w:pPr>
            <w:r w:rsidRPr="009C7CAD">
              <w:t>1.7</w:t>
            </w:r>
          </w:p>
        </w:tc>
        <w:tc>
          <w:tcPr>
            <w:tcW w:w="1509" w:type="dxa"/>
            <w:shd w:val="clear" w:color="auto" w:fill="F2F2F2" w:themeFill="background1" w:themeFillShade="F2"/>
            <w:tcMar>
              <w:top w:w="88" w:type="dxa"/>
              <w:left w:w="113" w:type="dxa"/>
              <w:bottom w:w="88" w:type="dxa"/>
              <w:right w:w="113" w:type="dxa"/>
            </w:tcMar>
            <w:vAlign w:val="center"/>
          </w:tcPr>
          <w:p w14:paraId="0B24974A" w14:textId="77777777" w:rsidR="009C7CAD" w:rsidRPr="009C7CAD" w:rsidRDefault="009C7CAD" w:rsidP="009C7CAD">
            <w:pPr>
              <w:pStyle w:val="CDIFigure-Table-BodyTextCentre"/>
            </w:pPr>
            <w:r w:rsidRPr="009C7CAD">
              <w:t>0.31</w:t>
            </w:r>
          </w:p>
        </w:tc>
        <w:tc>
          <w:tcPr>
            <w:tcW w:w="1509" w:type="dxa"/>
            <w:shd w:val="clear" w:color="auto" w:fill="F2F2F2" w:themeFill="background1" w:themeFillShade="F2"/>
            <w:tcMar>
              <w:top w:w="88" w:type="dxa"/>
              <w:left w:w="113" w:type="dxa"/>
              <w:bottom w:w="88" w:type="dxa"/>
              <w:right w:w="113" w:type="dxa"/>
            </w:tcMar>
            <w:vAlign w:val="center"/>
          </w:tcPr>
          <w:p w14:paraId="15CC976D" w14:textId="77777777" w:rsidR="009C7CAD" w:rsidRPr="009C7CAD" w:rsidRDefault="009C7CAD" w:rsidP="009C7CAD">
            <w:pPr>
              <w:pStyle w:val="CDIFigure-Table-BodyTextCentre"/>
            </w:pPr>
            <w:r w:rsidRPr="009C7CAD">
              <w:t xml:space="preserve"> 0.28–0.35</w:t>
            </w:r>
          </w:p>
        </w:tc>
        <w:tc>
          <w:tcPr>
            <w:tcW w:w="1510" w:type="dxa"/>
            <w:shd w:val="clear" w:color="auto" w:fill="F2F2F2" w:themeFill="background1" w:themeFillShade="F2"/>
            <w:tcMar>
              <w:top w:w="88" w:type="dxa"/>
              <w:left w:w="113" w:type="dxa"/>
              <w:bottom w:w="88" w:type="dxa"/>
              <w:right w:w="113" w:type="dxa"/>
            </w:tcMar>
            <w:vAlign w:val="center"/>
          </w:tcPr>
          <w:p w14:paraId="64D9E425" w14:textId="77777777" w:rsidR="009C7CAD" w:rsidRPr="009C7CAD" w:rsidRDefault="009C7CAD" w:rsidP="009C7CAD">
            <w:pPr>
              <w:pStyle w:val="CDIFigure-Table-BodyTextCentre"/>
            </w:pPr>
            <w:r w:rsidRPr="009C7CAD">
              <w:t>0.04</w:t>
            </w:r>
          </w:p>
        </w:tc>
        <w:tc>
          <w:tcPr>
            <w:tcW w:w="1509" w:type="dxa"/>
            <w:shd w:val="clear" w:color="auto" w:fill="F2F2F2" w:themeFill="background1" w:themeFillShade="F2"/>
            <w:tcMar>
              <w:top w:w="88" w:type="dxa"/>
              <w:left w:w="113" w:type="dxa"/>
              <w:bottom w:w="88" w:type="dxa"/>
              <w:right w:w="113" w:type="dxa"/>
            </w:tcMar>
            <w:vAlign w:val="center"/>
          </w:tcPr>
          <w:p w14:paraId="16125E73" w14:textId="77777777" w:rsidR="009C7CAD" w:rsidRPr="009C7CAD" w:rsidRDefault="009C7CAD" w:rsidP="009C7CAD">
            <w:pPr>
              <w:pStyle w:val="CDIFigure-Table-BodyTextCentre"/>
            </w:pPr>
            <w:r w:rsidRPr="009C7CAD">
              <w:t xml:space="preserve"> 0.03–0.06</w:t>
            </w:r>
          </w:p>
        </w:tc>
      </w:tr>
      <w:tr w:rsidR="009C7CAD" w:rsidRPr="009C7CAD" w14:paraId="53374047"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6B92D82C" w14:textId="77777777" w:rsidR="009C7CAD" w:rsidRPr="009C7CAD" w:rsidRDefault="009C7CAD" w:rsidP="009C7CAD"/>
        </w:tc>
        <w:tc>
          <w:tcPr>
            <w:tcW w:w="1509" w:type="dxa"/>
            <w:tcMar>
              <w:top w:w="88" w:type="dxa"/>
              <w:left w:w="113" w:type="dxa"/>
              <w:bottom w:w="88" w:type="dxa"/>
              <w:right w:w="113" w:type="dxa"/>
            </w:tcMar>
            <w:vAlign w:val="center"/>
          </w:tcPr>
          <w:p w14:paraId="7B7BFE93" w14:textId="77777777" w:rsidR="009C7CAD" w:rsidRPr="009C7CAD" w:rsidRDefault="009C7CAD" w:rsidP="009C7CAD">
            <w:pPr>
              <w:pStyle w:val="CDIFigure-Table-BodyTextCentre"/>
            </w:pPr>
            <w:r w:rsidRPr="009C7CAD">
              <w:t>25–69</w:t>
            </w:r>
          </w:p>
        </w:tc>
        <w:tc>
          <w:tcPr>
            <w:tcW w:w="1510" w:type="dxa"/>
            <w:tcMar>
              <w:top w:w="88" w:type="dxa"/>
              <w:left w:w="113" w:type="dxa"/>
              <w:bottom w:w="88" w:type="dxa"/>
              <w:right w:w="113" w:type="dxa"/>
            </w:tcMar>
            <w:vAlign w:val="center"/>
          </w:tcPr>
          <w:p w14:paraId="5EE25180" w14:textId="77777777" w:rsidR="009C7CAD" w:rsidRPr="009C7CAD" w:rsidRDefault="009C7CAD" w:rsidP="009C7CAD">
            <w:pPr>
              <w:pStyle w:val="CDIFigure-Table-BodyTextCentre"/>
            </w:pPr>
            <w:r w:rsidRPr="009C7CAD">
              <w:t>38.7</w:t>
            </w:r>
          </w:p>
        </w:tc>
        <w:tc>
          <w:tcPr>
            <w:tcW w:w="1509" w:type="dxa"/>
            <w:tcMar>
              <w:top w:w="88" w:type="dxa"/>
              <w:left w:w="113" w:type="dxa"/>
              <w:bottom w:w="88" w:type="dxa"/>
              <w:right w:w="113" w:type="dxa"/>
            </w:tcMar>
            <w:vAlign w:val="center"/>
          </w:tcPr>
          <w:p w14:paraId="2B5D7E55" w14:textId="77777777" w:rsidR="009C7CAD" w:rsidRPr="009C7CAD" w:rsidRDefault="009C7CAD" w:rsidP="009C7CAD">
            <w:pPr>
              <w:pStyle w:val="CDIFigure-Table-BodyTextCentre"/>
            </w:pPr>
            <w:r w:rsidRPr="009C7CAD">
              <w:t>9.8</w:t>
            </w:r>
          </w:p>
        </w:tc>
        <w:tc>
          <w:tcPr>
            <w:tcW w:w="1510" w:type="dxa"/>
            <w:tcMar>
              <w:top w:w="88" w:type="dxa"/>
              <w:left w:w="113" w:type="dxa"/>
              <w:bottom w:w="88" w:type="dxa"/>
              <w:right w:w="113" w:type="dxa"/>
            </w:tcMar>
            <w:vAlign w:val="center"/>
          </w:tcPr>
          <w:p w14:paraId="3CC44CC2" w14:textId="77777777" w:rsidR="009C7CAD" w:rsidRPr="009C7CAD" w:rsidRDefault="009C7CAD" w:rsidP="009C7CAD">
            <w:pPr>
              <w:pStyle w:val="CDIFigure-Table-BodyTextCentre"/>
            </w:pPr>
            <w:r w:rsidRPr="009C7CAD">
              <w:t>2.3</w:t>
            </w:r>
          </w:p>
        </w:tc>
        <w:tc>
          <w:tcPr>
            <w:tcW w:w="1509" w:type="dxa"/>
            <w:tcMar>
              <w:top w:w="88" w:type="dxa"/>
              <w:left w:w="113" w:type="dxa"/>
              <w:bottom w:w="88" w:type="dxa"/>
              <w:right w:w="113" w:type="dxa"/>
            </w:tcMar>
            <w:vAlign w:val="center"/>
          </w:tcPr>
          <w:p w14:paraId="51C18C10" w14:textId="77777777" w:rsidR="009C7CAD" w:rsidRPr="009C7CAD" w:rsidRDefault="009C7CAD" w:rsidP="009C7CAD">
            <w:pPr>
              <w:pStyle w:val="CDIFigure-Table-BodyTextCentre"/>
            </w:pPr>
            <w:r w:rsidRPr="009C7CAD">
              <w:t>0.26</w:t>
            </w:r>
          </w:p>
        </w:tc>
        <w:tc>
          <w:tcPr>
            <w:tcW w:w="1509" w:type="dxa"/>
            <w:tcMar>
              <w:top w:w="88" w:type="dxa"/>
              <w:left w:w="113" w:type="dxa"/>
              <w:bottom w:w="88" w:type="dxa"/>
              <w:right w:w="113" w:type="dxa"/>
            </w:tcMar>
            <w:vAlign w:val="center"/>
          </w:tcPr>
          <w:p w14:paraId="092716A3" w14:textId="77777777" w:rsidR="009C7CAD" w:rsidRPr="009C7CAD" w:rsidRDefault="009C7CAD" w:rsidP="009C7CAD">
            <w:pPr>
              <w:pStyle w:val="CDIFigure-Table-BodyTextCentre"/>
            </w:pPr>
            <w:r w:rsidRPr="009C7CAD">
              <w:t xml:space="preserve"> 0.25–0.28</w:t>
            </w:r>
          </w:p>
        </w:tc>
        <w:tc>
          <w:tcPr>
            <w:tcW w:w="1510" w:type="dxa"/>
            <w:tcMar>
              <w:top w:w="88" w:type="dxa"/>
              <w:left w:w="113" w:type="dxa"/>
              <w:bottom w:w="88" w:type="dxa"/>
              <w:right w:w="113" w:type="dxa"/>
            </w:tcMar>
            <w:vAlign w:val="center"/>
          </w:tcPr>
          <w:p w14:paraId="3B9C1001" w14:textId="77777777" w:rsidR="009C7CAD" w:rsidRPr="009C7CAD" w:rsidRDefault="009C7CAD" w:rsidP="009C7CAD">
            <w:pPr>
              <w:pStyle w:val="CDIFigure-Table-BodyTextCentre"/>
            </w:pPr>
            <w:r w:rsidRPr="009C7CAD">
              <w:t>0.06</w:t>
            </w:r>
          </w:p>
        </w:tc>
        <w:tc>
          <w:tcPr>
            <w:tcW w:w="1509" w:type="dxa"/>
            <w:tcMar>
              <w:top w:w="88" w:type="dxa"/>
              <w:left w:w="113" w:type="dxa"/>
              <w:bottom w:w="88" w:type="dxa"/>
              <w:right w:w="113" w:type="dxa"/>
            </w:tcMar>
            <w:vAlign w:val="center"/>
          </w:tcPr>
          <w:p w14:paraId="6D1ED751" w14:textId="77777777" w:rsidR="009C7CAD" w:rsidRPr="009C7CAD" w:rsidRDefault="009C7CAD" w:rsidP="009C7CAD">
            <w:pPr>
              <w:pStyle w:val="CDIFigure-Table-BodyTextCentre"/>
            </w:pPr>
            <w:r w:rsidRPr="009C7CAD">
              <w:t xml:space="preserve"> 0.05–0.07</w:t>
            </w:r>
          </w:p>
        </w:tc>
      </w:tr>
      <w:tr w:rsidR="006A4AE7" w:rsidRPr="009C7CAD" w14:paraId="68309891"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09A9B565" w14:textId="77777777" w:rsidR="009C7CAD" w:rsidRPr="009C7CAD" w:rsidRDefault="009C7CAD" w:rsidP="009C7CAD"/>
        </w:tc>
        <w:tc>
          <w:tcPr>
            <w:tcW w:w="1509" w:type="dxa"/>
            <w:shd w:val="clear" w:color="auto" w:fill="F2F2F2" w:themeFill="background1" w:themeFillShade="F2"/>
            <w:tcMar>
              <w:top w:w="88" w:type="dxa"/>
              <w:left w:w="113" w:type="dxa"/>
              <w:bottom w:w="88" w:type="dxa"/>
              <w:right w:w="113" w:type="dxa"/>
            </w:tcMar>
            <w:vAlign w:val="center"/>
          </w:tcPr>
          <w:p w14:paraId="4EA08FC0" w14:textId="77777777" w:rsidR="009C7CAD" w:rsidRPr="009C7CAD" w:rsidRDefault="009C7CAD" w:rsidP="009C7CAD">
            <w:pPr>
              <w:pStyle w:val="CDIFigure-Table-BodyTextCentre"/>
            </w:pPr>
            <w:r w:rsidRPr="009C7CAD">
              <w:t>≥ 70</w:t>
            </w:r>
          </w:p>
        </w:tc>
        <w:tc>
          <w:tcPr>
            <w:tcW w:w="1510" w:type="dxa"/>
            <w:shd w:val="clear" w:color="auto" w:fill="F2F2F2" w:themeFill="background1" w:themeFillShade="F2"/>
            <w:tcMar>
              <w:top w:w="88" w:type="dxa"/>
              <w:left w:w="113" w:type="dxa"/>
              <w:bottom w:w="88" w:type="dxa"/>
              <w:right w:w="113" w:type="dxa"/>
            </w:tcMar>
            <w:vAlign w:val="center"/>
          </w:tcPr>
          <w:p w14:paraId="00B78B1A" w14:textId="77777777" w:rsidR="009C7CAD" w:rsidRPr="009C7CAD" w:rsidRDefault="009C7CAD" w:rsidP="009C7CAD">
            <w:pPr>
              <w:pStyle w:val="CDIFigure-Table-BodyTextCentre"/>
            </w:pPr>
            <w:r w:rsidRPr="009C7CAD">
              <w:t>33.3</w:t>
            </w:r>
          </w:p>
        </w:tc>
        <w:tc>
          <w:tcPr>
            <w:tcW w:w="1509" w:type="dxa"/>
            <w:shd w:val="clear" w:color="auto" w:fill="F2F2F2" w:themeFill="background1" w:themeFillShade="F2"/>
            <w:tcMar>
              <w:top w:w="88" w:type="dxa"/>
              <w:left w:w="113" w:type="dxa"/>
              <w:bottom w:w="88" w:type="dxa"/>
              <w:right w:w="113" w:type="dxa"/>
            </w:tcMar>
            <w:vAlign w:val="center"/>
          </w:tcPr>
          <w:p w14:paraId="1C600976" w14:textId="77777777" w:rsidR="009C7CAD" w:rsidRPr="009C7CAD" w:rsidRDefault="009C7CAD" w:rsidP="009C7CAD">
            <w:pPr>
              <w:pStyle w:val="CDIFigure-Table-BodyTextCentre"/>
            </w:pPr>
            <w:r w:rsidRPr="009C7CAD">
              <w:t>7.6</w:t>
            </w:r>
          </w:p>
        </w:tc>
        <w:tc>
          <w:tcPr>
            <w:tcW w:w="1510" w:type="dxa"/>
            <w:shd w:val="clear" w:color="auto" w:fill="F2F2F2" w:themeFill="background1" w:themeFillShade="F2"/>
            <w:tcMar>
              <w:top w:w="88" w:type="dxa"/>
              <w:left w:w="113" w:type="dxa"/>
              <w:bottom w:w="88" w:type="dxa"/>
              <w:right w:w="113" w:type="dxa"/>
            </w:tcMar>
            <w:vAlign w:val="center"/>
          </w:tcPr>
          <w:p w14:paraId="2B57C35E" w14:textId="77777777" w:rsidR="009C7CAD" w:rsidRPr="009C7CAD" w:rsidRDefault="009C7CAD" w:rsidP="009C7CAD">
            <w:pPr>
              <w:pStyle w:val="CDIFigure-Table-BodyTextCentre"/>
            </w:pPr>
            <w:r w:rsidRPr="009C7CAD">
              <w:t>2.3</w:t>
            </w:r>
          </w:p>
        </w:tc>
        <w:tc>
          <w:tcPr>
            <w:tcW w:w="1509" w:type="dxa"/>
            <w:shd w:val="clear" w:color="auto" w:fill="F2F2F2" w:themeFill="background1" w:themeFillShade="F2"/>
            <w:tcMar>
              <w:top w:w="88" w:type="dxa"/>
              <w:left w:w="113" w:type="dxa"/>
              <w:bottom w:w="88" w:type="dxa"/>
              <w:right w:w="113" w:type="dxa"/>
            </w:tcMar>
            <w:vAlign w:val="center"/>
          </w:tcPr>
          <w:p w14:paraId="60EEC7C6" w14:textId="77777777" w:rsidR="009C7CAD" w:rsidRPr="009C7CAD" w:rsidRDefault="009C7CAD" w:rsidP="009C7CAD">
            <w:pPr>
              <w:pStyle w:val="CDIFigure-Table-BodyTextCentre"/>
            </w:pPr>
            <w:r w:rsidRPr="009C7CAD">
              <w:t>0.66</w:t>
            </w:r>
          </w:p>
        </w:tc>
        <w:tc>
          <w:tcPr>
            <w:tcW w:w="1509" w:type="dxa"/>
            <w:shd w:val="clear" w:color="auto" w:fill="F2F2F2" w:themeFill="background1" w:themeFillShade="F2"/>
            <w:tcMar>
              <w:top w:w="88" w:type="dxa"/>
              <w:left w:w="113" w:type="dxa"/>
              <w:bottom w:w="88" w:type="dxa"/>
              <w:right w:w="113" w:type="dxa"/>
            </w:tcMar>
            <w:vAlign w:val="center"/>
          </w:tcPr>
          <w:p w14:paraId="4372D839" w14:textId="77777777" w:rsidR="009C7CAD" w:rsidRPr="009C7CAD" w:rsidRDefault="009C7CAD" w:rsidP="009C7CAD">
            <w:pPr>
              <w:pStyle w:val="CDIFigure-Table-BodyTextCentre"/>
            </w:pPr>
            <w:r w:rsidRPr="009C7CAD">
              <w:t xml:space="preserve"> 0.56–0.76</w:t>
            </w:r>
          </w:p>
        </w:tc>
        <w:tc>
          <w:tcPr>
            <w:tcW w:w="1510" w:type="dxa"/>
            <w:shd w:val="clear" w:color="auto" w:fill="F2F2F2" w:themeFill="background1" w:themeFillShade="F2"/>
            <w:tcMar>
              <w:top w:w="88" w:type="dxa"/>
              <w:left w:w="113" w:type="dxa"/>
              <w:bottom w:w="88" w:type="dxa"/>
              <w:right w:w="113" w:type="dxa"/>
            </w:tcMar>
            <w:vAlign w:val="center"/>
          </w:tcPr>
          <w:p w14:paraId="27DDEA69" w14:textId="77777777" w:rsidR="009C7CAD" w:rsidRPr="009C7CAD" w:rsidRDefault="009C7CAD" w:rsidP="009C7CAD">
            <w:pPr>
              <w:pStyle w:val="CDIFigure-Table-BodyTextCentre"/>
            </w:pPr>
            <w:r w:rsidRPr="009C7CAD">
              <w:t>0.16</w:t>
            </w:r>
          </w:p>
        </w:tc>
        <w:tc>
          <w:tcPr>
            <w:tcW w:w="1509" w:type="dxa"/>
            <w:shd w:val="clear" w:color="auto" w:fill="F2F2F2" w:themeFill="background1" w:themeFillShade="F2"/>
            <w:tcMar>
              <w:top w:w="88" w:type="dxa"/>
              <w:left w:w="113" w:type="dxa"/>
              <w:bottom w:w="88" w:type="dxa"/>
              <w:right w:w="113" w:type="dxa"/>
            </w:tcMar>
            <w:vAlign w:val="center"/>
          </w:tcPr>
          <w:p w14:paraId="0776809C" w14:textId="77777777" w:rsidR="009C7CAD" w:rsidRPr="009C7CAD" w:rsidRDefault="009C7CAD" w:rsidP="009C7CAD">
            <w:pPr>
              <w:pStyle w:val="CDIFigure-Table-BodyTextCentre"/>
            </w:pPr>
            <w:r w:rsidRPr="009C7CAD">
              <w:t xml:space="preserve"> 0.12–0.21</w:t>
            </w:r>
          </w:p>
        </w:tc>
      </w:tr>
      <w:tr w:rsidR="009C7CAD" w:rsidRPr="009C7CAD" w14:paraId="5DA8937D" w14:textId="77777777" w:rsidTr="003D5A6B">
        <w:trPr>
          <w:trHeight w:val="20"/>
        </w:trPr>
        <w:tc>
          <w:tcPr>
            <w:tcW w:w="2268" w:type="dxa"/>
            <w:vMerge/>
            <w:tcBorders>
              <w:bottom w:val="single" w:sz="6" w:space="0" w:color="033636" w:themeColor="text2"/>
            </w:tcBorders>
            <w:shd w:val="clear" w:color="auto" w:fill="C5FFEF" w:themeFill="background2" w:themeFillTint="33"/>
          </w:tcPr>
          <w:p w14:paraId="2B59DFD9" w14:textId="77777777" w:rsidR="009C7CAD" w:rsidRPr="009C7CAD" w:rsidRDefault="009C7CAD" w:rsidP="009C7CAD"/>
        </w:tc>
        <w:tc>
          <w:tcPr>
            <w:tcW w:w="1509" w:type="dxa"/>
            <w:tcBorders>
              <w:bottom w:val="single" w:sz="6" w:space="0" w:color="033636" w:themeColor="text2"/>
            </w:tcBorders>
            <w:tcMar>
              <w:top w:w="88" w:type="dxa"/>
              <w:left w:w="113" w:type="dxa"/>
              <w:bottom w:w="88" w:type="dxa"/>
              <w:right w:w="113" w:type="dxa"/>
            </w:tcMar>
            <w:vAlign w:val="center"/>
          </w:tcPr>
          <w:p w14:paraId="31ED5443" w14:textId="77777777" w:rsidR="009C7CAD" w:rsidRPr="003D5A6B" w:rsidRDefault="009C7CAD" w:rsidP="009C7CAD">
            <w:pPr>
              <w:pStyle w:val="CDIFigure-Table-BodyTextCentre"/>
              <w:rPr>
                <w:b/>
                <w:bCs/>
              </w:rPr>
            </w:pPr>
            <w:r w:rsidRPr="003D5A6B">
              <w:rPr>
                <w:b/>
                <w:bCs/>
              </w:rPr>
              <w:t>Overall</w:t>
            </w:r>
          </w:p>
        </w:tc>
        <w:tc>
          <w:tcPr>
            <w:tcW w:w="1510" w:type="dxa"/>
            <w:tcBorders>
              <w:bottom w:val="single" w:sz="6" w:space="0" w:color="033636" w:themeColor="text2"/>
            </w:tcBorders>
            <w:tcMar>
              <w:top w:w="88" w:type="dxa"/>
              <w:left w:w="113" w:type="dxa"/>
              <w:bottom w:w="88" w:type="dxa"/>
              <w:right w:w="113" w:type="dxa"/>
            </w:tcMar>
            <w:vAlign w:val="center"/>
          </w:tcPr>
          <w:p w14:paraId="78C64C4D" w14:textId="77777777" w:rsidR="009C7CAD" w:rsidRPr="003D5A6B" w:rsidRDefault="009C7CAD" w:rsidP="009C7CAD">
            <w:pPr>
              <w:pStyle w:val="CDIFigure-Table-BodyTextCentre"/>
              <w:rPr>
                <w:b/>
                <w:bCs/>
              </w:rPr>
            </w:pPr>
            <w:r w:rsidRPr="003D5A6B">
              <w:rPr>
                <w:b/>
                <w:bCs/>
              </w:rPr>
              <w:t>64.9</w:t>
            </w:r>
          </w:p>
        </w:tc>
        <w:tc>
          <w:tcPr>
            <w:tcW w:w="1509" w:type="dxa"/>
            <w:tcBorders>
              <w:bottom w:val="single" w:sz="6" w:space="0" w:color="033636" w:themeColor="text2"/>
            </w:tcBorders>
            <w:tcMar>
              <w:top w:w="88" w:type="dxa"/>
              <w:left w:w="113" w:type="dxa"/>
              <w:bottom w:w="88" w:type="dxa"/>
              <w:right w:w="113" w:type="dxa"/>
            </w:tcMar>
            <w:vAlign w:val="center"/>
          </w:tcPr>
          <w:p w14:paraId="6A6A2E7D" w14:textId="77777777" w:rsidR="009C7CAD" w:rsidRPr="003D5A6B" w:rsidRDefault="009C7CAD" w:rsidP="009C7CAD">
            <w:pPr>
              <w:pStyle w:val="CDIFigure-Table-BodyTextCentre"/>
              <w:rPr>
                <w:b/>
                <w:bCs/>
              </w:rPr>
            </w:pPr>
            <w:r w:rsidRPr="003D5A6B">
              <w:rPr>
                <w:b/>
                <w:bCs/>
              </w:rPr>
              <w:t>13.5</w:t>
            </w:r>
          </w:p>
        </w:tc>
        <w:tc>
          <w:tcPr>
            <w:tcW w:w="1510" w:type="dxa"/>
            <w:tcBorders>
              <w:bottom w:val="single" w:sz="6" w:space="0" w:color="033636" w:themeColor="text2"/>
            </w:tcBorders>
            <w:tcMar>
              <w:top w:w="88" w:type="dxa"/>
              <w:left w:w="113" w:type="dxa"/>
              <w:bottom w:w="88" w:type="dxa"/>
              <w:right w:w="113" w:type="dxa"/>
            </w:tcMar>
            <w:vAlign w:val="center"/>
          </w:tcPr>
          <w:p w14:paraId="06866FD1" w14:textId="77777777" w:rsidR="009C7CAD" w:rsidRPr="003D5A6B" w:rsidRDefault="009C7CAD" w:rsidP="009C7CAD">
            <w:pPr>
              <w:pStyle w:val="CDIFigure-Table-BodyTextCentre"/>
              <w:rPr>
                <w:b/>
                <w:bCs/>
              </w:rPr>
            </w:pPr>
            <w:r w:rsidRPr="003D5A6B">
              <w:rPr>
                <w:b/>
                <w:bCs/>
              </w:rPr>
              <w:t>2.1</w:t>
            </w:r>
          </w:p>
        </w:tc>
        <w:tc>
          <w:tcPr>
            <w:tcW w:w="1509" w:type="dxa"/>
            <w:tcBorders>
              <w:bottom w:val="single" w:sz="6" w:space="0" w:color="033636" w:themeColor="text2"/>
            </w:tcBorders>
            <w:tcMar>
              <w:top w:w="88" w:type="dxa"/>
              <w:left w:w="113" w:type="dxa"/>
              <w:bottom w:w="88" w:type="dxa"/>
              <w:right w:w="113" w:type="dxa"/>
            </w:tcMar>
            <w:vAlign w:val="center"/>
          </w:tcPr>
          <w:p w14:paraId="6E7C68CF" w14:textId="77777777" w:rsidR="009C7CAD" w:rsidRPr="003D5A6B" w:rsidRDefault="009C7CAD" w:rsidP="009C7CAD">
            <w:pPr>
              <w:pStyle w:val="CDIFigure-Table-BodyTextCentre"/>
              <w:rPr>
                <w:b/>
                <w:bCs/>
              </w:rPr>
            </w:pPr>
            <w:r w:rsidRPr="003D5A6B">
              <w:rPr>
                <w:b/>
                <w:bCs/>
              </w:rPr>
              <w:t>0.21</w:t>
            </w:r>
          </w:p>
        </w:tc>
        <w:tc>
          <w:tcPr>
            <w:tcW w:w="1509" w:type="dxa"/>
            <w:tcBorders>
              <w:bottom w:val="single" w:sz="6" w:space="0" w:color="033636" w:themeColor="text2"/>
            </w:tcBorders>
            <w:tcMar>
              <w:top w:w="88" w:type="dxa"/>
              <w:left w:w="113" w:type="dxa"/>
              <w:bottom w:w="88" w:type="dxa"/>
              <w:right w:w="113" w:type="dxa"/>
            </w:tcMar>
            <w:vAlign w:val="center"/>
          </w:tcPr>
          <w:p w14:paraId="35CDBCC5" w14:textId="77777777" w:rsidR="009C7CAD" w:rsidRPr="003D5A6B" w:rsidRDefault="009C7CAD" w:rsidP="009C7CAD">
            <w:pPr>
              <w:pStyle w:val="CDIFigure-Table-BodyTextCentre"/>
              <w:rPr>
                <w:b/>
                <w:bCs/>
              </w:rPr>
            </w:pPr>
            <w:r w:rsidRPr="003D5A6B">
              <w:rPr>
                <w:b/>
                <w:bCs/>
              </w:rPr>
              <w:t xml:space="preserve"> 0.20–0.22</w:t>
            </w:r>
          </w:p>
        </w:tc>
        <w:tc>
          <w:tcPr>
            <w:tcW w:w="1510" w:type="dxa"/>
            <w:tcBorders>
              <w:bottom w:val="single" w:sz="6" w:space="0" w:color="033636" w:themeColor="text2"/>
            </w:tcBorders>
            <w:tcMar>
              <w:top w:w="88" w:type="dxa"/>
              <w:left w:w="113" w:type="dxa"/>
              <w:bottom w:w="88" w:type="dxa"/>
              <w:right w:w="113" w:type="dxa"/>
            </w:tcMar>
            <w:vAlign w:val="center"/>
          </w:tcPr>
          <w:p w14:paraId="30CF96E0" w14:textId="77777777" w:rsidR="009C7CAD" w:rsidRPr="003D5A6B" w:rsidRDefault="009C7CAD" w:rsidP="009C7CAD">
            <w:pPr>
              <w:pStyle w:val="CDIFigure-Table-BodyTextCentre"/>
              <w:rPr>
                <w:b/>
                <w:bCs/>
              </w:rPr>
            </w:pPr>
            <w:r w:rsidRPr="003D5A6B">
              <w:rPr>
                <w:b/>
                <w:bCs/>
              </w:rPr>
              <w:t>0.03</w:t>
            </w:r>
          </w:p>
        </w:tc>
        <w:tc>
          <w:tcPr>
            <w:tcW w:w="1509" w:type="dxa"/>
            <w:tcBorders>
              <w:bottom w:val="single" w:sz="6" w:space="0" w:color="033636" w:themeColor="text2"/>
            </w:tcBorders>
            <w:tcMar>
              <w:top w:w="88" w:type="dxa"/>
              <w:left w:w="113" w:type="dxa"/>
              <w:bottom w:w="88" w:type="dxa"/>
              <w:right w:w="113" w:type="dxa"/>
            </w:tcMar>
            <w:vAlign w:val="center"/>
          </w:tcPr>
          <w:p w14:paraId="26DBE9E4" w14:textId="77777777" w:rsidR="009C7CAD" w:rsidRPr="003D5A6B" w:rsidRDefault="009C7CAD" w:rsidP="009C7CAD">
            <w:pPr>
              <w:pStyle w:val="CDIFigure-Table-BodyTextCentre"/>
              <w:rPr>
                <w:b/>
                <w:bCs/>
              </w:rPr>
            </w:pPr>
            <w:r w:rsidRPr="003D5A6B">
              <w:rPr>
                <w:b/>
                <w:bCs/>
              </w:rPr>
              <w:t xml:space="preserve"> 0.03–0.04</w:t>
            </w:r>
          </w:p>
        </w:tc>
      </w:tr>
    </w:tbl>
    <w:p w14:paraId="111B8F3F" w14:textId="77777777" w:rsidR="009C7CAD" w:rsidRDefault="009C7CAD" w:rsidP="009C7CAD">
      <w:pPr>
        <w:pStyle w:val="CDIFigure-Table-FirstFootnote"/>
        <w:sectPr w:rsidR="009C7CAD" w:rsidSect="001A26DD">
          <w:footerReference w:type="default" r:id="rId16"/>
          <w:pgSz w:w="16840" w:h="11907" w:orient="landscape" w:code="9"/>
          <w:pgMar w:top="1134" w:right="1304" w:bottom="1134" w:left="1304" w:header="709" w:footer="527" w:gutter="0"/>
          <w:cols w:space="708"/>
          <w:docGrid w:linePitch="360"/>
        </w:sectPr>
      </w:pPr>
      <w:proofErr w:type="gramStart"/>
      <w:r w:rsidRPr="009C7CAD">
        <w:t>a</w:t>
      </w:r>
      <w:proofErr w:type="gramEnd"/>
      <w:r w:rsidRPr="009C7CAD">
        <w:tab/>
        <w:t>IRR: incidence rate ratio. 95% CI: 95% confidence interval.</w:t>
      </w:r>
    </w:p>
    <w:p w14:paraId="0CBF8C65" w14:textId="0B43F7F0" w:rsidR="009C7CAD" w:rsidRDefault="009C7CAD" w:rsidP="009C7CAD">
      <w:pPr>
        <w:pStyle w:val="CDIFigure-Table-Title"/>
      </w:pPr>
      <w:r w:rsidRPr="009C7CAD">
        <w:lastRenderedPageBreak/>
        <w:t>Figure A.1: Australian national pertussis notification rates by 5-year age group showing annual rates for 2020 and 2021 compared to the 2017 to 2019 mean annual notification rate</w:t>
      </w:r>
    </w:p>
    <w:p w14:paraId="7149DDC1" w14:textId="5F880446" w:rsidR="009C7CAD" w:rsidRDefault="009C7CAD" w:rsidP="009C7CAD">
      <w:pPr>
        <w:pStyle w:val="CDIFigure-Table-ImagePlaceholder"/>
      </w:pPr>
      <w:r>
        <w:rPr>
          <w:noProof/>
          <w14:ligatures w14:val="none"/>
        </w:rPr>
        <w:drawing>
          <wp:inline distT="0" distB="0" distL="0" distR="0" wp14:anchorId="650E0AFF" wp14:editId="66C8B625">
            <wp:extent cx="6084335" cy="3846909"/>
            <wp:effectExtent l="0" t="0" r="0" b="1270"/>
            <wp:docPr id="1" name="Picture 1" descr="Column graph showing annual pertussis notification rates for 2020 and 2021, and the 2017 to 2019 mean annual notification rate, by 5-year age group. Between 2017 and 2019, the highest age-specific rates per 100,000 population occurred in children aged 5-9 years (165.7), and 10-14 years (137.7), followed by children aged 0-4 years (98.3). In 2020 and 2021, national notification rates were substantially lower across all age groups compared to their 2017 to 2019 mean rates. In 2020, the highest notification rates per 100,000 population were among children aged 5-9 years (31.7), followed by children aged 10-14 years (30.1). In 2021, the highest notification rates per 100,000 population were among children aged 0-4 years (3.0), followed by adults aged 50-54 years and 65-69 years (2.7,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n graph showing annual pertussis notification rates for 2020 and 2021, and the 2017 to 2019 mean annual notification rate, by 5-year age group. Between 2017 and 2019, the highest age-specific rates per 100,000 population occurred in children aged 5-9 years (165.7), and 10-14 years (137.7), followed by children aged 0-4 years (98.3). In 2020 and 2021, national notification rates were substantially lower across all age groups compared to their 2017 to 2019 mean rates. In 2020, the highest notification rates per 100,000 population were among children aged 5-9 years (31.7), followed by children aged 10-14 years (30.1). In 2021, the highest notification rates per 100,000 population were among children aged 0-4 years (3.0), followed by adults aged 50-54 years and 65-69 years (2.7, respectively)."/>
                    <pic:cNvPicPr/>
                  </pic:nvPicPr>
                  <pic:blipFill>
                    <a:blip r:embed="rId17">
                      <a:extLst>
                        <a:ext uri="{28A0092B-C50C-407E-A947-70E740481C1C}">
                          <a14:useLocalDpi xmlns:a14="http://schemas.microsoft.com/office/drawing/2010/main" val="0"/>
                        </a:ext>
                      </a:extLst>
                    </a:blip>
                    <a:stretch>
                      <a:fillRect/>
                    </a:stretch>
                  </pic:blipFill>
                  <pic:spPr>
                    <a:xfrm>
                      <a:off x="0" y="0"/>
                      <a:ext cx="6084335" cy="3846909"/>
                    </a:xfrm>
                    <a:prstGeom prst="rect">
                      <a:avLst/>
                    </a:prstGeom>
                  </pic:spPr>
                </pic:pic>
              </a:graphicData>
            </a:graphic>
          </wp:inline>
        </w:drawing>
      </w:r>
    </w:p>
    <w:p w14:paraId="3F6FA294" w14:textId="77777777" w:rsidR="00AC0F5D" w:rsidRDefault="00AC0F5D" w:rsidP="00B33E0B">
      <w:pPr>
        <w:sectPr w:rsidR="00AC0F5D" w:rsidSect="009C7CAD">
          <w:pgSz w:w="11907" w:h="16840" w:code="9"/>
          <w:pgMar w:top="1304" w:right="1134" w:bottom="1304" w:left="1134" w:header="709" w:footer="527" w:gutter="0"/>
          <w:cols w:space="708"/>
          <w:docGrid w:linePitch="360"/>
        </w:sectPr>
      </w:pPr>
    </w:p>
    <w:p w14:paraId="38BCDBC3"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0479311" w14:textId="486770F2" w:rsidR="000A5F42" w:rsidRPr="0089025E" w:rsidRDefault="000A5F42" w:rsidP="00194A12">
      <w:pPr>
        <w:pStyle w:val="CDICopyrightText"/>
      </w:pPr>
      <w:r w:rsidRPr="0089025E">
        <w:t xml:space="preserve">Communicable Diseases Intelligence (CDI) is a peer-reviewed scientific journal published by the </w:t>
      </w:r>
      <w:r w:rsidR="00915CBA" w:rsidRPr="00915CBA">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14E1DB1B" w14:textId="77777777" w:rsidR="000705FF" w:rsidRPr="0089025E" w:rsidRDefault="000705FF" w:rsidP="00194A12">
      <w:pPr>
        <w:pStyle w:val="CDICopyrightText"/>
      </w:pPr>
      <w:r w:rsidRPr="0089025E">
        <w:t xml:space="preserve">© </w:t>
      </w:r>
      <w:fldSimple w:instr=" DOCPROPERTY  Year  \* MERGEFORMAT ">
        <w:r w:rsidR="00915CBA">
          <w:t>2024</w:t>
        </w:r>
      </w:fldSimple>
      <w:r w:rsidRPr="0089025E">
        <w:t xml:space="preserve"> Commonwealth of Australia as represented by the Department of Health and Aged Care</w:t>
      </w:r>
    </w:p>
    <w:p w14:paraId="379F4BD0" w14:textId="77777777" w:rsidR="00DE4482" w:rsidRPr="0089025E" w:rsidRDefault="00DE4482" w:rsidP="00194A12">
      <w:pPr>
        <w:pStyle w:val="CDICopyrightText"/>
      </w:pPr>
      <w:r w:rsidRPr="0089025E">
        <w:t>ISSN: 2209-6051 Online</w:t>
      </w:r>
    </w:p>
    <w:p w14:paraId="752C3C75" w14:textId="77777777" w:rsidR="00DE4482" w:rsidRPr="0089025E" w:rsidRDefault="00DE4482" w:rsidP="00194A12">
      <w:pPr>
        <w:pStyle w:val="CDICopyrightText"/>
      </w:pPr>
      <w:r w:rsidRPr="0089025E">
        <w:t>This journal is indexed by Index Medicus and Medline.</w:t>
      </w:r>
    </w:p>
    <w:p w14:paraId="3D1842CD"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66C77455" w14:textId="77777777" w:rsidR="000705FF" w:rsidRPr="00194A12" w:rsidRDefault="000705FF" w:rsidP="00194A12">
      <w:pPr>
        <w:pStyle w:val="CDICopyrightHeading"/>
      </w:pPr>
      <w:r w:rsidRPr="00194A12">
        <w:t>Restrictions</w:t>
      </w:r>
    </w:p>
    <w:p w14:paraId="0CC6D41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2C46AAD"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43D3848" w14:textId="77777777" w:rsidR="000705FF" w:rsidRPr="0089025E" w:rsidRDefault="000705FF" w:rsidP="00AC0F5D">
      <w:pPr>
        <w:pStyle w:val="CDICopyrightBullets"/>
      </w:pPr>
      <w:r w:rsidRPr="0089025E">
        <w:t>any logos (including the Department of Health and Aged Care’s logo) and trademarks;</w:t>
      </w:r>
    </w:p>
    <w:p w14:paraId="3BA4D5EF" w14:textId="77777777" w:rsidR="000705FF" w:rsidRPr="0089025E" w:rsidRDefault="000705FF" w:rsidP="00AC0F5D">
      <w:pPr>
        <w:pStyle w:val="CDICopyrightBullets"/>
      </w:pPr>
      <w:r w:rsidRPr="0089025E">
        <w:t xml:space="preserve">any photographs and images; </w:t>
      </w:r>
    </w:p>
    <w:p w14:paraId="3DAFF902" w14:textId="77777777" w:rsidR="000705FF" w:rsidRPr="0089025E" w:rsidRDefault="000705FF" w:rsidP="00AC0F5D">
      <w:pPr>
        <w:pStyle w:val="CDICopyrightBullets"/>
      </w:pPr>
      <w:r w:rsidRPr="0089025E">
        <w:t>any signatures; and</w:t>
      </w:r>
    </w:p>
    <w:p w14:paraId="22F08AA2" w14:textId="77777777" w:rsidR="000705FF" w:rsidRPr="0089025E" w:rsidRDefault="000705FF" w:rsidP="00AC0F5D">
      <w:pPr>
        <w:pStyle w:val="CDICopyrightBullets"/>
      </w:pPr>
      <w:r w:rsidRPr="0089025E">
        <w:t xml:space="preserve">any material belonging to third parties. </w:t>
      </w:r>
    </w:p>
    <w:p w14:paraId="01033894" w14:textId="77777777" w:rsidR="000F223B" w:rsidRPr="0089025E" w:rsidRDefault="000705FF" w:rsidP="00194A12">
      <w:pPr>
        <w:pStyle w:val="CDICopyrightHeading"/>
      </w:pPr>
      <w:r w:rsidRPr="0089025E">
        <w:t>Disclaimer</w:t>
      </w:r>
    </w:p>
    <w:p w14:paraId="739E436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98DBF9C" w14:textId="77777777" w:rsidR="000F223B" w:rsidRPr="0089025E" w:rsidRDefault="000705FF" w:rsidP="00194A12">
      <w:pPr>
        <w:pStyle w:val="CDICopyrightHeading"/>
      </w:pPr>
      <w:r w:rsidRPr="0089025E">
        <w:t>Enquiries</w:t>
      </w:r>
    </w:p>
    <w:p w14:paraId="6DFC9138"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rPr>
            <w:rStyle w:val="Hyperlink"/>
          </w:rPr>
          <w:t>cdi.editor@health.gov.au</w:t>
        </w:r>
      </w:hyperlink>
      <w:r w:rsidR="006307C1">
        <w:t xml:space="preserve"> </w:t>
      </w:r>
      <w:r w:rsidRPr="0089025E">
        <w:t xml:space="preserve"> </w:t>
      </w:r>
    </w:p>
    <w:p w14:paraId="0D5C1179" w14:textId="77777777" w:rsidR="000F223B" w:rsidRPr="0089025E" w:rsidRDefault="000705FF" w:rsidP="00194A12">
      <w:pPr>
        <w:pStyle w:val="CDICopyrightHeading"/>
      </w:pPr>
      <w:r w:rsidRPr="0089025E">
        <w:t>Communicable Diseases Network Australia</w:t>
      </w:r>
    </w:p>
    <w:p w14:paraId="201719D0"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14605A6" w14:textId="60471930"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714645">
        <w:t>/Kasra Yousefi</w:t>
      </w:r>
    </w:p>
    <w:p w14:paraId="665376E9" w14:textId="451807DA"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915CBA">
        <w:t xml:space="preserve">, </w:t>
      </w:r>
      <w:r w:rsidR="00CF75DF" w:rsidRPr="0089025E">
        <w:t>Meru</w:t>
      </w:r>
      <w:r w:rsidR="0089025E" w:rsidRPr="0089025E">
        <w:t> </w:t>
      </w:r>
      <w:r w:rsidR="00CF75DF" w:rsidRPr="0089025E">
        <w:t>Sheel</w:t>
      </w:r>
      <w:r w:rsidR="00915CBA">
        <w:t xml:space="preserve"> and Stephanie Williams</w:t>
      </w:r>
    </w:p>
    <w:p w14:paraId="2B05BF08" w14:textId="77777777" w:rsidR="00DE4482" w:rsidRPr="0089025E" w:rsidRDefault="000A5F42" w:rsidP="00194A12">
      <w:pPr>
        <w:pStyle w:val="CDICopyrightHeading"/>
      </w:pPr>
      <w:r w:rsidRPr="0089025E">
        <w:t>Contacts</w:t>
      </w:r>
    </w:p>
    <w:p w14:paraId="167E6F73" w14:textId="77777777" w:rsidR="00682E53" w:rsidRDefault="00E54BBD" w:rsidP="00194A12">
      <w:pPr>
        <w:pStyle w:val="CDICopyrightText"/>
      </w:pPr>
      <w:r w:rsidRPr="0089025E">
        <w:t>CDI is produced by</w:t>
      </w:r>
      <w:r w:rsidR="00682E53">
        <w:t>:</w:t>
      </w:r>
    </w:p>
    <w:p w14:paraId="0B864494" w14:textId="40160970" w:rsidR="000A5F42" w:rsidRPr="0089025E" w:rsidRDefault="00915CBA" w:rsidP="00194A12">
      <w:pPr>
        <w:pStyle w:val="CDICopyrightText"/>
      </w:pPr>
      <w:r w:rsidRPr="00915CBA">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3901A547" w14:textId="77777777" w:rsidR="00DA2E9E" w:rsidRPr="0089025E" w:rsidRDefault="00DA2E9E" w:rsidP="00194A12">
      <w:pPr>
        <w:pStyle w:val="CDICopyrightText"/>
      </w:pPr>
      <w:r w:rsidRPr="0089025E">
        <w:t xml:space="preserve">Website: </w:t>
      </w:r>
      <w:hyperlink r:id="rId19" w:history="1">
        <w:r w:rsidR="00AC0F5D" w:rsidRPr="000C6EB5">
          <w:rPr>
            <w:rStyle w:val="Hyperlink"/>
          </w:rPr>
          <w:t>www.health.gov.au/cdi</w:t>
        </w:r>
      </w:hyperlink>
      <w:r w:rsidR="00AC0F5D">
        <w:t xml:space="preserve"> </w:t>
      </w:r>
    </w:p>
    <w:p w14:paraId="0F2E6186" w14:textId="77777777" w:rsidR="000A5F42" w:rsidRPr="0089025E" w:rsidRDefault="000A5F42" w:rsidP="00194A12">
      <w:pPr>
        <w:pStyle w:val="CDICopyrightText"/>
      </w:pPr>
      <w:r w:rsidRPr="0089025E">
        <w:t xml:space="preserve">Email: </w:t>
      </w:r>
      <w:hyperlink r:id="rId20" w:history="1">
        <w:r w:rsidR="00AC0F5D" w:rsidRPr="000C6EB5">
          <w:rPr>
            <w:rStyle w:val="Hyperlink"/>
          </w:rPr>
          <w:t>cdi.editor@health.gov.au</w:t>
        </w:r>
      </w:hyperlink>
      <w:r w:rsidR="00AC0F5D">
        <w:t xml:space="preserve"> </w:t>
      </w:r>
    </w:p>
    <w:p w14:paraId="01600529"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5BB2A134"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6EDF2147" w14:textId="77777777" w:rsidR="000A5F42" w:rsidRPr="0089025E" w:rsidRDefault="000A5F42" w:rsidP="00194A12">
      <w:pPr>
        <w:pStyle w:val="CDICopyrightText"/>
      </w:pPr>
      <w:r w:rsidRPr="0089025E">
        <w:t xml:space="preserve">Further enquiries should be directed to: </w:t>
      </w:r>
      <w:hyperlink r:id="rId21" w:history="1">
        <w:r w:rsidR="00AC0F5D" w:rsidRPr="000C6EB5">
          <w:rPr>
            <w:rStyle w:val="Hyperlink"/>
          </w:rPr>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3118" w14:textId="77777777" w:rsidR="00915CBA" w:rsidRDefault="00915CBA" w:rsidP="00E54DBA">
      <w:r>
        <w:separator/>
      </w:r>
    </w:p>
    <w:p w14:paraId="77EE0ACE" w14:textId="77777777" w:rsidR="00915CBA" w:rsidRDefault="00915CBA"/>
    <w:p w14:paraId="02217DAC" w14:textId="77777777" w:rsidR="00915CBA" w:rsidRDefault="00915CBA" w:rsidP="008714B0"/>
  </w:endnote>
  <w:endnote w:type="continuationSeparator" w:id="0">
    <w:p w14:paraId="54826263" w14:textId="77777777" w:rsidR="00915CBA" w:rsidRDefault="00915CBA" w:rsidP="00E54DBA">
      <w:r>
        <w:continuationSeparator/>
      </w:r>
    </w:p>
    <w:p w14:paraId="29056275" w14:textId="77777777" w:rsidR="00915CBA" w:rsidRDefault="00915CBA"/>
    <w:p w14:paraId="4E9EEAF6" w14:textId="77777777" w:rsidR="00915CBA" w:rsidRDefault="00915CB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090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76AC" w14:textId="0787FAE4"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915CBA">
        <w:t>2024</w:t>
      </w:r>
    </w:fldSimple>
    <w:r w:rsidRPr="001D0612">
      <w:t xml:space="preserve"> </w:t>
    </w:r>
    <w:fldSimple w:instr=" DOCPROPERTY  Vol  \* MERGEFORMAT ">
      <w:r w:rsidR="00915CBA">
        <w:t>48</w:t>
      </w:r>
    </w:fldSimple>
    <w:r w:rsidRPr="001D0612">
      <w:t xml:space="preserve">  (</w:t>
    </w:r>
    <w:fldSimple w:instr=" DOCPROPERTY  DOI  \* MERGEFORMAT ">
      <w:r w:rsidR="00915CBA">
        <w:t>https://doi.org/10.33321/cdi.2024.48.24</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15CBA">
        <w:t>24/06/2024</w:t>
      </w:r>
    </w:fldSimple>
    <w:r w:rsidR="00915CBA">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7896"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760F" w14:textId="036CEA52"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915CBA">
        <w:t>2024</w:t>
      </w:r>
    </w:fldSimple>
    <w:r w:rsidRPr="001D0612">
      <w:t xml:space="preserve"> </w:t>
    </w:r>
    <w:fldSimple w:instr=" DOCPROPERTY  Vol  \* MERGEFORMAT ">
      <w:r w:rsidR="00915CBA">
        <w:t>48</w:t>
      </w:r>
    </w:fldSimple>
    <w:r w:rsidRPr="001D0612">
      <w:t xml:space="preserve">  (</w:t>
    </w:r>
    <w:fldSimple w:instr=" DOCPROPERTY  DOI  \* MERGEFORMAT ">
      <w:r w:rsidR="00915CBA">
        <w:t>https://doi.org/10.33321/cdi.2024.48.24</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915CBA">
        <w:t>24/06/2024</w:t>
      </w:r>
    </w:fldSimple>
    <w:r w:rsidR="00915CBA">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F38" w14:textId="621E23B4"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915CBA">
        <w:t>2024</w:t>
      </w:r>
    </w:fldSimple>
    <w:r w:rsidRPr="001D0612">
      <w:t xml:space="preserve"> </w:t>
    </w:r>
    <w:fldSimple w:instr=" DOCPROPERTY  Vol  \* MERGEFORMAT ">
      <w:r w:rsidR="00915CBA">
        <w:t>48</w:t>
      </w:r>
    </w:fldSimple>
    <w:r w:rsidRPr="001D0612">
      <w:t xml:space="preserve">  (</w:t>
    </w:r>
    <w:fldSimple w:instr=" DOCPROPERTY  DOI  \* MERGEFORMAT ">
      <w:r w:rsidR="00915CBA">
        <w:t>https://doi.org/10.33321/cdi.2024.48.24</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915CBA">
        <w:t>24/06/2024</w:t>
      </w:r>
    </w:fldSimple>
    <w:r w:rsidR="00915CBA">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68A4" w14:textId="77777777" w:rsidR="00915CBA" w:rsidRPr="00B91FB5" w:rsidRDefault="00915CBA" w:rsidP="00B91FB5">
      <w:pPr>
        <w:spacing w:line="240" w:lineRule="auto"/>
        <w:rPr>
          <w:sz w:val="18"/>
          <w:szCs w:val="18"/>
        </w:rPr>
      </w:pPr>
      <w:r w:rsidRPr="00B91FB5">
        <w:rPr>
          <w:sz w:val="18"/>
          <w:szCs w:val="18"/>
        </w:rPr>
        <w:separator/>
      </w:r>
    </w:p>
  </w:footnote>
  <w:footnote w:type="continuationSeparator" w:id="0">
    <w:p w14:paraId="470E6D88" w14:textId="77777777" w:rsidR="00915CBA" w:rsidRDefault="00915CBA" w:rsidP="00E54DBA">
      <w:r>
        <w:continuationSeparator/>
      </w:r>
    </w:p>
  </w:footnote>
  <w:footnote w:type="continuationNotice" w:id="1">
    <w:p w14:paraId="2683DFE9" w14:textId="77777777" w:rsidR="00915CBA" w:rsidRPr="00224EFF" w:rsidRDefault="00915CB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AF55"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8CEF"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A982"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6A65ECC" wp14:editId="478FAD39">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71986388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B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1B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1663D"/>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A6B"/>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4E61A3"/>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A4AE7"/>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645"/>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584"/>
    <w:rsid w:val="00824FD3"/>
    <w:rsid w:val="00826589"/>
    <w:rsid w:val="00830070"/>
    <w:rsid w:val="00830F91"/>
    <w:rsid w:val="00834BCC"/>
    <w:rsid w:val="008355D9"/>
    <w:rsid w:val="00850D54"/>
    <w:rsid w:val="00852E2B"/>
    <w:rsid w:val="008714B0"/>
    <w:rsid w:val="00872648"/>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15CBA"/>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C7CAD"/>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27AD"/>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16F3C"/>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08E"/>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1933"/>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A1BDE"/>
  <w15:docId w15:val="{1D2A932E-7374-4DDE-950D-A3E635A0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B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872648"/>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28"/>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6A4AE7"/>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Heading1-nospacebefore">
    <w:name w:val="Heading 1 - no space before"/>
    <w:basedOn w:val="Heading1"/>
    <w:qFormat/>
    <w:rsid w:val="003D5A6B"/>
    <w:pPr>
      <w:spacing w:before="0"/>
    </w:pPr>
  </w:style>
  <w:style w:type="paragraph" w:styleId="BodyText">
    <w:name w:val="Body Text"/>
    <w:basedOn w:val="Normal"/>
    <w:link w:val="BodyTextChar"/>
    <w:uiPriority w:val="99"/>
    <w:semiHidden/>
    <w:unhideWhenUsed/>
    <w:rsid w:val="009C7CAD"/>
    <w:pPr>
      <w:spacing w:after="120"/>
    </w:pPr>
  </w:style>
  <w:style w:type="character" w:customStyle="1" w:styleId="BodyTextChar">
    <w:name w:val="Body Text Char"/>
    <w:basedOn w:val="DefaultParagraphFont"/>
    <w:link w:val="BodyText"/>
    <w:uiPriority w:val="99"/>
    <w:semiHidden/>
    <w:rsid w:val="009C7CAD"/>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0</TotalTime>
  <Pages>21</Pages>
  <Words>5356</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Communicable Diseases Intelligence - Pertussis notifications decline in Australia during COVID-19 non-pharmaceutical interventions, 2020–2021</vt:lpstr>
    </vt:vector>
  </TitlesOfParts>
  <Company>Interim Australian Centre for Disease Control</Company>
  <LinksUpToDate>false</LinksUpToDate>
  <CharactersWithSpaces>36702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Pertussis notifications decline in Australia during COVID-19 non-pharmaceutical interventions, 2020–2021</dc:title>
  <dc:subject>This article examines tends in notifications for pertussis in Australia during the first two COVID-19 pandemic years (2020 and 2021) compared to three pre-pandemic years (2017 to 2019).</dc:subject>
  <dc:creator>Saskia van der Kooi;Frank Beard;Aditi Dey;Peter McIntyre;Chrissy Imai;Janaki Amin</dc:creator>
  <cp:keywords>pertussis; VPD; COVID-19; nonpharmaceutical interventions; Australia</cp:keywords>
  <dc:description>© Commonwealth of Australia CC BY-NC-ND</dc:description>
  <cp:revision>2</cp:revision>
  <cp:lastPrinted>2024-03-07T01:06:00Z</cp:lastPrinted>
  <dcterms:created xsi:type="dcterms:W3CDTF">2025-08-12T02:47:00Z</dcterms:created>
  <dcterms:modified xsi:type="dcterms:W3CDTF">2025-08-12T02:47:00Z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24/06/2024</vt:lpwstr>
  </property>
  <property fmtid="{D5CDD505-2E9C-101B-9397-08002B2CF9AE}" pid="5" name="DOI">
    <vt:lpwstr>https://doi.org/10.33321/cdi.2024.48.24</vt:lpwstr>
  </property>
</Properties>
</file>